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421" w14:textId="23171262" w:rsidR="00177B8A" w:rsidRPr="00530906" w:rsidRDefault="00177B8A" w:rsidP="00C54108">
      <w:pPr>
        <w:pStyle w:val="NoSpacing"/>
        <w:spacing w:line="480" w:lineRule="auto"/>
        <w:jc w:val="center"/>
        <w:rPr>
          <w:rFonts w:ascii="Cambria" w:hAnsi="Cambria"/>
          <w:b/>
          <w:caps/>
          <w:sz w:val="28"/>
        </w:rPr>
      </w:pPr>
      <w:r w:rsidRPr="00530906">
        <w:rPr>
          <w:rFonts w:ascii="Cambria" w:hAnsi="Cambria"/>
          <w:b/>
          <w:caps/>
          <w:noProof/>
          <w:sz w:val="28"/>
        </w:rPr>
        <w:drawing>
          <wp:inline distT="0" distB="0" distL="0" distR="0" wp14:anchorId="472903A1" wp14:editId="2B0894B0">
            <wp:extent cx="3350677" cy="1768415"/>
            <wp:effectExtent l="0" t="0" r="2540" b="3810"/>
            <wp:docPr id="211" name="Picture 2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l="22879" t="22074" r="22939" b="23461"/>
                    <a:stretch/>
                  </pic:blipFill>
                  <pic:spPr bwMode="auto">
                    <a:xfrm>
                      <a:off x="0" y="0"/>
                      <a:ext cx="3362572" cy="1774693"/>
                    </a:xfrm>
                    <a:prstGeom prst="rect">
                      <a:avLst/>
                    </a:prstGeom>
                    <a:ln>
                      <a:noFill/>
                    </a:ln>
                    <a:extLst>
                      <a:ext uri="{53640926-AAD7-44D8-BBD7-CCE9431645EC}">
                        <a14:shadowObscured xmlns:a14="http://schemas.microsoft.com/office/drawing/2010/main"/>
                      </a:ext>
                    </a:extLst>
                  </pic:spPr>
                </pic:pic>
              </a:graphicData>
            </a:graphic>
          </wp:inline>
        </w:drawing>
      </w:r>
    </w:p>
    <w:p w14:paraId="1EE32542" w14:textId="77777777" w:rsidR="00177B8A" w:rsidRPr="00530906" w:rsidRDefault="00177B8A" w:rsidP="00C54108">
      <w:pPr>
        <w:pStyle w:val="NoSpacing"/>
        <w:spacing w:line="480" w:lineRule="auto"/>
        <w:jc w:val="center"/>
        <w:rPr>
          <w:rFonts w:ascii="Cambria" w:hAnsi="Cambria"/>
          <w:b/>
          <w:caps/>
          <w:sz w:val="28"/>
        </w:rPr>
      </w:pPr>
    </w:p>
    <w:p w14:paraId="2F385762" w14:textId="77777777" w:rsidR="00177B8A" w:rsidRPr="00530906" w:rsidRDefault="00177B8A" w:rsidP="00C54108">
      <w:pPr>
        <w:pStyle w:val="NoSpacing"/>
        <w:spacing w:line="480" w:lineRule="auto"/>
        <w:jc w:val="center"/>
        <w:rPr>
          <w:rFonts w:ascii="Cambria" w:hAnsi="Cambria"/>
          <w:b/>
          <w:caps/>
          <w:sz w:val="28"/>
        </w:rPr>
      </w:pPr>
    </w:p>
    <w:p w14:paraId="0C95297B" w14:textId="2AB964DC" w:rsidR="00D2452E" w:rsidRPr="00530906" w:rsidRDefault="00D2452E" w:rsidP="00C54108">
      <w:pPr>
        <w:pStyle w:val="NoSpacing"/>
        <w:spacing w:line="480" w:lineRule="auto"/>
        <w:jc w:val="center"/>
        <w:rPr>
          <w:rFonts w:ascii="Cambria" w:hAnsi="Cambria"/>
          <w:b/>
          <w:caps/>
          <w:sz w:val="28"/>
        </w:rPr>
      </w:pPr>
      <w:r w:rsidRPr="00530906">
        <w:rPr>
          <w:rFonts w:ascii="Cambria" w:hAnsi="Cambria"/>
          <w:b/>
          <w:caps/>
          <w:sz w:val="28"/>
        </w:rPr>
        <w:t>The ANTECEDENTS AND CONSEQUENCES OF SOCIAL MEDIA ENGAGEMENT with a su</w:t>
      </w:r>
      <w:r w:rsidR="00C012CE" w:rsidRPr="00530906">
        <w:rPr>
          <w:rFonts w:ascii="Cambria" w:hAnsi="Cambria"/>
          <w:b/>
          <w:caps/>
          <w:sz w:val="28"/>
        </w:rPr>
        <w:t>s</w:t>
      </w:r>
      <w:r w:rsidRPr="00530906">
        <w:rPr>
          <w:rFonts w:ascii="Cambria" w:hAnsi="Cambria"/>
          <w:b/>
          <w:caps/>
          <w:sz w:val="28"/>
        </w:rPr>
        <w:t>ta</w:t>
      </w:r>
      <w:r w:rsidR="00C012CE" w:rsidRPr="00530906">
        <w:rPr>
          <w:rFonts w:ascii="Cambria" w:hAnsi="Cambria"/>
          <w:b/>
          <w:caps/>
          <w:sz w:val="28"/>
        </w:rPr>
        <w:t>ina</w:t>
      </w:r>
      <w:r w:rsidRPr="00530906">
        <w:rPr>
          <w:rFonts w:ascii="Cambria" w:hAnsi="Cambria"/>
          <w:b/>
          <w:caps/>
          <w:sz w:val="28"/>
        </w:rPr>
        <w:t>bility adVERTISEMENT</w:t>
      </w:r>
    </w:p>
    <w:p w14:paraId="34CB8CC5" w14:textId="77777777" w:rsidR="006C52F5" w:rsidRPr="00530906" w:rsidRDefault="006C52F5" w:rsidP="00C54108">
      <w:pPr>
        <w:pStyle w:val="NoSpacing"/>
        <w:spacing w:line="480" w:lineRule="auto"/>
        <w:jc w:val="center"/>
        <w:rPr>
          <w:rFonts w:ascii="Cambria" w:hAnsi="Cambria"/>
          <w:b/>
          <w:sz w:val="28"/>
        </w:rPr>
      </w:pPr>
    </w:p>
    <w:p w14:paraId="54A73B0F" w14:textId="3EC1D7FC" w:rsidR="00177B8A" w:rsidRPr="00530906" w:rsidRDefault="00177B8A" w:rsidP="00C54108">
      <w:pPr>
        <w:pStyle w:val="NoSpacing"/>
        <w:spacing w:line="480" w:lineRule="auto"/>
        <w:jc w:val="center"/>
        <w:rPr>
          <w:rFonts w:ascii="Cambria" w:hAnsi="Cambria"/>
          <w:b/>
          <w:sz w:val="28"/>
        </w:rPr>
      </w:pPr>
      <w:r w:rsidRPr="00530906">
        <w:rPr>
          <w:rFonts w:ascii="Cambria" w:hAnsi="Cambria"/>
          <w:b/>
          <w:sz w:val="28"/>
        </w:rPr>
        <w:t>Nuzhat Nuery</w:t>
      </w:r>
    </w:p>
    <w:p w14:paraId="2D87C31A" w14:textId="5BB1F0C6" w:rsidR="00F6666A" w:rsidRPr="00530906" w:rsidRDefault="00F6666A" w:rsidP="00C54108">
      <w:pPr>
        <w:pStyle w:val="NoSpacing"/>
        <w:spacing w:line="480" w:lineRule="auto"/>
        <w:jc w:val="center"/>
        <w:rPr>
          <w:rFonts w:ascii="Cambria" w:hAnsi="Cambria"/>
          <w:b/>
          <w:sz w:val="28"/>
        </w:rPr>
      </w:pPr>
      <w:r w:rsidRPr="00530906">
        <w:rPr>
          <w:rFonts w:ascii="Cambria" w:hAnsi="Cambria"/>
          <w:b/>
          <w:sz w:val="28"/>
        </w:rPr>
        <w:t>Student ID- 140158113</w:t>
      </w:r>
    </w:p>
    <w:p w14:paraId="0FFE51A6" w14:textId="16974256" w:rsidR="00177B8A" w:rsidRPr="00530906" w:rsidRDefault="00177B8A" w:rsidP="00C54108">
      <w:pPr>
        <w:pStyle w:val="NoSpacing"/>
        <w:spacing w:line="480" w:lineRule="auto"/>
        <w:jc w:val="center"/>
        <w:rPr>
          <w:rFonts w:ascii="Cambria" w:hAnsi="Cambria"/>
          <w:b/>
          <w:sz w:val="28"/>
        </w:rPr>
      </w:pPr>
      <w:r w:rsidRPr="00530906">
        <w:rPr>
          <w:rFonts w:ascii="Cambria" w:hAnsi="Cambria"/>
          <w:b/>
          <w:sz w:val="28"/>
        </w:rPr>
        <w:t xml:space="preserve">Newcastle </w:t>
      </w:r>
      <w:r w:rsidR="00142E7B" w:rsidRPr="00530906">
        <w:rPr>
          <w:rFonts w:ascii="Cambria" w:hAnsi="Cambria"/>
          <w:b/>
          <w:sz w:val="28"/>
        </w:rPr>
        <w:t>U</w:t>
      </w:r>
      <w:r w:rsidRPr="00530906">
        <w:rPr>
          <w:rFonts w:ascii="Cambria" w:hAnsi="Cambria"/>
          <w:b/>
          <w:sz w:val="28"/>
        </w:rPr>
        <w:t xml:space="preserve">niversity </w:t>
      </w:r>
      <w:r w:rsidR="00142E7B" w:rsidRPr="00530906">
        <w:rPr>
          <w:rFonts w:ascii="Cambria" w:hAnsi="Cambria"/>
          <w:b/>
          <w:sz w:val="28"/>
        </w:rPr>
        <w:t>Bu</w:t>
      </w:r>
      <w:r w:rsidRPr="00530906">
        <w:rPr>
          <w:rFonts w:ascii="Cambria" w:hAnsi="Cambria"/>
          <w:b/>
          <w:sz w:val="28"/>
        </w:rPr>
        <w:t xml:space="preserve">siness </w:t>
      </w:r>
      <w:r w:rsidR="00142E7B" w:rsidRPr="00530906">
        <w:rPr>
          <w:rFonts w:ascii="Cambria" w:hAnsi="Cambria"/>
          <w:b/>
          <w:sz w:val="28"/>
        </w:rPr>
        <w:t>S</w:t>
      </w:r>
      <w:r w:rsidRPr="00530906">
        <w:rPr>
          <w:rFonts w:ascii="Cambria" w:hAnsi="Cambria"/>
          <w:b/>
          <w:sz w:val="28"/>
        </w:rPr>
        <w:t>chool</w:t>
      </w:r>
    </w:p>
    <w:p w14:paraId="141A176F" w14:textId="77777777" w:rsidR="00177B8A" w:rsidRPr="00530906" w:rsidRDefault="00177B8A" w:rsidP="00C54108">
      <w:pPr>
        <w:pStyle w:val="NoSpacing"/>
        <w:spacing w:line="480" w:lineRule="auto"/>
        <w:jc w:val="center"/>
        <w:rPr>
          <w:rFonts w:ascii="Cambria" w:hAnsi="Cambria"/>
          <w:bCs/>
          <w:sz w:val="24"/>
          <w:szCs w:val="24"/>
        </w:rPr>
      </w:pPr>
    </w:p>
    <w:p w14:paraId="7F00AA66" w14:textId="77777777" w:rsidR="00177B8A" w:rsidRPr="00530906" w:rsidRDefault="00177B8A" w:rsidP="00C54108">
      <w:pPr>
        <w:pStyle w:val="NoSpacing"/>
        <w:spacing w:line="480" w:lineRule="auto"/>
        <w:jc w:val="center"/>
        <w:rPr>
          <w:rFonts w:ascii="Cambria" w:hAnsi="Cambria"/>
          <w:bCs/>
          <w:sz w:val="24"/>
          <w:szCs w:val="24"/>
        </w:rPr>
      </w:pPr>
    </w:p>
    <w:p w14:paraId="2EC721FC" w14:textId="6EA8C343" w:rsidR="00177B8A" w:rsidRPr="00530906" w:rsidRDefault="00177B8A" w:rsidP="00C54108">
      <w:pPr>
        <w:pStyle w:val="NoSpacing"/>
        <w:spacing w:line="480" w:lineRule="auto"/>
        <w:ind w:left="1276" w:right="1088"/>
        <w:jc w:val="center"/>
        <w:rPr>
          <w:rFonts w:ascii="Cambria" w:hAnsi="Cambria"/>
          <w:bCs/>
          <w:sz w:val="24"/>
          <w:szCs w:val="24"/>
        </w:rPr>
      </w:pPr>
      <w:r w:rsidRPr="00530906">
        <w:rPr>
          <w:rFonts w:ascii="Cambria" w:hAnsi="Cambria"/>
          <w:bCs/>
          <w:sz w:val="24"/>
          <w:szCs w:val="24"/>
        </w:rPr>
        <w:t xml:space="preserve">A thesis submitted to the faculty of Humanities and Social Science at Newcastle University </w:t>
      </w:r>
      <w:r w:rsidR="00D67D3A" w:rsidRPr="00530906">
        <w:rPr>
          <w:rFonts w:ascii="Cambria" w:hAnsi="Cambria"/>
          <w:bCs/>
          <w:sz w:val="24"/>
          <w:szCs w:val="24"/>
        </w:rPr>
        <w:t>as a</w:t>
      </w:r>
      <w:r w:rsidRPr="00530906">
        <w:rPr>
          <w:rFonts w:ascii="Cambria" w:hAnsi="Cambria"/>
          <w:bCs/>
          <w:sz w:val="24"/>
          <w:szCs w:val="24"/>
        </w:rPr>
        <w:t xml:space="preserve"> requirement for the degree of Doctor </w:t>
      </w:r>
      <w:r w:rsidR="00D67D3A" w:rsidRPr="00530906">
        <w:rPr>
          <w:rFonts w:ascii="Cambria" w:hAnsi="Cambria"/>
          <w:bCs/>
          <w:sz w:val="24"/>
          <w:szCs w:val="24"/>
        </w:rPr>
        <w:t>o</w:t>
      </w:r>
      <w:r w:rsidRPr="00530906">
        <w:rPr>
          <w:rFonts w:ascii="Cambria" w:hAnsi="Cambria"/>
          <w:bCs/>
          <w:sz w:val="24"/>
          <w:szCs w:val="24"/>
        </w:rPr>
        <w:t>f Philosophy</w:t>
      </w:r>
    </w:p>
    <w:p w14:paraId="5B6046B2" w14:textId="77777777" w:rsidR="00177B8A" w:rsidRPr="00530906" w:rsidRDefault="00177B8A" w:rsidP="00C54108">
      <w:pPr>
        <w:pStyle w:val="NoSpacing"/>
        <w:spacing w:line="480" w:lineRule="auto"/>
        <w:jc w:val="center"/>
        <w:rPr>
          <w:rFonts w:ascii="Cambria" w:hAnsi="Cambria"/>
          <w:bCs/>
          <w:sz w:val="24"/>
          <w:szCs w:val="24"/>
        </w:rPr>
      </w:pPr>
    </w:p>
    <w:p w14:paraId="4400311B" w14:textId="77777777" w:rsidR="00177B8A" w:rsidRPr="00530906" w:rsidRDefault="00177B8A" w:rsidP="00C54108">
      <w:pPr>
        <w:pStyle w:val="NoSpacing"/>
        <w:spacing w:line="480" w:lineRule="auto"/>
        <w:jc w:val="center"/>
        <w:rPr>
          <w:rFonts w:ascii="Cambria" w:hAnsi="Cambria"/>
          <w:bCs/>
          <w:sz w:val="24"/>
          <w:szCs w:val="24"/>
        </w:rPr>
      </w:pPr>
    </w:p>
    <w:p w14:paraId="1EAF7771" w14:textId="77777777" w:rsidR="00177B8A" w:rsidRPr="00530906" w:rsidRDefault="00177B8A" w:rsidP="00C54108">
      <w:pPr>
        <w:pStyle w:val="NoSpacing"/>
        <w:spacing w:line="480" w:lineRule="auto"/>
        <w:jc w:val="center"/>
        <w:rPr>
          <w:rFonts w:ascii="Cambria" w:hAnsi="Cambria"/>
          <w:bCs/>
        </w:rPr>
      </w:pPr>
    </w:p>
    <w:p w14:paraId="47F7A58D" w14:textId="77777777" w:rsidR="00177B8A" w:rsidRPr="00530906" w:rsidRDefault="00177B8A" w:rsidP="00C54108">
      <w:pPr>
        <w:pStyle w:val="NoSpacing"/>
        <w:spacing w:line="480" w:lineRule="auto"/>
        <w:jc w:val="center"/>
        <w:rPr>
          <w:rFonts w:ascii="Cambria" w:hAnsi="Cambria"/>
          <w:bCs/>
        </w:rPr>
      </w:pPr>
    </w:p>
    <w:p w14:paraId="52F1EFFB" w14:textId="046766EF" w:rsidR="00177B8A" w:rsidRPr="00530906" w:rsidRDefault="002F709D" w:rsidP="00C54108">
      <w:pPr>
        <w:pStyle w:val="NoSpacing"/>
        <w:spacing w:line="480" w:lineRule="auto"/>
        <w:jc w:val="center"/>
        <w:rPr>
          <w:rFonts w:ascii="Cambria" w:hAnsi="Cambria"/>
          <w:bCs/>
        </w:rPr>
      </w:pPr>
      <w:r>
        <w:rPr>
          <w:rFonts w:ascii="Cambria" w:hAnsi="Cambria"/>
          <w:bCs/>
        </w:rPr>
        <w:t>October</w:t>
      </w:r>
      <w:r w:rsidR="00177B8A" w:rsidRPr="00530906">
        <w:rPr>
          <w:rFonts w:ascii="Cambria" w:hAnsi="Cambria"/>
          <w:bCs/>
        </w:rPr>
        <w:t xml:space="preserve"> 202</w:t>
      </w:r>
      <w:r>
        <w:rPr>
          <w:rFonts w:ascii="Cambria" w:hAnsi="Cambria"/>
          <w:bCs/>
        </w:rPr>
        <w:t>2</w:t>
      </w:r>
    </w:p>
    <w:p w14:paraId="68DFEAC3" w14:textId="77777777" w:rsidR="00142E7B" w:rsidRPr="00530906" w:rsidRDefault="00142E7B" w:rsidP="008756B1">
      <w:pPr>
        <w:spacing w:line="259" w:lineRule="auto"/>
        <w:jc w:val="both"/>
        <w:rPr>
          <w:rFonts w:ascii="Cambria" w:hAnsi="Cambria" w:cs="Times New Roman"/>
          <w:b/>
          <w:bCs/>
          <w:caps/>
          <w:sz w:val="24"/>
          <w:szCs w:val="24"/>
        </w:rPr>
      </w:pPr>
    </w:p>
    <w:p w14:paraId="7A9AAA80" w14:textId="77777777" w:rsidR="00142E7B" w:rsidRPr="00530906" w:rsidRDefault="00142E7B" w:rsidP="008756B1">
      <w:pPr>
        <w:spacing w:line="480" w:lineRule="auto"/>
        <w:jc w:val="both"/>
        <w:rPr>
          <w:rFonts w:ascii="Cambria" w:hAnsi="Cambria" w:cs="Times New Roman"/>
          <w:b/>
          <w:bCs/>
          <w:sz w:val="32"/>
          <w:szCs w:val="32"/>
        </w:rPr>
      </w:pPr>
    </w:p>
    <w:p w14:paraId="088F84BD" w14:textId="77777777" w:rsidR="00A70E8B" w:rsidRPr="00530906" w:rsidRDefault="00A70E8B" w:rsidP="008756B1">
      <w:pPr>
        <w:spacing w:line="259" w:lineRule="auto"/>
        <w:jc w:val="both"/>
        <w:rPr>
          <w:rFonts w:ascii="Cambria" w:hAnsi="Cambria" w:cs="Times New Roman"/>
          <w:b/>
          <w:bCs/>
          <w:sz w:val="32"/>
          <w:szCs w:val="32"/>
        </w:rPr>
      </w:pPr>
      <w:r w:rsidRPr="00530906">
        <w:rPr>
          <w:rFonts w:ascii="Cambria" w:hAnsi="Cambria" w:cs="Times New Roman"/>
          <w:b/>
          <w:bCs/>
          <w:sz w:val="32"/>
          <w:szCs w:val="32"/>
        </w:rPr>
        <w:br w:type="page"/>
      </w:r>
    </w:p>
    <w:p w14:paraId="335B4B3E" w14:textId="03FFD4B3" w:rsidR="00142E7B" w:rsidRPr="00530906" w:rsidRDefault="00142E7B" w:rsidP="008756B1">
      <w:pPr>
        <w:spacing w:line="480" w:lineRule="auto"/>
        <w:jc w:val="both"/>
        <w:rPr>
          <w:rFonts w:ascii="Cambria" w:hAnsi="Cambria" w:cs="Times New Roman"/>
          <w:b/>
          <w:bCs/>
          <w:sz w:val="32"/>
          <w:szCs w:val="32"/>
        </w:rPr>
      </w:pPr>
      <w:r w:rsidRPr="00530906">
        <w:rPr>
          <w:rFonts w:ascii="Cambria" w:hAnsi="Cambria" w:cs="Times New Roman"/>
          <w:b/>
          <w:bCs/>
          <w:sz w:val="32"/>
          <w:szCs w:val="32"/>
        </w:rPr>
        <w:lastRenderedPageBreak/>
        <w:t>Declaration</w:t>
      </w:r>
    </w:p>
    <w:p w14:paraId="722CE1FC" w14:textId="77777777" w:rsidR="00142E7B" w:rsidRPr="00530906" w:rsidRDefault="00142E7B" w:rsidP="008756B1">
      <w:pPr>
        <w:spacing w:line="480" w:lineRule="auto"/>
        <w:jc w:val="both"/>
        <w:rPr>
          <w:rFonts w:ascii="Cambria" w:hAnsi="Cambria" w:cs="Times New Roman"/>
          <w:sz w:val="24"/>
          <w:szCs w:val="24"/>
        </w:rPr>
      </w:pPr>
      <w:r w:rsidRPr="00530906">
        <w:rPr>
          <w:rFonts w:ascii="Cambria" w:hAnsi="Cambria" w:cs="Times New Roman"/>
          <w:sz w:val="24"/>
          <w:szCs w:val="24"/>
        </w:rPr>
        <w:t xml:space="preserve">This is to state that the accompanying publication have not been previously submitted by any candidate for a degree in this or any other university. </w:t>
      </w:r>
    </w:p>
    <w:p w14:paraId="2B4DBE6D" w14:textId="77777777" w:rsidR="00142E7B" w:rsidRPr="00530906" w:rsidRDefault="00142E7B" w:rsidP="008756B1">
      <w:pPr>
        <w:spacing w:line="259" w:lineRule="auto"/>
        <w:jc w:val="both"/>
        <w:rPr>
          <w:rFonts w:ascii="Cambria" w:hAnsi="Cambria" w:cs="Times New Roman"/>
          <w:sz w:val="24"/>
          <w:szCs w:val="24"/>
        </w:rPr>
      </w:pPr>
    </w:p>
    <w:p w14:paraId="3C7F27E6" w14:textId="43D8900B" w:rsidR="00142E7B" w:rsidRPr="00530906" w:rsidRDefault="00142E7B" w:rsidP="008756B1">
      <w:pPr>
        <w:spacing w:line="259" w:lineRule="auto"/>
        <w:jc w:val="both"/>
        <w:rPr>
          <w:rFonts w:ascii="Cambria" w:hAnsi="Cambria" w:cs="Times New Roman"/>
          <w:sz w:val="24"/>
          <w:szCs w:val="24"/>
        </w:rPr>
      </w:pPr>
      <w:r w:rsidRPr="00530906">
        <w:rPr>
          <w:rFonts w:ascii="Cambria" w:hAnsi="Cambria" w:cs="Times New Roman"/>
          <w:sz w:val="24"/>
          <w:szCs w:val="24"/>
        </w:rPr>
        <w:t xml:space="preserve">Nuzhat Nuery </w:t>
      </w:r>
    </w:p>
    <w:p w14:paraId="33B801E2" w14:textId="77777777" w:rsidR="009568AF" w:rsidRPr="00530906" w:rsidRDefault="00784C63" w:rsidP="008756B1">
      <w:pPr>
        <w:spacing w:line="259" w:lineRule="auto"/>
        <w:jc w:val="both"/>
        <w:rPr>
          <w:rFonts w:ascii="Cambria" w:hAnsi="Cambria" w:cs="Times New Roman"/>
          <w:sz w:val="24"/>
          <w:szCs w:val="24"/>
        </w:rPr>
      </w:pPr>
      <w:r w:rsidRPr="00530906">
        <w:rPr>
          <w:rFonts w:ascii="Cambria" w:hAnsi="Cambria" w:cs="Times New Roman"/>
          <w:noProof/>
          <w:sz w:val="24"/>
          <w:szCs w:val="24"/>
        </w:rPr>
        <w:drawing>
          <wp:inline distT="0" distB="0" distL="0" distR="0" wp14:anchorId="50F669F7" wp14:editId="2D9A821E">
            <wp:extent cx="1255672" cy="719846"/>
            <wp:effectExtent l="0" t="0" r="1905"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2">
                      <a:extLst>
                        <a:ext uri="{28A0092B-C50C-407E-A947-70E740481C1C}">
                          <a14:useLocalDpi xmlns:a14="http://schemas.microsoft.com/office/drawing/2010/main" val="0"/>
                        </a:ext>
                      </a:extLst>
                    </a:blip>
                    <a:stretch>
                      <a:fillRect/>
                    </a:stretch>
                  </pic:blipFill>
                  <pic:spPr>
                    <a:xfrm>
                      <a:off x="0" y="0"/>
                      <a:ext cx="1277401" cy="732303"/>
                    </a:xfrm>
                    <a:prstGeom prst="rect">
                      <a:avLst/>
                    </a:prstGeom>
                  </pic:spPr>
                </pic:pic>
              </a:graphicData>
            </a:graphic>
          </wp:inline>
        </w:drawing>
      </w:r>
    </w:p>
    <w:p w14:paraId="661AD5AD" w14:textId="52A8E076" w:rsidR="00142E7B" w:rsidRPr="00530906" w:rsidRDefault="00784C63" w:rsidP="008756B1">
      <w:pPr>
        <w:spacing w:line="259" w:lineRule="auto"/>
        <w:jc w:val="both"/>
        <w:rPr>
          <w:rFonts w:ascii="Cambria" w:hAnsi="Cambria" w:cs="Times New Roman"/>
          <w:sz w:val="24"/>
          <w:szCs w:val="24"/>
        </w:rPr>
      </w:pPr>
      <w:r w:rsidRPr="00530906">
        <w:rPr>
          <w:rFonts w:ascii="Cambria" w:hAnsi="Cambria" w:cs="Times New Roman"/>
          <w:sz w:val="24"/>
          <w:szCs w:val="24"/>
        </w:rPr>
        <w:t>17/06/2021</w:t>
      </w:r>
    </w:p>
    <w:p w14:paraId="4098B531" w14:textId="026B55C2" w:rsidR="00142E7B" w:rsidRPr="00530906" w:rsidRDefault="00142E7B" w:rsidP="008756B1">
      <w:pPr>
        <w:spacing w:line="259" w:lineRule="auto"/>
        <w:jc w:val="both"/>
        <w:rPr>
          <w:rFonts w:ascii="Cambria" w:hAnsi="Cambria" w:cs="Times New Roman"/>
          <w:sz w:val="24"/>
          <w:szCs w:val="24"/>
        </w:rPr>
      </w:pPr>
      <w:r w:rsidRPr="00530906">
        <w:rPr>
          <w:rFonts w:ascii="Cambria" w:hAnsi="Cambria" w:cs="Times New Roman"/>
          <w:sz w:val="24"/>
          <w:szCs w:val="24"/>
        </w:rPr>
        <w:t>Newcastle upon Tyne</w:t>
      </w:r>
    </w:p>
    <w:p w14:paraId="49C5BF49" w14:textId="1CC13E49" w:rsidR="00177B8A" w:rsidRPr="00530906" w:rsidRDefault="00177B8A" w:rsidP="008756B1">
      <w:pPr>
        <w:spacing w:line="259" w:lineRule="auto"/>
        <w:jc w:val="both"/>
        <w:rPr>
          <w:rFonts w:ascii="Cambria" w:hAnsi="Cambria" w:cs="Times New Roman"/>
          <w:b/>
          <w:bCs/>
          <w:sz w:val="24"/>
          <w:szCs w:val="24"/>
        </w:rPr>
      </w:pPr>
      <w:r w:rsidRPr="00530906">
        <w:rPr>
          <w:rFonts w:ascii="Cambria" w:hAnsi="Cambria" w:cs="Times New Roman"/>
          <w:b/>
          <w:bCs/>
          <w:sz w:val="24"/>
          <w:szCs w:val="24"/>
        </w:rPr>
        <w:br w:type="page"/>
      </w:r>
    </w:p>
    <w:p w14:paraId="51651060" w14:textId="64C3E219" w:rsidR="00D2452E" w:rsidRPr="00530906" w:rsidRDefault="00D2452E">
      <w:pPr>
        <w:spacing w:line="480" w:lineRule="auto"/>
        <w:jc w:val="both"/>
        <w:rPr>
          <w:rFonts w:ascii="Cambria" w:hAnsi="Cambria" w:cs="Times New Roman"/>
          <w:b/>
          <w:bCs/>
          <w:caps/>
          <w:sz w:val="24"/>
          <w:szCs w:val="24"/>
        </w:rPr>
      </w:pPr>
      <w:r w:rsidRPr="00530906">
        <w:rPr>
          <w:rFonts w:ascii="Cambria" w:hAnsi="Cambria" w:cs="Times New Roman"/>
          <w:b/>
          <w:bCs/>
          <w:caps/>
          <w:sz w:val="24"/>
          <w:szCs w:val="24"/>
        </w:rPr>
        <w:lastRenderedPageBreak/>
        <w:t xml:space="preserve">abstract: </w:t>
      </w:r>
    </w:p>
    <w:p w14:paraId="2D3211A9" w14:textId="10CE9F05" w:rsidR="00D2452E" w:rsidRPr="00530906" w:rsidRDefault="00D2452E">
      <w:pPr>
        <w:pStyle w:val="NoSpacing"/>
        <w:spacing w:line="480" w:lineRule="auto"/>
        <w:jc w:val="both"/>
        <w:rPr>
          <w:rFonts w:ascii="Cambria" w:hAnsi="Cambria" w:cstheme="minorHAnsi"/>
          <w:sz w:val="24"/>
          <w:szCs w:val="24"/>
        </w:rPr>
      </w:pPr>
      <w:r w:rsidRPr="00530906">
        <w:rPr>
          <w:rFonts w:ascii="Cambria" w:hAnsi="Cambria" w:cstheme="minorHAnsi"/>
          <w:sz w:val="24"/>
          <w:szCs w:val="24"/>
        </w:rPr>
        <w:t>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 xml:space="preserve">users are increasingly </w:t>
      </w:r>
      <w:r w:rsidR="00D175C5" w:rsidRPr="00530906">
        <w:rPr>
          <w:rFonts w:ascii="Cambria" w:hAnsi="Cambria" w:cstheme="minorHAnsi"/>
          <w:sz w:val="24"/>
          <w:szCs w:val="24"/>
        </w:rPr>
        <w:t>placing</w:t>
      </w:r>
      <w:r w:rsidRPr="00530906">
        <w:rPr>
          <w:rFonts w:ascii="Cambria" w:hAnsi="Cambria" w:cstheme="minorHAnsi"/>
          <w:sz w:val="24"/>
          <w:szCs w:val="24"/>
        </w:rPr>
        <w:t xml:space="preserve"> their opinions about </w:t>
      </w:r>
      <w:r w:rsidR="00D175C5" w:rsidRPr="00530906">
        <w:rPr>
          <w:rFonts w:ascii="Cambria" w:hAnsi="Cambria" w:cstheme="minorHAnsi"/>
          <w:sz w:val="24"/>
          <w:szCs w:val="24"/>
        </w:rPr>
        <w:t>organisations and their actions on</w:t>
      </w:r>
      <w:r w:rsidRPr="00530906">
        <w:rPr>
          <w:rFonts w:ascii="Cambria" w:hAnsi="Cambria" w:cstheme="minorHAnsi"/>
          <w:sz w:val="24"/>
          <w:szCs w:val="24"/>
        </w:rPr>
        <w:t xml:space="preserve"> social</w:t>
      </w:r>
      <w:r w:rsidR="004179CD" w:rsidRPr="00530906">
        <w:rPr>
          <w:rFonts w:ascii="Cambria" w:hAnsi="Cambria" w:cstheme="minorHAnsi"/>
          <w:sz w:val="24"/>
          <w:szCs w:val="24"/>
        </w:rPr>
        <w:t>–</w:t>
      </w:r>
      <w:r w:rsidRPr="00530906">
        <w:rPr>
          <w:rFonts w:ascii="Cambria" w:hAnsi="Cambria" w:cstheme="minorHAnsi"/>
          <w:sz w:val="24"/>
          <w:szCs w:val="24"/>
        </w:rPr>
        <w:t>media</w:t>
      </w:r>
      <w:r w:rsidR="000E7526" w:rsidRPr="00530906">
        <w:rPr>
          <w:rFonts w:ascii="Cambria" w:hAnsi="Cambria" w:cstheme="minorHAnsi"/>
          <w:sz w:val="24"/>
          <w:szCs w:val="24"/>
        </w:rPr>
        <w:t xml:space="preserve">. This is especially true when companies take sustainability related initiative or circulate a sustainability ad, because consumers are </w:t>
      </w:r>
      <w:r w:rsidRPr="00530906">
        <w:rPr>
          <w:rFonts w:ascii="Cambria" w:hAnsi="Cambria" w:cstheme="minorHAnsi"/>
          <w:sz w:val="24"/>
          <w:szCs w:val="24"/>
        </w:rPr>
        <w:t>concern</w:t>
      </w:r>
      <w:r w:rsidR="000E7526" w:rsidRPr="00530906">
        <w:rPr>
          <w:rFonts w:ascii="Cambria" w:hAnsi="Cambria" w:cstheme="minorHAnsi"/>
          <w:sz w:val="24"/>
          <w:szCs w:val="24"/>
        </w:rPr>
        <w:t>ed</w:t>
      </w:r>
      <w:r w:rsidRPr="00530906">
        <w:rPr>
          <w:rFonts w:ascii="Cambria" w:hAnsi="Cambria" w:cstheme="minorHAnsi"/>
          <w:sz w:val="24"/>
          <w:szCs w:val="24"/>
        </w:rPr>
        <w:t xml:space="preserve"> over sustainability and </w:t>
      </w:r>
      <w:r w:rsidR="00145EE6" w:rsidRPr="00530906">
        <w:rPr>
          <w:rFonts w:ascii="Cambria" w:hAnsi="Cambria" w:cstheme="minorHAnsi"/>
          <w:sz w:val="24"/>
          <w:szCs w:val="24"/>
        </w:rPr>
        <w:t xml:space="preserve">have </w:t>
      </w:r>
      <w:r w:rsidRPr="00530906">
        <w:rPr>
          <w:rFonts w:ascii="Cambria" w:hAnsi="Cambria" w:cstheme="minorHAnsi"/>
          <w:sz w:val="24"/>
          <w:szCs w:val="24"/>
        </w:rPr>
        <w:t>lack of trust on organisations. S</w:t>
      </w:r>
      <w:r w:rsidRPr="00530906">
        <w:rPr>
          <w:rFonts w:ascii="Cambria" w:hAnsi="Cambria" w:cstheme="minorHAnsi"/>
          <w:color w:val="000000"/>
          <w:sz w:val="24"/>
          <w:szCs w:val="24"/>
          <w:lang w:val="en-US"/>
        </w:rPr>
        <w:t>ocial</w:t>
      </w:r>
      <w:r w:rsidR="004179CD" w:rsidRPr="00530906">
        <w:rPr>
          <w:rFonts w:ascii="Cambria" w:hAnsi="Cambria" w:cstheme="minorHAnsi"/>
          <w:color w:val="000000"/>
          <w:sz w:val="24"/>
          <w:szCs w:val="24"/>
          <w:lang w:val="en-US"/>
        </w:rPr>
        <w:t>–</w:t>
      </w:r>
      <w:r w:rsidRPr="00530906">
        <w:rPr>
          <w:rFonts w:ascii="Cambria" w:hAnsi="Cambria" w:cstheme="minorHAnsi"/>
          <w:color w:val="000000"/>
          <w:sz w:val="24"/>
          <w:szCs w:val="24"/>
          <w:lang w:val="en-US"/>
        </w:rPr>
        <w:t>media</w:t>
      </w:r>
      <w:r w:rsidR="004179CD" w:rsidRPr="00530906">
        <w:rPr>
          <w:rFonts w:ascii="Cambria" w:hAnsi="Cambria" w:cstheme="minorHAnsi"/>
          <w:color w:val="000000"/>
          <w:sz w:val="24"/>
          <w:szCs w:val="24"/>
          <w:lang w:val="en-US"/>
        </w:rPr>
        <w:t>–</w:t>
      </w:r>
      <w:r w:rsidRPr="00530906">
        <w:rPr>
          <w:rFonts w:ascii="Cambria" w:hAnsi="Cambria" w:cstheme="minorHAnsi"/>
          <w:color w:val="000000"/>
          <w:sz w:val="24"/>
          <w:szCs w:val="24"/>
          <w:lang w:val="en-US"/>
        </w:rPr>
        <w:t>users’ positive/</w:t>
      </w:r>
      <w:r w:rsidR="00573AAD" w:rsidRPr="00530906">
        <w:rPr>
          <w:rFonts w:ascii="Cambria" w:hAnsi="Cambria" w:cstheme="minorHAnsi"/>
          <w:color w:val="000000"/>
          <w:sz w:val="24"/>
          <w:szCs w:val="24"/>
          <w:lang w:val="en-US"/>
        </w:rPr>
        <w:t xml:space="preserve"> </w:t>
      </w:r>
      <w:r w:rsidRPr="00530906">
        <w:rPr>
          <w:rFonts w:ascii="Cambria" w:hAnsi="Cambria" w:cstheme="minorHAnsi"/>
          <w:color w:val="000000"/>
          <w:sz w:val="24"/>
          <w:szCs w:val="24"/>
          <w:lang w:val="en-US"/>
        </w:rPr>
        <w:t>negative opinion significantly influences brand’s reputation and sales. This thesis investigates the antecedents (positive or negative captions accompanying a sustainability</w:t>
      </w:r>
      <w:r w:rsidR="004179CD" w:rsidRPr="00530906">
        <w:rPr>
          <w:rFonts w:ascii="Cambria" w:hAnsi="Cambria" w:cstheme="minorHAnsi"/>
          <w:color w:val="000000"/>
          <w:sz w:val="24"/>
          <w:szCs w:val="24"/>
          <w:lang w:val="en-US"/>
        </w:rPr>
        <w:t>–</w:t>
      </w:r>
      <w:r w:rsidRPr="00530906">
        <w:rPr>
          <w:rFonts w:ascii="Cambria" w:hAnsi="Cambria" w:cstheme="minorHAnsi"/>
          <w:color w:val="000000"/>
          <w:sz w:val="24"/>
          <w:szCs w:val="24"/>
          <w:lang w:val="en-US"/>
        </w:rPr>
        <w:t>ad) and consequences (</w:t>
      </w:r>
      <w:r w:rsidRPr="00530906">
        <w:rPr>
          <w:rFonts w:ascii="Cambria" w:hAnsi="Cambria" w:cstheme="minorHAnsi"/>
          <w:sz w:val="24"/>
          <w:szCs w:val="24"/>
        </w:rPr>
        <w:t>users’ purchase intentions and further sustainable</w:t>
      </w:r>
      <w:r w:rsidR="004179CD" w:rsidRPr="00530906">
        <w:rPr>
          <w:rFonts w:ascii="Cambria" w:hAnsi="Cambria" w:cstheme="minorHAnsi"/>
          <w:sz w:val="24"/>
          <w:szCs w:val="24"/>
        </w:rPr>
        <w:t>–</w:t>
      </w:r>
      <w:r w:rsidRPr="00530906">
        <w:rPr>
          <w:rFonts w:ascii="Cambria" w:hAnsi="Cambria" w:cstheme="minorHAnsi"/>
          <w:sz w:val="24"/>
          <w:szCs w:val="24"/>
        </w:rPr>
        <w:t>behavioural intentions</w:t>
      </w:r>
      <w:r w:rsidRPr="00530906">
        <w:rPr>
          <w:rFonts w:ascii="Cambria" w:hAnsi="Cambria" w:cstheme="minorHAnsi"/>
          <w:color w:val="000000"/>
          <w:sz w:val="24"/>
          <w:szCs w:val="24"/>
          <w:lang w:val="en-US"/>
        </w:rPr>
        <w:t xml:space="preserve">) of </w:t>
      </w:r>
      <w:r w:rsidRPr="00530906">
        <w:rPr>
          <w:rFonts w:ascii="Cambria" w:hAnsi="Cambria" w:cstheme="minorHAnsi"/>
          <w:sz w:val="24"/>
          <w:szCs w:val="24"/>
        </w:rPr>
        <w:t>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engagement with a sustainability</w:t>
      </w:r>
      <w:r w:rsidR="004179CD" w:rsidRPr="00530906">
        <w:rPr>
          <w:rFonts w:ascii="Cambria" w:hAnsi="Cambria" w:cstheme="minorHAnsi"/>
          <w:sz w:val="24"/>
          <w:szCs w:val="24"/>
        </w:rPr>
        <w:t>–</w:t>
      </w:r>
      <w:r w:rsidRPr="00530906">
        <w:rPr>
          <w:rFonts w:ascii="Cambria" w:hAnsi="Cambria" w:cstheme="minorHAnsi"/>
          <w:sz w:val="24"/>
          <w:szCs w:val="24"/>
        </w:rPr>
        <w:t>ad through the lens of ‘self</w:t>
      </w:r>
      <w:r w:rsidR="004179CD" w:rsidRPr="00530906">
        <w:rPr>
          <w:rFonts w:ascii="Cambria" w:hAnsi="Cambria" w:cstheme="minorHAnsi"/>
          <w:sz w:val="24"/>
          <w:szCs w:val="24"/>
        </w:rPr>
        <w:t>–</w:t>
      </w:r>
      <w:r w:rsidRPr="00530906">
        <w:rPr>
          <w:rFonts w:ascii="Cambria" w:hAnsi="Cambria" w:cstheme="minorHAnsi"/>
          <w:sz w:val="24"/>
          <w:szCs w:val="24"/>
        </w:rPr>
        <w:t>consumption</w:t>
      </w:r>
      <w:r w:rsidR="004179CD" w:rsidRPr="00530906">
        <w:rPr>
          <w:rFonts w:ascii="Cambria" w:hAnsi="Cambria" w:cstheme="minorHAnsi"/>
          <w:sz w:val="24"/>
          <w:szCs w:val="24"/>
        </w:rPr>
        <w:t>–</w:t>
      </w:r>
      <w:r w:rsidRPr="00530906">
        <w:rPr>
          <w:rFonts w:ascii="Cambria" w:hAnsi="Cambria" w:cstheme="minorHAnsi"/>
          <w:sz w:val="24"/>
          <w:szCs w:val="24"/>
        </w:rPr>
        <w:t>vision’ (SCV), ’pleasure</w:t>
      </w:r>
      <w:r w:rsidR="004179CD" w:rsidRPr="00530906">
        <w:rPr>
          <w:rFonts w:ascii="Cambria" w:hAnsi="Cambria" w:cstheme="minorHAnsi"/>
          <w:sz w:val="24"/>
          <w:szCs w:val="24"/>
        </w:rPr>
        <w:t>–</w:t>
      </w:r>
      <w:r w:rsidRPr="00530906">
        <w:rPr>
          <w:rFonts w:ascii="Cambria" w:hAnsi="Cambria" w:cstheme="minorHAnsi"/>
          <w:sz w:val="24"/>
          <w:szCs w:val="24"/>
        </w:rPr>
        <w:t>arousal</w:t>
      </w:r>
      <w:r w:rsidR="004179CD" w:rsidRPr="00530906">
        <w:rPr>
          <w:rFonts w:ascii="Cambria" w:hAnsi="Cambria" w:cstheme="minorHAnsi"/>
          <w:sz w:val="24"/>
          <w:szCs w:val="24"/>
        </w:rPr>
        <w:t>–</w:t>
      </w:r>
      <w:r w:rsidRPr="00530906">
        <w:rPr>
          <w:rFonts w:ascii="Cambria" w:hAnsi="Cambria" w:cstheme="minorHAnsi"/>
          <w:sz w:val="24"/>
          <w:szCs w:val="24"/>
        </w:rPr>
        <w:t xml:space="preserve">dominance’ (PAD) theory of emotion, and social influence theory. These theories have been chosen because, </w:t>
      </w:r>
      <w:r w:rsidR="00194213" w:rsidRPr="00530906">
        <w:rPr>
          <w:rFonts w:ascii="Cambria" w:hAnsi="Cambria" w:cstheme="minorHAnsi"/>
          <w:sz w:val="24"/>
          <w:szCs w:val="24"/>
        </w:rPr>
        <w:t>choice</w:t>
      </w:r>
      <w:r w:rsidR="00072398" w:rsidRPr="00530906">
        <w:rPr>
          <w:rFonts w:ascii="Cambria" w:hAnsi="Cambria" w:cstheme="minorHAnsi"/>
          <w:sz w:val="24"/>
          <w:szCs w:val="24"/>
        </w:rPr>
        <w:t xml:space="preserve"> of </w:t>
      </w:r>
      <w:r w:rsidR="00072398" w:rsidRPr="00530906">
        <w:rPr>
          <w:rFonts w:ascii="Cambria" w:eastAsia="Times New Roman" w:hAnsi="Cambria" w:cs="Times New Roman"/>
          <w:sz w:val="24"/>
          <w:szCs w:val="24"/>
        </w:rPr>
        <w:t>products with sustainability association</w:t>
      </w:r>
      <w:r w:rsidR="00072398" w:rsidRPr="00530906">
        <w:rPr>
          <w:rFonts w:ascii="Cambria" w:hAnsi="Cambria" w:cstheme="minorHAnsi"/>
          <w:sz w:val="24"/>
          <w:szCs w:val="24"/>
        </w:rPr>
        <w:t xml:space="preserve"> </w:t>
      </w:r>
      <w:r w:rsidRPr="00530906">
        <w:rPr>
          <w:rFonts w:ascii="Cambria" w:hAnsi="Cambria" w:cstheme="minorHAnsi"/>
          <w:sz w:val="24"/>
          <w:szCs w:val="24"/>
        </w:rPr>
        <w:t>is mostly emotional in nature, but consumers do not see themselves adopting those because of social influence.</w:t>
      </w:r>
    </w:p>
    <w:p w14:paraId="74DC519D" w14:textId="5BBA5E88" w:rsidR="00D2452E" w:rsidRPr="00530906" w:rsidRDefault="00BF5530">
      <w:pPr>
        <w:pStyle w:val="NoSpacing"/>
        <w:spacing w:line="480" w:lineRule="auto"/>
        <w:jc w:val="both"/>
        <w:rPr>
          <w:rFonts w:ascii="Cambria" w:hAnsi="Cambria" w:cstheme="minorHAnsi"/>
          <w:sz w:val="24"/>
          <w:szCs w:val="24"/>
        </w:rPr>
      </w:pPr>
      <w:r>
        <w:rPr>
          <w:rFonts w:ascii="Cambria" w:hAnsi="Cambria" w:cstheme="minorHAnsi"/>
          <w:sz w:val="24"/>
          <w:szCs w:val="24"/>
        </w:rPr>
        <w:t>It is posited that, p</w:t>
      </w:r>
      <w:r w:rsidR="00D2452E" w:rsidRPr="00530906">
        <w:rPr>
          <w:rFonts w:ascii="Cambria" w:hAnsi="Cambria" w:cstheme="minorHAnsi"/>
          <w:sz w:val="24"/>
          <w:szCs w:val="24"/>
        </w:rPr>
        <w:t>ositive captions should generate greater SCV in other users/audience than negative captions, because positive sustainability</w:t>
      </w:r>
      <w:r w:rsidR="004179CD" w:rsidRPr="00530906">
        <w:rPr>
          <w:rFonts w:ascii="Cambria" w:hAnsi="Cambria" w:cstheme="minorHAnsi"/>
          <w:sz w:val="24"/>
          <w:szCs w:val="24"/>
        </w:rPr>
        <w:t>–</w:t>
      </w:r>
      <w:r w:rsidR="00D2452E" w:rsidRPr="00530906">
        <w:rPr>
          <w:rFonts w:ascii="Cambria" w:hAnsi="Cambria" w:cstheme="minorHAnsi"/>
          <w:sz w:val="24"/>
          <w:szCs w:val="24"/>
        </w:rPr>
        <w:t>related messages are more readily accepted than a negative one and initiate greater information processing which facilitate SCV. In turn, higher SCV should generate higher levels of PAD. This should motivate the users to engage more on social</w:t>
      </w:r>
      <w:r w:rsidR="004179CD" w:rsidRPr="00530906">
        <w:rPr>
          <w:rFonts w:ascii="Cambria" w:hAnsi="Cambria" w:cstheme="minorHAnsi"/>
          <w:sz w:val="24"/>
          <w:szCs w:val="24"/>
        </w:rPr>
        <w:t>–</w:t>
      </w:r>
      <w:r w:rsidR="00D2452E" w:rsidRPr="00530906">
        <w:rPr>
          <w:rFonts w:ascii="Cambria" w:hAnsi="Cambria" w:cstheme="minorHAnsi"/>
          <w:sz w:val="24"/>
          <w:szCs w:val="24"/>
        </w:rPr>
        <w:t>media. Furthermore, social</w:t>
      </w:r>
      <w:r w:rsidR="004179CD" w:rsidRPr="00530906">
        <w:rPr>
          <w:rFonts w:ascii="Cambria" w:hAnsi="Cambria" w:cstheme="minorHAnsi"/>
          <w:sz w:val="24"/>
          <w:szCs w:val="24"/>
        </w:rPr>
        <w:t>–</w:t>
      </w:r>
      <w:r w:rsidR="00D2452E" w:rsidRPr="00530906">
        <w:rPr>
          <w:rFonts w:ascii="Cambria" w:hAnsi="Cambria" w:cstheme="minorHAnsi"/>
          <w:sz w:val="24"/>
          <w:szCs w:val="24"/>
        </w:rPr>
        <w:t>media</w:t>
      </w:r>
      <w:r w:rsidR="004179CD" w:rsidRPr="00530906">
        <w:rPr>
          <w:rFonts w:ascii="Cambria" w:hAnsi="Cambria" w:cstheme="minorHAnsi"/>
          <w:sz w:val="24"/>
          <w:szCs w:val="24"/>
        </w:rPr>
        <w:t>–</w:t>
      </w:r>
      <w:r w:rsidR="00D2452E" w:rsidRPr="00530906">
        <w:rPr>
          <w:rFonts w:ascii="Cambria" w:hAnsi="Cambria" w:cstheme="minorHAnsi"/>
          <w:sz w:val="24"/>
          <w:szCs w:val="24"/>
        </w:rPr>
        <w:t>engagement should lead to greater purchase intentions and other sustainable</w:t>
      </w:r>
      <w:r w:rsidR="004179CD" w:rsidRPr="00530906">
        <w:rPr>
          <w:rFonts w:ascii="Cambria" w:hAnsi="Cambria" w:cstheme="minorHAnsi"/>
          <w:sz w:val="24"/>
          <w:szCs w:val="24"/>
        </w:rPr>
        <w:t>–</w:t>
      </w:r>
      <w:r w:rsidR="00D2452E" w:rsidRPr="00530906">
        <w:rPr>
          <w:rFonts w:ascii="Cambria" w:hAnsi="Cambria" w:cstheme="minorHAnsi"/>
          <w:sz w:val="24"/>
          <w:szCs w:val="24"/>
        </w:rPr>
        <w:t xml:space="preserve">behaviour through normative and informational influence. </w:t>
      </w:r>
    </w:p>
    <w:p w14:paraId="4333F057" w14:textId="4EA296E6" w:rsidR="00142E7B" w:rsidRPr="00530906" w:rsidRDefault="00D2452E">
      <w:pPr>
        <w:spacing w:line="480" w:lineRule="auto"/>
        <w:jc w:val="both"/>
        <w:rPr>
          <w:rFonts w:ascii="Cambria" w:hAnsi="Cambria" w:cstheme="minorHAnsi"/>
          <w:sz w:val="24"/>
          <w:szCs w:val="24"/>
        </w:rPr>
      </w:pPr>
      <w:r w:rsidRPr="00530906">
        <w:rPr>
          <w:rFonts w:ascii="Cambria" w:hAnsi="Cambria" w:cs="Times New Roman"/>
          <w:sz w:val="24"/>
          <w:szCs w:val="24"/>
        </w:rPr>
        <w:t>2</w:t>
      </w:r>
      <w:r w:rsidR="009365FF" w:rsidRPr="00530906">
        <w:rPr>
          <w:rFonts w:ascii="Cambria" w:hAnsi="Cambria" w:cs="Times New Roman"/>
          <w:sz w:val="24"/>
          <w:szCs w:val="24"/>
        </w:rPr>
        <w:t xml:space="preserve"> </w:t>
      </w:r>
      <w:r w:rsidRPr="00530906">
        <w:rPr>
          <w:rFonts w:ascii="Cambria" w:hAnsi="Cambria" w:cs="Times New Roman"/>
          <w:sz w:val="24"/>
          <w:szCs w:val="24"/>
        </w:rPr>
        <w:t>(positive vs negative caption) x 2</w:t>
      </w:r>
      <w:r w:rsidR="009365FF" w:rsidRPr="00530906">
        <w:rPr>
          <w:rFonts w:ascii="Cambria" w:hAnsi="Cambria" w:cs="Times New Roman"/>
          <w:sz w:val="24"/>
          <w:szCs w:val="24"/>
        </w:rPr>
        <w:t xml:space="preserve"> </w:t>
      </w:r>
      <w:r w:rsidRPr="00530906">
        <w:rPr>
          <w:rFonts w:ascii="Cambria" w:hAnsi="Cambria" w:cs="Times New Roman"/>
          <w:sz w:val="24"/>
          <w:szCs w:val="24"/>
        </w:rPr>
        <w:t>(high vs low source expertise) between</w:t>
      </w:r>
      <w:r w:rsidR="004179CD" w:rsidRPr="00530906">
        <w:rPr>
          <w:rFonts w:ascii="Cambria" w:hAnsi="Cambria" w:cs="Times New Roman"/>
          <w:sz w:val="24"/>
          <w:szCs w:val="24"/>
        </w:rPr>
        <w:t>–</w:t>
      </w:r>
      <w:r w:rsidRPr="00530906">
        <w:rPr>
          <w:rFonts w:ascii="Cambria" w:hAnsi="Cambria" w:cs="Times New Roman"/>
          <w:sz w:val="24"/>
          <w:szCs w:val="24"/>
        </w:rPr>
        <w:t xml:space="preserve">subject experiment with 279 respondents reveals that, </w:t>
      </w:r>
      <w:r w:rsidRPr="00530906">
        <w:rPr>
          <w:rFonts w:ascii="Cambria" w:hAnsi="Cambria"/>
          <w:color w:val="000000"/>
          <w:sz w:val="24"/>
          <w:szCs w:val="24"/>
        </w:rPr>
        <w:t xml:space="preserve">positive captions induce greater level of SCV </w:t>
      </w:r>
      <w:r w:rsidRPr="00530906">
        <w:rPr>
          <w:rFonts w:ascii="Cambria" w:hAnsi="Cambria" w:cs="Times New Roman"/>
          <w:sz w:val="24"/>
          <w:szCs w:val="24"/>
        </w:rPr>
        <w:t>and PAD than negative captions, which lead to higher social</w:t>
      </w:r>
      <w:r w:rsidR="004179CD" w:rsidRPr="00530906">
        <w:rPr>
          <w:rFonts w:ascii="Cambria" w:hAnsi="Cambria" w:cs="Times New Roman"/>
          <w:sz w:val="24"/>
          <w:szCs w:val="24"/>
        </w:rPr>
        <w:t>–</w:t>
      </w:r>
      <w:r w:rsidRPr="00530906">
        <w:rPr>
          <w:rFonts w:ascii="Cambria" w:hAnsi="Cambria" w:cs="Times New Roman"/>
          <w:sz w:val="24"/>
          <w:szCs w:val="24"/>
        </w:rPr>
        <w:t>media</w:t>
      </w:r>
      <w:r w:rsidR="004179CD" w:rsidRPr="00530906">
        <w:rPr>
          <w:rFonts w:ascii="Cambria" w:hAnsi="Cambria" w:cs="Times New Roman"/>
          <w:sz w:val="24"/>
          <w:szCs w:val="24"/>
        </w:rPr>
        <w:t>–</w:t>
      </w:r>
      <w:r w:rsidRPr="00530906">
        <w:rPr>
          <w:rFonts w:ascii="Cambria" w:hAnsi="Cambria" w:cs="Times New Roman"/>
          <w:sz w:val="24"/>
          <w:szCs w:val="24"/>
        </w:rPr>
        <w:t>engagement with the sustainability</w:t>
      </w:r>
      <w:r w:rsidR="004179CD" w:rsidRPr="00530906">
        <w:rPr>
          <w:rFonts w:ascii="Cambria" w:hAnsi="Cambria" w:cs="Times New Roman"/>
          <w:sz w:val="24"/>
          <w:szCs w:val="24"/>
        </w:rPr>
        <w:t>–</w:t>
      </w:r>
      <w:r w:rsidRPr="00530906">
        <w:rPr>
          <w:rFonts w:ascii="Cambria" w:hAnsi="Cambria" w:cs="Times New Roman"/>
          <w:sz w:val="24"/>
          <w:szCs w:val="24"/>
        </w:rPr>
        <w:t>ad, purchase intentions and further sustainable</w:t>
      </w:r>
      <w:r w:rsidR="004179CD" w:rsidRPr="00530906">
        <w:rPr>
          <w:rFonts w:ascii="Cambria" w:hAnsi="Cambria" w:cs="Times New Roman"/>
          <w:sz w:val="24"/>
          <w:szCs w:val="24"/>
        </w:rPr>
        <w:t>–</w:t>
      </w:r>
      <w:r w:rsidRPr="00530906">
        <w:rPr>
          <w:rFonts w:ascii="Cambria" w:hAnsi="Cambria" w:cs="Times New Roman"/>
          <w:sz w:val="24"/>
          <w:szCs w:val="24"/>
        </w:rPr>
        <w:t xml:space="preserve">behavioural </w:t>
      </w:r>
      <w:r w:rsidRPr="00530906">
        <w:rPr>
          <w:rFonts w:ascii="Cambria" w:hAnsi="Cambria" w:cs="Times New Roman"/>
          <w:sz w:val="24"/>
          <w:szCs w:val="24"/>
        </w:rPr>
        <w:lastRenderedPageBreak/>
        <w:t>intentions. Significant interaction</w:t>
      </w:r>
      <w:r w:rsidR="004179CD" w:rsidRPr="00530906">
        <w:rPr>
          <w:rFonts w:ascii="Cambria" w:hAnsi="Cambria" w:cs="Times New Roman"/>
          <w:sz w:val="24"/>
          <w:szCs w:val="24"/>
        </w:rPr>
        <w:t>–</w:t>
      </w:r>
      <w:r w:rsidRPr="00530906">
        <w:rPr>
          <w:rFonts w:ascii="Cambria" w:hAnsi="Cambria" w:cs="Times New Roman"/>
          <w:sz w:val="24"/>
          <w:szCs w:val="24"/>
        </w:rPr>
        <w:t>effect was observed between the types of captions and level of source</w:t>
      </w:r>
      <w:r w:rsidR="004179CD" w:rsidRPr="00530906">
        <w:rPr>
          <w:rFonts w:ascii="Cambria" w:hAnsi="Cambria" w:cs="Times New Roman"/>
          <w:sz w:val="24"/>
          <w:szCs w:val="24"/>
        </w:rPr>
        <w:t>–</w:t>
      </w:r>
      <w:r w:rsidRPr="00530906">
        <w:rPr>
          <w:rFonts w:ascii="Cambria" w:hAnsi="Cambria" w:cs="Times New Roman"/>
          <w:sz w:val="24"/>
          <w:szCs w:val="24"/>
        </w:rPr>
        <w:t>expertise on social</w:t>
      </w:r>
      <w:r w:rsidR="004179CD" w:rsidRPr="00530906">
        <w:rPr>
          <w:rFonts w:ascii="Cambria" w:hAnsi="Cambria" w:cs="Times New Roman"/>
          <w:sz w:val="24"/>
          <w:szCs w:val="24"/>
        </w:rPr>
        <w:t>–</w:t>
      </w:r>
      <w:r w:rsidRPr="00530906">
        <w:rPr>
          <w:rFonts w:ascii="Cambria" w:hAnsi="Cambria" w:cs="Times New Roman"/>
          <w:sz w:val="24"/>
          <w:szCs w:val="24"/>
        </w:rPr>
        <w:t>media</w:t>
      </w:r>
      <w:r w:rsidR="004179CD" w:rsidRPr="00530906">
        <w:rPr>
          <w:rFonts w:ascii="Cambria" w:hAnsi="Cambria" w:cs="Times New Roman"/>
          <w:sz w:val="24"/>
          <w:szCs w:val="24"/>
        </w:rPr>
        <w:t>–</w:t>
      </w:r>
      <w:r w:rsidRPr="00530906">
        <w:rPr>
          <w:rFonts w:ascii="Cambria" w:hAnsi="Cambria" w:cs="Times New Roman"/>
          <w:sz w:val="24"/>
          <w:szCs w:val="24"/>
        </w:rPr>
        <w:t>engagement</w:t>
      </w:r>
      <w:r w:rsidR="004179CD" w:rsidRPr="00530906">
        <w:rPr>
          <w:rFonts w:ascii="Cambria" w:hAnsi="Cambria" w:cs="Times New Roman"/>
          <w:sz w:val="24"/>
          <w:szCs w:val="24"/>
        </w:rPr>
        <w:t>–</w:t>
      </w:r>
      <w:r w:rsidRPr="00530906">
        <w:rPr>
          <w:rFonts w:ascii="Cambria" w:hAnsi="Cambria" w:cs="Times New Roman"/>
          <w:sz w:val="24"/>
          <w:szCs w:val="24"/>
        </w:rPr>
        <w:t xml:space="preserve"> if the source</w:t>
      </w:r>
      <w:r w:rsidR="004179CD" w:rsidRPr="00530906">
        <w:rPr>
          <w:rFonts w:ascii="Cambria" w:hAnsi="Cambria" w:cs="Times New Roman"/>
          <w:sz w:val="24"/>
          <w:szCs w:val="24"/>
        </w:rPr>
        <w:t>–</w:t>
      </w:r>
      <w:r w:rsidRPr="00530906">
        <w:rPr>
          <w:rFonts w:ascii="Cambria" w:hAnsi="Cambria" w:cs="Times New Roman"/>
          <w:sz w:val="24"/>
          <w:szCs w:val="24"/>
        </w:rPr>
        <w:t>expertise is low, the users will engage more for positive caption than the negative caption, but if the souse</w:t>
      </w:r>
      <w:r w:rsidR="004179CD" w:rsidRPr="00530906">
        <w:rPr>
          <w:rFonts w:ascii="Cambria" w:hAnsi="Cambria" w:cs="Times New Roman"/>
          <w:sz w:val="24"/>
          <w:szCs w:val="24"/>
        </w:rPr>
        <w:t>–</w:t>
      </w:r>
      <w:r w:rsidRPr="00530906">
        <w:rPr>
          <w:rFonts w:ascii="Cambria" w:hAnsi="Cambria" w:cs="Times New Roman"/>
          <w:sz w:val="24"/>
          <w:szCs w:val="24"/>
        </w:rPr>
        <w:t xml:space="preserve">expertise is high, people will engage more for negative caption than positive caption. This thesis contributes to </w:t>
      </w:r>
      <w:r w:rsidRPr="00530906">
        <w:rPr>
          <w:rFonts w:ascii="Cambria" w:hAnsi="Cambria" w:cstheme="minorHAnsi"/>
          <w:sz w:val="24"/>
          <w:szCs w:val="24"/>
        </w:rPr>
        <w:t>both 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engagement and sustainability</w:t>
      </w:r>
      <w:r w:rsidR="004179CD" w:rsidRPr="00530906">
        <w:rPr>
          <w:rFonts w:ascii="Cambria" w:hAnsi="Cambria" w:cstheme="minorHAnsi"/>
          <w:sz w:val="24"/>
          <w:szCs w:val="24"/>
        </w:rPr>
        <w:t>–</w:t>
      </w:r>
      <w:r w:rsidRPr="00530906">
        <w:rPr>
          <w:rFonts w:ascii="Cambria" w:hAnsi="Cambria" w:cstheme="minorHAnsi"/>
          <w:sz w:val="24"/>
          <w:szCs w:val="24"/>
        </w:rPr>
        <w:t>advertising streams of literature by examining the role of consumers opinions on 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engagement and the role of 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engagement on sustainable</w:t>
      </w:r>
      <w:r w:rsidR="004179CD" w:rsidRPr="00530906">
        <w:rPr>
          <w:rFonts w:ascii="Cambria" w:hAnsi="Cambria" w:cstheme="minorHAnsi"/>
          <w:sz w:val="24"/>
          <w:szCs w:val="24"/>
        </w:rPr>
        <w:t>–</w:t>
      </w:r>
      <w:r w:rsidRPr="00530906">
        <w:rPr>
          <w:rFonts w:ascii="Cambria" w:hAnsi="Cambria" w:cstheme="minorHAnsi"/>
          <w:sz w:val="24"/>
          <w:szCs w:val="24"/>
        </w:rPr>
        <w:t xml:space="preserve">behaviour intention. This will help managers to understand focus of their attention while promoting </w:t>
      </w:r>
      <w:r w:rsidR="00072398" w:rsidRPr="00530906">
        <w:rPr>
          <w:rFonts w:ascii="Cambria" w:eastAsia="Times New Roman" w:hAnsi="Cambria" w:cs="Times New Roman"/>
          <w:sz w:val="24"/>
          <w:szCs w:val="24"/>
        </w:rPr>
        <w:t>products with sustainability association</w:t>
      </w:r>
      <w:r w:rsidRPr="00530906">
        <w:rPr>
          <w:rFonts w:ascii="Cambria" w:hAnsi="Cambria" w:cstheme="minorHAnsi"/>
          <w:sz w:val="24"/>
          <w:szCs w:val="24"/>
        </w:rPr>
        <w:t>. Future studies may examine users’</w:t>
      </w:r>
      <w:r w:rsidR="004179CD" w:rsidRPr="00530906">
        <w:rPr>
          <w:rFonts w:ascii="Cambria" w:hAnsi="Cambria" w:cstheme="minorHAnsi"/>
          <w:sz w:val="24"/>
          <w:szCs w:val="24"/>
        </w:rPr>
        <w:t>–</w:t>
      </w:r>
      <w:r w:rsidRPr="00530906">
        <w:rPr>
          <w:rFonts w:ascii="Cambria" w:hAnsi="Cambria" w:cstheme="minorHAnsi"/>
          <w:sz w:val="24"/>
          <w:szCs w:val="24"/>
        </w:rPr>
        <w:t>reciprocity in social</w:t>
      </w:r>
      <w:r w:rsidR="004179CD" w:rsidRPr="00530906">
        <w:rPr>
          <w:rFonts w:ascii="Cambria" w:hAnsi="Cambria" w:cstheme="minorHAnsi"/>
          <w:sz w:val="24"/>
          <w:szCs w:val="24"/>
        </w:rPr>
        <w:t>–</w:t>
      </w:r>
      <w:r w:rsidRPr="00530906">
        <w:rPr>
          <w:rFonts w:ascii="Cambria" w:hAnsi="Cambria" w:cstheme="minorHAnsi"/>
          <w:sz w:val="24"/>
          <w:szCs w:val="24"/>
        </w:rPr>
        <w:t>media</w:t>
      </w:r>
      <w:r w:rsidR="004179CD" w:rsidRPr="00530906">
        <w:rPr>
          <w:rFonts w:ascii="Cambria" w:hAnsi="Cambria" w:cstheme="minorHAnsi"/>
          <w:sz w:val="24"/>
          <w:szCs w:val="24"/>
        </w:rPr>
        <w:t>–</w:t>
      </w:r>
      <w:r w:rsidRPr="00530906">
        <w:rPr>
          <w:rFonts w:ascii="Cambria" w:hAnsi="Cambria" w:cstheme="minorHAnsi"/>
          <w:sz w:val="24"/>
          <w:szCs w:val="24"/>
        </w:rPr>
        <w:t>platforms and social</w:t>
      </w:r>
      <w:r w:rsidR="004179CD" w:rsidRPr="00530906">
        <w:rPr>
          <w:rFonts w:ascii="Cambria" w:hAnsi="Cambria" w:cstheme="minorHAnsi"/>
          <w:sz w:val="24"/>
          <w:szCs w:val="24"/>
        </w:rPr>
        <w:t>–</w:t>
      </w:r>
      <w:r w:rsidRPr="00530906">
        <w:rPr>
          <w:rFonts w:ascii="Cambria" w:hAnsi="Cambria" w:cstheme="minorHAnsi"/>
          <w:sz w:val="24"/>
          <w:szCs w:val="24"/>
        </w:rPr>
        <w:t>acceptance of sustainable</w:t>
      </w:r>
      <w:r w:rsidR="004179CD" w:rsidRPr="00530906">
        <w:rPr>
          <w:rFonts w:ascii="Cambria" w:hAnsi="Cambria" w:cstheme="minorHAnsi"/>
          <w:sz w:val="24"/>
          <w:szCs w:val="24"/>
        </w:rPr>
        <w:t>–</w:t>
      </w:r>
      <w:r w:rsidRPr="00530906">
        <w:rPr>
          <w:rFonts w:ascii="Cambria" w:hAnsi="Cambria" w:cstheme="minorHAnsi"/>
          <w:sz w:val="24"/>
          <w:szCs w:val="24"/>
        </w:rPr>
        <w:t>behaviours.</w:t>
      </w:r>
    </w:p>
    <w:p w14:paraId="01F3F0E2" w14:textId="77777777" w:rsidR="00315006" w:rsidRPr="00530906" w:rsidRDefault="00142E7B">
      <w:pPr>
        <w:spacing w:line="480" w:lineRule="auto"/>
        <w:jc w:val="both"/>
        <w:rPr>
          <w:rFonts w:ascii="Cambria" w:hAnsi="Cambria" w:cstheme="minorHAnsi"/>
          <w:sz w:val="24"/>
          <w:szCs w:val="24"/>
        </w:rPr>
      </w:pPr>
      <w:r w:rsidRPr="00530906">
        <w:rPr>
          <w:rFonts w:ascii="Cambria" w:hAnsi="Cambria" w:cstheme="minorHAnsi"/>
          <w:sz w:val="24"/>
          <w:szCs w:val="24"/>
        </w:rPr>
        <w:br w:type="page"/>
      </w:r>
    </w:p>
    <w:p w14:paraId="5002E36B" w14:textId="77777777" w:rsidR="00FB0762" w:rsidRPr="00530906" w:rsidRDefault="00FB0762">
      <w:pPr>
        <w:spacing w:line="480" w:lineRule="auto"/>
        <w:jc w:val="both"/>
        <w:rPr>
          <w:rFonts w:ascii="Cambria" w:hAnsi="Cambria" w:cs="Times New Roman"/>
          <w:b/>
          <w:bCs/>
          <w:sz w:val="32"/>
          <w:szCs w:val="32"/>
        </w:rPr>
      </w:pPr>
    </w:p>
    <w:p w14:paraId="0DEDF9BA" w14:textId="77777777" w:rsidR="00FB0762" w:rsidRPr="00530906" w:rsidRDefault="00FB0762">
      <w:pPr>
        <w:spacing w:line="480" w:lineRule="auto"/>
        <w:jc w:val="both"/>
        <w:rPr>
          <w:rFonts w:ascii="Cambria" w:hAnsi="Cambria" w:cs="Times New Roman"/>
          <w:b/>
          <w:bCs/>
          <w:sz w:val="32"/>
          <w:szCs w:val="32"/>
        </w:rPr>
      </w:pPr>
    </w:p>
    <w:p w14:paraId="64BED7E0" w14:textId="77777777" w:rsidR="00FB0762" w:rsidRPr="00530906" w:rsidRDefault="00FB0762">
      <w:pPr>
        <w:spacing w:line="480" w:lineRule="auto"/>
        <w:jc w:val="both"/>
        <w:rPr>
          <w:rFonts w:ascii="Cambria" w:hAnsi="Cambria" w:cs="Times New Roman"/>
          <w:b/>
          <w:bCs/>
          <w:sz w:val="32"/>
          <w:szCs w:val="32"/>
        </w:rPr>
      </w:pPr>
    </w:p>
    <w:p w14:paraId="4B1187DA" w14:textId="77777777" w:rsidR="00FB0762" w:rsidRPr="00530906" w:rsidRDefault="00FB0762">
      <w:pPr>
        <w:spacing w:line="480" w:lineRule="auto"/>
        <w:jc w:val="both"/>
        <w:rPr>
          <w:rFonts w:ascii="Cambria" w:hAnsi="Cambria" w:cs="Times New Roman"/>
          <w:b/>
          <w:bCs/>
          <w:sz w:val="32"/>
          <w:szCs w:val="32"/>
        </w:rPr>
      </w:pPr>
    </w:p>
    <w:p w14:paraId="587E2706" w14:textId="77777777" w:rsidR="00FB0762" w:rsidRPr="00530906" w:rsidRDefault="00FB0762">
      <w:pPr>
        <w:spacing w:line="480" w:lineRule="auto"/>
        <w:jc w:val="both"/>
        <w:rPr>
          <w:rFonts w:ascii="Cambria" w:hAnsi="Cambria" w:cs="Times New Roman"/>
          <w:b/>
          <w:bCs/>
          <w:sz w:val="32"/>
          <w:szCs w:val="32"/>
        </w:rPr>
      </w:pPr>
    </w:p>
    <w:p w14:paraId="066CB332" w14:textId="7A959B92" w:rsidR="00315006" w:rsidRPr="00530906" w:rsidRDefault="00315006">
      <w:pPr>
        <w:spacing w:line="480" w:lineRule="auto"/>
        <w:jc w:val="both"/>
        <w:rPr>
          <w:rFonts w:ascii="Cambria" w:hAnsi="Cambria" w:cs="Times New Roman"/>
          <w:b/>
          <w:bCs/>
          <w:sz w:val="32"/>
          <w:szCs w:val="32"/>
        </w:rPr>
      </w:pPr>
      <w:r w:rsidRPr="00530906">
        <w:rPr>
          <w:rFonts w:ascii="Cambria" w:hAnsi="Cambria" w:cs="Times New Roman"/>
          <w:b/>
          <w:bCs/>
          <w:sz w:val="32"/>
          <w:szCs w:val="32"/>
        </w:rPr>
        <w:t>Dedication</w:t>
      </w:r>
    </w:p>
    <w:p w14:paraId="477EEC39" w14:textId="13233546" w:rsidR="00142E7B" w:rsidRPr="00530906" w:rsidRDefault="00315006" w:rsidP="008756B1">
      <w:pPr>
        <w:spacing w:line="259" w:lineRule="auto"/>
        <w:jc w:val="both"/>
        <w:rPr>
          <w:rFonts w:ascii="Cambria" w:hAnsi="Cambria" w:cstheme="minorHAnsi"/>
          <w:sz w:val="24"/>
          <w:szCs w:val="24"/>
        </w:rPr>
      </w:pPr>
      <w:r w:rsidRPr="00530906">
        <w:rPr>
          <w:rFonts w:ascii="Cambria" w:hAnsi="Cambria" w:cstheme="minorHAnsi"/>
          <w:i/>
          <w:iCs/>
          <w:sz w:val="24"/>
          <w:szCs w:val="24"/>
        </w:rPr>
        <w:t>To my uncle AFM Manirul Islam, whose unthinkable and unconditional support was my driving force from the day I flew to UK</w:t>
      </w:r>
    </w:p>
    <w:p w14:paraId="1EC93D66" w14:textId="77777777" w:rsidR="00FB0762" w:rsidRPr="00530906" w:rsidRDefault="00FB0762" w:rsidP="008756B1">
      <w:pPr>
        <w:spacing w:line="259" w:lineRule="auto"/>
        <w:jc w:val="both"/>
        <w:rPr>
          <w:rFonts w:ascii="Cambria" w:hAnsi="Cambria" w:cs="Times New Roman"/>
          <w:b/>
          <w:bCs/>
          <w:sz w:val="32"/>
          <w:szCs w:val="32"/>
        </w:rPr>
      </w:pPr>
      <w:r w:rsidRPr="00530906">
        <w:rPr>
          <w:rFonts w:ascii="Cambria" w:hAnsi="Cambria" w:cs="Times New Roman"/>
          <w:b/>
          <w:bCs/>
          <w:sz w:val="32"/>
          <w:szCs w:val="32"/>
        </w:rPr>
        <w:br w:type="page"/>
      </w:r>
    </w:p>
    <w:p w14:paraId="02CC7B87" w14:textId="6B9A700B" w:rsidR="005A20C0" w:rsidRPr="00530906" w:rsidRDefault="00142E7B">
      <w:pPr>
        <w:spacing w:line="480" w:lineRule="auto"/>
        <w:jc w:val="both"/>
        <w:rPr>
          <w:rFonts w:ascii="Cambria" w:hAnsi="Cambria" w:cs="Times New Roman"/>
          <w:b/>
          <w:bCs/>
          <w:sz w:val="32"/>
          <w:szCs w:val="32"/>
        </w:rPr>
      </w:pPr>
      <w:r w:rsidRPr="00530906">
        <w:rPr>
          <w:rFonts w:ascii="Cambria" w:hAnsi="Cambria" w:cs="Times New Roman"/>
          <w:b/>
          <w:bCs/>
          <w:sz w:val="32"/>
          <w:szCs w:val="32"/>
        </w:rPr>
        <w:lastRenderedPageBreak/>
        <w:t xml:space="preserve">Acknowledgement </w:t>
      </w:r>
    </w:p>
    <w:p w14:paraId="1493387F" w14:textId="55263E08" w:rsidR="00142E7B" w:rsidRPr="00530906" w:rsidRDefault="00142E7B">
      <w:pPr>
        <w:spacing w:line="480" w:lineRule="auto"/>
        <w:jc w:val="both"/>
        <w:rPr>
          <w:rFonts w:ascii="Cambria" w:hAnsi="Cambria" w:cstheme="minorHAnsi"/>
          <w:sz w:val="24"/>
          <w:szCs w:val="24"/>
        </w:rPr>
      </w:pPr>
      <w:r w:rsidRPr="00530906">
        <w:rPr>
          <w:rFonts w:ascii="Cambria" w:hAnsi="Cambria" w:cstheme="minorHAnsi"/>
          <w:sz w:val="24"/>
          <w:szCs w:val="24"/>
        </w:rPr>
        <w:t xml:space="preserve">This has not been an easy journey, </w:t>
      </w:r>
      <w:r w:rsidR="00D905F9" w:rsidRPr="00530906">
        <w:rPr>
          <w:rFonts w:ascii="Cambria" w:hAnsi="Cambria" w:cstheme="minorHAnsi"/>
          <w:sz w:val="24"/>
          <w:szCs w:val="24"/>
        </w:rPr>
        <w:t>especially</w:t>
      </w:r>
      <w:r w:rsidRPr="00530906">
        <w:rPr>
          <w:rFonts w:ascii="Cambria" w:hAnsi="Cambria" w:cstheme="minorHAnsi"/>
          <w:sz w:val="24"/>
          <w:szCs w:val="24"/>
        </w:rPr>
        <w:t xml:space="preserve"> for someone like me, who is self-funded and without any support system. Yet, by</w:t>
      </w:r>
      <w:r w:rsidR="00F842D6" w:rsidRPr="00530906">
        <w:rPr>
          <w:rFonts w:ascii="Cambria" w:hAnsi="Cambria" w:cstheme="minorHAnsi"/>
          <w:sz w:val="24"/>
          <w:szCs w:val="24"/>
        </w:rPr>
        <w:t xml:space="preserve"> the</w:t>
      </w:r>
      <w:r w:rsidRPr="00530906">
        <w:rPr>
          <w:rFonts w:ascii="Cambria" w:hAnsi="Cambria" w:cstheme="minorHAnsi"/>
          <w:sz w:val="24"/>
          <w:szCs w:val="24"/>
        </w:rPr>
        <w:t xml:space="preserve"> grace of Almighty, I have gained the most wonderful support system anyone can ever dream of. </w:t>
      </w:r>
      <w:r w:rsidR="00332B80" w:rsidRPr="00530906">
        <w:rPr>
          <w:rFonts w:ascii="Cambria" w:hAnsi="Cambria" w:cstheme="minorHAnsi"/>
          <w:sz w:val="24"/>
          <w:szCs w:val="24"/>
        </w:rPr>
        <w:t xml:space="preserve">In my 4 years of PhD programme, I have the opportunity to work with 4 supervisors. Each of them brought different blessings. Dr. Natalia Yannopoulou, who has been with me throughout the journey has backed me not only academically but also personally. Though I had a very limited time with Dr. Raffaele Filieri, yet he planted the confidence in me that, this is a good enough topic to work on. Dr. Danae Manika supported me when I </w:t>
      </w:r>
      <w:r w:rsidR="00F42104">
        <w:rPr>
          <w:rFonts w:ascii="Cambria" w:hAnsi="Cambria" w:cstheme="minorHAnsi"/>
          <w:sz w:val="24"/>
          <w:szCs w:val="24"/>
        </w:rPr>
        <w:t>was</w:t>
      </w:r>
      <w:r w:rsidR="00332B80" w:rsidRPr="00530906">
        <w:rPr>
          <w:rFonts w:ascii="Cambria" w:hAnsi="Cambria" w:cstheme="minorHAnsi"/>
          <w:sz w:val="24"/>
          <w:szCs w:val="24"/>
        </w:rPr>
        <w:t xml:space="preserve"> in the desperate need of guidance of a quantitative researcher. </w:t>
      </w:r>
      <w:r w:rsidR="00B04E48" w:rsidRPr="00530906">
        <w:rPr>
          <w:rFonts w:ascii="Cambria" w:hAnsi="Cambria" w:cstheme="minorHAnsi"/>
          <w:sz w:val="24"/>
          <w:szCs w:val="24"/>
        </w:rPr>
        <w:t>She helped me beyond my imagination by arranging</w:t>
      </w:r>
      <w:r w:rsidR="00F842D6" w:rsidRPr="00530906">
        <w:rPr>
          <w:rFonts w:ascii="Cambria" w:hAnsi="Cambria" w:cstheme="minorHAnsi"/>
          <w:sz w:val="24"/>
          <w:szCs w:val="24"/>
        </w:rPr>
        <w:t xml:space="preserve"> an</w:t>
      </w:r>
      <w:r w:rsidR="00B04E48" w:rsidRPr="00530906">
        <w:rPr>
          <w:rFonts w:ascii="Cambria" w:hAnsi="Cambria" w:cstheme="minorHAnsi"/>
          <w:sz w:val="24"/>
          <w:szCs w:val="24"/>
        </w:rPr>
        <w:t xml:space="preserve"> experimental lab</w:t>
      </w:r>
      <w:r w:rsidR="00D905F9" w:rsidRPr="00530906">
        <w:rPr>
          <w:rFonts w:ascii="Cambria" w:hAnsi="Cambria" w:cstheme="minorHAnsi"/>
          <w:sz w:val="24"/>
          <w:szCs w:val="24"/>
        </w:rPr>
        <w:t>. Otherwise, it</w:t>
      </w:r>
      <w:r w:rsidR="00B04E48" w:rsidRPr="00530906">
        <w:rPr>
          <w:rFonts w:ascii="Cambria" w:hAnsi="Cambria" w:cstheme="minorHAnsi"/>
          <w:sz w:val="24"/>
          <w:szCs w:val="24"/>
        </w:rPr>
        <w:t xml:space="preserve"> would have been really hard on my budget. Most importantly</w:t>
      </w:r>
      <w:r w:rsidR="00AF1EFB" w:rsidRPr="00530906">
        <w:rPr>
          <w:rFonts w:ascii="Cambria" w:hAnsi="Cambria" w:cstheme="minorHAnsi"/>
          <w:sz w:val="24"/>
          <w:szCs w:val="24"/>
        </w:rPr>
        <w:t>,</w:t>
      </w:r>
      <w:r w:rsidR="00B04E48" w:rsidRPr="00530906">
        <w:rPr>
          <w:rFonts w:ascii="Cambria" w:hAnsi="Cambria" w:cstheme="minorHAnsi"/>
          <w:sz w:val="24"/>
          <w:szCs w:val="24"/>
        </w:rPr>
        <w:t xml:space="preserve"> she has continued helping me even after she left Newcastle University. Dr. Eleftherios Alamanos agreed to join my supervisory team at my 4</w:t>
      </w:r>
      <w:r w:rsidR="00B04E48" w:rsidRPr="00530906">
        <w:rPr>
          <w:rFonts w:ascii="Cambria" w:hAnsi="Cambria" w:cstheme="minorHAnsi"/>
          <w:sz w:val="24"/>
          <w:szCs w:val="24"/>
          <w:vertAlign w:val="superscript"/>
        </w:rPr>
        <w:t>th</w:t>
      </w:r>
      <w:r w:rsidR="00B04E48" w:rsidRPr="00530906">
        <w:rPr>
          <w:rFonts w:ascii="Cambria" w:hAnsi="Cambria" w:cstheme="minorHAnsi"/>
          <w:sz w:val="24"/>
          <w:szCs w:val="24"/>
        </w:rPr>
        <w:t xml:space="preserve"> year, knowing that h</w:t>
      </w:r>
      <w:r w:rsidR="0021223F" w:rsidRPr="00530906">
        <w:rPr>
          <w:rFonts w:ascii="Cambria" w:hAnsi="Cambria" w:cstheme="minorHAnsi"/>
          <w:sz w:val="24"/>
          <w:szCs w:val="24"/>
        </w:rPr>
        <w:t>ow</w:t>
      </w:r>
      <w:r w:rsidR="00B04E48" w:rsidRPr="00530906">
        <w:rPr>
          <w:rFonts w:ascii="Cambria" w:hAnsi="Cambria" w:cstheme="minorHAnsi"/>
          <w:sz w:val="24"/>
          <w:szCs w:val="24"/>
        </w:rPr>
        <w:t xml:space="preserve"> inconvenient it will be for him to supervise, since he </w:t>
      </w:r>
      <w:r w:rsidR="00F842D6" w:rsidRPr="00530906">
        <w:rPr>
          <w:rFonts w:ascii="Cambria" w:hAnsi="Cambria" w:cstheme="minorHAnsi"/>
          <w:sz w:val="24"/>
          <w:szCs w:val="24"/>
        </w:rPr>
        <w:t xml:space="preserve">has to cover three </w:t>
      </w:r>
      <w:r w:rsidR="00AF1EFB" w:rsidRPr="00530906">
        <w:rPr>
          <w:rFonts w:ascii="Cambria" w:hAnsi="Cambria" w:cstheme="minorHAnsi"/>
          <w:sz w:val="24"/>
          <w:szCs w:val="24"/>
        </w:rPr>
        <w:t>years’ worth</w:t>
      </w:r>
      <w:r w:rsidR="00F842D6" w:rsidRPr="00530906">
        <w:rPr>
          <w:rFonts w:ascii="Cambria" w:hAnsi="Cambria" w:cstheme="minorHAnsi"/>
          <w:sz w:val="24"/>
          <w:szCs w:val="24"/>
        </w:rPr>
        <w:t xml:space="preserve"> of journey </w:t>
      </w:r>
      <w:r w:rsidR="00B3338D" w:rsidRPr="00530906">
        <w:rPr>
          <w:rFonts w:ascii="Cambria" w:hAnsi="Cambria" w:cstheme="minorHAnsi"/>
          <w:sz w:val="24"/>
          <w:szCs w:val="24"/>
        </w:rPr>
        <w:t>of</w:t>
      </w:r>
      <w:r w:rsidR="00F842D6" w:rsidRPr="00530906">
        <w:rPr>
          <w:rFonts w:ascii="Cambria" w:hAnsi="Cambria" w:cstheme="minorHAnsi"/>
          <w:sz w:val="24"/>
          <w:szCs w:val="24"/>
        </w:rPr>
        <w:t xml:space="preserve"> develop</w:t>
      </w:r>
      <w:r w:rsidR="00B3338D" w:rsidRPr="00530906">
        <w:rPr>
          <w:rFonts w:ascii="Cambria" w:hAnsi="Cambria" w:cstheme="minorHAnsi"/>
          <w:sz w:val="24"/>
          <w:szCs w:val="24"/>
        </w:rPr>
        <w:t>ing</w:t>
      </w:r>
      <w:r w:rsidR="00F842D6" w:rsidRPr="00530906">
        <w:rPr>
          <w:rFonts w:ascii="Cambria" w:hAnsi="Cambria" w:cstheme="minorHAnsi"/>
          <w:sz w:val="24"/>
          <w:szCs w:val="24"/>
        </w:rPr>
        <w:t xml:space="preserve"> a conceptual framework in one year. </w:t>
      </w:r>
      <w:r w:rsidR="00B04E48" w:rsidRPr="00530906">
        <w:rPr>
          <w:rFonts w:ascii="Cambria" w:hAnsi="Cambria" w:cstheme="minorHAnsi"/>
          <w:sz w:val="24"/>
          <w:szCs w:val="24"/>
        </w:rPr>
        <w:t xml:space="preserve">I </w:t>
      </w:r>
      <w:r w:rsidR="00167605" w:rsidRPr="00530906">
        <w:rPr>
          <w:rFonts w:ascii="Cambria" w:hAnsi="Cambria" w:cstheme="minorHAnsi"/>
          <w:sz w:val="24"/>
          <w:szCs w:val="24"/>
        </w:rPr>
        <w:t>will be</w:t>
      </w:r>
      <w:r w:rsidR="00B04E48" w:rsidRPr="00530906">
        <w:rPr>
          <w:rFonts w:ascii="Cambria" w:hAnsi="Cambria" w:cstheme="minorHAnsi"/>
          <w:sz w:val="24"/>
          <w:szCs w:val="24"/>
        </w:rPr>
        <w:t xml:space="preserve"> </w:t>
      </w:r>
      <w:r w:rsidR="00167605" w:rsidRPr="00530906">
        <w:rPr>
          <w:rFonts w:ascii="Cambria" w:hAnsi="Cambria" w:cstheme="minorHAnsi"/>
          <w:sz w:val="24"/>
          <w:szCs w:val="24"/>
        </w:rPr>
        <w:t>ever</w:t>
      </w:r>
      <w:r w:rsidR="00B04E48" w:rsidRPr="00530906">
        <w:rPr>
          <w:rFonts w:ascii="Cambria" w:hAnsi="Cambria" w:cstheme="minorHAnsi"/>
          <w:sz w:val="24"/>
          <w:szCs w:val="24"/>
        </w:rPr>
        <w:t xml:space="preserve"> grateful to each and </w:t>
      </w:r>
      <w:r w:rsidR="00167605" w:rsidRPr="00530906">
        <w:rPr>
          <w:rFonts w:ascii="Cambria" w:hAnsi="Cambria" w:cstheme="minorHAnsi"/>
          <w:sz w:val="24"/>
          <w:szCs w:val="24"/>
        </w:rPr>
        <w:t>every one</w:t>
      </w:r>
      <w:r w:rsidR="00B04E48" w:rsidRPr="00530906">
        <w:rPr>
          <w:rFonts w:ascii="Cambria" w:hAnsi="Cambria" w:cstheme="minorHAnsi"/>
          <w:sz w:val="24"/>
          <w:szCs w:val="24"/>
        </w:rPr>
        <w:t xml:space="preserve"> of the</w:t>
      </w:r>
      <w:r w:rsidR="00167605" w:rsidRPr="00530906">
        <w:rPr>
          <w:rFonts w:ascii="Cambria" w:hAnsi="Cambria" w:cstheme="minorHAnsi"/>
          <w:sz w:val="24"/>
          <w:szCs w:val="24"/>
        </w:rPr>
        <w:t>m.</w:t>
      </w:r>
      <w:r w:rsidR="00F05465" w:rsidRPr="00530906">
        <w:rPr>
          <w:rFonts w:ascii="Cambria" w:hAnsi="Cambria" w:cstheme="minorHAnsi"/>
          <w:sz w:val="24"/>
          <w:szCs w:val="24"/>
        </w:rPr>
        <w:t xml:space="preserve"> Apart from </w:t>
      </w:r>
      <w:r w:rsidR="00AF1EFB" w:rsidRPr="00530906">
        <w:rPr>
          <w:rFonts w:ascii="Cambria" w:hAnsi="Cambria" w:cstheme="minorHAnsi"/>
          <w:sz w:val="24"/>
          <w:szCs w:val="24"/>
        </w:rPr>
        <w:t>them</w:t>
      </w:r>
      <w:r w:rsidR="00F05465" w:rsidRPr="00530906">
        <w:rPr>
          <w:rFonts w:ascii="Cambria" w:hAnsi="Cambria" w:cstheme="minorHAnsi"/>
          <w:sz w:val="24"/>
          <w:szCs w:val="24"/>
        </w:rPr>
        <w:t>, if I have to mention another person in Newcastle University Business School, I want to thank Carolyn Watkin, who cater</w:t>
      </w:r>
      <w:r w:rsidR="0021223F" w:rsidRPr="00530906">
        <w:rPr>
          <w:rFonts w:ascii="Cambria" w:hAnsi="Cambria" w:cstheme="minorHAnsi"/>
          <w:sz w:val="24"/>
          <w:szCs w:val="24"/>
        </w:rPr>
        <w:t>ed</w:t>
      </w:r>
      <w:r w:rsidR="00F05465" w:rsidRPr="00530906">
        <w:rPr>
          <w:rFonts w:ascii="Cambria" w:hAnsi="Cambria" w:cstheme="minorHAnsi"/>
          <w:sz w:val="24"/>
          <w:szCs w:val="24"/>
        </w:rPr>
        <w:t xml:space="preserve"> all of my needs with a smile on her face. And God knows how much I have irritated her. </w:t>
      </w:r>
    </w:p>
    <w:p w14:paraId="408AD56D" w14:textId="2883EABA" w:rsidR="0021223F" w:rsidRPr="00530906" w:rsidRDefault="0021223F">
      <w:pPr>
        <w:spacing w:line="480" w:lineRule="auto"/>
        <w:jc w:val="both"/>
        <w:rPr>
          <w:rFonts w:ascii="Cambria" w:hAnsi="Cambria" w:cstheme="minorHAnsi"/>
          <w:sz w:val="24"/>
          <w:szCs w:val="24"/>
        </w:rPr>
      </w:pPr>
      <w:r w:rsidRPr="00530906">
        <w:rPr>
          <w:rFonts w:ascii="Cambria" w:hAnsi="Cambria" w:cstheme="minorHAnsi"/>
          <w:sz w:val="24"/>
          <w:szCs w:val="24"/>
        </w:rPr>
        <w:t xml:space="preserve">Come to think of it, I am blessed with the best of both worlds. My mentors in Dhaka University, </w:t>
      </w:r>
      <w:r w:rsidR="007972D2" w:rsidRPr="00530906">
        <w:rPr>
          <w:rFonts w:ascii="Cambria" w:hAnsi="Cambria" w:cstheme="minorHAnsi"/>
          <w:sz w:val="24"/>
          <w:szCs w:val="24"/>
        </w:rPr>
        <w:t xml:space="preserve">Dr. Md. Masudur Rahman </w:t>
      </w:r>
      <w:r w:rsidRPr="00530906">
        <w:rPr>
          <w:rFonts w:ascii="Cambria" w:hAnsi="Cambria" w:cstheme="minorHAnsi"/>
          <w:sz w:val="24"/>
          <w:szCs w:val="24"/>
        </w:rPr>
        <w:t xml:space="preserve">and </w:t>
      </w:r>
      <w:r w:rsidR="007972D2" w:rsidRPr="00530906">
        <w:rPr>
          <w:rFonts w:ascii="Cambria" w:hAnsi="Cambria" w:cstheme="minorHAnsi"/>
          <w:sz w:val="24"/>
          <w:szCs w:val="24"/>
        </w:rPr>
        <w:t>Dr. Mubina Khondkar</w:t>
      </w:r>
      <w:r w:rsidRPr="00530906">
        <w:rPr>
          <w:rFonts w:ascii="Cambria" w:hAnsi="Cambria" w:cstheme="minorHAnsi"/>
          <w:sz w:val="24"/>
          <w:szCs w:val="24"/>
        </w:rPr>
        <w:t>, were the ones who pushed me to pursue this degree. Truth to be told, I was not in my optimum position to take a massive decision like</w:t>
      </w:r>
      <w:r w:rsidR="00BE4069" w:rsidRPr="00530906">
        <w:rPr>
          <w:rFonts w:ascii="Cambria" w:hAnsi="Cambria" w:cstheme="minorHAnsi"/>
          <w:sz w:val="24"/>
          <w:szCs w:val="24"/>
        </w:rPr>
        <w:t xml:space="preserve"> this</w:t>
      </w:r>
      <w:r w:rsidRPr="00530906">
        <w:rPr>
          <w:rFonts w:ascii="Cambria" w:hAnsi="Cambria" w:cstheme="minorHAnsi"/>
          <w:sz w:val="24"/>
          <w:szCs w:val="24"/>
        </w:rPr>
        <w:t xml:space="preserve">. But standing at this point of time, I realised that if I were to delay even </w:t>
      </w:r>
      <w:r w:rsidR="009A456D" w:rsidRPr="00530906">
        <w:rPr>
          <w:rFonts w:ascii="Cambria" w:hAnsi="Cambria" w:cstheme="minorHAnsi"/>
          <w:sz w:val="24"/>
          <w:szCs w:val="24"/>
        </w:rPr>
        <w:t xml:space="preserve">for </w:t>
      </w:r>
      <w:r w:rsidRPr="00530906">
        <w:rPr>
          <w:rFonts w:ascii="Cambria" w:hAnsi="Cambria" w:cstheme="minorHAnsi"/>
          <w:sz w:val="24"/>
          <w:szCs w:val="24"/>
        </w:rPr>
        <w:t xml:space="preserve">6 months, I may not have been able to do it. They believed in </w:t>
      </w:r>
      <w:r w:rsidR="00AF1EFB" w:rsidRPr="00530906">
        <w:rPr>
          <w:rFonts w:ascii="Cambria" w:hAnsi="Cambria" w:cstheme="minorHAnsi"/>
          <w:sz w:val="24"/>
          <w:szCs w:val="24"/>
        </w:rPr>
        <w:t>me when</w:t>
      </w:r>
      <w:r w:rsidRPr="00530906">
        <w:rPr>
          <w:rFonts w:ascii="Cambria" w:hAnsi="Cambria" w:cstheme="minorHAnsi"/>
          <w:sz w:val="24"/>
          <w:szCs w:val="24"/>
        </w:rPr>
        <w:t xml:space="preserve"> I </w:t>
      </w:r>
      <w:r w:rsidRPr="00530906">
        <w:rPr>
          <w:rFonts w:ascii="Cambria" w:hAnsi="Cambria" w:cstheme="minorHAnsi"/>
          <w:sz w:val="24"/>
          <w:szCs w:val="24"/>
        </w:rPr>
        <w:lastRenderedPageBreak/>
        <w:t>did not have confidence in myself.</w:t>
      </w:r>
      <w:r w:rsidR="009A456D" w:rsidRPr="00530906">
        <w:rPr>
          <w:rFonts w:ascii="Cambria" w:hAnsi="Cambria" w:cstheme="minorHAnsi"/>
          <w:sz w:val="24"/>
          <w:szCs w:val="24"/>
        </w:rPr>
        <w:t xml:space="preserve"> Another soul I should take a bow to, is Dr. Md. Kamal Uddin, who stood for me when no one else did. </w:t>
      </w:r>
    </w:p>
    <w:p w14:paraId="6B0D58FA" w14:textId="4F61ED65" w:rsidR="00167605" w:rsidRPr="00530906" w:rsidRDefault="00167605">
      <w:pPr>
        <w:spacing w:line="480" w:lineRule="auto"/>
        <w:jc w:val="both"/>
        <w:rPr>
          <w:rFonts w:ascii="Cambria" w:hAnsi="Cambria" w:cstheme="minorHAnsi"/>
          <w:sz w:val="24"/>
          <w:szCs w:val="24"/>
        </w:rPr>
      </w:pPr>
      <w:r w:rsidRPr="00530906">
        <w:rPr>
          <w:rFonts w:ascii="Cambria" w:hAnsi="Cambria" w:cstheme="minorHAnsi"/>
          <w:sz w:val="24"/>
          <w:szCs w:val="24"/>
        </w:rPr>
        <w:t>My family has always been the wind under my wings. Their inspiration, prayers, and support led me through these 4 years of hardship. Especially my little sister, who acted as a one stop s</w:t>
      </w:r>
      <w:r w:rsidR="00D905F9" w:rsidRPr="00530906">
        <w:rPr>
          <w:rFonts w:ascii="Cambria" w:hAnsi="Cambria" w:cstheme="minorHAnsi"/>
          <w:sz w:val="24"/>
          <w:szCs w:val="24"/>
        </w:rPr>
        <w:t>olution</w:t>
      </w:r>
      <w:r w:rsidRPr="00530906">
        <w:rPr>
          <w:rFonts w:ascii="Cambria" w:hAnsi="Cambria" w:cstheme="minorHAnsi"/>
          <w:sz w:val="24"/>
          <w:szCs w:val="24"/>
        </w:rPr>
        <w:t xml:space="preserve"> for my depression, stress, and anxiety. I was able to concentrate in my study because I knew she is with my parents. </w:t>
      </w:r>
      <w:r w:rsidR="000E7EB6" w:rsidRPr="00530906">
        <w:rPr>
          <w:rFonts w:ascii="Cambria" w:hAnsi="Cambria" w:cstheme="minorHAnsi"/>
          <w:sz w:val="24"/>
          <w:szCs w:val="24"/>
        </w:rPr>
        <w:t>My uncle, AFM Manirul Islam, deserve</w:t>
      </w:r>
      <w:r w:rsidR="00A62190" w:rsidRPr="00530906">
        <w:rPr>
          <w:rFonts w:ascii="Cambria" w:hAnsi="Cambria" w:cstheme="minorHAnsi"/>
          <w:sz w:val="24"/>
          <w:szCs w:val="24"/>
        </w:rPr>
        <w:t>s</w:t>
      </w:r>
      <w:r w:rsidR="000E7EB6" w:rsidRPr="00530906">
        <w:rPr>
          <w:rFonts w:ascii="Cambria" w:hAnsi="Cambria" w:cstheme="minorHAnsi"/>
          <w:sz w:val="24"/>
          <w:szCs w:val="24"/>
        </w:rPr>
        <w:t xml:space="preserve"> a special thank for being the monumental support for me despite losing his son in June 2020. </w:t>
      </w:r>
    </w:p>
    <w:p w14:paraId="50344F5D" w14:textId="3C74EE1C" w:rsidR="00167605" w:rsidRPr="00530906" w:rsidRDefault="00167605">
      <w:pPr>
        <w:spacing w:line="480" w:lineRule="auto"/>
        <w:jc w:val="both"/>
        <w:rPr>
          <w:rFonts w:ascii="Cambria" w:hAnsi="Cambria" w:cstheme="minorHAnsi"/>
          <w:sz w:val="24"/>
          <w:szCs w:val="24"/>
        </w:rPr>
      </w:pPr>
      <w:r w:rsidRPr="00530906">
        <w:rPr>
          <w:rFonts w:ascii="Cambria" w:hAnsi="Cambria" w:cstheme="minorHAnsi"/>
          <w:sz w:val="24"/>
          <w:szCs w:val="24"/>
        </w:rPr>
        <w:t>Though I did not have my family with me, I have gained a family here. First of all</w:t>
      </w:r>
      <w:r w:rsidR="00F45F6E" w:rsidRPr="00530906">
        <w:rPr>
          <w:rFonts w:ascii="Cambria" w:hAnsi="Cambria" w:cstheme="minorHAnsi"/>
          <w:sz w:val="24"/>
          <w:szCs w:val="24"/>
        </w:rPr>
        <w:t xml:space="preserve">, </w:t>
      </w:r>
      <w:r w:rsidRPr="00530906">
        <w:rPr>
          <w:rFonts w:ascii="Cambria" w:hAnsi="Cambria" w:cstheme="minorHAnsi"/>
          <w:sz w:val="24"/>
          <w:szCs w:val="24"/>
        </w:rPr>
        <w:t xml:space="preserve">my landlady- Rifat Rashid, who not only </w:t>
      </w:r>
      <w:r w:rsidR="00B3338D" w:rsidRPr="00530906">
        <w:rPr>
          <w:rFonts w:ascii="Cambria" w:hAnsi="Cambria" w:cstheme="minorHAnsi"/>
          <w:sz w:val="24"/>
          <w:szCs w:val="24"/>
        </w:rPr>
        <w:t>provided</w:t>
      </w:r>
      <w:r w:rsidRPr="00530906">
        <w:rPr>
          <w:rFonts w:ascii="Cambria" w:hAnsi="Cambria" w:cstheme="minorHAnsi"/>
          <w:sz w:val="24"/>
          <w:szCs w:val="24"/>
        </w:rPr>
        <w:t xml:space="preserve"> me</w:t>
      </w:r>
      <w:r w:rsidR="00B3338D" w:rsidRPr="00530906">
        <w:rPr>
          <w:rFonts w:ascii="Cambria" w:hAnsi="Cambria" w:cstheme="minorHAnsi"/>
          <w:sz w:val="24"/>
          <w:szCs w:val="24"/>
        </w:rPr>
        <w:t xml:space="preserve"> with</w:t>
      </w:r>
      <w:r w:rsidRPr="00530906">
        <w:rPr>
          <w:rFonts w:ascii="Cambria" w:hAnsi="Cambria" w:cstheme="minorHAnsi"/>
          <w:sz w:val="24"/>
          <w:szCs w:val="24"/>
        </w:rPr>
        <w:t xml:space="preserve"> </w:t>
      </w:r>
      <w:r w:rsidR="00F45F6E" w:rsidRPr="00530906">
        <w:rPr>
          <w:rFonts w:ascii="Cambria" w:hAnsi="Cambria" w:cstheme="minorHAnsi"/>
          <w:sz w:val="24"/>
          <w:szCs w:val="24"/>
        </w:rPr>
        <w:t xml:space="preserve">food and </w:t>
      </w:r>
      <w:r w:rsidRPr="00530906">
        <w:rPr>
          <w:rFonts w:ascii="Cambria" w:hAnsi="Cambria" w:cstheme="minorHAnsi"/>
          <w:sz w:val="24"/>
          <w:szCs w:val="24"/>
        </w:rPr>
        <w:t xml:space="preserve">shelter, but also gave </w:t>
      </w:r>
      <w:r w:rsidR="00F45F6E" w:rsidRPr="00530906">
        <w:rPr>
          <w:rFonts w:ascii="Cambria" w:hAnsi="Cambria" w:cstheme="minorHAnsi"/>
          <w:sz w:val="24"/>
          <w:szCs w:val="24"/>
        </w:rPr>
        <w:t xml:space="preserve">me </w:t>
      </w:r>
      <w:r w:rsidRPr="00530906">
        <w:rPr>
          <w:rFonts w:ascii="Cambria" w:hAnsi="Cambria" w:cstheme="minorHAnsi"/>
          <w:sz w:val="24"/>
          <w:szCs w:val="24"/>
        </w:rPr>
        <w:t xml:space="preserve">the warmth and safety of a family. </w:t>
      </w:r>
      <w:r w:rsidR="00F45F6E" w:rsidRPr="00530906">
        <w:rPr>
          <w:rFonts w:ascii="Cambria" w:hAnsi="Cambria" w:cstheme="minorHAnsi"/>
          <w:sz w:val="24"/>
          <w:szCs w:val="24"/>
        </w:rPr>
        <w:t xml:space="preserve">It is said, that, friends are the family </w:t>
      </w:r>
      <w:r w:rsidR="00E96D12" w:rsidRPr="00530906">
        <w:rPr>
          <w:rFonts w:ascii="Cambria" w:hAnsi="Cambria" w:cstheme="minorHAnsi"/>
          <w:sz w:val="24"/>
          <w:szCs w:val="24"/>
        </w:rPr>
        <w:t>people</w:t>
      </w:r>
      <w:r w:rsidR="00F45F6E" w:rsidRPr="00530906">
        <w:rPr>
          <w:rFonts w:ascii="Cambria" w:hAnsi="Cambria" w:cstheme="minorHAnsi"/>
          <w:sz w:val="24"/>
          <w:szCs w:val="24"/>
        </w:rPr>
        <w:t xml:space="preserve"> choose themselves.</w:t>
      </w:r>
      <w:r w:rsidRPr="00530906">
        <w:rPr>
          <w:rFonts w:ascii="Cambria" w:hAnsi="Cambria" w:cstheme="minorHAnsi"/>
          <w:sz w:val="24"/>
          <w:szCs w:val="24"/>
        </w:rPr>
        <w:t xml:space="preserve"> </w:t>
      </w:r>
      <w:r w:rsidR="00F45F6E" w:rsidRPr="00530906">
        <w:rPr>
          <w:rFonts w:ascii="Cambria" w:hAnsi="Cambria" w:cstheme="minorHAnsi"/>
          <w:sz w:val="24"/>
          <w:szCs w:val="24"/>
        </w:rPr>
        <w:t>My friends-</w:t>
      </w:r>
      <w:r w:rsidR="00015405" w:rsidRPr="00530906">
        <w:rPr>
          <w:rFonts w:ascii="Cambria" w:hAnsi="Cambria" w:cstheme="minorHAnsi"/>
          <w:sz w:val="24"/>
          <w:szCs w:val="24"/>
        </w:rPr>
        <w:t xml:space="preserve"> Dr.</w:t>
      </w:r>
      <w:r w:rsidR="00F45F6E" w:rsidRPr="00530906">
        <w:rPr>
          <w:rFonts w:ascii="Cambria" w:hAnsi="Cambria" w:cstheme="minorHAnsi"/>
          <w:sz w:val="24"/>
          <w:szCs w:val="24"/>
        </w:rPr>
        <w:t xml:space="preserve"> Meryam Alttaf, </w:t>
      </w:r>
      <w:r w:rsidR="00A614AF">
        <w:rPr>
          <w:rFonts w:ascii="Cambria" w:hAnsi="Cambria" w:cstheme="minorHAnsi"/>
          <w:sz w:val="24"/>
          <w:szCs w:val="24"/>
        </w:rPr>
        <w:t xml:space="preserve">Dr. </w:t>
      </w:r>
      <w:r w:rsidR="00F45F6E" w:rsidRPr="00530906">
        <w:rPr>
          <w:rFonts w:ascii="Cambria" w:hAnsi="Cambria" w:cstheme="minorHAnsi"/>
          <w:sz w:val="24"/>
          <w:szCs w:val="24"/>
        </w:rPr>
        <w:t>Nosheen Khan,</w:t>
      </w:r>
      <w:r w:rsidR="00015405" w:rsidRPr="00530906">
        <w:rPr>
          <w:rFonts w:ascii="Cambria" w:hAnsi="Cambria" w:cstheme="minorHAnsi"/>
          <w:sz w:val="24"/>
          <w:szCs w:val="24"/>
        </w:rPr>
        <w:t xml:space="preserve"> Dr.</w:t>
      </w:r>
      <w:r w:rsidR="00F45F6E" w:rsidRPr="00530906">
        <w:rPr>
          <w:rFonts w:ascii="Cambria" w:hAnsi="Cambria" w:cstheme="minorHAnsi"/>
          <w:sz w:val="24"/>
          <w:szCs w:val="24"/>
        </w:rPr>
        <w:t xml:space="preserve"> Hugo Du and Hassan Safdar </w:t>
      </w:r>
      <w:r w:rsidR="00015405" w:rsidRPr="00530906">
        <w:rPr>
          <w:rFonts w:ascii="Cambria" w:hAnsi="Cambria" w:cstheme="minorHAnsi"/>
          <w:sz w:val="24"/>
          <w:szCs w:val="24"/>
        </w:rPr>
        <w:t xml:space="preserve">(Doctoral candidate) </w:t>
      </w:r>
      <w:r w:rsidR="00F45F6E" w:rsidRPr="00530906">
        <w:rPr>
          <w:rFonts w:ascii="Cambria" w:hAnsi="Cambria" w:cstheme="minorHAnsi"/>
          <w:sz w:val="24"/>
          <w:szCs w:val="24"/>
        </w:rPr>
        <w:t>held me at my darkest hours. They were the ears I can talk to, shoulders I can lean on</w:t>
      </w:r>
      <w:r w:rsidR="009A456D" w:rsidRPr="00530906">
        <w:rPr>
          <w:rFonts w:ascii="Cambria" w:hAnsi="Cambria" w:cstheme="minorHAnsi"/>
          <w:sz w:val="24"/>
          <w:szCs w:val="24"/>
        </w:rPr>
        <w:t xml:space="preserve">, </w:t>
      </w:r>
      <w:r w:rsidR="00F45F6E" w:rsidRPr="00530906">
        <w:rPr>
          <w:rFonts w:ascii="Cambria" w:hAnsi="Cambria" w:cstheme="minorHAnsi"/>
          <w:sz w:val="24"/>
          <w:szCs w:val="24"/>
        </w:rPr>
        <w:t>hands I can count on</w:t>
      </w:r>
      <w:r w:rsidR="00975BC7">
        <w:rPr>
          <w:rFonts w:ascii="Cambria" w:hAnsi="Cambria" w:cstheme="minorHAnsi"/>
          <w:sz w:val="24"/>
          <w:szCs w:val="24"/>
        </w:rPr>
        <w:t>,</w:t>
      </w:r>
      <w:r w:rsidR="009A456D" w:rsidRPr="00530906">
        <w:rPr>
          <w:rFonts w:ascii="Cambria" w:hAnsi="Cambria" w:cstheme="minorHAnsi"/>
          <w:sz w:val="24"/>
          <w:szCs w:val="24"/>
        </w:rPr>
        <w:t xml:space="preserve"> and souls I can resonate with</w:t>
      </w:r>
      <w:r w:rsidR="00F45F6E" w:rsidRPr="00530906">
        <w:rPr>
          <w:rFonts w:ascii="Cambria" w:hAnsi="Cambria" w:cstheme="minorHAnsi"/>
          <w:sz w:val="24"/>
          <w:szCs w:val="24"/>
        </w:rPr>
        <w:t xml:space="preserve">. </w:t>
      </w:r>
    </w:p>
    <w:p w14:paraId="089F449F" w14:textId="5B8E9881" w:rsidR="00A70E8B" w:rsidRPr="00530906" w:rsidRDefault="00F05465">
      <w:pPr>
        <w:spacing w:line="480" w:lineRule="auto"/>
        <w:jc w:val="both"/>
        <w:rPr>
          <w:rFonts w:ascii="Cambria" w:hAnsi="Cambria" w:cstheme="minorHAnsi"/>
          <w:i/>
          <w:iCs/>
          <w:sz w:val="24"/>
          <w:szCs w:val="24"/>
        </w:rPr>
      </w:pPr>
      <w:r w:rsidRPr="00530906">
        <w:rPr>
          <w:rFonts w:ascii="Cambria" w:hAnsi="Cambria" w:cstheme="minorHAnsi"/>
          <w:sz w:val="24"/>
          <w:szCs w:val="24"/>
        </w:rPr>
        <w:t>Gr</w:t>
      </w:r>
      <w:r w:rsidR="00F842D6" w:rsidRPr="00530906">
        <w:rPr>
          <w:rFonts w:ascii="Cambria" w:hAnsi="Cambria" w:cstheme="minorHAnsi"/>
          <w:sz w:val="24"/>
          <w:szCs w:val="24"/>
        </w:rPr>
        <w:t>e</w:t>
      </w:r>
      <w:r w:rsidRPr="00530906">
        <w:rPr>
          <w:rFonts w:ascii="Cambria" w:hAnsi="Cambria" w:cstheme="minorHAnsi"/>
          <w:sz w:val="24"/>
          <w:szCs w:val="24"/>
        </w:rPr>
        <w:t xml:space="preserve">ek </w:t>
      </w:r>
      <w:r w:rsidR="00F842D6" w:rsidRPr="00530906">
        <w:rPr>
          <w:rFonts w:ascii="Cambria" w:hAnsi="Cambria" w:cstheme="minorHAnsi"/>
          <w:sz w:val="24"/>
          <w:szCs w:val="24"/>
        </w:rPr>
        <w:t>p</w:t>
      </w:r>
      <w:r w:rsidRPr="00530906">
        <w:rPr>
          <w:rFonts w:ascii="Cambria" w:hAnsi="Cambria" w:cstheme="minorHAnsi"/>
          <w:sz w:val="24"/>
          <w:szCs w:val="24"/>
        </w:rPr>
        <w:t xml:space="preserve">hilosopher </w:t>
      </w:r>
      <w:r w:rsidR="00F842D6" w:rsidRPr="00530906">
        <w:rPr>
          <w:rFonts w:ascii="Cambria" w:hAnsi="Cambria" w:cstheme="minorHAnsi"/>
          <w:sz w:val="24"/>
          <w:szCs w:val="24"/>
        </w:rPr>
        <w:t xml:space="preserve">Epicurus once said, </w:t>
      </w:r>
      <w:r w:rsidRPr="00530906">
        <w:rPr>
          <w:rFonts w:ascii="Cambria" w:hAnsi="Cambria" w:cstheme="minorHAnsi"/>
          <w:sz w:val="24"/>
          <w:szCs w:val="24"/>
        </w:rPr>
        <w:t>“The greater the difficulty, the more glory in surmounting it”</w:t>
      </w:r>
      <w:r w:rsidR="00F842D6" w:rsidRPr="00530906">
        <w:rPr>
          <w:rFonts w:ascii="Cambria" w:hAnsi="Cambria" w:cstheme="minorHAnsi"/>
          <w:sz w:val="24"/>
          <w:szCs w:val="24"/>
        </w:rPr>
        <w:t>. But there is no way I could have ascended the mountain named ‘PhD’</w:t>
      </w:r>
      <w:r w:rsidR="00E26E21" w:rsidRPr="00530906">
        <w:rPr>
          <w:rFonts w:ascii="Cambria" w:hAnsi="Cambria" w:cstheme="minorHAnsi"/>
          <w:sz w:val="24"/>
          <w:szCs w:val="24"/>
        </w:rPr>
        <w:t>,</w:t>
      </w:r>
      <w:r w:rsidR="00F842D6" w:rsidRPr="00530906">
        <w:rPr>
          <w:rFonts w:ascii="Cambria" w:hAnsi="Cambria" w:cstheme="minorHAnsi"/>
          <w:sz w:val="24"/>
          <w:szCs w:val="24"/>
        </w:rPr>
        <w:t xml:space="preserve"> without these people lending me their strength, wisdom, guidance, and support. Thanks for being there for me.</w:t>
      </w:r>
      <w:r w:rsidRPr="00530906">
        <w:rPr>
          <w:rFonts w:ascii="Cambria" w:hAnsi="Cambria" w:cstheme="minorHAnsi"/>
          <w:sz w:val="24"/>
          <w:szCs w:val="24"/>
        </w:rPr>
        <w:t xml:space="preserve"> </w:t>
      </w:r>
      <w:r w:rsidR="00B3338D" w:rsidRPr="00530906">
        <w:rPr>
          <w:rFonts w:ascii="Cambria" w:hAnsi="Cambria" w:cstheme="minorHAnsi"/>
          <w:i/>
          <w:iCs/>
          <w:sz w:val="24"/>
          <w:szCs w:val="24"/>
        </w:rPr>
        <w:t xml:space="preserve"> </w:t>
      </w:r>
    </w:p>
    <w:p w14:paraId="087D819B" w14:textId="77777777" w:rsidR="00A70E8B" w:rsidRPr="00530906" w:rsidRDefault="00A70E8B" w:rsidP="008756B1">
      <w:pPr>
        <w:spacing w:line="259" w:lineRule="auto"/>
        <w:jc w:val="both"/>
        <w:rPr>
          <w:rFonts w:ascii="Cambria" w:hAnsi="Cambria" w:cstheme="minorHAnsi"/>
          <w:i/>
          <w:iCs/>
          <w:sz w:val="24"/>
          <w:szCs w:val="24"/>
        </w:rPr>
      </w:pPr>
      <w:r w:rsidRPr="00530906">
        <w:rPr>
          <w:rFonts w:ascii="Cambria" w:hAnsi="Cambria" w:cstheme="minorHAnsi"/>
          <w:i/>
          <w:iCs/>
          <w:sz w:val="24"/>
          <w:szCs w:val="24"/>
        </w:rPr>
        <w:br w:type="page"/>
      </w:r>
    </w:p>
    <w:p w14:paraId="37DAAF94" w14:textId="77777777" w:rsidR="00B3338D" w:rsidRPr="00530906" w:rsidRDefault="00B3338D">
      <w:pPr>
        <w:spacing w:line="480" w:lineRule="auto"/>
        <w:jc w:val="both"/>
        <w:rPr>
          <w:rFonts w:ascii="Cambria" w:hAnsi="Cambria" w:cstheme="minorHAnsi"/>
          <w:i/>
          <w:iCs/>
          <w:sz w:val="24"/>
          <w:szCs w:val="24"/>
        </w:rPr>
      </w:pPr>
    </w:p>
    <w:p w14:paraId="445006A4" w14:textId="43795AED" w:rsidR="000E7EB6" w:rsidRPr="00530906" w:rsidRDefault="00F05465">
      <w:pPr>
        <w:spacing w:line="480" w:lineRule="auto"/>
        <w:jc w:val="both"/>
        <w:rPr>
          <w:rFonts w:ascii="Cambria" w:hAnsi="Cambria" w:cstheme="minorHAnsi"/>
          <w:sz w:val="24"/>
          <w:szCs w:val="24"/>
        </w:rPr>
      </w:pPr>
      <w:r w:rsidRPr="00530906">
        <w:rPr>
          <w:rFonts w:ascii="Cambria" w:hAnsi="Cambria" w:cstheme="minorHAnsi"/>
          <w:sz w:val="24"/>
          <w:szCs w:val="24"/>
        </w:rPr>
        <w:t xml:space="preserve"> </w:t>
      </w:r>
    </w:p>
    <w:p w14:paraId="239F4046" w14:textId="77777777" w:rsidR="00167605" w:rsidRPr="00530906" w:rsidRDefault="00167605">
      <w:pPr>
        <w:spacing w:line="480" w:lineRule="auto"/>
        <w:jc w:val="both"/>
        <w:rPr>
          <w:rFonts w:ascii="Cambria" w:hAnsi="Cambria" w:cstheme="minorHAnsi"/>
          <w:sz w:val="24"/>
          <w:szCs w:val="24"/>
        </w:rPr>
      </w:pPr>
    </w:p>
    <w:p w14:paraId="4B22C24B" w14:textId="77777777" w:rsidR="00142E7B" w:rsidRPr="00530906" w:rsidRDefault="00142E7B">
      <w:pPr>
        <w:spacing w:line="480" w:lineRule="auto"/>
        <w:jc w:val="both"/>
        <w:rPr>
          <w:rFonts w:ascii="Cambria" w:hAnsi="Cambria" w:cstheme="minorHAnsi"/>
          <w:sz w:val="24"/>
          <w:szCs w:val="24"/>
        </w:rPr>
      </w:pPr>
    </w:p>
    <w:p w14:paraId="2F4D3F7D" w14:textId="77777777" w:rsidR="005A20C0" w:rsidRPr="00530906" w:rsidRDefault="005A20C0" w:rsidP="008756B1">
      <w:pPr>
        <w:spacing w:line="259" w:lineRule="auto"/>
        <w:jc w:val="both"/>
        <w:rPr>
          <w:rFonts w:ascii="Cambria" w:hAnsi="Cambria" w:cstheme="minorHAnsi"/>
          <w:sz w:val="24"/>
          <w:szCs w:val="24"/>
        </w:rPr>
      </w:pPr>
      <w:r w:rsidRPr="00530906">
        <w:rPr>
          <w:rFonts w:ascii="Cambria" w:hAnsi="Cambria" w:cstheme="minorHAnsi"/>
          <w:sz w:val="24"/>
          <w:szCs w:val="24"/>
        </w:rPr>
        <w:br w:type="page"/>
      </w:r>
    </w:p>
    <w:bookmarkStart w:id="0" w:name="_Hlk71108027" w:displacedByCustomXml="next"/>
    <w:bookmarkEnd w:id="0" w:displacedByCustomXml="next"/>
    <w:sdt>
      <w:sdtPr>
        <w:rPr>
          <w:rFonts w:ascii="Cambria" w:eastAsiaTheme="minorHAnsi" w:hAnsi="Cambria" w:cstheme="minorBidi"/>
          <w:color w:val="auto"/>
          <w:sz w:val="22"/>
          <w:szCs w:val="22"/>
        </w:rPr>
        <w:id w:val="-1070109357"/>
        <w:docPartObj>
          <w:docPartGallery w:val="Table of Contents"/>
          <w:docPartUnique/>
        </w:docPartObj>
      </w:sdtPr>
      <w:sdtEndPr>
        <w:rPr>
          <w:b/>
          <w:bCs/>
          <w:noProof/>
        </w:rPr>
      </w:sdtEndPr>
      <w:sdtContent>
        <w:p w14:paraId="418975C7" w14:textId="42FEF6C4" w:rsidR="005A20C0" w:rsidRPr="00D54CA8" w:rsidRDefault="00F842D6" w:rsidP="008756B1">
          <w:pPr>
            <w:pStyle w:val="TOCHeading"/>
            <w:jc w:val="both"/>
            <w:rPr>
              <w:rFonts w:ascii="Cambria" w:hAnsi="Cambria"/>
            </w:rPr>
          </w:pPr>
          <w:r w:rsidRPr="00D54CA8">
            <w:rPr>
              <w:rFonts w:ascii="Cambria" w:hAnsi="Cambria"/>
            </w:rPr>
            <w:t>List of</w:t>
          </w:r>
          <w:r w:rsidRPr="00D54CA8">
            <w:rPr>
              <w:rFonts w:ascii="Cambria" w:eastAsiaTheme="minorHAnsi" w:hAnsi="Cambria" w:cstheme="minorBidi"/>
              <w:color w:val="auto"/>
              <w:sz w:val="22"/>
              <w:szCs w:val="22"/>
            </w:rPr>
            <w:t xml:space="preserve"> </w:t>
          </w:r>
          <w:r w:rsidR="005A20C0" w:rsidRPr="00D54CA8">
            <w:rPr>
              <w:rFonts w:ascii="Cambria" w:hAnsi="Cambria"/>
            </w:rPr>
            <w:t>Contents</w:t>
          </w:r>
        </w:p>
        <w:p w14:paraId="2E4E388D" w14:textId="14C534CD" w:rsidR="001149A9" w:rsidRPr="00E33941" w:rsidRDefault="005A20C0">
          <w:pPr>
            <w:pStyle w:val="TOC1"/>
            <w:rPr>
              <w:rFonts w:ascii="Cambria" w:eastAsiaTheme="minorEastAsia" w:hAnsi="Cambria"/>
              <w:noProof/>
              <w:lang w:eastAsia="en-GB"/>
            </w:rPr>
          </w:pPr>
          <w:r w:rsidRPr="00D54CA8">
            <w:rPr>
              <w:rFonts w:ascii="Cambria" w:hAnsi="Cambria"/>
            </w:rPr>
            <w:fldChar w:fldCharType="begin"/>
          </w:r>
          <w:r w:rsidRPr="00D54CA8">
            <w:rPr>
              <w:rFonts w:ascii="Cambria" w:hAnsi="Cambria"/>
            </w:rPr>
            <w:instrText xml:space="preserve"> TOC \o "1-3" \h \z \u </w:instrText>
          </w:r>
          <w:r w:rsidRPr="00D54CA8">
            <w:rPr>
              <w:rFonts w:ascii="Cambria" w:hAnsi="Cambria"/>
            </w:rPr>
            <w:fldChar w:fldCharType="separate"/>
          </w:r>
          <w:hyperlink w:anchor="_Toc115726206" w:history="1">
            <w:r w:rsidR="001149A9" w:rsidRPr="00E33941">
              <w:rPr>
                <w:rStyle w:val="Hyperlink"/>
                <w:rFonts w:ascii="Cambria" w:eastAsia="Times New Roman" w:hAnsi="Cambria"/>
                <w:noProof/>
              </w:rPr>
              <w:t>Chapter 1. Introduction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_Toc115726206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w:t>
            </w:r>
            <w:r w:rsidR="001149A9" w:rsidRPr="00E33941">
              <w:rPr>
                <w:rFonts w:ascii="Cambria" w:hAnsi="Cambria"/>
                <w:noProof/>
                <w:webHidden/>
              </w:rPr>
              <w:fldChar w:fldCharType="end"/>
            </w:r>
          </w:hyperlink>
        </w:p>
        <w:p w14:paraId="09DC3864" w14:textId="6CAEDDC3" w:rsidR="001149A9" w:rsidRPr="00E33941" w:rsidRDefault="00000000">
          <w:pPr>
            <w:pStyle w:val="TOC2"/>
            <w:rPr>
              <w:rFonts w:ascii="Cambria" w:eastAsiaTheme="minorEastAsia" w:hAnsi="Cambria"/>
              <w:noProof/>
              <w:lang w:eastAsia="en-GB"/>
            </w:rPr>
          </w:pPr>
          <w:hyperlink w:anchor="_Toc115726207" w:history="1">
            <w:r w:rsidR="001149A9" w:rsidRPr="00E33941">
              <w:rPr>
                <w:rStyle w:val="Hyperlink"/>
                <w:rFonts w:ascii="Cambria" w:eastAsia="Times New Roman" w:hAnsi="Cambria" w:cs="Times New Roman"/>
                <w:noProof/>
              </w:rPr>
              <w:t>1.1 Background and research problem identification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_Toc115726207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17</w:t>
            </w:r>
            <w:r w:rsidR="001149A9" w:rsidRPr="00E33941">
              <w:rPr>
                <w:rFonts w:ascii="Cambria" w:hAnsi="Cambria"/>
                <w:noProof/>
                <w:webHidden/>
              </w:rPr>
              <w:fldChar w:fldCharType="end"/>
            </w:r>
          </w:hyperlink>
        </w:p>
        <w:p w14:paraId="606C0C86" w14:textId="1B1E051C" w:rsidR="001149A9" w:rsidRPr="00E33941" w:rsidRDefault="00000000">
          <w:pPr>
            <w:pStyle w:val="TOC2"/>
            <w:rPr>
              <w:rFonts w:ascii="Cambria" w:eastAsiaTheme="minorEastAsia" w:hAnsi="Cambria"/>
              <w:noProof/>
              <w:lang w:eastAsia="en-GB"/>
            </w:rPr>
          </w:pPr>
          <w:hyperlink w:anchor="_Toc115726208" w:history="1">
            <w:r w:rsidR="001149A9" w:rsidRPr="00E33941">
              <w:rPr>
                <w:rStyle w:val="Hyperlink"/>
                <w:rFonts w:ascii="Cambria" w:eastAsia="Times New Roman" w:hAnsi="Cambria"/>
                <w:noProof/>
              </w:rPr>
              <w:t>1.2. The context- social media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_Toc115726208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20</w:t>
            </w:r>
            <w:r w:rsidR="001149A9" w:rsidRPr="00E33941">
              <w:rPr>
                <w:rFonts w:ascii="Cambria" w:hAnsi="Cambria"/>
                <w:noProof/>
                <w:webHidden/>
              </w:rPr>
              <w:fldChar w:fldCharType="end"/>
            </w:r>
          </w:hyperlink>
        </w:p>
        <w:p w14:paraId="2C29535D" w14:textId="3C5AF081" w:rsidR="001149A9" w:rsidRPr="00E33941" w:rsidRDefault="00000000">
          <w:pPr>
            <w:pStyle w:val="TOC2"/>
            <w:rPr>
              <w:rFonts w:ascii="Cambria" w:eastAsiaTheme="minorEastAsia" w:hAnsi="Cambria"/>
              <w:noProof/>
              <w:lang w:eastAsia="en-GB"/>
            </w:rPr>
          </w:pPr>
          <w:hyperlink w:anchor="_Toc115726209" w:history="1">
            <w:r w:rsidR="001149A9" w:rsidRPr="00E33941">
              <w:rPr>
                <w:rStyle w:val="Hyperlink"/>
                <w:rFonts w:ascii="Cambria" w:eastAsia="Times New Roman" w:hAnsi="Cambria"/>
                <w:noProof/>
              </w:rPr>
              <w:t>1.3 Research and manegerial probelm</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_Toc115726209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20</w:t>
            </w:r>
            <w:r w:rsidR="001149A9" w:rsidRPr="00E33941">
              <w:rPr>
                <w:rFonts w:ascii="Cambria" w:hAnsi="Cambria"/>
                <w:noProof/>
                <w:webHidden/>
              </w:rPr>
              <w:fldChar w:fldCharType="end"/>
            </w:r>
          </w:hyperlink>
        </w:p>
        <w:p w14:paraId="486FD2BA" w14:textId="51E17990" w:rsidR="001149A9" w:rsidRPr="00E33941" w:rsidRDefault="00000000">
          <w:pPr>
            <w:pStyle w:val="TOC3"/>
            <w:rPr>
              <w:rFonts w:ascii="Cambria" w:eastAsiaTheme="minorEastAsia" w:hAnsi="Cambria"/>
              <w:noProof/>
              <w:lang w:eastAsia="en-GB"/>
            </w:rPr>
          </w:pPr>
          <w:hyperlink w:anchor="_Toc115726210" w:history="1">
            <w:r w:rsidR="001149A9" w:rsidRPr="00E33941">
              <w:rPr>
                <w:rStyle w:val="Hyperlink"/>
                <w:rFonts w:ascii="Cambria" w:hAnsi="Cambria"/>
                <w:noProof/>
              </w:rPr>
              <w:t>1.3.1. Managerial problem</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20</w:t>
            </w:r>
            <w:r w:rsidR="001149A9" w:rsidRPr="00E33941">
              <w:rPr>
                <w:rFonts w:ascii="Cambria" w:hAnsi="Cambria"/>
                <w:noProof/>
                <w:webHidden/>
              </w:rPr>
              <w:fldChar w:fldCharType="end"/>
            </w:r>
          </w:hyperlink>
        </w:p>
        <w:p w14:paraId="04F40F67" w14:textId="5E3B7741" w:rsidR="001149A9" w:rsidRPr="00E33941" w:rsidRDefault="00000000">
          <w:pPr>
            <w:pStyle w:val="TOC3"/>
            <w:rPr>
              <w:rFonts w:ascii="Cambria" w:eastAsiaTheme="minorEastAsia" w:hAnsi="Cambria"/>
              <w:noProof/>
              <w:lang w:eastAsia="en-GB"/>
            </w:rPr>
          </w:pPr>
          <w:hyperlink w:anchor="_Toc115726211" w:history="1">
            <w:r w:rsidR="001149A9" w:rsidRPr="00E33941">
              <w:rPr>
                <w:rStyle w:val="Hyperlink"/>
                <w:rFonts w:ascii="Cambria" w:hAnsi="Cambria"/>
                <w:noProof/>
              </w:rPr>
              <w:t>1.3.2. Research problem</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22</w:t>
            </w:r>
            <w:r w:rsidR="001149A9" w:rsidRPr="00E33941">
              <w:rPr>
                <w:rFonts w:ascii="Cambria" w:hAnsi="Cambria"/>
                <w:noProof/>
                <w:webHidden/>
              </w:rPr>
              <w:fldChar w:fldCharType="end"/>
            </w:r>
          </w:hyperlink>
        </w:p>
        <w:p w14:paraId="21FF9020" w14:textId="78D61DA7" w:rsidR="001149A9" w:rsidRPr="00E33941" w:rsidRDefault="00000000">
          <w:pPr>
            <w:pStyle w:val="TOC2"/>
            <w:rPr>
              <w:rFonts w:ascii="Cambria" w:eastAsiaTheme="minorEastAsia" w:hAnsi="Cambria"/>
              <w:noProof/>
              <w:lang w:eastAsia="en-GB"/>
            </w:rPr>
          </w:pPr>
          <w:hyperlink w:anchor="_Toc115726212" w:history="1">
            <w:r w:rsidR="001149A9" w:rsidRPr="00E33941">
              <w:rPr>
                <w:rStyle w:val="Hyperlink"/>
                <w:rFonts w:ascii="Cambria" w:eastAsia="Times New Roman" w:hAnsi="Cambria"/>
                <w:noProof/>
              </w:rPr>
              <w:t>1.4. Rationale of using SCV (Self-Transformative consumption Vision), PAD (Pleasure-arousal-dominance) and social influence theory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23</w:t>
            </w:r>
            <w:r w:rsidR="001149A9" w:rsidRPr="00E33941">
              <w:rPr>
                <w:rFonts w:ascii="Cambria" w:hAnsi="Cambria"/>
                <w:noProof/>
                <w:webHidden/>
              </w:rPr>
              <w:fldChar w:fldCharType="end"/>
            </w:r>
          </w:hyperlink>
        </w:p>
        <w:p w14:paraId="6448EDD2" w14:textId="11C92B16" w:rsidR="001149A9" w:rsidRPr="00E33941" w:rsidRDefault="00000000">
          <w:pPr>
            <w:pStyle w:val="TOC2"/>
            <w:rPr>
              <w:rFonts w:ascii="Cambria" w:eastAsiaTheme="minorEastAsia" w:hAnsi="Cambria"/>
              <w:noProof/>
              <w:lang w:eastAsia="en-GB"/>
            </w:rPr>
          </w:pPr>
          <w:hyperlink w:anchor="_Toc115726213" w:history="1">
            <w:r w:rsidR="001149A9" w:rsidRPr="00E33941">
              <w:rPr>
                <w:rStyle w:val="Hyperlink"/>
                <w:rFonts w:ascii="Cambria" w:eastAsia="Times New Roman" w:hAnsi="Cambria"/>
                <w:noProof/>
              </w:rPr>
              <w:t>1.5. Aims, Objectives, Research Question and Contribution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25</w:t>
            </w:r>
            <w:r w:rsidR="001149A9" w:rsidRPr="00E33941">
              <w:rPr>
                <w:rFonts w:ascii="Cambria" w:hAnsi="Cambria"/>
                <w:noProof/>
                <w:webHidden/>
              </w:rPr>
              <w:fldChar w:fldCharType="end"/>
            </w:r>
          </w:hyperlink>
        </w:p>
        <w:p w14:paraId="5CD87518" w14:textId="001B3651" w:rsidR="001149A9" w:rsidRPr="00E33941" w:rsidRDefault="00000000">
          <w:pPr>
            <w:pStyle w:val="TOC2"/>
            <w:rPr>
              <w:rFonts w:ascii="Cambria" w:eastAsiaTheme="minorEastAsia" w:hAnsi="Cambria"/>
              <w:noProof/>
              <w:lang w:eastAsia="en-GB"/>
            </w:rPr>
          </w:pPr>
          <w:hyperlink w:anchor="_Toc115726214" w:history="1">
            <w:r w:rsidR="001149A9" w:rsidRPr="00E33941">
              <w:rPr>
                <w:rStyle w:val="Hyperlink"/>
                <w:rFonts w:ascii="Cambria" w:eastAsia="Times New Roman" w:hAnsi="Cambria"/>
                <w:noProof/>
              </w:rPr>
              <w:t>1.6. Thesis and chapters overview</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27</w:t>
            </w:r>
            <w:r w:rsidR="001149A9" w:rsidRPr="00E33941">
              <w:rPr>
                <w:rFonts w:ascii="Cambria" w:hAnsi="Cambria"/>
                <w:noProof/>
                <w:webHidden/>
              </w:rPr>
              <w:fldChar w:fldCharType="end"/>
            </w:r>
          </w:hyperlink>
        </w:p>
        <w:p w14:paraId="7710F175" w14:textId="55B10CAF" w:rsidR="001149A9" w:rsidRPr="00E33941" w:rsidRDefault="00000000">
          <w:pPr>
            <w:pStyle w:val="TOC1"/>
            <w:rPr>
              <w:rFonts w:ascii="Cambria" w:eastAsiaTheme="minorEastAsia" w:hAnsi="Cambria"/>
              <w:noProof/>
              <w:lang w:eastAsia="en-GB"/>
            </w:rPr>
          </w:pPr>
          <w:hyperlink w:anchor="_Toc115726215" w:history="1">
            <w:r w:rsidR="001149A9" w:rsidRPr="00E33941">
              <w:rPr>
                <w:rStyle w:val="Hyperlink"/>
                <w:rFonts w:ascii="Cambria" w:hAnsi="Cambria"/>
                <w:noProof/>
              </w:rPr>
              <w:t>Chapter 2. Literature review</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w:t>
            </w:r>
            <w:r w:rsidR="001149A9" w:rsidRPr="00E33941">
              <w:rPr>
                <w:rFonts w:ascii="Cambria" w:hAnsi="Cambria"/>
                <w:noProof/>
                <w:webHidden/>
              </w:rPr>
              <w:fldChar w:fldCharType="end"/>
            </w:r>
          </w:hyperlink>
        </w:p>
        <w:p w14:paraId="600C0A3E" w14:textId="64DD7C4A" w:rsidR="001149A9" w:rsidRPr="00E33941" w:rsidRDefault="00000000">
          <w:pPr>
            <w:pStyle w:val="TOC2"/>
            <w:rPr>
              <w:rFonts w:ascii="Cambria" w:eastAsiaTheme="minorEastAsia" w:hAnsi="Cambria"/>
              <w:noProof/>
              <w:lang w:eastAsia="en-GB"/>
            </w:rPr>
          </w:pPr>
          <w:hyperlink w:anchor="_Toc115726216" w:history="1">
            <w:r w:rsidR="001149A9" w:rsidRPr="00E33941">
              <w:rPr>
                <w:rStyle w:val="Hyperlink"/>
                <w:rFonts w:ascii="Cambria" w:hAnsi="Cambria"/>
                <w:noProof/>
              </w:rPr>
              <w:t>2.1. Sustainability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32</w:t>
            </w:r>
            <w:r w:rsidR="001149A9" w:rsidRPr="00E33941">
              <w:rPr>
                <w:rFonts w:ascii="Cambria" w:hAnsi="Cambria"/>
                <w:noProof/>
                <w:webHidden/>
              </w:rPr>
              <w:fldChar w:fldCharType="end"/>
            </w:r>
          </w:hyperlink>
        </w:p>
        <w:p w14:paraId="48F1C65D" w14:textId="34747206" w:rsidR="001149A9" w:rsidRPr="00E33941" w:rsidRDefault="00000000">
          <w:pPr>
            <w:pStyle w:val="TOC2"/>
            <w:rPr>
              <w:rFonts w:ascii="Cambria" w:eastAsiaTheme="minorEastAsia" w:hAnsi="Cambria"/>
              <w:noProof/>
              <w:lang w:eastAsia="en-GB"/>
            </w:rPr>
          </w:pPr>
          <w:hyperlink w:anchor="_Toc115726217" w:history="1">
            <w:r w:rsidR="001149A9" w:rsidRPr="00E33941">
              <w:rPr>
                <w:rStyle w:val="Hyperlink"/>
                <w:rFonts w:ascii="Cambria" w:hAnsi="Cambria"/>
                <w:noProof/>
              </w:rPr>
              <w:t>2.2. Sustainable behaviour:</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34</w:t>
            </w:r>
            <w:r w:rsidR="001149A9" w:rsidRPr="00E33941">
              <w:rPr>
                <w:rFonts w:ascii="Cambria" w:hAnsi="Cambria"/>
                <w:noProof/>
                <w:webHidden/>
              </w:rPr>
              <w:fldChar w:fldCharType="end"/>
            </w:r>
          </w:hyperlink>
        </w:p>
        <w:p w14:paraId="7E53AF74" w14:textId="3A63C532" w:rsidR="001149A9" w:rsidRPr="00E33941" w:rsidRDefault="00000000">
          <w:pPr>
            <w:pStyle w:val="TOC3"/>
            <w:rPr>
              <w:rFonts w:ascii="Cambria" w:eastAsiaTheme="minorEastAsia" w:hAnsi="Cambria"/>
              <w:noProof/>
              <w:lang w:eastAsia="en-GB"/>
            </w:rPr>
          </w:pPr>
          <w:hyperlink w:anchor="_Toc115726218" w:history="1">
            <w:r w:rsidR="001149A9" w:rsidRPr="00E33941">
              <w:rPr>
                <w:rStyle w:val="Hyperlink"/>
                <w:rFonts w:ascii="Cambria" w:hAnsi="Cambria"/>
                <w:noProof/>
              </w:rPr>
              <w:t>2.2.1 Sustainable behaviour intention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37</w:t>
            </w:r>
            <w:r w:rsidR="001149A9" w:rsidRPr="00E33941">
              <w:rPr>
                <w:rFonts w:ascii="Cambria" w:hAnsi="Cambria"/>
                <w:noProof/>
                <w:webHidden/>
              </w:rPr>
              <w:fldChar w:fldCharType="end"/>
            </w:r>
          </w:hyperlink>
        </w:p>
        <w:p w14:paraId="6B7EF4E4" w14:textId="07E225A2" w:rsidR="001149A9" w:rsidRPr="00E33941" w:rsidRDefault="00000000">
          <w:pPr>
            <w:pStyle w:val="TOC2"/>
            <w:rPr>
              <w:rFonts w:ascii="Cambria" w:eastAsiaTheme="minorEastAsia" w:hAnsi="Cambria"/>
              <w:noProof/>
              <w:lang w:eastAsia="en-GB"/>
            </w:rPr>
          </w:pPr>
          <w:hyperlink w:anchor="_Toc115726219" w:history="1">
            <w:r w:rsidR="001149A9" w:rsidRPr="00E33941">
              <w:rPr>
                <w:rStyle w:val="Hyperlink"/>
                <w:rFonts w:ascii="Cambria" w:hAnsi="Cambria"/>
                <w:noProof/>
              </w:rPr>
              <w:t>2.3. Sustainability–advertisement: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_Toc115726219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48</w:t>
            </w:r>
            <w:r w:rsidR="001149A9" w:rsidRPr="00E33941">
              <w:rPr>
                <w:rFonts w:ascii="Cambria" w:hAnsi="Cambria"/>
                <w:noProof/>
                <w:webHidden/>
              </w:rPr>
              <w:fldChar w:fldCharType="end"/>
            </w:r>
          </w:hyperlink>
        </w:p>
        <w:p w14:paraId="0085C37F" w14:textId="02E26AB7" w:rsidR="001149A9" w:rsidRPr="00E33941" w:rsidRDefault="00000000">
          <w:pPr>
            <w:pStyle w:val="TOC2"/>
            <w:rPr>
              <w:rFonts w:ascii="Cambria" w:eastAsiaTheme="minorEastAsia" w:hAnsi="Cambria"/>
              <w:noProof/>
              <w:lang w:eastAsia="en-GB"/>
            </w:rPr>
          </w:pPr>
          <w:hyperlink w:anchor="_Toc115726220" w:history="1">
            <w:r w:rsidR="001149A9" w:rsidRPr="00E33941">
              <w:rPr>
                <w:rStyle w:val="Hyperlink"/>
                <w:rFonts w:ascii="Cambria" w:hAnsi="Cambria"/>
                <w:noProof/>
              </w:rPr>
              <w:t>2.4.  Social–media–engagement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55</w:t>
            </w:r>
            <w:r w:rsidR="001149A9" w:rsidRPr="00E33941">
              <w:rPr>
                <w:rFonts w:ascii="Cambria" w:hAnsi="Cambria"/>
                <w:noProof/>
                <w:webHidden/>
              </w:rPr>
              <w:fldChar w:fldCharType="end"/>
            </w:r>
          </w:hyperlink>
        </w:p>
        <w:p w14:paraId="26A98B92" w14:textId="7EBBE991" w:rsidR="001149A9" w:rsidRPr="00E33941" w:rsidRDefault="00000000">
          <w:pPr>
            <w:pStyle w:val="TOC2"/>
            <w:rPr>
              <w:rFonts w:ascii="Cambria" w:eastAsiaTheme="minorEastAsia" w:hAnsi="Cambria"/>
              <w:noProof/>
              <w:lang w:eastAsia="en-GB"/>
            </w:rPr>
          </w:pPr>
          <w:hyperlink w:anchor="_Toc115726221" w:history="1">
            <w:r w:rsidR="001149A9" w:rsidRPr="00E33941">
              <w:rPr>
                <w:rStyle w:val="Hyperlink"/>
                <w:rFonts w:ascii="Cambria" w:hAnsi="Cambria"/>
                <w:noProof/>
              </w:rPr>
              <w:t>2.5 Thematic literature review</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58</w:t>
            </w:r>
            <w:r w:rsidR="001149A9" w:rsidRPr="00E33941">
              <w:rPr>
                <w:rFonts w:ascii="Cambria" w:hAnsi="Cambria"/>
                <w:noProof/>
                <w:webHidden/>
              </w:rPr>
              <w:fldChar w:fldCharType="end"/>
            </w:r>
          </w:hyperlink>
        </w:p>
        <w:p w14:paraId="515C2EDD" w14:textId="59E73A20" w:rsidR="001149A9" w:rsidRPr="00E33941" w:rsidRDefault="00000000">
          <w:pPr>
            <w:pStyle w:val="TOC3"/>
            <w:rPr>
              <w:rFonts w:ascii="Cambria" w:eastAsiaTheme="minorEastAsia" w:hAnsi="Cambria"/>
              <w:noProof/>
              <w:lang w:eastAsia="en-GB"/>
            </w:rPr>
          </w:pPr>
          <w:hyperlink w:anchor="_Toc115726222" w:history="1">
            <w:r w:rsidR="001149A9" w:rsidRPr="00E33941">
              <w:rPr>
                <w:rStyle w:val="Hyperlink"/>
                <w:rFonts w:ascii="Cambria" w:hAnsi="Cambria"/>
                <w:noProof/>
              </w:rPr>
              <w:t>2.5.1. Antecedents of social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63</w:t>
            </w:r>
            <w:r w:rsidR="001149A9" w:rsidRPr="00E33941">
              <w:rPr>
                <w:rFonts w:ascii="Cambria" w:hAnsi="Cambria"/>
                <w:noProof/>
                <w:webHidden/>
              </w:rPr>
              <w:fldChar w:fldCharType="end"/>
            </w:r>
          </w:hyperlink>
        </w:p>
        <w:p w14:paraId="587EBCEC" w14:textId="40F4A2DE" w:rsidR="001149A9" w:rsidRPr="00E33941" w:rsidRDefault="00000000">
          <w:pPr>
            <w:pStyle w:val="TOC3"/>
            <w:rPr>
              <w:rFonts w:ascii="Cambria" w:eastAsiaTheme="minorEastAsia" w:hAnsi="Cambria"/>
              <w:noProof/>
              <w:lang w:eastAsia="en-GB"/>
            </w:rPr>
          </w:pPr>
          <w:hyperlink w:anchor="_Toc115726223" w:history="1">
            <w:r w:rsidR="001149A9" w:rsidRPr="00E33941">
              <w:rPr>
                <w:rStyle w:val="Hyperlink"/>
                <w:rFonts w:ascii="Cambria" w:hAnsi="Cambria"/>
                <w:noProof/>
              </w:rPr>
              <w:t>2.5.2 Consequences of social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69</w:t>
            </w:r>
            <w:r w:rsidR="001149A9" w:rsidRPr="00E33941">
              <w:rPr>
                <w:rFonts w:ascii="Cambria" w:hAnsi="Cambria"/>
                <w:noProof/>
                <w:webHidden/>
              </w:rPr>
              <w:fldChar w:fldCharType="end"/>
            </w:r>
          </w:hyperlink>
        </w:p>
        <w:p w14:paraId="112289CC" w14:textId="60D483C9" w:rsidR="001149A9" w:rsidRPr="00E33941" w:rsidRDefault="00000000">
          <w:pPr>
            <w:pStyle w:val="TOC3"/>
            <w:rPr>
              <w:rFonts w:ascii="Cambria" w:eastAsiaTheme="minorEastAsia" w:hAnsi="Cambria"/>
              <w:noProof/>
              <w:lang w:eastAsia="en-GB"/>
            </w:rPr>
          </w:pPr>
          <w:hyperlink w:anchor="_Toc115726224" w:history="1">
            <w:r w:rsidR="001149A9" w:rsidRPr="00E33941">
              <w:rPr>
                <w:rStyle w:val="Hyperlink"/>
                <w:rFonts w:ascii="Cambria" w:hAnsi="Cambria"/>
                <w:noProof/>
              </w:rPr>
              <w:t>2.5.3. Thesis roadmap:</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71</w:t>
            </w:r>
            <w:r w:rsidR="001149A9" w:rsidRPr="00E33941">
              <w:rPr>
                <w:rFonts w:ascii="Cambria" w:hAnsi="Cambria"/>
                <w:noProof/>
                <w:webHidden/>
              </w:rPr>
              <w:fldChar w:fldCharType="end"/>
            </w:r>
          </w:hyperlink>
        </w:p>
        <w:p w14:paraId="750D0556" w14:textId="3FB0B265" w:rsidR="001149A9" w:rsidRPr="00E33941" w:rsidRDefault="00000000">
          <w:pPr>
            <w:pStyle w:val="TOC2"/>
            <w:rPr>
              <w:rFonts w:ascii="Cambria" w:eastAsiaTheme="minorEastAsia" w:hAnsi="Cambria"/>
              <w:noProof/>
              <w:lang w:eastAsia="en-GB"/>
            </w:rPr>
          </w:pPr>
          <w:hyperlink w:anchor="_Toc115726225" w:history="1">
            <w:r w:rsidR="001149A9" w:rsidRPr="00E33941">
              <w:rPr>
                <w:rStyle w:val="Hyperlink"/>
                <w:rFonts w:ascii="Cambria" w:hAnsi="Cambria"/>
                <w:noProof/>
              </w:rPr>
              <w:t>2.6.  The effect of positive or negative caption: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75</w:t>
            </w:r>
            <w:r w:rsidR="001149A9" w:rsidRPr="00E33941">
              <w:rPr>
                <w:rFonts w:ascii="Cambria" w:hAnsi="Cambria"/>
                <w:noProof/>
                <w:webHidden/>
              </w:rPr>
              <w:fldChar w:fldCharType="end"/>
            </w:r>
          </w:hyperlink>
        </w:p>
        <w:p w14:paraId="0F92B738" w14:textId="068CAD98" w:rsidR="001149A9" w:rsidRPr="00E33941" w:rsidRDefault="00000000">
          <w:pPr>
            <w:pStyle w:val="TOC2"/>
            <w:rPr>
              <w:rFonts w:ascii="Cambria" w:eastAsiaTheme="minorEastAsia" w:hAnsi="Cambria"/>
              <w:noProof/>
              <w:lang w:eastAsia="en-GB"/>
            </w:rPr>
          </w:pPr>
          <w:hyperlink w:anchor="_Toc115726226" w:history="1">
            <w:r w:rsidR="001149A9" w:rsidRPr="00E33941">
              <w:rPr>
                <w:rStyle w:val="Hyperlink"/>
                <w:rFonts w:ascii="Cambria" w:hAnsi="Cambria" w:cs="Times New Roman"/>
                <w:noProof/>
              </w:rPr>
              <w:t>2.7.  Source expertise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79</w:t>
            </w:r>
            <w:r w:rsidR="001149A9" w:rsidRPr="00E33941">
              <w:rPr>
                <w:rFonts w:ascii="Cambria" w:hAnsi="Cambria"/>
                <w:noProof/>
                <w:webHidden/>
              </w:rPr>
              <w:fldChar w:fldCharType="end"/>
            </w:r>
          </w:hyperlink>
        </w:p>
        <w:p w14:paraId="0A8BA64E" w14:textId="278BDFB5" w:rsidR="001149A9" w:rsidRPr="00E33941" w:rsidRDefault="00000000">
          <w:pPr>
            <w:pStyle w:val="TOC2"/>
            <w:rPr>
              <w:rFonts w:ascii="Cambria" w:eastAsiaTheme="minorEastAsia" w:hAnsi="Cambria"/>
              <w:noProof/>
              <w:lang w:eastAsia="en-GB"/>
            </w:rPr>
          </w:pPr>
          <w:hyperlink w:anchor="_Toc115726227" w:history="1">
            <w:r w:rsidR="001149A9" w:rsidRPr="00E33941">
              <w:rPr>
                <w:rStyle w:val="Hyperlink"/>
                <w:rFonts w:ascii="Cambria" w:hAnsi="Cambria" w:cs="Times New Roman"/>
                <w:noProof/>
              </w:rPr>
              <w:t>2.8. Involvement with the ad with sustainability message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82</w:t>
            </w:r>
            <w:r w:rsidR="001149A9" w:rsidRPr="00E33941">
              <w:rPr>
                <w:rFonts w:ascii="Cambria" w:hAnsi="Cambria"/>
                <w:noProof/>
                <w:webHidden/>
              </w:rPr>
              <w:fldChar w:fldCharType="end"/>
            </w:r>
          </w:hyperlink>
        </w:p>
        <w:p w14:paraId="2A77B256" w14:textId="60DFBD8C" w:rsidR="001149A9" w:rsidRPr="00E33941" w:rsidRDefault="00000000">
          <w:pPr>
            <w:pStyle w:val="TOC2"/>
            <w:rPr>
              <w:rFonts w:ascii="Cambria" w:eastAsiaTheme="minorEastAsia" w:hAnsi="Cambria"/>
              <w:noProof/>
              <w:lang w:eastAsia="en-GB"/>
            </w:rPr>
          </w:pPr>
          <w:hyperlink w:anchor="_Toc115726228" w:history="1">
            <w:r w:rsidR="001149A9" w:rsidRPr="00E33941">
              <w:rPr>
                <w:rStyle w:val="Hyperlink"/>
                <w:rFonts w:ascii="Cambria" w:hAnsi="Cambria" w:cs="Times New Roman"/>
                <w:noProof/>
              </w:rPr>
              <w:t>2.9. Self-transformative Consumption Vision (SCV)</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85</w:t>
            </w:r>
            <w:r w:rsidR="001149A9" w:rsidRPr="00E33941">
              <w:rPr>
                <w:rFonts w:ascii="Cambria" w:hAnsi="Cambria"/>
                <w:noProof/>
                <w:webHidden/>
              </w:rPr>
              <w:fldChar w:fldCharType="end"/>
            </w:r>
          </w:hyperlink>
        </w:p>
        <w:p w14:paraId="4D016954" w14:textId="0FD3A318" w:rsidR="001149A9" w:rsidRPr="00E33941" w:rsidRDefault="00000000">
          <w:pPr>
            <w:pStyle w:val="TOC2"/>
            <w:rPr>
              <w:rFonts w:ascii="Cambria" w:eastAsiaTheme="minorEastAsia" w:hAnsi="Cambria"/>
              <w:noProof/>
              <w:lang w:eastAsia="en-GB"/>
            </w:rPr>
          </w:pPr>
          <w:hyperlink w:anchor="_Toc115726229" w:history="1">
            <w:r w:rsidR="001149A9" w:rsidRPr="00E33941">
              <w:rPr>
                <w:rStyle w:val="Hyperlink"/>
                <w:rFonts w:ascii="Cambria" w:hAnsi="Cambria" w:cs="Times New Roman"/>
                <w:noProof/>
              </w:rPr>
              <w:t>2.10. Pleasure Arousal Dominance (PAD) model</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_Toc115726229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90</w:t>
            </w:r>
            <w:r w:rsidR="001149A9" w:rsidRPr="00E33941">
              <w:rPr>
                <w:rFonts w:ascii="Cambria" w:hAnsi="Cambria"/>
                <w:noProof/>
                <w:webHidden/>
              </w:rPr>
              <w:fldChar w:fldCharType="end"/>
            </w:r>
          </w:hyperlink>
        </w:p>
        <w:p w14:paraId="4A329E6C" w14:textId="60988CDF" w:rsidR="001149A9" w:rsidRPr="00E33941" w:rsidRDefault="00000000">
          <w:pPr>
            <w:pStyle w:val="TOC2"/>
            <w:rPr>
              <w:rFonts w:ascii="Cambria" w:eastAsiaTheme="minorEastAsia" w:hAnsi="Cambria"/>
              <w:noProof/>
              <w:lang w:eastAsia="en-GB"/>
            </w:rPr>
          </w:pPr>
          <w:hyperlink w:anchor="_Toc115726230" w:history="1">
            <w:r w:rsidR="001149A9" w:rsidRPr="00E33941">
              <w:rPr>
                <w:rStyle w:val="Hyperlink"/>
                <w:rFonts w:ascii="Cambria" w:hAnsi="Cambria" w:cs="Times New Roman"/>
                <w:noProof/>
              </w:rPr>
              <w:t>2.11. Ad attitude: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97</w:t>
            </w:r>
            <w:r w:rsidR="001149A9" w:rsidRPr="00E33941">
              <w:rPr>
                <w:rFonts w:ascii="Cambria" w:hAnsi="Cambria"/>
                <w:noProof/>
                <w:webHidden/>
              </w:rPr>
              <w:fldChar w:fldCharType="end"/>
            </w:r>
          </w:hyperlink>
        </w:p>
        <w:p w14:paraId="12F46616" w14:textId="4933C7AB" w:rsidR="001149A9" w:rsidRPr="00E33941" w:rsidRDefault="00000000">
          <w:pPr>
            <w:pStyle w:val="TOC2"/>
            <w:rPr>
              <w:rFonts w:ascii="Cambria" w:eastAsiaTheme="minorEastAsia" w:hAnsi="Cambria"/>
              <w:noProof/>
              <w:lang w:eastAsia="en-GB"/>
            </w:rPr>
          </w:pPr>
          <w:hyperlink w:anchor="_Toc115726231" w:history="1">
            <w:r w:rsidR="001149A9" w:rsidRPr="00E33941">
              <w:rPr>
                <w:rStyle w:val="Hyperlink"/>
                <w:rFonts w:ascii="Cambria" w:hAnsi="Cambria" w:cs="Times New Roman"/>
                <w:noProof/>
              </w:rPr>
              <w:t>2.12. Social influence theory by Deutsch and Gerard (1955):</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99</w:t>
            </w:r>
            <w:r w:rsidR="001149A9" w:rsidRPr="00E33941">
              <w:rPr>
                <w:rFonts w:ascii="Cambria" w:hAnsi="Cambria"/>
                <w:noProof/>
                <w:webHidden/>
              </w:rPr>
              <w:fldChar w:fldCharType="end"/>
            </w:r>
          </w:hyperlink>
        </w:p>
        <w:p w14:paraId="44FD0D18" w14:textId="47AF5F1B" w:rsidR="001149A9" w:rsidRPr="00E33941" w:rsidRDefault="00000000">
          <w:pPr>
            <w:pStyle w:val="TOC2"/>
            <w:rPr>
              <w:rFonts w:ascii="Cambria" w:eastAsiaTheme="minorEastAsia" w:hAnsi="Cambria"/>
              <w:noProof/>
              <w:lang w:eastAsia="en-GB"/>
            </w:rPr>
          </w:pPr>
          <w:hyperlink w:anchor="_Toc115726232" w:history="1">
            <w:r w:rsidR="001149A9" w:rsidRPr="00E33941">
              <w:rPr>
                <w:rStyle w:val="Hyperlink"/>
                <w:rFonts w:ascii="Cambria" w:hAnsi="Cambria"/>
                <w:noProof/>
              </w:rPr>
              <w:t>2.13. I</w:t>
            </w:r>
            <w:r w:rsidR="001149A9" w:rsidRPr="00E33941">
              <w:rPr>
                <w:rStyle w:val="Hyperlink"/>
                <w:rFonts w:ascii="Cambria" w:hAnsi="Cambria" w:cs="Times New Roman"/>
                <w:noProof/>
              </w:rPr>
              <w:t>mportance of examining the relationships among the constructs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104</w:t>
            </w:r>
            <w:r w:rsidR="001149A9" w:rsidRPr="00E33941">
              <w:rPr>
                <w:rFonts w:ascii="Cambria" w:hAnsi="Cambria"/>
                <w:noProof/>
                <w:webHidden/>
              </w:rPr>
              <w:fldChar w:fldCharType="end"/>
            </w:r>
          </w:hyperlink>
        </w:p>
        <w:p w14:paraId="3AEC26EA" w14:textId="24992B90" w:rsidR="001149A9" w:rsidRPr="00E33941" w:rsidRDefault="00000000">
          <w:pPr>
            <w:pStyle w:val="TOC1"/>
            <w:rPr>
              <w:rFonts w:ascii="Cambria" w:eastAsiaTheme="minorEastAsia" w:hAnsi="Cambria"/>
              <w:noProof/>
              <w:lang w:eastAsia="en-GB"/>
            </w:rPr>
          </w:pPr>
          <w:hyperlink w:anchor="_Toc115726233" w:history="1">
            <w:r w:rsidR="001149A9" w:rsidRPr="00E33941">
              <w:rPr>
                <w:rStyle w:val="Hyperlink"/>
                <w:rFonts w:ascii="Cambria" w:hAnsi="Cambria"/>
                <w:noProof/>
              </w:rPr>
              <w:t>3. Hypothesis development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110</w:t>
            </w:r>
            <w:r w:rsidR="001149A9" w:rsidRPr="00E33941">
              <w:rPr>
                <w:rFonts w:ascii="Cambria" w:hAnsi="Cambria"/>
                <w:noProof/>
                <w:webHidden/>
              </w:rPr>
              <w:fldChar w:fldCharType="end"/>
            </w:r>
          </w:hyperlink>
        </w:p>
        <w:p w14:paraId="109DA6A4" w14:textId="68E27E28" w:rsidR="001149A9" w:rsidRPr="00E33941" w:rsidRDefault="00000000">
          <w:pPr>
            <w:pStyle w:val="TOC2"/>
            <w:rPr>
              <w:rFonts w:ascii="Cambria" w:eastAsiaTheme="minorEastAsia" w:hAnsi="Cambria"/>
              <w:noProof/>
              <w:lang w:eastAsia="en-GB"/>
            </w:rPr>
          </w:pPr>
          <w:hyperlink w:anchor="_Toc115726234" w:history="1">
            <w:r w:rsidR="001149A9" w:rsidRPr="00E33941">
              <w:rPr>
                <w:rStyle w:val="Hyperlink"/>
                <w:rFonts w:ascii="Cambria" w:hAnsi="Cambria"/>
                <w:noProof/>
              </w:rPr>
              <w:t>3.1. Impact of caption on social–media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111</w:t>
            </w:r>
            <w:r w:rsidR="001149A9" w:rsidRPr="00E33941">
              <w:rPr>
                <w:rFonts w:ascii="Cambria" w:hAnsi="Cambria"/>
                <w:noProof/>
                <w:webHidden/>
              </w:rPr>
              <w:fldChar w:fldCharType="end"/>
            </w:r>
          </w:hyperlink>
        </w:p>
        <w:p w14:paraId="0B0EADEF" w14:textId="740860CA" w:rsidR="001149A9" w:rsidRPr="00E33941" w:rsidRDefault="00000000">
          <w:pPr>
            <w:pStyle w:val="TOC3"/>
            <w:rPr>
              <w:rFonts w:ascii="Cambria" w:eastAsiaTheme="minorEastAsia" w:hAnsi="Cambria"/>
              <w:noProof/>
              <w:lang w:eastAsia="en-GB"/>
            </w:rPr>
          </w:pPr>
          <w:hyperlink w:anchor="_Toc115726235" w:history="1">
            <w:r w:rsidR="001149A9" w:rsidRPr="00E33941">
              <w:rPr>
                <w:rStyle w:val="Hyperlink"/>
                <w:rFonts w:ascii="Cambria" w:hAnsi="Cambria"/>
                <w:noProof/>
              </w:rPr>
              <w:t>3.1.1 Moderating role of source expertise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112</w:t>
            </w:r>
            <w:r w:rsidR="001149A9" w:rsidRPr="00E33941">
              <w:rPr>
                <w:rFonts w:ascii="Cambria" w:hAnsi="Cambria"/>
                <w:noProof/>
                <w:webHidden/>
              </w:rPr>
              <w:fldChar w:fldCharType="end"/>
            </w:r>
          </w:hyperlink>
        </w:p>
        <w:p w14:paraId="4D3360D2" w14:textId="7CEE4A29" w:rsidR="001149A9" w:rsidRPr="00E33941" w:rsidRDefault="00000000">
          <w:pPr>
            <w:pStyle w:val="TOC2"/>
            <w:rPr>
              <w:rFonts w:ascii="Cambria" w:eastAsiaTheme="minorEastAsia" w:hAnsi="Cambria"/>
              <w:noProof/>
              <w:lang w:eastAsia="en-GB"/>
            </w:rPr>
          </w:pPr>
          <w:hyperlink w:anchor="_Toc115726236" w:history="1">
            <w:r w:rsidR="001149A9" w:rsidRPr="00E33941">
              <w:rPr>
                <w:rStyle w:val="Hyperlink"/>
                <w:rFonts w:ascii="Cambria" w:hAnsi="Cambria"/>
                <w:noProof/>
              </w:rPr>
              <w:t>3.2 Impact of caption on Self–transformative consumption vision (SCV)–</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114</w:t>
            </w:r>
            <w:r w:rsidR="001149A9" w:rsidRPr="00E33941">
              <w:rPr>
                <w:rFonts w:ascii="Cambria" w:hAnsi="Cambria"/>
                <w:noProof/>
                <w:webHidden/>
              </w:rPr>
              <w:fldChar w:fldCharType="end"/>
            </w:r>
          </w:hyperlink>
        </w:p>
        <w:p w14:paraId="47163E91" w14:textId="1735EF0A" w:rsidR="001149A9" w:rsidRPr="00E33941" w:rsidRDefault="00000000">
          <w:pPr>
            <w:pStyle w:val="TOC3"/>
            <w:rPr>
              <w:rFonts w:ascii="Cambria" w:eastAsiaTheme="minorEastAsia" w:hAnsi="Cambria"/>
              <w:noProof/>
              <w:lang w:eastAsia="en-GB"/>
            </w:rPr>
          </w:pPr>
          <w:hyperlink w:anchor="_Toc115726237" w:history="1">
            <w:r w:rsidR="001149A9" w:rsidRPr="00E33941">
              <w:rPr>
                <w:rStyle w:val="Hyperlink"/>
                <w:rFonts w:ascii="Cambria" w:hAnsi="Cambria"/>
                <w:noProof/>
              </w:rPr>
              <w:t>3.2.1 Moderating role of source expertise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115</w:t>
            </w:r>
            <w:r w:rsidR="001149A9" w:rsidRPr="00E33941">
              <w:rPr>
                <w:rFonts w:ascii="Cambria" w:hAnsi="Cambria"/>
                <w:noProof/>
                <w:webHidden/>
              </w:rPr>
              <w:fldChar w:fldCharType="end"/>
            </w:r>
          </w:hyperlink>
        </w:p>
        <w:p w14:paraId="3B6B1831" w14:textId="46F539FB" w:rsidR="001149A9" w:rsidRPr="00E33941" w:rsidRDefault="00000000">
          <w:pPr>
            <w:pStyle w:val="TOC2"/>
            <w:rPr>
              <w:rFonts w:ascii="Cambria" w:eastAsiaTheme="minorEastAsia" w:hAnsi="Cambria"/>
              <w:noProof/>
              <w:lang w:eastAsia="en-GB"/>
            </w:rPr>
          </w:pPr>
          <w:hyperlink w:anchor="_Toc115726238" w:history="1">
            <w:r w:rsidR="001149A9" w:rsidRPr="00E33941">
              <w:rPr>
                <w:rStyle w:val="Hyperlink"/>
                <w:rFonts w:ascii="Cambria" w:hAnsi="Cambria"/>
                <w:noProof/>
              </w:rPr>
              <w:t>3.4 Impact of Involvement on Self–transformative consumption vision (SCV)</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117</w:t>
            </w:r>
            <w:r w:rsidR="001149A9" w:rsidRPr="00E33941">
              <w:rPr>
                <w:rFonts w:ascii="Cambria" w:hAnsi="Cambria"/>
                <w:noProof/>
                <w:webHidden/>
              </w:rPr>
              <w:fldChar w:fldCharType="end"/>
            </w:r>
          </w:hyperlink>
        </w:p>
        <w:p w14:paraId="168BEFA3" w14:textId="579BFEBB" w:rsidR="001149A9" w:rsidRPr="00E33941" w:rsidRDefault="00000000">
          <w:pPr>
            <w:pStyle w:val="TOC2"/>
            <w:rPr>
              <w:rFonts w:ascii="Cambria" w:eastAsiaTheme="minorEastAsia" w:hAnsi="Cambria"/>
              <w:noProof/>
              <w:lang w:eastAsia="en-GB"/>
            </w:rPr>
          </w:pPr>
          <w:hyperlink w:anchor="_Toc115726239" w:history="1">
            <w:r w:rsidR="001149A9" w:rsidRPr="00E33941">
              <w:rPr>
                <w:rStyle w:val="Hyperlink"/>
                <w:rFonts w:ascii="Cambria" w:hAnsi="Cambria"/>
                <w:noProof/>
              </w:rPr>
              <w:t>3.5. Impact Self–transformative consumption vision (SCV)  on Social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_Toc115726239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118</w:t>
            </w:r>
            <w:r w:rsidR="001149A9" w:rsidRPr="00E33941">
              <w:rPr>
                <w:rFonts w:ascii="Cambria" w:hAnsi="Cambria"/>
                <w:noProof/>
                <w:webHidden/>
              </w:rPr>
              <w:fldChar w:fldCharType="end"/>
            </w:r>
          </w:hyperlink>
        </w:p>
        <w:p w14:paraId="1174FFE8" w14:textId="6B4FBE01" w:rsidR="001149A9" w:rsidRPr="00E33941" w:rsidRDefault="00000000">
          <w:pPr>
            <w:pStyle w:val="TOC2"/>
            <w:rPr>
              <w:rFonts w:ascii="Cambria" w:eastAsiaTheme="minorEastAsia" w:hAnsi="Cambria"/>
              <w:noProof/>
              <w:lang w:eastAsia="en-GB"/>
            </w:rPr>
          </w:pPr>
          <w:hyperlink w:anchor="_Toc115726240" w:history="1">
            <w:r w:rsidR="001149A9" w:rsidRPr="00E33941">
              <w:rPr>
                <w:rStyle w:val="Hyperlink"/>
                <w:rFonts w:ascii="Cambria" w:hAnsi="Cambria"/>
                <w:noProof/>
              </w:rPr>
              <w:t>3.6. Imapct Self–transformative consumption vision (SCV) on Emotional dimensions (PAD)–</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118</w:t>
            </w:r>
            <w:r w:rsidR="001149A9" w:rsidRPr="00E33941">
              <w:rPr>
                <w:rFonts w:ascii="Cambria" w:hAnsi="Cambria"/>
                <w:noProof/>
                <w:webHidden/>
              </w:rPr>
              <w:fldChar w:fldCharType="end"/>
            </w:r>
          </w:hyperlink>
        </w:p>
        <w:p w14:paraId="508A29E4" w14:textId="0EBCDFC3" w:rsidR="001149A9" w:rsidRPr="00E33941" w:rsidRDefault="00000000">
          <w:pPr>
            <w:pStyle w:val="TOC2"/>
            <w:rPr>
              <w:rFonts w:ascii="Cambria" w:eastAsiaTheme="minorEastAsia" w:hAnsi="Cambria"/>
              <w:noProof/>
              <w:lang w:eastAsia="en-GB"/>
            </w:rPr>
          </w:pPr>
          <w:hyperlink w:anchor="_Toc115726241" w:history="1">
            <w:r w:rsidR="001149A9" w:rsidRPr="00E33941">
              <w:rPr>
                <w:rStyle w:val="Hyperlink"/>
                <w:rFonts w:ascii="Cambria" w:hAnsi="Cambria"/>
                <w:noProof/>
              </w:rPr>
              <w:t>3.7 Imapct of Emotional dimensions (PAD) on Ad attitude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121</w:t>
            </w:r>
            <w:r w:rsidR="001149A9" w:rsidRPr="00E33941">
              <w:rPr>
                <w:rFonts w:ascii="Cambria" w:hAnsi="Cambria"/>
                <w:noProof/>
                <w:webHidden/>
              </w:rPr>
              <w:fldChar w:fldCharType="end"/>
            </w:r>
          </w:hyperlink>
        </w:p>
        <w:p w14:paraId="5F75FC06" w14:textId="1F18E48C" w:rsidR="001149A9" w:rsidRPr="00E33941" w:rsidRDefault="00000000">
          <w:pPr>
            <w:pStyle w:val="TOC2"/>
            <w:rPr>
              <w:rFonts w:ascii="Cambria" w:eastAsiaTheme="minorEastAsia" w:hAnsi="Cambria"/>
              <w:noProof/>
              <w:lang w:eastAsia="en-GB"/>
            </w:rPr>
          </w:pPr>
          <w:hyperlink w:anchor="_Toc115726242" w:history="1">
            <w:r w:rsidR="001149A9" w:rsidRPr="00E33941">
              <w:rPr>
                <w:rStyle w:val="Hyperlink"/>
                <w:rFonts w:ascii="Cambria" w:hAnsi="Cambria"/>
                <w:noProof/>
              </w:rPr>
              <w:t>3.8. Impact of Ad attitude on Socilal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123</w:t>
            </w:r>
            <w:r w:rsidR="001149A9" w:rsidRPr="00E33941">
              <w:rPr>
                <w:rFonts w:ascii="Cambria" w:hAnsi="Cambria"/>
                <w:noProof/>
                <w:webHidden/>
              </w:rPr>
              <w:fldChar w:fldCharType="end"/>
            </w:r>
          </w:hyperlink>
        </w:p>
        <w:p w14:paraId="4C52571C" w14:textId="34EE971A" w:rsidR="001149A9" w:rsidRPr="00E33941" w:rsidRDefault="00000000">
          <w:pPr>
            <w:pStyle w:val="TOC2"/>
            <w:rPr>
              <w:rFonts w:ascii="Cambria" w:eastAsiaTheme="minorEastAsia" w:hAnsi="Cambria"/>
              <w:noProof/>
              <w:lang w:eastAsia="en-GB"/>
            </w:rPr>
          </w:pPr>
          <w:hyperlink w:anchor="_Toc115726243" w:history="1">
            <w:r w:rsidR="001149A9" w:rsidRPr="00E33941">
              <w:rPr>
                <w:rStyle w:val="Hyperlink"/>
                <w:rFonts w:ascii="Cambria" w:hAnsi="Cambria"/>
                <w:noProof/>
              </w:rPr>
              <w:t>3.9 Impact of social–media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124</w:t>
            </w:r>
            <w:r w:rsidR="001149A9" w:rsidRPr="00E33941">
              <w:rPr>
                <w:rFonts w:ascii="Cambria" w:hAnsi="Cambria"/>
                <w:noProof/>
                <w:webHidden/>
              </w:rPr>
              <w:fldChar w:fldCharType="end"/>
            </w:r>
          </w:hyperlink>
        </w:p>
        <w:p w14:paraId="0DE49A5A" w14:textId="198689A6" w:rsidR="001149A9" w:rsidRPr="00E33941" w:rsidRDefault="00000000">
          <w:pPr>
            <w:pStyle w:val="TOC3"/>
            <w:rPr>
              <w:rFonts w:ascii="Cambria" w:eastAsiaTheme="minorEastAsia" w:hAnsi="Cambria"/>
              <w:noProof/>
              <w:lang w:eastAsia="en-GB"/>
            </w:rPr>
          </w:pPr>
          <w:hyperlink w:anchor="_Toc115726244" w:history="1">
            <w:r w:rsidR="001149A9" w:rsidRPr="00E33941">
              <w:rPr>
                <w:rStyle w:val="Hyperlink"/>
                <w:rFonts w:ascii="Cambria" w:hAnsi="Cambria"/>
                <w:noProof/>
              </w:rPr>
              <w:t>3.9.1 Normative influence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124</w:t>
            </w:r>
            <w:r w:rsidR="001149A9" w:rsidRPr="00E33941">
              <w:rPr>
                <w:rFonts w:ascii="Cambria" w:hAnsi="Cambria"/>
                <w:noProof/>
                <w:webHidden/>
              </w:rPr>
              <w:fldChar w:fldCharType="end"/>
            </w:r>
          </w:hyperlink>
        </w:p>
        <w:p w14:paraId="1602259F" w14:textId="1A24B335" w:rsidR="001149A9" w:rsidRPr="00E33941" w:rsidRDefault="00000000">
          <w:pPr>
            <w:pStyle w:val="TOC3"/>
            <w:rPr>
              <w:rFonts w:ascii="Cambria" w:eastAsiaTheme="minorEastAsia" w:hAnsi="Cambria"/>
              <w:noProof/>
              <w:lang w:eastAsia="en-GB"/>
            </w:rPr>
          </w:pPr>
          <w:hyperlink w:anchor="_Toc115726245" w:history="1">
            <w:r w:rsidR="001149A9" w:rsidRPr="00E33941">
              <w:rPr>
                <w:rStyle w:val="Hyperlink"/>
                <w:rFonts w:ascii="Cambria" w:hAnsi="Cambria"/>
                <w:noProof/>
              </w:rPr>
              <w:t>3.9.2 Impact of Normative influence on purchase intention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125</w:t>
            </w:r>
            <w:r w:rsidR="001149A9" w:rsidRPr="00E33941">
              <w:rPr>
                <w:rFonts w:ascii="Cambria" w:hAnsi="Cambria"/>
                <w:noProof/>
                <w:webHidden/>
              </w:rPr>
              <w:fldChar w:fldCharType="end"/>
            </w:r>
          </w:hyperlink>
        </w:p>
        <w:p w14:paraId="6B69FDB4" w14:textId="753D4323" w:rsidR="001149A9" w:rsidRPr="00E33941" w:rsidRDefault="00000000">
          <w:pPr>
            <w:pStyle w:val="TOC3"/>
            <w:rPr>
              <w:rFonts w:ascii="Cambria" w:eastAsiaTheme="minorEastAsia" w:hAnsi="Cambria"/>
              <w:noProof/>
              <w:lang w:eastAsia="en-GB"/>
            </w:rPr>
          </w:pPr>
          <w:hyperlink w:anchor="_Toc115726246" w:history="1">
            <w:r w:rsidR="001149A9" w:rsidRPr="00E33941">
              <w:rPr>
                <w:rStyle w:val="Hyperlink"/>
                <w:rFonts w:ascii="Cambria" w:hAnsi="Cambria"/>
                <w:noProof/>
              </w:rPr>
              <w:t>3.9.3 Informational influence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126</w:t>
            </w:r>
            <w:r w:rsidR="001149A9" w:rsidRPr="00E33941">
              <w:rPr>
                <w:rFonts w:ascii="Cambria" w:hAnsi="Cambria"/>
                <w:noProof/>
                <w:webHidden/>
              </w:rPr>
              <w:fldChar w:fldCharType="end"/>
            </w:r>
          </w:hyperlink>
        </w:p>
        <w:p w14:paraId="5C36E464" w14:textId="6088F383" w:rsidR="001149A9" w:rsidRPr="00E33941" w:rsidRDefault="00000000">
          <w:pPr>
            <w:pStyle w:val="TOC3"/>
            <w:rPr>
              <w:rFonts w:ascii="Cambria" w:eastAsiaTheme="minorEastAsia" w:hAnsi="Cambria"/>
              <w:noProof/>
              <w:lang w:eastAsia="en-GB"/>
            </w:rPr>
          </w:pPr>
          <w:hyperlink w:anchor="_Toc115726247" w:history="1">
            <w:r w:rsidR="001149A9" w:rsidRPr="00E33941">
              <w:rPr>
                <w:rStyle w:val="Hyperlink"/>
                <w:rFonts w:ascii="Cambria" w:hAnsi="Cambria"/>
                <w:noProof/>
              </w:rPr>
              <w:t>3.9.4 Impact of informational influence on purchase intention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126</w:t>
            </w:r>
            <w:r w:rsidR="001149A9" w:rsidRPr="00E33941">
              <w:rPr>
                <w:rFonts w:ascii="Cambria" w:hAnsi="Cambria"/>
                <w:noProof/>
                <w:webHidden/>
              </w:rPr>
              <w:fldChar w:fldCharType="end"/>
            </w:r>
          </w:hyperlink>
        </w:p>
        <w:p w14:paraId="40E4AFDD" w14:textId="000068E8" w:rsidR="001149A9" w:rsidRPr="00E33941" w:rsidRDefault="00000000">
          <w:pPr>
            <w:pStyle w:val="TOC2"/>
            <w:rPr>
              <w:rFonts w:ascii="Cambria" w:eastAsiaTheme="minorEastAsia" w:hAnsi="Cambria"/>
              <w:noProof/>
              <w:lang w:eastAsia="en-GB"/>
            </w:rPr>
          </w:pPr>
          <w:hyperlink w:anchor="_Toc115726248" w:history="1">
            <w:r w:rsidR="001149A9" w:rsidRPr="00E33941">
              <w:rPr>
                <w:rStyle w:val="Hyperlink"/>
                <w:rFonts w:ascii="Cambria" w:hAnsi="Cambria"/>
                <w:noProof/>
              </w:rPr>
              <w:t>3.10 Impact of purchase intention on other behavioural intension–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127</w:t>
            </w:r>
            <w:r w:rsidR="001149A9" w:rsidRPr="00E33941">
              <w:rPr>
                <w:rFonts w:ascii="Cambria" w:hAnsi="Cambria"/>
                <w:noProof/>
                <w:webHidden/>
              </w:rPr>
              <w:fldChar w:fldCharType="end"/>
            </w:r>
          </w:hyperlink>
        </w:p>
        <w:p w14:paraId="203B7B77" w14:textId="45741041" w:rsidR="001149A9" w:rsidRPr="00E33941" w:rsidRDefault="00000000">
          <w:pPr>
            <w:pStyle w:val="TOC2"/>
            <w:rPr>
              <w:rFonts w:ascii="Cambria" w:eastAsiaTheme="minorEastAsia" w:hAnsi="Cambria"/>
              <w:noProof/>
              <w:lang w:eastAsia="en-GB"/>
            </w:rPr>
          </w:pPr>
          <w:hyperlink w:anchor="_Toc115726249" w:history="1">
            <w:r w:rsidR="001149A9" w:rsidRPr="00E33941">
              <w:rPr>
                <w:rStyle w:val="Hyperlink"/>
                <w:rFonts w:ascii="Cambria" w:hAnsi="Cambria"/>
                <w:noProof/>
              </w:rPr>
              <w:t>3.11. Conceptual framework</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_Toc115726249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128</w:t>
            </w:r>
            <w:r w:rsidR="001149A9" w:rsidRPr="00E33941">
              <w:rPr>
                <w:rFonts w:ascii="Cambria" w:hAnsi="Cambria"/>
                <w:noProof/>
                <w:webHidden/>
              </w:rPr>
              <w:fldChar w:fldCharType="end"/>
            </w:r>
          </w:hyperlink>
        </w:p>
        <w:p w14:paraId="24FC5754" w14:textId="7ED213AF" w:rsidR="001149A9" w:rsidRPr="00E33941" w:rsidRDefault="00000000">
          <w:pPr>
            <w:pStyle w:val="TOC1"/>
            <w:rPr>
              <w:rFonts w:ascii="Cambria" w:eastAsiaTheme="minorEastAsia" w:hAnsi="Cambria"/>
              <w:noProof/>
              <w:lang w:eastAsia="en-GB"/>
            </w:rPr>
          </w:pPr>
          <w:hyperlink w:anchor="_Toc115726250" w:history="1">
            <w:r w:rsidR="001149A9" w:rsidRPr="00E33941">
              <w:rPr>
                <w:rStyle w:val="Hyperlink"/>
                <w:rFonts w:ascii="Cambria" w:hAnsi="Cambria"/>
                <w:noProof/>
              </w:rPr>
              <w:t>4. Research philosophy and methodology: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131</w:t>
            </w:r>
            <w:r w:rsidR="001149A9" w:rsidRPr="00E33941">
              <w:rPr>
                <w:rFonts w:ascii="Cambria" w:hAnsi="Cambria"/>
                <w:noProof/>
                <w:webHidden/>
              </w:rPr>
              <w:fldChar w:fldCharType="end"/>
            </w:r>
          </w:hyperlink>
        </w:p>
        <w:p w14:paraId="7FAEF5D9" w14:textId="40B3429B" w:rsidR="001149A9" w:rsidRPr="00E33941" w:rsidRDefault="00000000">
          <w:pPr>
            <w:pStyle w:val="TOC2"/>
            <w:rPr>
              <w:rFonts w:ascii="Cambria" w:eastAsiaTheme="minorEastAsia" w:hAnsi="Cambria"/>
              <w:noProof/>
              <w:lang w:eastAsia="en-GB"/>
            </w:rPr>
          </w:pPr>
          <w:hyperlink w:anchor="_Toc115726251" w:history="1">
            <w:r w:rsidR="001149A9" w:rsidRPr="00E33941">
              <w:rPr>
                <w:rStyle w:val="Hyperlink"/>
                <w:rFonts w:ascii="Cambria" w:hAnsi="Cambria"/>
                <w:noProof/>
              </w:rPr>
              <w:t>4.1.Philosophy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132</w:t>
            </w:r>
            <w:r w:rsidR="001149A9" w:rsidRPr="00E33941">
              <w:rPr>
                <w:rFonts w:ascii="Cambria" w:hAnsi="Cambria"/>
                <w:noProof/>
                <w:webHidden/>
              </w:rPr>
              <w:fldChar w:fldCharType="end"/>
            </w:r>
          </w:hyperlink>
        </w:p>
        <w:p w14:paraId="761A78D8" w14:textId="63181ACD" w:rsidR="001149A9" w:rsidRPr="00E33941" w:rsidRDefault="00000000">
          <w:pPr>
            <w:pStyle w:val="TOC2"/>
            <w:rPr>
              <w:rFonts w:ascii="Cambria" w:eastAsiaTheme="minorEastAsia" w:hAnsi="Cambria"/>
              <w:noProof/>
              <w:lang w:eastAsia="en-GB"/>
            </w:rPr>
          </w:pPr>
          <w:hyperlink w:anchor="_Toc115726252" w:history="1">
            <w:r w:rsidR="001149A9" w:rsidRPr="00E33941">
              <w:rPr>
                <w:rStyle w:val="Hyperlink"/>
                <w:rFonts w:ascii="Cambria" w:hAnsi="Cambria"/>
                <w:noProof/>
              </w:rPr>
              <w:t>4.2. General research approach</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132</w:t>
            </w:r>
            <w:r w:rsidR="001149A9" w:rsidRPr="00E33941">
              <w:rPr>
                <w:rFonts w:ascii="Cambria" w:hAnsi="Cambria"/>
                <w:noProof/>
                <w:webHidden/>
              </w:rPr>
              <w:fldChar w:fldCharType="end"/>
            </w:r>
          </w:hyperlink>
        </w:p>
        <w:p w14:paraId="709AEFC6" w14:textId="27F49F1C" w:rsidR="001149A9" w:rsidRPr="00E33941" w:rsidRDefault="00000000">
          <w:pPr>
            <w:pStyle w:val="TOC2"/>
            <w:rPr>
              <w:rFonts w:ascii="Cambria" w:eastAsiaTheme="minorEastAsia" w:hAnsi="Cambria"/>
              <w:noProof/>
              <w:lang w:eastAsia="en-GB"/>
            </w:rPr>
          </w:pPr>
          <w:hyperlink w:anchor="_Toc115726253" w:history="1">
            <w:r w:rsidR="001149A9" w:rsidRPr="00E33941">
              <w:rPr>
                <w:rStyle w:val="Hyperlink"/>
                <w:rFonts w:ascii="Cambria" w:hAnsi="Cambria"/>
                <w:noProof/>
              </w:rPr>
              <w:t>4.3. Methodological approach: Online Experiment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134</w:t>
            </w:r>
            <w:r w:rsidR="001149A9" w:rsidRPr="00E33941">
              <w:rPr>
                <w:rFonts w:ascii="Cambria" w:hAnsi="Cambria"/>
                <w:noProof/>
                <w:webHidden/>
              </w:rPr>
              <w:fldChar w:fldCharType="end"/>
            </w:r>
          </w:hyperlink>
        </w:p>
        <w:p w14:paraId="02ED8222" w14:textId="5DCE4D6F" w:rsidR="001149A9" w:rsidRPr="00E33941" w:rsidRDefault="00000000">
          <w:pPr>
            <w:pStyle w:val="TOC3"/>
            <w:rPr>
              <w:rFonts w:ascii="Cambria" w:eastAsiaTheme="minorEastAsia" w:hAnsi="Cambria"/>
              <w:noProof/>
              <w:lang w:eastAsia="en-GB"/>
            </w:rPr>
          </w:pPr>
          <w:hyperlink w:anchor="_Toc115726254" w:history="1">
            <w:r w:rsidR="001149A9" w:rsidRPr="00E33941">
              <w:rPr>
                <w:rStyle w:val="Hyperlink"/>
                <w:rFonts w:ascii="Cambria" w:hAnsi="Cambria"/>
                <w:noProof/>
              </w:rPr>
              <w:t>4.3.1 Fictional brand and chosen product category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134</w:t>
            </w:r>
            <w:r w:rsidR="001149A9" w:rsidRPr="00E33941">
              <w:rPr>
                <w:rFonts w:ascii="Cambria" w:hAnsi="Cambria"/>
                <w:noProof/>
                <w:webHidden/>
              </w:rPr>
              <w:fldChar w:fldCharType="end"/>
            </w:r>
          </w:hyperlink>
        </w:p>
        <w:p w14:paraId="6CA607EC" w14:textId="6FCAEFC5" w:rsidR="001149A9" w:rsidRPr="00E33941" w:rsidRDefault="00000000">
          <w:pPr>
            <w:pStyle w:val="TOC3"/>
            <w:rPr>
              <w:rFonts w:ascii="Cambria" w:eastAsiaTheme="minorEastAsia" w:hAnsi="Cambria"/>
              <w:noProof/>
              <w:lang w:eastAsia="en-GB"/>
            </w:rPr>
          </w:pPr>
          <w:hyperlink w:anchor="_Toc115726255" w:history="1">
            <w:r w:rsidR="001149A9" w:rsidRPr="00E33941">
              <w:rPr>
                <w:rStyle w:val="Hyperlink"/>
                <w:rFonts w:ascii="Cambria" w:hAnsi="Cambria"/>
                <w:noProof/>
              </w:rPr>
              <w:t>4.3.2. Pre-test: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135</w:t>
            </w:r>
            <w:r w:rsidR="001149A9" w:rsidRPr="00E33941">
              <w:rPr>
                <w:rFonts w:ascii="Cambria" w:hAnsi="Cambria"/>
                <w:noProof/>
                <w:webHidden/>
              </w:rPr>
              <w:fldChar w:fldCharType="end"/>
            </w:r>
          </w:hyperlink>
        </w:p>
        <w:p w14:paraId="388AE412" w14:textId="3C2161F8" w:rsidR="001149A9" w:rsidRPr="00E33941" w:rsidRDefault="00000000">
          <w:pPr>
            <w:pStyle w:val="TOC3"/>
            <w:rPr>
              <w:rFonts w:ascii="Cambria" w:eastAsiaTheme="minorEastAsia" w:hAnsi="Cambria"/>
              <w:noProof/>
              <w:lang w:eastAsia="en-GB"/>
            </w:rPr>
          </w:pPr>
          <w:hyperlink w:anchor="_Toc115726256" w:history="1">
            <w:r w:rsidR="001149A9" w:rsidRPr="00E33941">
              <w:rPr>
                <w:rStyle w:val="Hyperlink"/>
                <w:rFonts w:ascii="Cambria" w:hAnsi="Cambria"/>
                <w:noProof/>
              </w:rPr>
              <w:t>4.3.3 Experimental Manipulations and Checks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141</w:t>
            </w:r>
            <w:r w:rsidR="001149A9" w:rsidRPr="00E33941">
              <w:rPr>
                <w:rFonts w:ascii="Cambria" w:hAnsi="Cambria"/>
                <w:noProof/>
                <w:webHidden/>
              </w:rPr>
              <w:fldChar w:fldCharType="end"/>
            </w:r>
          </w:hyperlink>
        </w:p>
        <w:p w14:paraId="435C5058" w14:textId="35B3564E" w:rsidR="001149A9" w:rsidRPr="00E33941" w:rsidRDefault="00000000">
          <w:pPr>
            <w:pStyle w:val="TOC3"/>
            <w:rPr>
              <w:rFonts w:ascii="Cambria" w:eastAsiaTheme="minorEastAsia" w:hAnsi="Cambria"/>
              <w:noProof/>
              <w:lang w:eastAsia="en-GB"/>
            </w:rPr>
          </w:pPr>
          <w:hyperlink w:anchor="_Toc115726257" w:history="1">
            <w:r w:rsidR="001149A9" w:rsidRPr="00E33941">
              <w:rPr>
                <w:rStyle w:val="Hyperlink"/>
                <w:rFonts w:ascii="Cambria" w:hAnsi="Cambria"/>
                <w:noProof/>
              </w:rPr>
              <w:t>4.3.4 Population, Sampling Frame and Sampling Technique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142</w:t>
            </w:r>
            <w:r w:rsidR="001149A9" w:rsidRPr="00E33941">
              <w:rPr>
                <w:rFonts w:ascii="Cambria" w:hAnsi="Cambria"/>
                <w:noProof/>
                <w:webHidden/>
              </w:rPr>
              <w:fldChar w:fldCharType="end"/>
            </w:r>
          </w:hyperlink>
        </w:p>
        <w:p w14:paraId="47831696" w14:textId="7B4D6210" w:rsidR="001149A9" w:rsidRPr="00E33941" w:rsidRDefault="00000000">
          <w:pPr>
            <w:pStyle w:val="TOC3"/>
            <w:rPr>
              <w:rFonts w:ascii="Cambria" w:eastAsiaTheme="minorEastAsia" w:hAnsi="Cambria"/>
              <w:noProof/>
              <w:lang w:eastAsia="en-GB"/>
            </w:rPr>
          </w:pPr>
          <w:hyperlink w:anchor="_Toc115726258" w:history="1">
            <w:r w:rsidR="001149A9" w:rsidRPr="00E33941">
              <w:rPr>
                <w:rStyle w:val="Hyperlink"/>
                <w:rFonts w:ascii="Cambria" w:hAnsi="Cambria"/>
                <w:noProof/>
                <w:shd w:val="clear" w:color="auto" w:fill="FFFFFF"/>
              </w:rPr>
              <w:t>4.3.5. Sample size: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144</w:t>
            </w:r>
            <w:r w:rsidR="001149A9" w:rsidRPr="00E33941">
              <w:rPr>
                <w:rFonts w:ascii="Cambria" w:hAnsi="Cambria"/>
                <w:noProof/>
                <w:webHidden/>
              </w:rPr>
              <w:fldChar w:fldCharType="end"/>
            </w:r>
          </w:hyperlink>
        </w:p>
        <w:p w14:paraId="0B065170" w14:textId="3D4F7B23" w:rsidR="001149A9" w:rsidRPr="00E33941" w:rsidRDefault="00000000">
          <w:pPr>
            <w:pStyle w:val="TOC3"/>
            <w:rPr>
              <w:rFonts w:ascii="Cambria" w:eastAsiaTheme="minorEastAsia" w:hAnsi="Cambria"/>
              <w:noProof/>
              <w:lang w:eastAsia="en-GB"/>
            </w:rPr>
          </w:pPr>
          <w:hyperlink w:anchor="_Toc115726259" w:history="1">
            <w:r w:rsidR="001149A9" w:rsidRPr="00E33941">
              <w:rPr>
                <w:rStyle w:val="Hyperlink"/>
                <w:rFonts w:ascii="Cambria" w:hAnsi="Cambria"/>
                <w:noProof/>
              </w:rPr>
              <w:t>4.3.6 Measurements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_Toc115726259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147</w:t>
            </w:r>
            <w:r w:rsidR="001149A9" w:rsidRPr="00E33941">
              <w:rPr>
                <w:rFonts w:ascii="Cambria" w:hAnsi="Cambria"/>
                <w:noProof/>
                <w:webHidden/>
              </w:rPr>
              <w:fldChar w:fldCharType="end"/>
            </w:r>
          </w:hyperlink>
        </w:p>
        <w:p w14:paraId="0C6EDA1B" w14:textId="0F04A898" w:rsidR="001149A9" w:rsidRPr="00E33941" w:rsidRDefault="00000000">
          <w:pPr>
            <w:pStyle w:val="TOC3"/>
            <w:rPr>
              <w:rFonts w:ascii="Cambria" w:eastAsiaTheme="minorEastAsia" w:hAnsi="Cambria"/>
              <w:noProof/>
              <w:lang w:eastAsia="en-GB"/>
            </w:rPr>
          </w:pPr>
          <w:hyperlink w:anchor="_Toc115726260" w:history="1">
            <w:r w:rsidR="001149A9" w:rsidRPr="00E33941">
              <w:rPr>
                <w:rStyle w:val="Hyperlink"/>
                <w:rFonts w:ascii="Cambria" w:hAnsi="Cambria"/>
                <w:noProof/>
              </w:rPr>
              <w:t>4.3.7. Reliability and assumptions checks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147</w:t>
            </w:r>
            <w:r w:rsidR="001149A9" w:rsidRPr="00E33941">
              <w:rPr>
                <w:rFonts w:ascii="Cambria" w:hAnsi="Cambria"/>
                <w:noProof/>
                <w:webHidden/>
              </w:rPr>
              <w:fldChar w:fldCharType="end"/>
            </w:r>
          </w:hyperlink>
        </w:p>
        <w:p w14:paraId="13B1FBED" w14:textId="2941A3B1" w:rsidR="001149A9" w:rsidRPr="00E33941" w:rsidRDefault="00000000">
          <w:pPr>
            <w:pStyle w:val="TOC3"/>
            <w:rPr>
              <w:rFonts w:ascii="Cambria" w:eastAsiaTheme="minorEastAsia" w:hAnsi="Cambria"/>
              <w:noProof/>
              <w:lang w:eastAsia="en-GB"/>
            </w:rPr>
          </w:pPr>
          <w:hyperlink w:anchor="_Toc115726261" w:history="1">
            <w:r w:rsidR="001149A9" w:rsidRPr="00E33941">
              <w:rPr>
                <w:rStyle w:val="Hyperlink"/>
                <w:rFonts w:ascii="Cambria" w:hAnsi="Cambria"/>
                <w:noProof/>
              </w:rPr>
              <w:t>4.3.8 Common method bias (CMB) –</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160</w:t>
            </w:r>
            <w:r w:rsidR="001149A9" w:rsidRPr="00E33941">
              <w:rPr>
                <w:rFonts w:ascii="Cambria" w:hAnsi="Cambria"/>
                <w:noProof/>
                <w:webHidden/>
              </w:rPr>
              <w:fldChar w:fldCharType="end"/>
            </w:r>
          </w:hyperlink>
        </w:p>
        <w:p w14:paraId="2E1A7CD4" w14:textId="334BA251" w:rsidR="001149A9" w:rsidRPr="00E33941" w:rsidRDefault="00000000">
          <w:pPr>
            <w:pStyle w:val="TOC2"/>
            <w:rPr>
              <w:rFonts w:ascii="Cambria" w:eastAsiaTheme="minorEastAsia" w:hAnsi="Cambria"/>
              <w:noProof/>
              <w:lang w:eastAsia="en-GB"/>
            </w:rPr>
          </w:pPr>
          <w:hyperlink w:anchor="_Toc115726262" w:history="1">
            <w:r w:rsidR="001149A9" w:rsidRPr="00E33941">
              <w:rPr>
                <w:rStyle w:val="Hyperlink"/>
                <w:rFonts w:ascii="Cambria" w:hAnsi="Cambria"/>
                <w:noProof/>
              </w:rPr>
              <w:t>4.4. Ethics.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160</w:t>
            </w:r>
            <w:r w:rsidR="001149A9" w:rsidRPr="00E33941">
              <w:rPr>
                <w:rFonts w:ascii="Cambria" w:hAnsi="Cambria"/>
                <w:noProof/>
                <w:webHidden/>
              </w:rPr>
              <w:fldChar w:fldCharType="end"/>
            </w:r>
          </w:hyperlink>
        </w:p>
        <w:p w14:paraId="4933A0AA" w14:textId="647B2F3A" w:rsidR="001149A9" w:rsidRPr="00E33941" w:rsidRDefault="00000000">
          <w:pPr>
            <w:pStyle w:val="TOC2"/>
            <w:rPr>
              <w:rFonts w:ascii="Cambria" w:eastAsiaTheme="minorEastAsia" w:hAnsi="Cambria"/>
              <w:noProof/>
              <w:lang w:eastAsia="en-GB"/>
            </w:rPr>
          </w:pPr>
          <w:hyperlink w:anchor="_Toc115726263" w:history="1">
            <w:r w:rsidR="001149A9" w:rsidRPr="00E33941">
              <w:rPr>
                <w:rStyle w:val="Hyperlink"/>
                <w:rFonts w:ascii="Cambria" w:hAnsi="Cambria"/>
                <w:noProof/>
                <w:lang w:val="en-US"/>
              </w:rPr>
              <w:t>4.5. Limitation: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160</w:t>
            </w:r>
            <w:r w:rsidR="001149A9" w:rsidRPr="00E33941">
              <w:rPr>
                <w:rFonts w:ascii="Cambria" w:hAnsi="Cambria"/>
                <w:noProof/>
                <w:webHidden/>
              </w:rPr>
              <w:fldChar w:fldCharType="end"/>
            </w:r>
          </w:hyperlink>
        </w:p>
        <w:p w14:paraId="5CA776D1" w14:textId="2169C212" w:rsidR="001149A9" w:rsidRPr="00E33941" w:rsidRDefault="00000000">
          <w:pPr>
            <w:pStyle w:val="TOC1"/>
            <w:rPr>
              <w:rFonts w:ascii="Cambria" w:eastAsiaTheme="minorEastAsia" w:hAnsi="Cambria"/>
              <w:noProof/>
              <w:lang w:eastAsia="en-GB"/>
            </w:rPr>
          </w:pPr>
          <w:hyperlink w:anchor="_Toc115726264" w:history="1">
            <w:r w:rsidR="001149A9" w:rsidRPr="00E33941">
              <w:rPr>
                <w:rStyle w:val="Hyperlink"/>
                <w:rFonts w:ascii="Cambria" w:hAnsi="Cambria"/>
                <w:noProof/>
              </w:rPr>
              <w:t>5. Result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162</w:t>
            </w:r>
            <w:r w:rsidR="001149A9" w:rsidRPr="00E33941">
              <w:rPr>
                <w:rFonts w:ascii="Cambria" w:hAnsi="Cambria"/>
                <w:noProof/>
                <w:webHidden/>
              </w:rPr>
              <w:fldChar w:fldCharType="end"/>
            </w:r>
          </w:hyperlink>
        </w:p>
        <w:p w14:paraId="1F8620B2" w14:textId="54A72C4B" w:rsidR="001149A9" w:rsidRPr="00E33941" w:rsidRDefault="00000000">
          <w:pPr>
            <w:pStyle w:val="TOC2"/>
            <w:rPr>
              <w:rFonts w:ascii="Cambria" w:eastAsiaTheme="minorEastAsia" w:hAnsi="Cambria"/>
              <w:noProof/>
              <w:lang w:eastAsia="en-GB"/>
            </w:rPr>
          </w:pPr>
          <w:hyperlink w:anchor="_Toc115726265" w:history="1">
            <w:r w:rsidR="001149A9" w:rsidRPr="00E33941">
              <w:rPr>
                <w:rStyle w:val="Hyperlink"/>
                <w:rFonts w:ascii="Cambria" w:hAnsi="Cambria"/>
                <w:noProof/>
                <w:lang w:val="en-US"/>
              </w:rPr>
              <w:t>5.1. Hypothesis testing</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163</w:t>
            </w:r>
            <w:r w:rsidR="001149A9" w:rsidRPr="00E33941">
              <w:rPr>
                <w:rFonts w:ascii="Cambria" w:hAnsi="Cambria"/>
                <w:noProof/>
                <w:webHidden/>
              </w:rPr>
              <w:fldChar w:fldCharType="end"/>
            </w:r>
          </w:hyperlink>
        </w:p>
        <w:p w14:paraId="77A10E4C" w14:textId="16B054CB" w:rsidR="001149A9" w:rsidRPr="00E33941" w:rsidRDefault="00000000">
          <w:pPr>
            <w:pStyle w:val="TOC3"/>
            <w:rPr>
              <w:rFonts w:ascii="Cambria" w:eastAsiaTheme="minorEastAsia" w:hAnsi="Cambria"/>
              <w:noProof/>
              <w:lang w:eastAsia="en-GB"/>
            </w:rPr>
          </w:pPr>
          <w:hyperlink w:anchor="_Toc115726266" w:history="1">
            <w:r w:rsidR="001149A9" w:rsidRPr="00E33941">
              <w:rPr>
                <w:rStyle w:val="Hyperlink"/>
                <w:rFonts w:ascii="Cambria" w:hAnsi="Cambria"/>
                <w:noProof/>
                <w:lang w:val="en-US"/>
              </w:rPr>
              <w:t>5.1.1 Impact of different types of Caption</w:t>
            </w:r>
            <w:r w:rsidR="004D2324">
              <w:rPr>
                <w:rStyle w:val="Hyperlink"/>
                <w:rFonts w:ascii="Cambria" w:hAnsi="Cambria"/>
                <w:noProof/>
                <w:lang w:val="en-US"/>
              </w:rPr>
              <w:t>s</w:t>
            </w:r>
            <w:r w:rsidR="001149A9" w:rsidRPr="00E33941">
              <w:rPr>
                <w:rStyle w:val="Hyperlink"/>
                <w:rFonts w:ascii="Cambria" w:hAnsi="Cambria"/>
                <w:noProof/>
                <w:lang w:val="en-US"/>
              </w:rPr>
              <w:t xml:space="preserve"> and source expertise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163</w:t>
            </w:r>
            <w:r w:rsidR="001149A9" w:rsidRPr="00E33941">
              <w:rPr>
                <w:rFonts w:ascii="Cambria" w:hAnsi="Cambria"/>
                <w:noProof/>
                <w:webHidden/>
              </w:rPr>
              <w:fldChar w:fldCharType="end"/>
            </w:r>
          </w:hyperlink>
        </w:p>
        <w:p w14:paraId="78AE7E4E" w14:textId="26520891" w:rsidR="001149A9" w:rsidRPr="00E33941" w:rsidRDefault="00000000">
          <w:pPr>
            <w:pStyle w:val="TOC3"/>
            <w:rPr>
              <w:rFonts w:ascii="Cambria" w:eastAsiaTheme="minorEastAsia" w:hAnsi="Cambria"/>
              <w:noProof/>
              <w:lang w:eastAsia="en-GB"/>
            </w:rPr>
          </w:pPr>
          <w:hyperlink w:anchor="_Toc115726267" w:history="1">
            <w:r w:rsidR="001149A9" w:rsidRPr="00E33941">
              <w:rPr>
                <w:rStyle w:val="Hyperlink"/>
                <w:rFonts w:ascii="Cambria" w:hAnsi="Cambria"/>
                <w:noProof/>
              </w:rPr>
              <w:t>5.1.2. Relationships among the variables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169</w:t>
            </w:r>
            <w:r w:rsidR="001149A9" w:rsidRPr="00E33941">
              <w:rPr>
                <w:rFonts w:ascii="Cambria" w:hAnsi="Cambria"/>
                <w:noProof/>
                <w:webHidden/>
              </w:rPr>
              <w:fldChar w:fldCharType="end"/>
            </w:r>
          </w:hyperlink>
        </w:p>
        <w:p w14:paraId="59306A8C" w14:textId="7ACA8F17" w:rsidR="001149A9" w:rsidRPr="00E33941" w:rsidRDefault="00000000">
          <w:pPr>
            <w:pStyle w:val="TOC2"/>
            <w:rPr>
              <w:rFonts w:ascii="Cambria" w:eastAsiaTheme="minorEastAsia" w:hAnsi="Cambria"/>
              <w:noProof/>
              <w:lang w:eastAsia="en-GB"/>
            </w:rPr>
          </w:pPr>
          <w:hyperlink w:anchor="_Toc115726268" w:history="1">
            <w:r w:rsidR="001149A9" w:rsidRPr="00E33941">
              <w:rPr>
                <w:rStyle w:val="Hyperlink"/>
                <w:rFonts w:ascii="Cambria" w:hAnsi="Cambria"/>
                <w:noProof/>
                <w:lang w:val="en-US"/>
              </w:rPr>
              <w:t>5.2. Testing control variables: Age gender and education: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175</w:t>
            </w:r>
            <w:r w:rsidR="001149A9" w:rsidRPr="00E33941">
              <w:rPr>
                <w:rFonts w:ascii="Cambria" w:hAnsi="Cambria"/>
                <w:noProof/>
                <w:webHidden/>
              </w:rPr>
              <w:fldChar w:fldCharType="end"/>
            </w:r>
          </w:hyperlink>
        </w:p>
        <w:p w14:paraId="31747293" w14:textId="698594CE" w:rsidR="001149A9" w:rsidRPr="00E33941" w:rsidRDefault="00000000">
          <w:pPr>
            <w:pStyle w:val="TOC2"/>
            <w:rPr>
              <w:rFonts w:ascii="Cambria" w:eastAsiaTheme="minorEastAsia" w:hAnsi="Cambria"/>
              <w:noProof/>
              <w:lang w:eastAsia="en-GB"/>
            </w:rPr>
          </w:pPr>
          <w:hyperlink w:anchor="_Toc115726269" w:history="1">
            <w:r w:rsidR="001149A9" w:rsidRPr="00E33941">
              <w:rPr>
                <w:rStyle w:val="Hyperlink"/>
                <w:rFonts w:ascii="Cambria" w:hAnsi="Cambria"/>
                <w:noProof/>
                <w:lang w:val="en-US"/>
              </w:rPr>
              <w:t>5.3 Testing the impact of COVID-19 lockdown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_Toc115726269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177</w:t>
            </w:r>
            <w:r w:rsidR="001149A9" w:rsidRPr="00E33941">
              <w:rPr>
                <w:rFonts w:ascii="Cambria" w:hAnsi="Cambria"/>
                <w:noProof/>
                <w:webHidden/>
              </w:rPr>
              <w:fldChar w:fldCharType="end"/>
            </w:r>
          </w:hyperlink>
        </w:p>
        <w:p w14:paraId="5B5C3297" w14:textId="0F76BC4E" w:rsidR="001149A9" w:rsidRPr="00E33941" w:rsidRDefault="00000000">
          <w:pPr>
            <w:pStyle w:val="TOC1"/>
            <w:rPr>
              <w:rFonts w:ascii="Cambria" w:eastAsiaTheme="minorEastAsia" w:hAnsi="Cambria"/>
              <w:noProof/>
              <w:lang w:eastAsia="en-GB"/>
            </w:rPr>
          </w:pPr>
          <w:hyperlink w:anchor="_Toc115726270" w:history="1">
            <w:r w:rsidR="001149A9" w:rsidRPr="00E33941">
              <w:rPr>
                <w:rStyle w:val="Hyperlink"/>
                <w:rFonts w:ascii="Cambria" w:hAnsi="Cambria"/>
                <w:noProof/>
              </w:rPr>
              <w:t>6. Discussion: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181</w:t>
            </w:r>
            <w:r w:rsidR="001149A9" w:rsidRPr="00E33941">
              <w:rPr>
                <w:rFonts w:ascii="Cambria" w:hAnsi="Cambria"/>
                <w:noProof/>
                <w:webHidden/>
              </w:rPr>
              <w:fldChar w:fldCharType="end"/>
            </w:r>
          </w:hyperlink>
        </w:p>
        <w:p w14:paraId="7B0DA5BD" w14:textId="1FB0E71F" w:rsidR="001149A9" w:rsidRPr="00E33941" w:rsidRDefault="00000000">
          <w:pPr>
            <w:pStyle w:val="TOC2"/>
            <w:rPr>
              <w:rFonts w:ascii="Cambria" w:eastAsiaTheme="minorEastAsia" w:hAnsi="Cambria"/>
              <w:noProof/>
              <w:lang w:eastAsia="en-GB"/>
            </w:rPr>
          </w:pPr>
          <w:hyperlink w:anchor="_Toc115726271" w:history="1">
            <w:r w:rsidR="001149A9" w:rsidRPr="00E33941">
              <w:rPr>
                <w:rStyle w:val="Hyperlink"/>
                <w:rFonts w:ascii="Cambria" w:hAnsi="Cambria"/>
                <w:noProof/>
              </w:rPr>
              <w:t>6.1. Positive and negative caption’s influence on social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182</w:t>
            </w:r>
            <w:r w:rsidR="001149A9" w:rsidRPr="00E33941">
              <w:rPr>
                <w:rFonts w:ascii="Cambria" w:hAnsi="Cambria"/>
                <w:noProof/>
                <w:webHidden/>
              </w:rPr>
              <w:fldChar w:fldCharType="end"/>
            </w:r>
          </w:hyperlink>
        </w:p>
        <w:p w14:paraId="559C5086" w14:textId="70CF57D6" w:rsidR="001149A9" w:rsidRPr="00E33941" w:rsidRDefault="00000000">
          <w:pPr>
            <w:pStyle w:val="TOC2"/>
            <w:rPr>
              <w:rFonts w:ascii="Cambria" w:eastAsiaTheme="minorEastAsia" w:hAnsi="Cambria"/>
              <w:noProof/>
              <w:lang w:eastAsia="en-GB"/>
            </w:rPr>
          </w:pPr>
          <w:hyperlink w:anchor="_Toc115726272" w:history="1">
            <w:r w:rsidR="001149A9" w:rsidRPr="00E33941">
              <w:rPr>
                <w:rStyle w:val="Hyperlink"/>
                <w:rFonts w:ascii="Cambria" w:hAnsi="Cambria"/>
                <w:noProof/>
              </w:rPr>
              <w:t>6.2. Social media engagement’s influence on sustainable behaviour</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187</w:t>
            </w:r>
            <w:r w:rsidR="001149A9" w:rsidRPr="00E33941">
              <w:rPr>
                <w:rFonts w:ascii="Cambria" w:hAnsi="Cambria"/>
                <w:noProof/>
                <w:webHidden/>
              </w:rPr>
              <w:fldChar w:fldCharType="end"/>
            </w:r>
          </w:hyperlink>
        </w:p>
        <w:p w14:paraId="68CA1119" w14:textId="3C4DB0A4" w:rsidR="001149A9" w:rsidRPr="00E33941" w:rsidRDefault="00000000">
          <w:pPr>
            <w:pStyle w:val="TOC2"/>
            <w:rPr>
              <w:rFonts w:ascii="Cambria" w:eastAsiaTheme="minorEastAsia" w:hAnsi="Cambria"/>
              <w:noProof/>
              <w:lang w:eastAsia="en-GB"/>
            </w:rPr>
          </w:pPr>
          <w:hyperlink w:anchor="_Toc115726273" w:history="1">
            <w:r w:rsidR="001149A9" w:rsidRPr="00E33941">
              <w:rPr>
                <w:rStyle w:val="Hyperlink"/>
                <w:rFonts w:ascii="Cambria" w:hAnsi="Cambria"/>
                <w:noProof/>
              </w:rPr>
              <w:t>6.3. Contribution to theory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188</w:t>
            </w:r>
            <w:r w:rsidR="001149A9" w:rsidRPr="00E33941">
              <w:rPr>
                <w:rFonts w:ascii="Cambria" w:hAnsi="Cambria"/>
                <w:noProof/>
                <w:webHidden/>
              </w:rPr>
              <w:fldChar w:fldCharType="end"/>
            </w:r>
          </w:hyperlink>
        </w:p>
        <w:p w14:paraId="2AFEE5EB" w14:textId="2A30C6AA" w:rsidR="001149A9" w:rsidRPr="00E33941" w:rsidRDefault="00000000">
          <w:pPr>
            <w:pStyle w:val="TOC2"/>
            <w:rPr>
              <w:rFonts w:ascii="Cambria" w:eastAsiaTheme="minorEastAsia" w:hAnsi="Cambria"/>
              <w:noProof/>
              <w:lang w:eastAsia="en-GB"/>
            </w:rPr>
          </w:pPr>
          <w:hyperlink w:anchor="_Toc115726274" w:history="1">
            <w:r w:rsidR="001149A9" w:rsidRPr="00E33941">
              <w:rPr>
                <w:rStyle w:val="Hyperlink"/>
                <w:rFonts w:ascii="Cambria" w:hAnsi="Cambria"/>
                <w:noProof/>
              </w:rPr>
              <w:t>6.4. Managerial contribution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189</w:t>
            </w:r>
            <w:r w:rsidR="001149A9" w:rsidRPr="00E33941">
              <w:rPr>
                <w:rFonts w:ascii="Cambria" w:hAnsi="Cambria"/>
                <w:noProof/>
                <w:webHidden/>
              </w:rPr>
              <w:fldChar w:fldCharType="end"/>
            </w:r>
          </w:hyperlink>
        </w:p>
        <w:p w14:paraId="0FC72930" w14:textId="555816DA" w:rsidR="001149A9" w:rsidRPr="00E33941" w:rsidRDefault="00000000">
          <w:pPr>
            <w:pStyle w:val="TOC2"/>
            <w:rPr>
              <w:rFonts w:ascii="Cambria" w:eastAsiaTheme="minorEastAsia" w:hAnsi="Cambria"/>
              <w:noProof/>
              <w:lang w:eastAsia="en-GB"/>
            </w:rPr>
          </w:pPr>
          <w:hyperlink w:anchor="_Toc115726275" w:history="1">
            <w:r w:rsidR="001149A9" w:rsidRPr="00E33941">
              <w:rPr>
                <w:rStyle w:val="Hyperlink"/>
                <w:rFonts w:ascii="Cambria" w:hAnsi="Cambria"/>
                <w:noProof/>
              </w:rPr>
              <w:t>6.5. Limitation of the study and direction for the future research</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190</w:t>
            </w:r>
            <w:r w:rsidR="001149A9" w:rsidRPr="00E33941">
              <w:rPr>
                <w:rFonts w:ascii="Cambria" w:hAnsi="Cambria"/>
                <w:noProof/>
                <w:webHidden/>
              </w:rPr>
              <w:fldChar w:fldCharType="end"/>
            </w:r>
          </w:hyperlink>
        </w:p>
        <w:p w14:paraId="6683CE7B" w14:textId="3C422A7D" w:rsidR="001149A9" w:rsidRPr="00E33941" w:rsidRDefault="00000000">
          <w:pPr>
            <w:pStyle w:val="TOC1"/>
            <w:rPr>
              <w:rFonts w:ascii="Cambria" w:eastAsiaTheme="minorEastAsia" w:hAnsi="Cambria"/>
              <w:noProof/>
              <w:lang w:eastAsia="en-GB"/>
            </w:rPr>
          </w:pPr>
          <w:hyperlink w:anchor="_Toc115726276" w:history="1">
            <w:r w:rsidR="001149A9" w:rsidRPr="00E33941">
              <w:rPr>
                <w:rStyle w:val="Hyperlink"/>
                <w:rFonts w:ascii="Cambria" w:hAnsi="Cambria"/>
                <w:noProof/>
              </w:rPr>
              <w:t>7. Conclusion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195</w:t>
            </w:r>
            <w:r w:rsidR="001149A9" w:rsidRPr="00E33941">
              <w:rPr>
                <w:rFonts w:ascii="Cambria" w:hAnsi="Cambria"/>
                <w:noProof/>
                <w:webHidden/>
              </w:rPr>
              <w:fldChar w:fldCharType="end"/>
            </w:r>
          </w:hyperlink>
        </w:p>
        <w:p w14:paraId="69953FCA" w14:textId="7811551E" w:rsidR="001149A9" w:rsidRPr="00E33941" w:rsidRDefault="00000000">
          <w:pPr>
            <w:pStyle w:val="TOC1"/>
            <w:rPr>
              <w:rFonts w:ascii="Cambria" w:eastAsiaTheme="minorEastAsia" w:hAnsi="Cambria"/>
              <w:noProof/>
              <w:lang w:eastAsia="en-GB"/>
            </w:rPr>
          </w:pPr>
          <w:hyperlink w:anchor="_Toc115726277" w:history="1">
            <w:r w:rsidR="001149A9" w:rsidRPr="00E33941">
              <w:rPr>
                <w:rStyle w:val="Hyperlink"/>
                <w:rFonts w:ascii="Cambria" w:hAnsi="Cambria"/>
                <w:noProof/>
              </w:rPr>
              <w:t>Appendix 1: Antecedents to engage in social media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199</w:t>
            </w:r>
            <w:r w:rsidR="001149A9" w:rsidRPr="00E33941">
              <w:rPr>
                <w:rFonts w:ascii="Cambria" w:hAnsi="Cambria"/>
                <w:noProof/>
                <w:webHidden/>
              </w:rPr>
              <w:fldChar w:fldCharType="end"/>
            </w:r>
          </w:hyperlink>
        </w:p>
        <w:p w14:paraId="1DBD12EF" w14:textId="39B9813E" w:rsidR="001149A9" w:rsidRPr="00E33941" w:rsidRDefault="00000000">
          <w:pPr>
            <w:pStyle w:val="TOC2"/>
            <w:rPr>
              <w:rFonts w:ascii="Cambria" w:eastAsiaTheme="minorEastAsia" w:hAnsi="Cambria"/>
              <w:noProof/>
              <w:lang w:eastAsia="en-GB"/>
            </w:rPr>
          </w:pPr>
          <w:hyperlink w:anchor="_Toc115726278" w:history="1">
            <w:r w:rsidR="001149A9" w:rsidRPr="00E33941">
              <w:rPr>
                <w:rStyle w:val="Hyperlink"/>
                <w:rFonts w:ascii="Cambria" w:hAnsi="Cambria"/>
                <w:noProof/>
              </w:rPr>
              <w:t>Appendix 1.1: classification of Antecedent of social media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212</w:t>
            </w:r>
            <w:r w:rsidR="001149A9" w:rsidRPr="00E33941">
              <w:rPr>
                <w:rFonts w:ascii="Cambria" w:hAnsi="Cambria"/>
                <w:noProof/>
                <w:webHidden/>
              </w:rPr>
              <w:fldChar w:fldCharType="end"/>
            </w:r>
          </w:hyperlink>
        </w:p>
        <w:p w14:paraId="798C1989" w14:textId="321AB09D" w:rsidR="001149A9" w:rsidRPr="00E33941" w:rsidRDefault="00000000">
          <w:pPr>
            <w:pStyle w:val="TOC1"/>
            <w:rPr>
              <w:rFonts w:ascii="Cambria" w:eastAsiaTheme="minorEastAsia" w:hAnsi="Cambria"/>
              <w:noProof/>
              <w:lang w:eastAsia="en-GB"/>
            </w:rPr>
          </w:pPr>
          <w:hyperlink w:anchor="_Toc115726279" w:history="1">
            <w:r w:rsidR="001149A9" w:rsidRPr="00E33941">
              <w:rPr>
                <w:rStyle w:val="Hyperlink"/>
                <w:rFonts w:ascii="Cambria" w:hAnsi="Cambria"/>
                <w:noProof/>
              </w:rPr>
              <w:t>Appendix 2: Papers on sustainable behaviour intention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_Toc115726279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218</w:t>
            </w:r>
            <w:r w:rsidR="001149A9" w:rsidRPr="00E33941">
              <w:rPr>
                <w:rFonts w:ascii="Cambria" w:hAnsi="Cambria"/>
                <w:noProof/>
                <w:webHidden/>
              </w:rPr>
              <w:fldChar w:fldCharType="end"/>
            </w:r>
          </w:hyperlink>
        </w:p>
        <w:p w14:paraId="0EBC9E40" w14:textId="64AF5B4B" w:rsidR="001149A9" w:rsidRPr="00E33941" w:rsidRDefault="00000000">
          <w:pPr>
            <w:pStyle w:val="TOC2"/>
            <w:rPr>
              <w:rFonts w:ascii="Cambria" w:eastAsiaTheme="minorEastAsia" w:hAnsi="Cambria"/>
              <w:noProof/>
              <w:lang w:eastAsia="en-GB"/>
            </w:rPr>
          </w:pPr>
          <w:hyperlink w:anchor="_Toc115726280" w:history="1">
            <w:r w:rsidR="001149A9" w:rsidRPr="00E33941">
              <w:rPr>
                <w:rStyle w:val="Hyperlink"/>
                <w:rFonts w:ascii="Cambria" w:hAnsi="Cambria"/>
                <w:noProof/>
              </w:rPr>
              <w:t>Appendix 2.1: classification of Antecedent of Sustainable behaviour</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256</w:t>
            </w:r>
            <w:r w:rsidR="001149A9" w:rsidRPr="00E33941">
              <w:rPr>
                <w:rFonts w:ascii="Cambria" w:hAnsi="Cambria"/>
                <w:noProof/>
                <w:webHidden/>
              </w:rPr>
              <w:fldChar w:fldCharType="end"/>
            </w:r>
          </w:hyperlink>
        </w:p>
        <w:p w14:paraId="750FABED" w14:textId="070A05DA" w:rsidR="001149A9" w:rsidRPr="00E33941" w:rsidRDefault="00000000">
          <w:pPr>
            <w:pStyle w:val="TOC1"/>
            <w:rPr>
              <w:rFonts w:ascii="Cambria" w:eastAsiaTheme="minorEastAsia" w:hAnsi="Cambria"/>
              <w:noProof/>
              <w:lang w:eastAsia="en-GB"/>
            </w:rPr>
          </w:pPr>
          <w:hyperlink w:anchor="_Toc115726281" w:history="1">
            <w:r w:rsidR="001149A9" w:rsidRPr="00E33941">
              <w:rPr>
                <w:rStyle w:val="Hyperlink"/>
                <w:rFonts w:ascii="Cambria" w:hAnsi="Cambria"/>
                <w:noProof/>
              </w:rPr>
              <w:t>Appendix 3: Questionnaire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263</w:t>
            </w:r>
            <w:r w:rsidR="001149A9" w:rsidRPr="00E33941">
              <w:rPr>
                <w:rFonts w:ascii="Cambria" w:hAnsi="Cambria"/>
                <w:noProof/>
                <w:webHidden/>
              </w:rPr>
              <w:fldChar w:fldCharType="end"/>
            </w:r>
          </w:hyperlink>
        </w:p>
        <w:p w14:paraId="7543A984" w14:textId="53868E33" w:rsidR="001149A9" w:rsidRPr="00E33941" w:rsidRDefault="00000000">
          <w:pPr>
            <w:pStyle w:val="TOC2"/>
            <w:rPr>
              <w:rFonts w:ascii="Cambria" w:eastAsiaTheme="minorEastAsia" w:hAnsi="Cambria"/>
              <w:noProof/>
              <w:lang w:eastAsia="en-GB"/>
            </w:rPr>
          </w:pPr>
          <w:hyperlink w:anchor="_Toc115726282" w:history="1">
            <w:r w:rsidR="001149A9" w:rsidRPr="00E33941">
              <w:rPr>
                <w:rStyle w:val="Hyperlink"/>
                <w:rFonts w:ascii="Cambria" w:hAnsi="Cambria"/>
                <w:noProof/>
              </w:rPr>
              <w:t>Appendix: 3.1</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263</w:t>
            </w:r>
            <w:r w:rsidR="001149A9" w:rsidRPr="00E33941">
              <w:rPr>
                <w:rFonts w:ascii="Cambria" w:hAnsi="Cambria"/>
                <w:noProof/>
                <w:webHidden/>
              </w:rPr>
              <w:fldChar w:fldCharType="end"/>
            </w:r>
          </w:hyperlink>
        </w:p>
        <w:p w14:paraId="3FCB2810" w14:textId="4DD9901F" w:rsidR="001149A9" w:rsidRPr="00E33941" w:rsidRDefault="00000000">
          <w:pPr>
            <w:pStyle w:val="TOC2"/>
            <w:rPr>
              <w:rFonts w:ascii="Cambria" w:eastAsiaTheme="minorEastAsia" w:hAnsi="Cambria"/>
              <w:noProof/>
              <w:lang w:eastAsia="en-GB"/>
            </w:rPr>
          </w:pPr>
          <w:hyperlink w:anchor="_Toc115726283" w:history="1">
            <w:r w:rsidR="001149A9" w:rsidRPr="00E33941">
              <w:rPr>
                <w:rStyle w:val="Hyperlink"/>
                <w:rFonts w:ascii="Cambria" w:hAnsi="Cambria"/>
                <w:noProof/>
              </w:rPr>
              <w:t>Appendix : 3.2</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270</w:t>
            </w:r>
            <w:r w:rsidR="001149A9" w:rsidRPr="00E33941">
              <w:rPr>
                <w:rFonts w:ascii="Cambria" w:hAnsi="Cambria"/>
                <w:noProof/>
                <w:webHidden/>
              </w:rPr>
              <w:fldChar w:fldCharType="end"/>
            </w:r>
          </w:hyperlink>
        </w:p>
        <w:p w14:paraId="6FCCB212" w14:textId="0D8641DE" w:rsidR="001149A9" w:rsidRPr="00E33941" w:rsidRDefault="00000000">
          <w:pPr>
            <w:pStyle w:val="TOC2"/>
            <w:rPr>
              <w:rFonts w:ascii="Cambria" w:eastAsiaTheme="minorEastAsia" w:hAnsi="Cambria"/>
              <w:noProof/>
              <w:lang w:eastAsia="en-GB"/>
            </w:rPr>
          </w:pPr>
          <w:hyperlink w:anchor="_Toc115726284" w:history="1">
            <w:r w:rsidR="001149A9" w:rsidRPr="00E33941">
              <w:rPr>
                <w:rStyle w:val="Hyperlink"/>
                <w:rFonts w:ascii="Cambria" w:hAnsi="Cambria"/>
                <w:noProof/>
              </w:rPr>
              <w:t>Appendix 3.3</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274</w:t>
            </w:r>
            <w:r w:rsidR="001149A9" w:rsidRPr="00E33941">
              <w:rPr>
                <w:rFonts w:ascii="Cambria" w:hAnsi="Cambria"/>
                <w:noProof/>
                <w:webHidden/>
              </w:rPr>
              <w:fldChar w:fldCharType="end"/>
            </w:r>
          </w:hyperlink>
        </w:p>
        <w:p w14:paraId="1AD84897" w14:textId="067173DA" w:rsidR="001149A9" w:rsidRPr="00E33941" w:rsidRDefault="00000000">
          <w:pPr>
            <w:pStyle w:val="TOC2"/>
            <w:rPr>
              <w:rFonts w:ascii="Cambria" w:eastAsiaTheme="minorEastAsia" w:hAnsi="Cambria"/>
              <w:noProof/>
              <w:lang w:eastAsia="en-GB"/>
            </w:rPr>
          </w:pPr>
          <w:hyperlink w:anchor="_Toc115726285" w:history="1">
            <w:r w:rsidR="001149A9" w:rsidRPr="00E33941">
              <w:rPr>
                <w:rStyle w:val="Hyperlink"/>
                <w:rFonts w:ascii="Cambria" w:hAnsi="Cambria"/>
                <w:noProof/>
              </w:rPr>
              <w:t>Appendix 3.4. Partial correlation table to determine CMB</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291</w:t>
            </w:r>
            <w:r w:rsidR="001149A9" w:rsidRPr="00E33941">
              <w:rPr>
                <w:rFonts w:ascii="Cambria" w:hAnsi="Cambria"/>
                <w:noProof/>
                <w:webHidden/>
              </w:rPr>
              <w:fldChar w:fldCharType="end"/>
            </w:r>
          </w:hyperlink>
        </w:p>
        <w:p w14:paraId="766579A1" w14:textId="138D2C17" w:rsidR="001149A9" w:rsidRPr="00E33941" w:rsidRDefault="00000000">
          <w:pPr>
            <w:pStyle w:val="TOC2"/>
            <w:rPr>
              <w:rFonts w:ascii="Cambria" w:eastAsiaTheme="minorEastAsia" w:hAnsi="Cambria"/>
              <w:noProof/>
              <w:lang w:eastAsia="en-GB"/>
            </w:rPr>
          </w:pPr>
          <w:hyperlink w:anchor="_Toc115726286" w:history="1">
            <w:r w:rsidR="001149A9" w:rsidRPr="00E33941">
              <w:rPr>
                <w:rStyle w:val="Hyperlink"/>
                <w:rFonts w:ascii="Cambria" w:hAnsi="Cambria"/>
                <w:noProof/>
              </w:rPr>
              <w:t>Appendix 3.5 – Exploratory factor analysis result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292</w:t>
            </w:r>
            <w:r w:rsidR="001149A9" w:rsidRPr="00E33941">
              <w:rPr>
                <w:rFonts w:ascii="Cambria" w:hAnsi="Cambria"/>
                <w:noProof/>
                <w:webHidden/>
              </w:rPr>
              <w:fldChar w:fldCharType="end"/>
            </w:r>
          </w:hyperlink>
        </w:p>
        <w:p w14:paraId="2DF81F35" w14:textId="03981CEF" w:rsidR="001149A9" w:rsidRPr="00E33941" w:rsidRDefault="00000000">
          <w:pPr>
            <w:pStyle w:val="TOC2"/>
            <w:rPr>
              <w:rFonts w:ascii="Cambria" w:eastAsiaTheme="minorEastAsia" w:hAnsi="Cambria"/>
              <w:noProof/>
              <w:lang w:eastAsia="en-GB"/>
            </w:rPr>
          </w:pPr>
          <w:hyperlink w:anchor="_Toc115726287" w:history="1">
            <w:r w:rsidR="001149A9" w:rsidRPr="00E33941">
              <w:rPr>
                <w:rStyle w:val="Hyperlink"/>
                <w:rFonts w:ascii="Cambria" w:hAnsi="Cambria"/>
                <w:noProof/>
              </w:rPr>
              <w:t>Appendix 3.6-Comparison of discriminant validity and convergent validity among overall sample, February sample and April sample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294</w:t>
            </w:r>
            <w:r w:rsidR="001149A9" w:rsidRPr="00E33941">
              <w:rPr>
                <w:rFonts w:ascii="Cambria" w:hAnsi="Cambria"/>
                <w:noProof/>
                <w:webHidden/>
              </w:rPr>
              <w:fldChar w:fldCharType="end"/>
            </w:r>
          </w:hyperlink>
        </w:p>
        <w:p w14:paraId="22D208B3" w14:textId="4CF4A769" w:rsidR="001149A9" w:rsidRPr="00E33941" w:rsidRDefault="00000000">
          <w:pPr>
            <w:pStyle w:val="TOC2"/>
            <w:rPr>
              <w:rFonts w:ascii="Cambria" w:eastAsiaTheme="minorEastAsia" w:hAnsi="Cambria"/>
              <w:noProof/>
              <w:lang w:eastAsia="en-GB"/>
            </w:rPr>
          </w:pPr>
          <w:hyperlink w:anchor="_Toc115726288" w:history="1">
            <w:r w:rsidR="001149A9" w:rsidRPr="00E33941">
              <w:rPr>
                <w:rStyle w:val="Hyperlink"/>
                <w:rFonts w:ascii="Cambria" w:hAnsi="Cambria"/>
                <w:noProof/>
              </w:rPr>
              <w:t>Appendix 3.7 – comparison of the February and April sample by variables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295</w:t>
            </w:r>
            <w:r w:rsidR="001149A9" w:rsidRPr="00E33941">
              <w:rPr>
                <w:rFonts w:ascii="Cambria" w:hAnsi="Cambria"/>
                <w:noProof/>
                <w:webHidden/>
              </w:rPr>
              <w:fldChar w:fldCharType="end"/>
            </w:r>
          </w:hyperlink>
        </w:p>
        <w:p w14:paraId="6EA489B3" w14:textId="49017A9A" w:rsidR="001149A9" w:rsidRPr="00E33941" w:rsidRDefault="00000000">
          <w:pPr>
            <w:pStyle w:val="TOC2"/>
            <w:rPr>
              <w:rFonts w:ascii="Cambria" w:eastAsiaTheme="minorEastAsia" w:hAnsi="Cambria"/>
              <w:noProof/>
              <w:lang w:eastAsia="en-GB"/>
            </w:rPr>
          </w:pPr>
          <w:hyperlink w:anchor="_Toc115726289" w:history="1">
            <w:r w:rsidR="001149A9" w:rsidRPr="00E33941">
              <w:rPr>
                <w:rStyle w:val="Hyperlink"/>
                <w:rFonts w:ascii="Cambria" w:hAnsi="Cambria"/>
                <w:noProof/>
              </w:rPr>
              <w:t>Appendix 3.8- Confirmatory factor analysis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_Toc115726289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297</w:t>
            </w:r>
            <w:r w:rsidR="001149A9" w:rsidRPr="00E33941">
              <w:rPr>
                <w:rFonts w:ascii="Cambria" w:hAnsi="Cambria"/>
                <w:noProof/>
                <w:webHidden/>
              </w:rPr>
              <w:fldChar w:fldCharType="end"/>
            </w:r>
          </w:hyperlink>
        </w:p>
        <w:p w14:paraId="39438D97" w14:textId="084CA4F2" w:rsidR="001149A9" w:rsidRPr="00E33941" w:rsidRDefault="00000000">
          <w:pPr>
            <w:pStyle w:val="TOC1"/>
            <w:rPr>
              <w:rFonts w:ascii="Cambria" w:eastAsiaTheme="minorEastAsia" w:hAnsi="Cambria"/>
              <w:noProof/>
              <w:lang w:eastAsia="en-GB"/>
            </w:rPr>
          </w:pPr>
          <w:hyperlink w:anchor="_Toc115726290" w:history="1">
            <w:r w:rsidR="001149A9" w:rsidRPr="00E33941">
              <w:rPr>
                <w:rStyle w:val="Hyperlink"/>
                <w:rFonts w:ascii="Cambria" w:eastAsia="Times New Roman" w:hAnsi="Cambria"/>
                <w:noProof/>
                <w:lang w:val="en-US"/>
              </w:rPr>
              <w:t>Appendix 4: Result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306</w:t>
            </w:r>
            <w:r w:rsidR="001149A9" w:rsidRPr="00E33941">
              <w:rPr>
                <w:rFonts w:ascii="Cambria" w:hAnsi="Cambria"/>
                <w:noProof/>
                <w:webHidden/>
              </w:rPr>
              <w:fldChar w:fldCharType="end"/>
            </w:r>
          </w:hyperlink>
        </w:p>
        <w:p w14:paraId="6F9BB38B" w14:textId="4485CCAA" w:rsidR="001149A9" w:rsidRPr="00E33941" w:rsidRDefault="00000000">
          <w:pPr>
            <w:pStyle w:val="TOC2"/>
            <w:rPr>
              <w:rFonts w:ascii="Cambria" w:eastAsiaTheme="minorEastAsia" w:hAnsi="Cambria"/>
              <w:noProof/>
              <w:lang w:eastAsia="en-GB"/>
            </w:rPr>
          </w:pPr>
          <w:hyperlink w:anchor="_Toc115726291" w:history="1">
            <w:r w:rsidR="001149A9" w:rsidRPr="00E33941">
              <w:rPr>
                <w:rStyle w:val="Hyperlink"/>
                <w:rFonts w:ascii="Cambria" w:hAnsi="Cambria"/>
                <w:noProof/>
                <w:lang w:val="en-US"/>
              </w:rPr>
              <w:t>Appendix 4.1</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306</w:t>
            </w:r>
            <w:r w:rsidR="001149A9" w:rsidRPr="00E33941">
              <w:rPr>
                <w:rFonts w:ascii="Cambria" w:hAnsi="Cambria"/>
                <w:noProof/>
                <w:webHidden/>
              </w:rPr>
              <w:fldChar w:fldCharType="end"/>
            </w:r>
          </w:hyperlink>
        </w:p>
        <w:p w14:paraId="4343C598" w14:textId="1F6926CE" w:rsidR="001149A9" w:rsidRPr="00E33941" w:rsidRDefault="00000000">
          <w:pPr>
            <w:pStyle w:val="TOC3"/>
            <w:rPr>
              <w:rFonts w:ascii="Cambria" w:eastAsiaTheme="minorEastAsia" w:hAnsi="Cambria"/>
              <w:noProof/>
              <w:lang w:eastAsia="en-GB"/>
            </w:rPr>
          </w:pPr>
          <w:hyperlink w:anchor="_Toc115726292" w:history="1">
            <w:r w:rsidR="001149A9" w:rsidRPr="00E33941">
              <w:rPr>
                <w:rStyle w:val="Hyperlink"/>
                <w:rFonts w:ascii="Cambria" w:eastAsia="Times New Roman" w:hAnsi="Cambria"/>
                <w:noProof/>
                <w:lang w:val="en-US"/>
              </w:rPr>
              <w:t>One way MANOVA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306</w:t>
            </w:r>
            <w:r w:rsidR="001149A9" w:rsidRPr="00E33941">
              <w:rPr>
                <w:rFonts w:ascii="Cambria" w:hAnsi="Cambria"/>
                <w:noProof/>
                <w:webHidden/>
              </w:rPr>
              <w:fldChar w:fldCharType="end"/>
            </w:r>
          </w:hyperlink>
        </w:p>
        <w:p w14:paraId="1A0039DA" w14:textId="69003BA1" w:rsidR="001149A9" w:rsidRPr="00E33941" w:rsidRDefault="00000000">
          <w:pPr>
            <w:pStyle w:val="TOC3"/>
            <w:rPr>
              <w:rFonts w:ascii="Cambria" w:eastAsiaTheme="minorEastAsia" w:hAnsi="Cambria"/>
              <w:noProof/>
              <w:lang w:eastAsia="en-GB"/>
            </w:rPr>
          </w:pPr>
          <w:hyperlink w:anchor="_Toc115726293" w:history="1">
            <w:r w:rsidR="001149A9" w:rsidRPr="00E33941">
              <w:rPr>
                <w:rStyle w:val="Hyperlink"/>
                <w:rFonts w:ascii="Cambria" w:eastAsia="Times New Roman" w:hAnsi="Cambria"/>
                <w:noProof/>
                <w:lang w:val="en-US"/>
              </w:rPr>
              <w:t>Discriminant analysis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307</w:t>
            </w:r>
            <w:r w:rsidR="001149A9" w:rsidRPr="00E33941">
              <w:rPr>
                <w:rFonts w:ascii="Cambria" w:hAnsi="Cambria"/>
                <w:noProof/>
                <w:webHidden/>
              </w:rPr>
              <w:fldChar w:fldCharType="end"/>
            </w:r>
          </w:hyperlink>
        </w:p>
        <w:p w14:paraId="15B82DAD" w14:textId="3C8B5E7C" w:rsidR="001149A9" w:rsidRPr="00E33941" w:rsidRDefault="00000000">
          <w:pPr>
            <w:pStyle w:val="TOC3"/>
            <w:rPr>
              <w:rFonts w:ascii="Cambria" w:eastAsiaTheme="minorEastAsia" w:hAnsi="Cambria"/>
              <w:noProof/>
              <w:lang w:eastAsia="en-GB"/>
            </w:rPr>
          </w:pPr>
          <w:hyperlink w:anchor="_Toc115726294" w:history="1">
            <w:r w:rsidR="001149A9" w:rsidRPr="00E33941">
              <w:rPr>
                <w:rStyle w:val="Hyperlink"/>
                <w:rFonts w:ascii="Cambria" w:eastAsia="Times New Roman" w:hAnsi="Cambria"/>
                <w:noProof/>
                <w:lang w:val="en-US"/>
              </w:rPr>
              <w:t>Two way MANOVA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308</w:t>
            </w:r>
            <w:r w:rsidR="001149A9" w:rsidRPr="00E33941">
              <w:rPr>
                <w:rFonts w:ascii="Cambria" w:hAnsi="Cambria"/>
                <w:noProof/>
                <w:webHidden/>
              </w:rPr>
              <w:fldChar w:fldCharType="end"/>
            </w:r>
          </w:hyperlink>
        </w:p>
        <w:p w14:paraId="55BCF247" w14:textId="2C725243" w:rsidR="001149A9" w:rsidRPr="00E33941" w:rsidRDefault="00000000">
          <w:pPr>
            <w:pStyle w:val="TOC2"/>
            <w:rPr>
              <w:rFonts w:ascii="Cambria" w:eastAsiaTheme="minorEastAsia" w:hAnsi="Cambria"/>
              <w:noProof/>
              <w:lang w:eastAsia="en-GB"/>
            </w:rPr>
          </w:pPr>
          <w:hyperlink w:anchor="_Toc115726295" w:history="1">
            <w:r w:rsidR="001149A9" w:rsidRPr="00E33941">
              <w:rPr>
                <w:rStyle w:val="Hyperlink"/>
                <w:rFonts w:ascii="Cambria" w:eastAsia="Times New Roman" w:hAnsi="Cambria"/>
                <w:noProof/>
                <w:lang w:val="en-US"/>
              </w:rPr>
              <w:t>Appendix 4.2. Regression analysis</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309</w:t>
            </w:r>
            <w:r w:rsidR="001149A9" w:rsidRPr="00E33941">
              <w:rPr>
                <w:rFonts w:ascii="Cambria" w:hAnsi="Cambria"/>
                <w:noProof/>
                <w:webHidden/>
              </w:rPr>
              <w:fldChar w:fldCharType="end"/>
            </w:r>
          </w:hyperlink>
        </w:p>
        <w:p w14:paraId="4CA782FB" w14:textId="4CFC90B6" w:rsidR="001149A9" w:rsidRPr="00E33941" w:rsidRDefault="00000000">
          <w:pPr>
            <w:pStyle w:val="TOC3"/>
            <w:rPr>
              <w:rFonts w:ascii="Cambria" w:eastAsiaTheme="minorEastAsia" w:hAnsi="Cambria"/>
              <w:noProof/>
              <w:lang w:eastAsia="en-GB"/>
            </w:rPr>
          </w:pPr>
          <w:hyperlink w:anchor="_Toc115726296" w:history="1">
            <w:r w:rsidR="001149A9" w:rsidRPr="00E33941">
              <w:rPr>
                <w:rStyle w:val="Hyperlink"/>
                <w:rFonts w:ascii="Cambria" w:eastAsia="Times New Roman" w:hAnsi="Cambria"/>
                <w:noProof/>
                <w:lang w:val="en-US"/>
              </w:rPr>
              <w:t>Regression analysis between ‘involvement’ and ‘image quality’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309</w:t>
            </w:r>
            <w:r w:rsidR="001149A9" w:rsidRPr="00E33941">
              <w:rPr>
                <w:rFonts w:ascii="Cambria" w:hAnsi="Cambria"/>
                <w:noProof/>
                <w:webHidden/>
              </w:rPr>
              <w:fldChar w:fldCharType="end"/>
            </w:r>
          </w:hyperlink>
        </w:p>
        <w:p w14:paraId="5158B452" w14:textId="485CD2DE" w:rsidR="001149A9" w:rsidRPr="00E33941" w:rsidRDefault="00000000">
          <w:pPr>
            <w:pStyle w:val="TOC3"/>
            <w:rPr>
              <w:rFonts w:ascii="Cambria" w:eastAsiaTheme="minorEastAsia" w:hAnsi="Cambria"/>
              <w:noProof/>
              <w:lang w:eastAsia="en-GB"/>
            </w:rPr>
          </w:pPr>
          <w:hyperlink w:anchor="_Toc115726297" w:history="1">
            <w:r w:rsidR="001149A9" w:rsidRPr="00E33941">
              <w:rPr>
                <w:rStyle w:val="Hyperlink"/>
                <w:rFonts w:ascii="Cambria" w:eastAsia="Times New Roman" w:hAnsi="Cambria"/>
                <w:noProof/>
                <w:lang w:val="en-US"/>
              </w:rPr>
              <w:t>Regression analysis between ‘involvement’ and ‘engrossment’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309</w:t>
            </w:r>
            <w:r w:rsidR="001149A9" w:rsidRPr="00E33941">
              <w:rPr>
                <w:rFonts w:ascii="Cambria" w:hAnsi="Cambria"/>
                <w:noProof/>
                <w:webHidden/>
              </w:rPr>
              <w:fldChar w:fldCharType="end"/>
            </w:r>
          </w:hyperlink>
        </w:p>
        <w:p w14:paraId="530A7F29" w14:textId="73456F1A" w:rsidR="001149A9" w:rsidRPr="00E33941" w:rsidRDefault="00000000">
          <w:pPr>
            <w:pStyle w:val="TOC3"/>
            <w:rPr>
              <w:rFonts w:ascii="Cambria" w:eastAsiaTheme="minorEastAsia" w:hAnsi="Cambria"/>
              <w:noProof/>
              <w:lang w:eastAsia="en-GB"/>
            </w:rPr>
          </w:pPr>
          <w:hyperlink w:anchor="_Toc115726298" w:history="1">
            <w:r w:rsidR="001149A9" w:rsidRPr="00E33941">
              <w:rPr>
                <w:rStyle w:val="Hyperlink"/>
                <w:rFonts w:ascii="Cambria" w:eastAsia="Times New Roman" w:hAnsi="Cambria"/>
                <w:noProof/>
                <w:lang w:val="en-US"/>
              </w:rPr>
              <w:t>Regression analysis between ‘involvement’ and ‘self projection’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310</w:t>
            </w:r>
            <w:r w:rsidR="001149A9" w:rsidRPr="00E33941">
              <w:rPr>
                <w:rFonts w:ascii="Cambria" w:hAnsi="Cambria"/>
                <w:noProof/>
                <w:webHidden/>
              </w:rPr>
              <w:fldChar w:fldCharType="end"/>
            </w:r>
          </w:hyperlink>
        </w:p>
        <w:p w14:paraId="54BD2BC6" w14:textId="5E369369" w:rsidR="001149A9" w:rsidRPr="00E33941" w:rsidRDefault="00000000">
          <w:pPr>
            <w:pStyle w:val="TOC3"/>
            <w:rPr>
              <w:rFonts w:ascii="Cambria" w:eastAsiaTheme="minorEastAsia" w:hAnsi="Cambria"/>
              <w:noProof/>
              <w:lang w:eastAsia="en-GB"/>
            </w:rPr>
          </w:pPr>
          <w:hyperlink w:anchor="_Toc115726299" w:history="1">
            <w:r w:rsidR="001149A9" w:rsidRPr="00E33941">
              <w:rPr>
                <w:rStyle w:val="Hyperlink"/>
                <w:rFonts w:ascii="Cambria" w:eastAsia="Times New Roman" w:hAnsi="Cambria"/>
                <w:noProof/>
                <w:lang w:val="en-US"/>
              </w:rPr>
              <w:t>Regression analysis between ‘involvement’ and ‘mental fluency’</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_Toc115726299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310</w:t>
            </w:r>
            <w:r w:rsidR="001149A9" w:rsidRPr="00E33941">
              <w:rPr>
                <w:rFonts w:ascii="Cambria" w:hAnsi="Cambria"/>
                <w:noProof/>
                <w:webHidden/>
              </w:rPr>
              <w:fldChar w:fldCharType="end"/>
            </w:r>
          </w:hyperlink>
        </w:p>
        <w:p w14:paraId="784529A3" w14:textId="21A51595" w:rsidR="001149A9" w:rsidRPr="00E33941" w:rsidRDefault="00000000">
          <w:pPr>
            <w:pStyle w:val="TOC3"/>
            <w:rPr>
              <w:rFonts w:ascii="Cambria" w:eastAsiaTheme="minorEastAsia" w:hAnsi="Cambria"/>
              <w:noProof/>
              <w:lang w:eastAsia="en-GB"/>
            </w:rPr>
          </w:pPr>
          <w:hyperlink w:anchor="_Toc115726300" w:history="1">
            <w:r w:rsidR="001149A9" w:rsidRPr="00E33941">
              <w:rPr>
                <w:rStyle w:val="Hyperlink"/>
                <w:rFonts w:ascii="Cambria" w:eastAsia="Times New Roman" w:hAnsi="Cambria"/>
                <w:noProof/>
                <w:lang w:val="en-US"/>
              </w:rPr>
              <w:t>Multiple Regression analysis between ‘SCV’ and ‘Pleasure’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311</w:t>
            </w:r>
            <w:r w:rsidR="001149A9" w:rsidRPr="00E33941">
              <w:rPr>
                <w:rFonts w:ascii="Cambria" w:hAnsi="Cambria"/>
                <w:noProof/>
                <w:webHidden/>
              </w:rPr>
              <w:fldChar w:fldCharType="end"/>
            </w:r>
          </w:hyperlink>
        </w:p>
        <w:p w14:paraId="105B42D6" w14:textId="1DAAE5A3" w:rsidR="001149A9" w:rsidRPr="00E33941" w:rsidRDefault="00000000">
          <w:pPr>
            <w:pStyle w:val="TOC3"/>
            <w:rPr>
              <w:rFonts w:ascii="Cambria" w:eastAsiaTheme="minorEastAsia" w:hAnsi="Cambria"/>
              <w:noProof/>
              <w:lang w:eastAsia="en-GB"/>
            </w:rPr>
          </w:pPr>
          <w:hyperlink w:anchor="_Toc115726301" w:history="1">
            <w:r w:rsidR="001149A9" w:rsidRPr="00E33941">
              <w:rPr>
                <w:rStyle w:val="Hyperlink"/>
                <w:rFonts w:ascii="Cambria" w:eastAsia="Times New Roman" w:hAnsi="Cambria"/>
                <w:noProof/>
                <w:lang w:val="en-US"/>
              </w:rPr>
              <w:t>Regression analysis between ‘Pleasure’ and ‘ad attitude’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311</w:t>
            </w:r>
            <w:r w:rsidR="001149A9" w:rsidRPr="00E33941">
              <w:rPr>
                <w:rFonts w:ascii="Cambria" w:hAnsi="Cambria"/>
                <w:noProof/>
                <w:webHidden/>
              </w:rPr>
              <w:fldChar w:fldCharType="end"/>
            </w:r>
          </w:hyperlink>
        </w:p>
        <w:p w14:paraId="181FBF85" w14:textId="32859109" w:rsidR="001149A9" w:rsidRPr="00E33941" w:rsidRDefault="00000000">
          <w:pPr>
            <w:pStyle w:val="TOC3"/>
            <w:rPr>
              <w:rFonts w:ascii="Cambria" w:eastAsiaTheme="minorEastAsia" w:hAnsi="Cambria"/>
              <w:noProof/>
              <w:lang w:eastAsia="en-GB"/>
            </w:rPr>
          </w:pPr>
          <w:hyperlink w:anchor="_Toc115726302" w:history="1">
            <w:r w:rsidR="001149A9" w:rsidRPr="00E33941">
              <w:rPr>
                <w:rStyle w:val="Hyperlink"/>
                <w:rFonts w:ascii="Cambria" w:eastAsia="Times New Roman" w:hAnsi="Cambria"/>
                <w:noProof/>
                <w:lang w:val="en-US"/>
              </w:rPr>
              <w:t>Multiple Regression analysis between ‘SCV’ and ‘Arousal’</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312</w:t>
            </w:r>
            <w:r w:rsidR="001149A9" w:rsidRPr="00E33941">
              <w:rPr>
                <w:rFonts w:ascii="Cambria" w:hAnsi="Cambria"/>
                <w:noProof/>
                <w:webHidden/>
              </w:rPr>
              <w:fldChar w:fldCharType="end"/>
            </w:r>
          </w:hyperlink>
        </w:p>
        <w:p w14:paraId="15031880" w14:textId="165F11C1" w:rsidR="001149A9" w:rsidRPr="00E33941" w:rsidRDefault="00000000">
          <w:pPr>
            <w:pStyle w:val="TOC3"/>
            <w:rPr>
              <w:rFonts w:ascii="Cambria" w:eastAsiaTheme="minorEastAsia" w:hAnsi="Cambria"/>
              <w:noProof/>
              <w:lang w:eastAsia="en-GB"/>
            </w:rPr>
          </w:pPr>
          <w:hyperlink w:anchor="_Toc115726303" w:history="1">
            <w:r w:rsidR="001149A9" w:rsidRPr="00E33941">
              <w:rPr>
                <w:rStyle w:val="Hyperlink"/>
                <w:rFonts w:ascii="Cambria" w:eastAsia="Times New Roman" w:hAnsi="Cambria"/>
                <w:noProof/>
                <w:lang w:val="en-US"/>
              </w:rPr>
              <w:t>Regression analysis between ‘Arousal’ and ‘ad attitude’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312</w:t>
            </w:r>
            <w:r w:rsidR="001149A9" w:rsidRPr="00E33941">
              <w:rPr>
                <w:rFonts w:ascii="Cambria" w:hAnsi="Cambria"/>
                <w:noProof/>
                <w:webHidden/>
              </w:rPr>
              <w:fldChar w:fldCharType="end"/>
            </w:r>
          </w:hyperlink>
        </w:p>
        <w:p w14:paraId="32CFAF68" w14:textId="5D9D37F4" w:rsidR="001149A9" w:rsidRPr="00E33941" w:rsidRDefault="00000000">
          <w:pPr>
            <w:pStyle w:val="TOC3"/>
            <w:rPr>
              <w:rFonts w:ascii="Cambria" w:eastAsiaTheme="minorEastAsia" w:hAnsi="Cambria"/>
              <w:noProof/>
              <w:lang w:eastAsia="en-GB"/>
            </w:rPr>
          </w:pPr>
          <w:hyperlink w:anchor="_Toc115726304" w:history="1">
            <w:r w:rsidR="001149A9" w:rsidRPr="00E33941">
              <w:rPr>
                <w:rStyle w:val="Hyperlink"/>
                <w:rFonts w:ascii="Cambria" w:eastAsia="Times New Roman" w:hAnsi="Cambria"/>
                <w:noProof/>
                <w:lang w:val="en-US"/>
              </w:rPr>
              <w:t>Multiple Regression analysis between ‘SCV’ and ‘Dominance’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313</w:t>
            </w:r>
            <w:r w:rsidR="001149A9" w:rsidRPr="00E33941">
              <w:rPr>
                <w:rFonts w:ascii="Cambria" w:hAnsi="Cambria"/>
                <w:noProof/>
                <w:webHidden/>
              </w:rPr>
              <w:fldChar w:fldCharType="end"/>
            </w:r>
          </w:hyperlink>
        </w:p>
        <w:p w14:paraId="6488F881" w14:textId="7185A9EE" w:rsidR="001149A9" w:rsidRPr="00E33941" w:rsidRDefault="00000000">
          <w:pPr>
            <w:pStyle w:val="TOC3"/>
            <w:rPr>
              <w:rFonts w:ascii="Cambria" w:eastAsiaTheme="minorEastAsia" w:hAnsi="Cambria"/>
              <w:noProof/>
              <w:lang w:eastAsia="en-GB"/>
            </w:rPr>
          </w:pPr>
          <w:hyperlink w:anchor="_Toc115726305" w:history="1">
            <w:r w:rsidR="001149A9" w:rsidRPr="00E33941">
              <w:rPr>
                <w:rStyle w:val="Hyperlink"/>
                <w:rFonts w:ascii="Cambria" w:eastAsia="Times New Roman" w:hAnsi="Cambria"/>
                <w:noProof/>
                <w:lang w:val="en-US"/>
              </w:rPr>
              <w:t>Regression analysis between ‘dominance’ and ‘ad attitude’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313</w:t>
            </w:r>
            <w:r w:rsidR="001149A9" w:rsidRPr="00E33941">
              <w:rPr>
                <w:rFonts w:ascii="Cambria" w:hAnsi="Cambria"/>
                <w:noProof/>
                <w:webHidden/>
              </w:rPr>
              <w:fldChar w:fldCharType="end"/>
            </w:r>
          </w:hyperlink>
        </w:p>
        <w:p w14:paraId="75B250E4" w14:textId="60378A66" w:rsidR="001149A9" w:rsidRPr="00E33941" w:rsidRDefault="00000000">
          <w:pPr>
            <w:pStyle w:val="TOC3"/>
            <w:rPr>
              <w:rFonts w:ascii="Cambria" w:eastAsiaTheme="minorEastAsia" w:hAnsi="Cambria"/>
              <w:noProof/>
              <w:lang w:eastAsia="en-GB"/>
            </w:rPr>
          </w:pPr>
          <w:hyperlink w:anchor="_Toc115726306" w:history="1">
            <w:r w:rsidR="001149A9" w:rsidRPr="00E33941">
              <w:rPr>
                <w:rStyle w:val="Hyperlink"/>
                <w:rFonts w:ascii="Cambria" w:eastAsia="Times New Roman" w:hAnsi="Cambria"/>
                <w:noProof/>
                <w:lang w:val="en-US"/>
              </w:rPr>
              <w:t>Regression analysis between ‘ad attitude’ and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314</w:t>
            </w:r>
            <w:r w:rsidR="001149A9" w:rsidRPr="00E33941">
              <w:rPr>
                <w:rFonts w:ascii="Cambria" w:hAnsi="Cambria"/>
                <w:noProof/>
                <w:webHidden/>
              </w:rPr>
              <w:fldChar w:fldCharType="end"/>
            </w:r>
          </w:hyperlink>
        </w:p>
        <w:p w14:paraId="54D62779" w14:textId="7E99BC96" w:rsidR="001149A9" w:rsidRPr="00E33941" w:rsidRDefault="00000000">
          <w:pPr>
            <w:pStyle w:val="TOC3"/>
            <w:rPr>
              <w:rFonts w:ascii="Cambria" w:eastAsiaTheme="minorEastAsia" w:hAnsi="Cambria"/>
              <w:noProof/>
              <w:lang w:eastAsia="en-GB"/>
            </w:rPr>
          </w:pPr>
          <w:hyperlink w:anchor="_Toc115726307" w:history="1">
            <w:r w:rsidR="001149A9" w:rsidRPr="00E33941">
              <w:rPr>
                <w:rStyle w:val="Hyperlink"/>
                <w:rFonts w:ascii="Cambria" w:eastAsia="Times New Roman" w:hAnsi="Cambria"/>
                <w:noProof/>
                <w:lang w:val="en-US"/>
              </w:rPr>
              <w:t>Multiple Regression analysis between ‘SCV’ and ‘engagement’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314</w:t>
            </w:r>
            <w:r w:rsidR="001149A9" w:rsidRPr="00E33941">
              <w:rPr>
                <w:rFonts w:ascii="Cambria" w:hAnsi="Cambria"/>
                <w:noProof/>
                <w:webHidden/>
              </w:rPr>
              <w:fldChar w:fldCharType="end"/>
            </w:r>
          </w:hyperlink>
        </w:p>
        <w:p w14:paraId="36B5357C" w14:textId="6E822DEF" w:rsidR="001149A9" w:rsidRPr="00E33941" w:rsidRDefault="00000000">
          <w:pPr>
            <w:pStyle w:val="TOC3"/>
            <w:rPr>
              <w:rFonts w:ascii="Cambria" w:eastAsiaTheme="minorEastAsia" w:hAnsi="Cambria"/>
              <w:noProof/>
              <w:lang w:eastAsia="en-GB"/>
            </w:rPr>
          </w:pPr>
          <w:hyperlink w:anchor="_Toc115726308" w:history="1">
            <w:r w:rsidR="001149A9" w:rsidRPr="00E33941">
              <w:rPr>
                <w:rStyle w:val="Hyperlink"/>
                <w:rFonts w:ascii="Cambria" w:eastAsia="Times New Roman" w:hAnsi="Cambria"/>
                <w:noProof/>
                <w:lang w:val="en-US"/>
              </w:rPr>
              <w:t>Regression analysis between ‘ad attitude’ and ‘purchase’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315</w:t>
            </w:r>
            <w:r w:rsidR="001149A9" w:rsidRPr="00E33941">
              <w:rPr>
                <w:rFonts w:ascii="Cambria" w:hAnsi="Cambria"/>
                <w:noProof/>
                <w:webHidden/>
              </w:rPr>
              <w:fldChar w:fldCharType="end"/>
            </w:r>
          </w:hyperlink>
        </w:p>
        <w:p w14:paraId="60D1986F" w14:textId="58F3D559" w:rsidR="001149A9" w:rsidRPr="00E33941" w:rsidRDefault="00000000">
          <w:pPr>
            <w:pStyle w:val="TOC3"/>
            <w:rPr>
              <w:rFonts w:ascii="Cambria" w:eastAsiaTheme="minorEastAsia" w:hAnsi="Cambria"/>
              <w:noProof/>
              <w:lang w:eastAsia="en-GB"/>
            </w:rPr>
          </w:pPr>
          <w:hyperlink w:anchor="_Toc115726309" w:history="1">
            <w:r w:rsidR="001149A9" w:rsidRPr="00E33941">
              <w:rPr>
                <w:rStyle w:val="Hyperlink"/>
                <w:rFonts w:ascii="Cambria" w:eastAsia="Times New Roman" w:hAnsi="Cambria"/>
                <w:noProof/>
                <w:lang w:val="en-US"/>
              </w:rPr>
              <w:t>Regression analysis between ‘engagement’ and ‘norm’</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_Toc115726309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315</w:t>
            </w:r>
            <w:r w:rsidR="001149A9" w:rsidRPr="00E33941">
              <w:rPr>
                <w:rFonts w:ascii="Cambria" w:hAnsi="Cambria"/>
                <w:noProof/>
                <w:webHidden/>
              </w:rPr>
              <w:fldChar w:fldCharType="end"/>
            </w:r>
          </w:hyperlink>
        </w:p>
        <w:p w14:paraId="63D1B19D" w14:textId="4EB53E94" w:rsidR="001149A9" w:rsidRPr="00E33941" w:rsidRDefault="00000000">
          <w:pPr>
            <w:pStyle w:val="TOC3"/>
            <w:rPr>
              <w:rFonts w:ascii="Cambria" w:eastAsiaTheme="minorEastAsia" w:hAnsi="Cambria"/>
              <w:noProof/>
              <w:lang w:eastAsia="en-GB"/>
            </w:rPr>
          </w:pPr>
          <w:hyperlink w:anchor="_Toc115726310" w:history="1">
            <w:r w:rsidR="001149A9" w:rsidRPr="00E33941">
              <w:rPr>
                <w:rStyle w:val="Hyperlink"/>
                <w:rFonts w:ascii="Cambria" w:eastAsia="Times New Roman" w:hAnsi="Cambria"/>
                <w:noProof/>
                <w:lang w:val="en-US"/>
              </w:rPr>
              <w:t>Regression analysis between ‘engagement’ and ‘information’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_Toc115726310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316</w:t>
            </w:r>
            <w:r w:rsidR="001149A9" w:rsidRPr="00E33941">
              <w:rPr>
                <w:rFonts w:ascii="Cambria" w:hAnsi="Cambria"/>
                <w:noProof/>
                <w:webHidden/>
              </w:rPr>
              <w:fldChar w:fldCharType="end"/>
            </w:r>
          </w:hyperlink>
        </w:p>
        <w:p w14:paraId="7E97C553" w14:textId="03B63053" w:rsidR="001149A9" w:rsidRPr="00E33941" w:rsidRDefault="00000000">
          <w:pPr>
            <w:pStyle w:val="TOC3"/>
            <w:rPr>
              <w:rFonts w:ascii="Cambria" w:eastAsiaTheme="minorEastAsia" w:hAnsi="Cambria"/>
              <w:noProof/>
              <w:lang w:eastAsia="en-GB"/>
            </w:rPr>
          </w:pPr>
          <w:hyperlink w:anchor="_Toc115726311" w:history="1">
            <w:r w:rsidR="001149A9" w:rsidRPr="00E33941">
              <w:rPr>
                <w:rStyle w:val="Hyperlink"/>
                <w:rFonts w:ascii="Cambria" w:eastAsia="Times New Roman" w:hAnsi="Cambria"/>
                <w:noProof/>
                <w:lang w:val="en-US"/>
              </w:rPr>
              <w:t>Regression analysis between ‘information’ and ‘purchase’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_Toc115726311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316</w:t>
            </w:r>
            <w:r w:rsidR="001149A9" w:rsidRPr="00E33941">
              <w:rPr>
                <w:rFonts w:ascii="Cambria" w:hAnsi="Cambria"/>
                <w:noProof/>
                <w:webHidden/>
              </w:rPr>
              <w:fldChar w:fldCharType="end"/>
            </w:r>
          </w:hyperlink>
        </w:p>
        <w:p w14:paraId="1F79F392" w14:textId="52A3FB0D" w:rsidR="001149A9" w:rsidRPr="00E33941" w:rsidRDefault="00000000">
          <w:pPr>
            <w:pStyle w:val="TOC3"/>
            <w:rPr>
              <w:rFonts w:ascii="Cambria" w:eastAsiaTheme="minorEastAsia" w:hAnsi="Cambria"/>
              <w:noProof/>
              <w:lang w:eastAsia="en-GB"/>
            </w:rPr>
          </w:pPr>
          <w:hyperlink w:anchor="_Toc115726312" w:history="1">
            <w:r w:rsidR="001149A9" w:rsidRPr="00E33941">
              <w:rPr>
                <w:rStyle w:val="Hyperlink"/>
                <w:rFonts w:ascii="Cambria" w:eastAsia="Times New Roman" w:hAnsi="Cambria"/>
                <w:noProof/>
                <w:lang w:val="en-US"/>
              </w:rPr>
              <w:t>Regression analysis between ‘norm’ and ‘purchase’</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_Toc115726312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317</w:t>
            </w:r>
            <w:r w:rsidR="001149A9" w:rsidRPr="00E33941">
              <w:rPr>
                <w:rFonts w:ascii="Cambria" w:hAnsi="Cambria"/>
                <w:noProof/>
                <w:webHidden/>
              </w:rPr>
              <w:fldChar w:fldCharType="end"/>
            </w:r>
          </w:hyperlink>
        </w:p>
        <w:p w14:paraId="2481E99A" w14:textId="465509BF" w:rsidR="001149A9" w:rsidRPr="00E33941" w:rsidRDefault="00000000">
          <w:pPr>
            <w:pStyle w:val="TOC3"/>
            <w:rPr>
              <w:rFonts w:ascii="Cambria" w:eastAsiaTheme="minorEastAsia" w:hAnsi="Cambria"/>
              <w:noProof/>
              <w:lang w:eastAsia="en-GB"/>
            </w:rPr>
          </w:pPr>
          <w:hyperlink w:anchor="_Toc115726313" w:history="1">
            <w:r w:rsidR="001149A9" w:rsidRPr="00E33941">
              <w:rPr>
                <w:rStyle w:val="Hyperlink"/>
                <w:rFonts w:ascii="Cambria" w:eastAsia="Times New Roman" w:hAnsi="Cambria"/>
                <w:noProof/>
                <w:lang w:val="en-US"/>
              </w:rPr>
              <w:t>Regression analysis between ‘Purchase’ and ‘behaviour’</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_Toc115726313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317</w:t>
            </w:r>
            <w:r w:rsidR="001149A9" w:rsidRPr="00E33941">
              <w:rPr>
                <w:rFonts w:ascii="Cambria" w:hAnsi="Cambria"/>
                <w:noProof/>
                <w:webHidden/>
              </w:rPr>
              <w:fldChar w:fldCharType="end"/>
            </w:r>
          </w:hyperlink>
        </w:p>
        <w:p w14:paraId="26EB9050" w14:textId="086C60DD" w:rsidR="001149A9" w:rsidRPr="00E33941" w:rsidRDefault="00000000">
          <w:pPr>
            <w:pStyle w:val="TOC2"/>
            <w:rPr>
              <w:rFonts w:ascii="Cambria" w:eastAsiaTheme="minorEastAsia" w:hAnsi="Cambria"/>
              <w:noProof/>
              <w:lang w:eastAsia="en-GB"/>
            </w:rPr>
          </w:pPr>
          <w:hyperlink w:anchor="_Toc115726314" w:history="1">
            <w:r w:rsidR="001149A9" w:rsidRPr="00E33941">
              <w:rPr>
                <w:rStyle w:val="Hyperlink"/>
                <w:rFonts w:ascii="Cambria" w:eastAsia="Times New Roman" w:hAnsi="Cambria"/>
                <w:noProof/>
                <w:lang w:val="en-US"/>
              </w:rPr>
              <w:t>Appendix 4.3 ANOVA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_Toc115726314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318</w:t>
            </w:r>
            <w:r w:rsidR="001149A9" w:rsidRPr="00E33941">
              <w:rPr>
                <w:rFonts w:ascii="Cambria" w:hAnsi="Cambria"/>
                <w:noProof/>
                <w:webHidden/>
              </w:rPr>
              <w:fldChar w:fldCharType="end"/>
            </w:r>
          </w:hyperlink>
        </w:p>
        <w:p w14:paraId="360C1EF6" w14:textId="571EC932" w:rsidR="001149A9" w:rsidRPr="00E33941" w:rsidRDefault="00000000">
          <w:pPr>
            <w:pStyle w:val="TOC3"/>
            <w:rPr>
              <w:rFonts w:ascii="Cambria" w:eastAsiaTheme="minorEastAsia" w:hAnsi="Cambria"/>
              <w:noProof/>
              <w:lang w:eastAsia="en-GB"/>
            </w:rPr>
          </w:pPr>
          <w:hyperlink w:anchor="_Toc115726315" w:history="1">
            <w:r w:rsidR="001149A9" w:rsidRPr="00E33941">
              <w:rPr>
                <w:rStyle w:val="Hyperlink"/>
                <w:rFonts w:ascii="Cambria" w:eastAsia="Times New Roman" w:hAnsi="Cambria"/>
                <w:noProof/>
                <w:lang w:val="en-US"/>
              </w:rPr>
              <w:t>One way ANOVA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_Toc115726315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318</w:t>
            </w:r>
            <w:r w:rsidR="001149A9" w:rsidRPr="00E33941">
              <w:rPr>
                <w:rFonts w:ascii="Cambria" w:hAnsi="Cambria"/>
                <w:noProof/>
                <w:webHidden/>
              </w:rPr>
              <w:fldChar w:fldCharType="end"/>
            </w:r>
          </w:hyperlink>
        </w:p>
        <w:p w14:paraId="0A0C8B4D" w14:textId="58947AB5" w:rsidR="001149A9" w:rsidRPr="00E33941" w:rsidRDefault="00000000">
          <w:pPr>
            <w:pStyle w:val="TOC3"/>
            <w:rPr>
              <w:rFonts w:ascii="Cambria" w:eastAsiaTheme="minorEastAsia" w:hAnsi="Cambria"/>
              <w:noProof/>
              <w:lang w:eastAsia="en-GB"/>
            </w:rPr>
          </w:pPr>
          <w:hyperlink w:anchor="_Toc115726316" w:history="1">
            <w:r w:rsidR="001149A9" w:rsidRPr="00E33941">
              <w:rPr>
                <w:rStyle w:val="Hyperlink"/>
                <w:rFonts w:ascii="Cambria" w:eastAsia="Times New Roman" w:hAnsi="Cambria"/>
                <w:noProof/>
                <w:lang w:val="en-US"/>
              </w:rPr>
              <w:t>Two way ANOVA</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_Toc115726316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319</w:t>
            </w:r>
            <w:r w:rsidR="001149A9" w:rsidRPr="00E33941">
              <w:rPr>
                <w:rFonts w:ascii="Cambria" w:hAnsi="Cambria"/>
                <w:noProof/>
                <w:webHidden/>
              </w:rPr>
              <w:fldChar w:fldCharType="end"/>
            </w:r>
          </w:hyperlink>
        </w:p>
        <w:p w14:paraId="1E48CAD6" w14:textId="069AD968" w:rsidR="001149A9" w:rsidRPr="00E33941" w:rsidRDefault="00000000">
          <w:pPr>
            <w:pStyle w:val="TOC2"/>
            <w:rPr>
              <w:rFonts w:ascii="Cambria" w:eastAsiaTheme="minorEastAsia" w:hAnsi="Cambria"/>
              <w:noProof/>
              <w:lang w:eastAsia="en-GB"/>
            </w:rPr>
          </w:pPr>
          <w:hyperlink w:anchor="_Toc115726317" w:history="1">
            <w:r w:rsidR="001149A9" w:rsidRPr="00E33941">
              <w:rPr>
                <w:rStyle w:val="Hyperlink"/>
                <w:rFonts w:ascii="Cambria" w:eastAsia="Times New Roman" w:hAnsi="Cambria"/>
                <w:noProof/>
                <w:lang w:val="en-US"/>
              </w:rPr>
              <w:t>Appendix 4.4 Controlling variable- age, gender, and education</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_Toc115726317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320</w:t>
            </w:r>
            <w:r w:rsidR="001149A9" w:rsidRPr="00E33941">
              <w:rPr>
                <w:rFonts w:ascii="Cambria" w:hAnsi="Cambria"/>
                <w:noProof/>
                <w:webHidden/>
              </w:rPr>
              <w:fldChar w:fldCharType="end"/>
            </w:r>
          </w:hyperlink>
        </w:p>
        <w:p w14:paraId="699A409E" w14:textId="1D9C56AC" w:rsidR="001149A9" w:rsidRPr="00D54CA8" w:rsidRDefault="00000000">
          <w:pPr>
            <w:pStyle w:val="TOC1"/>
            <w:rPr>
              <w:rFonts w:ascii="Cambria" w:eastAsiaTheme="minorEastAsia" w:hAnsi="Cambria"/>
              <w:noProof/>
              <w:lang w:eastAsia="en-GB"/>
            </w:rPr>
          </w:pPr>
          <w:hyperlink w:anchor="_Toc115726318" w:history="1">
            <w:r w:rsidR="001149A9" w:rsidRPr="00E33941">
              <w:rPr>
                <w:rStyle w:val="Hyperlink"/>
                <w:rFonts w:ascii="Cambria" w:hAnsi="Cambria"/>
                <w:noProof/>
              </w:rPr>
              <w:t>Reference list</w:t>
            </w:r>
            <w:r w:rsidR="001149A9" w:rsidRPr="00E33941">
              <w:rPr>
                <w:rFonts w:ascii="Cambria" w:hAnsi="Cambria"/>
                <w:noProof/>
                <w:webHidden/>
              </w:rPr>
              <w:tab/>
            </w:r>
            <w:r w:rsidR="001149A9" w:rsidRPr="00E33941">
              <w:rPr>
                <w:rFonts w:ascii="Cambria" w:hAnsi="Cambria"/>
                <w:noProof/>
                <w:webHidden/>
              </w:rPr>
              <w:fldChar w:fldCharType="begin"/>
            </w:r>
            <w:r w:rsidR="001149A9" w:rsidRPr="00E33941">
              <w:rPr>
                <w:rFonts w:ascii="Cambria" w:hAnsi="Cambria"/>
                <w:noProof/>
                <w:webHidden/>
              </w:rPr>
              <w:instrText xml:space="preserve"> PAGEREF _Toc115726318 \h </w:instrText>
            </w:r>
            <w:r w:rsidR="001149A9" w:rsidRPr="00E33941">
              <w:rPr>
                <w:rFonts w:ascii="Cambria" w:hAnsi="Cambria"/>
                <w:noProof/>
                <w:webHidden/>
              </w:rPr>
            </w:r>
            <w:r w:rsidR="001149A9" w:rsidRPr="00E33941">
              <w:rPr>
                <w:rFonts w:ascii="Cambria" w:hAnsi="Cambria"/>
                <w:noProof/>
                <w:webHidden/>
              </w:rPr>
              <w:fldChar w:fldCharType="separate"/>
            </w:r>
            <w:r w:rsidR="00771306">
              <w:rPr>
                <w:rFonts w:ascii="Cambria" w:hAnsi="Cambria"/>
                <w:noProof/>
                <w:webHidden/>
              </w:rPr>
              <w:t>323</w:t>
            </w:r>
            <w:r w:rsidR="001149A9" w:rsidRPr="00E33941">
              <w:rPr>
                <w:rFonts w:ascii="Cambria" w:hAnsi="Cambria"/>
                <w:noProof/>
                <w:webHidden/>
              </w:rPr>
              <w:fldChar w:fldCharType="end"/>
            </w:r>
          </w:hyperlink>
        </w:p>
        <w:p w14:paraId="4827AA10" w14:textId="5DADD52C" w:rsidR="005A20C0" w:rsidRPr="00530906" w:rsidRDefault="005A20C0" w:rsidP="008756B1">
          <w:pPr>
            <w:jc w:val="both"/>
            <w:rPr>
              <w:rFonts w:ascii="Cambria" w:hAnsi="Cambria"/>
            </w:rPr>
          </w:pPr>
          <w:r w:rsidRPr="00D54CA8">
            <w:rPr>
              <w:rFonts w:ascii="Cambria" w:hAnsi="Cambria"/>
              <w:b/>
              <w:bCs/>
              <w:noProof/>
            </w:rPr>
            <w:fldChar w:fldCharType="end"/>
          </w:r>
        </w:p>
      </w:sdtContent>
    </w:sdt>
    <w:p w14:paraId="75561CF3" w14:textId="29F4E53B" w:rsidR="009D713D" w:rsidRPr="00530906" w:rsidRDefault="009D713D" w:rsidP="008756B1">
      <w:pPr>
        <w:jc w:val="both"/>
        <w:rPr>
          <w:rFonts w:ascii="Cambria" w:hAnsi="Cambria" w:cs="Times New Roman"/>
          <w:b/>
          <w:bCs/>
          <w:sz w:val="32"/>
          <w:szCs w:val="32"/>
        </w:rPr>
      </w:pPr>
      <w:r w:rsidRPr="00530906">
        <w:br w:type="page"/>
      </w:r>
      <w:r w:rsidR="00D905F9" w:rsidRPr="00530906">
        <w:rPr>
          <w:rFonts w:ascii="Cambria" w:hAnsi="Cambria" w:cs="Times New Roman"/>
          <w:b/>
          <w:bCs/>
          <w:sz w:val="32"/>
          <w:szCs w:val="32"/>
        </w:rPr>
        <w:lastRenderedPageBreak/>
        <w:t>List of tables</w:t>
      </w:r>
    </w:p>
    <w:tbl>
      <w:tblPr>
        <w:tblStyle w:val="TableGrid"/>
        <w:tblW w:w="0" w:type="auto"/>
        <w:tblLook w:val="04A0" w:firstRow="1" w:lastRow="0" w:firstColumn="1" w:lastColumn="0" w:noHBand="0" w:noVBand="1"/>
      </w:tblPr>
      <w:tblGrid>
        <w:gridCol w:w="7508"/>
        <w:gridCol w:w="992"/>
      </w:tblGrid>
      <w:tr w:rsidR="001F2E97" w:rsidRPr="001F2E97" w14:paraId="3AD5DDBA" w14:textId="77777777" w:rsidTr="009576D6">
        <w:trPr>
          <w:trHeight w:val="282"/>
        </w:trPr>
        <w:tc>
          <w:tcPr>
            <w:tcW w:w="7508" w:type="dxa"/>
            <w:shd w:val="clear" w:color="auto" w:fill="B4C6E7" w:themeFill="accent1" w:themeFillTint="66"/>
          </w:tcPr>
          <w:p w14:paraId="1C67CD70" w14:textId="77777777" w:rsidR="001F2E97" w:rsidRPr="001F2E97" w:rsidRDefault="001F2E97" w:rsidP="009576D6">
            <w:pPr>
              <w:spacing w:line="240" w:lineRule="auto"/>
              <w:rPr>
                <w:rFonts w:ascii="Cambria" w:hAnsi="Cambria"/>
                <w:b/>
                <w:bCs/>
                <w:sz w:val="24"/>
                <w:szCs w:val="24"/>
              </w:rPr>
            </w:pPr>
            <w:r w:rsidRPr="001F2E97">
              <w:rPr>
                <w:rFonts w:ascii="Cambria" w:hAnsi="Cambria"/>
                <w:b/>
                <w:bCs/>
                <w:sz w:val="24"/>
                <w:szCs w:val="24"/>
              </w:rPr>
              <w:t xml:space="preserve">Table </w:t>
            </w:r>
          </w:p>
        </w:tc>
        <w:tc>
          <w:tcPr>
            <w:tcW w:w="992" w:type="dxa"/>
            <w:shd w:val="clear" w:color="auto" w:fill="B4C6E7" w:themeFill="accent1" w:themeFillTint="66"/>
          </w:tcPr>
          <w:p w14:paraId="554107D2" w14:textId="77777777" w:rsidR="001F2E97" w:rsidRPr="001F2E97" w:rsidRDefault="001F2E97" w:rsidP="009576D6">
            <w:pPr>
              <w:spacing w:line="240" w:lineRule="auto"/>
              <w:rPr>
                <w:rFonts w:ascii="Cambria" w:hAnsi="Cambria"/>
                <w:b/>
                <w:bCs/>
                <w:sz w:val="24"/>
                <w:szCs w:val="24"/>
              </w:rPr>
            </w:pPr>
            <w:r w:rsidRPr="001F2E97">
              <w:rPr>
                <w:rFonts w:ascii="Cambria" w:hAnsi="Cambria"/>
                <w:b/>
                <w:bCs/>
                <w:sz w:val="24"/>
                <w:szCs w:val="24"/>
              </w:rPr>
              <w:t>Page no</w:t>
            </w:r>
          </w:p>
        </w:tc>
      </w:tr>
      <w:tr w:rsidR="001F2E97" w:rsidRPr="001F2E97" w14:paraId="79B1D6DD" w14:textId="77777777" w:rsidTr="009576D6">
        <w:tc>
          <w:tcPr>
            <w:tcW w:w="7508" w:type="dxa"/>
          </w:tcPr>
          <w:p w14:paraId="39A80BA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Table1: Definition of sustainable behaviour from different perspective</w:t>
            </w:r>
          </w:p>
        </w:tc>
        <w:tc>
          <w:tcPr>
            <w:tcW w:w="992" w:type="dxa"/>
          </w:tcPr>
          <w:p w14:paraId="7ED2D7E8"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35</w:t>
            </w:r>
          </w:p>
        </w:tc>
      </w:tr>
      <w:tr w:rsidR="001F2E97" w:rsidRPr="001F2E97" w14:paraId="352E5193" w14:textId="77777777" w:rsidTr="009576D6">
        <w:tc>
          <w:tcPr>
            <w:tcW w:w="7508" w:type="dxa"/>
          </w:tcPr>
          <w:p w14:paraId="368CD898"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2: The antecedents of sustainable behaviour intention</w:t>
            </w:r>
          </w:p>
        </w:tc>
        <w:tc>
          <w:tcPr>
            <w:tcW w:w="992" w:type="dxa"/>
          </w:tcPr>
          <w:p w14:paraId="545DFFE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39</w:t>
            </w:r>
          </w:p>
        </w:tc>
      </w:tr>
      <w:tr w:rsidR="001F2E97" w:rsidRPr="001F2E97" w14:paraId="3B8120F6" w14:textId="77777777" w:rsidTr="009576D6">
        <w:tc>
          <w:tcPr>
            <w:tcW w:w="7508" w:type="dxa"/>
          </w:tcPr>
          <w:p w14:paraId="4CFC5163"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3: Definitions of social–media–engagement and other online engagement </w:t>
            </w:r>
          </w:p>
        </w:tc>
        <w:tc>
          <w:tcPr>
            <w:tcW w:w="992" w:type="dxa"/>
          </w:tcPr>
          <w:p w14:paraId="06CB2CC4"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55</w:t>
            </w:r>
          </w:p>
        </w:tc>
      </w:tr>
      <w:tr w:rsidR="001F2E97" w:rsidRPr="001F2E97" w14:paraId="3950E679" w14:textId="77777777" w:rsidTr="009576D6">
        <w:tc>
          <w:tcPr>
            <w:tcW w:w="7508" w:type="dxa"/>
          </w:tcPr>
          <w:p w14:paraId="63DA5B53"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4: Antecedents of Social media engagement behaviour</w:t>
            </w:r>
          </w:p>
        </w:tc>
        <w:tc>
          <w:tcPr>
            <w:tcW w:w="992" w:type="dxa"/>
          </w:tcPr>
          <w:p w14:paraId="4AEE76D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60</w:t>
            </w:r>
          </w:p>
        </w:tc>
      </w:tr>
      <w:tr w:rsidR="001F2E97" w:rsidRPr="001F2E97" w14:paraId="6F87FD13" w14:textId="77777777" w:rsidTr="009576D6">
        <w:tc>
          <w:tcPr>
            <w:tcW w:w="7508" w:type="dxa"/>
          </w:tcPr>
          <w:p w14:paraId="6FA692C9"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5: Consequences of social media engagement </w:t>
            </w:r>
          </w:p>
        </w:tc>
        <w:tc>
          <w:tcPr>
            <w:tcW w:w="992" w:type="dxa"/>
          </w:tcPr>
          <w:p w14:paraId="645A1943"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62</w:t>
            </w:r>
          </w:p>
        </w:tc>
      </w:tr>
      <w:tr w:rsidR="001F2E97" w:rsidRPr="001F2E97" w14:paraId="72F113C8" w14:textId="77777777" w:rsidTr="009576D6">
        <w:tc>
          <w:tcPr>
            <w:tcW w:w="7508" w:type="dxa"/>
          </w:tcPr>
          <w:p w14:paraId="4F04A4A8"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6: Resulted article from search containing different keywords representing ‘digital engagement’ and ‘sustainable–consumption’ literature</w:t>
            </w:r>
          </w:p>
        </w:tc>
        <w:tc>
          <w:tcPr>
            <w:tcW w:w="992" w:type="dxa"/>
          </w:tcPr>
          <w:p w14:paraId="002DAA76"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73</w:t>
            </w:r>
          </w:p>
        </w:tc>
      </w:tr>
      <w:tr w:rsidR="001F2E97" w:rsidRPr="001F2E97" w14:paraId="37193B8C" w14:textId="77777777" w:rsidTr="009576D6">
        <w:tc>
          <w:tcPr>
            <w:tcW w:w="7508" w:type="dxa"/>
          </w:tcPr>
          <w:p w14:paraId="2590D23A"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7: Outline of the Philosophical and methodological stance</w:t>
            </w:r>
          </w:p>
        </w:tc>
        <w:tc>
          <w:tcPr>
            <w:tcW w:w="992" w:type="dxa"/>
          </w:tcPr>
          <w:p w14:paraId="3FDDB298"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133</w:t>
            </w:r>
          </w:p>
        </w:tc>
      </w:tr>
      <w:tr w:rsidR="001F2E97" w:rsidRPr="001F2E97" w14:paraId="12F790EC" w14:textId="77777777" w:rsidTr="009576D6">
        <w:tc>
          <w:tcPr>
            <w:tcW w:w="7508" w:type="dxa"/>
          </w:tcPr>
          <w:p w14:paraId="5E0E4AE4"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8: the rationale for changing and omitting the items</w:t>
            </w:r>
          </w:p>
        </w:tc>
        <w:tc>
          <w:tcPr>
            <w:tcW w:w="992" w:type="dxa"/>
          </w:tcPr>
          <w:p w14:paraId="655BEF48"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136</w:t>
            </w:r>
          </w:p>
        </w:tc>
      </w:tr>
      <w:tr w:rsidR="001F2E97" w:rsidRPr="001F2E97" w14:paraId="074B2CBE" w14:textId="77777777" w:rsidTr="009576D6">
        <w:tc>
          <w:tcPr>
            <w:tcW w:w="7508" w:type="dxa"/>
          </w:tcPr>
          <w:p w14:paraId="3E7F799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9: Demographics of the respondents </w:t>
            </w:r>
          </w:p>
        </w:tc>
        <w:tc>
          <w:tcPr>
            <w:tcW w:w="992" w:type="dxa"/>
          </w:tcPr>
          <w:p w14:paraId="3B675C4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144</w:t>
            </w:r>
          </w:p>
        </w:tc>
      </w:tr>
      <w:tr w:rsidR="001F2E97" w:rsidRPr="001F2E97" w14:paraId="77338C96" w14:textId="77777777" w:rsidTr="009576D6">
        <w:tc>
          <w:tcPr>
            <w:tcW w:w="7508" w:type="dxa"/>
          </w:tcPr>
          <w:p w14:paraId="6A00238D"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10: Respondent distribution among the conditions</w:t>
            </w:r>
          </w:p>
        </w:tc>
        <w:tc>
          <w:tcPr>
            <w:tcW w:w="992" w:type="dxa"/>
          </w:tcPr>
          <w:p w14:paraId="2260D0B6"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145</w:t>
            </w:r>
          </w:p>
        </w:tc>
      </w:tr>
      <w:tr w:rsidR="001F2E97" w:rsidRPr="001F2E97" w14:paraId="79E7F36B" w14:textId="77777777" w:rsidTr="009576D6">
        <w:tc>
          <w:tcPr>
            <w:tcW w:w="7508" w:type="dxa"/>
          </w:tcPr>
          <w:p w14:paraId="0FA558B9"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11: list of sample size of previous experiment on sustainable behaviour</w:t>
            </w:r>
          </w:p>
        </w:tc>
        <w:tc>
          <w:tcPr>
            <w:tcW w:w="992" w:type="dxa"/>
          </w:tcPr>
          <w:p w14:paraId="554958FE"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145</w:t>
            </w:r>
          </w:p>
        </w:tc>
      </w:tr>
      <w:tr w:rsidR="001F2E97" w:rsidRPr="001F2E97" w14:paraId="14218CE1" w14:textId="77777777" w:rsidTr="009576D6">
        <w:tc>
          <w:tcPr>
            <w:tcW w:w="7508" w:type="dxa"/>
          </w:tcPr>
          <w:p w14:paraId="52724655"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12: Skewness and Kurtosis of the constructs</w:t>
            </w:r>
          </w:p>
        </w:tc>
        <w:tc>
          <w:tcPr>
            <w:tcW w:w="992" w:type="dxa"/>
          </w:tcPr>
          <w:p w14:paraId="05010B77"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148</w:t>
            </w:r>
          </w:p>
        </w:tc>
      </w:tr>
      <w:tr w:rsidR="001F2E97" w:rsidRPr="001F2E97" w14:paraId="269AE821" w14:textId="77777777" w:rsidTr="009576D6">
        <w:trPr>
          <w:trHeight w:val="237"/>
        </w:trPr>
        <w:tc>
          <w:tcPr>
            <w:tcW w:w="7508" w:type="dxa"/>
          </w:tcPr>
          <w:p w14:paraId="6626538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13: Multicollinearity test</w:t>
            </w:r>
          </w:p>
        </w:tc>
        <w:tc>
          <w:tcPr>
            <w:tcW w:w="992" w:type="dxa"/>
          </w:tcPr>
          <w:p w14:paraId="675E4571"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149</w:t>
            </w:r>
          </w:p>
        </w:tc>
      </w:tr>
      <w:tr w:rsidR="001F2E97" w:rsidRPr="001F2E97" w14:paraId="4AFD2394" w14:textId="77777777" w:rsidTr="009576D6">
        <w:tc>
          <w:tcPr>
            <w:tcW w:w="7508" w:type="dxa"/>
          </w:tcPr>
          <w:p w14:paraId="1FC7F8EE"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14: Correlation matrix of DVs of MANOVA and two way MANOVA</w:t>
            </w:r>
          </w:p>
        </w:tc>
        <w:tc>
          <w:tcPr>
            <w:tcW w:w="992" w:type="dxa"/>
          </w:tcPr>
          <w:p w14:paraId="55A58C1D"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151</w:t>
            </w:r>
          </w:p>
        </w:tc>
      </w:tr>
      <w:tr w:rsidR="001F2E97" w:rsidRPr="001F2E97" w14:paraId="7ED62CDB" w14:textId="77777777" w:rsidTr="009576D6">
        <w:tc>
          <w:tcPr>
            <w:tcW w:w="7508" w:type="dxa"/>
          </w:tcPr>
          <w:p w14:paraId="6C4AC5F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15: Items, Cronbach’s Alpha with standardised item, Outer loadings and Composite reliability</w:t>
            </w:r>
          </w:p>
        </w:tc>
        <w:tc>
          <w:tcPr>
            <w:tcW w:w="992" w:type="dxa"/>
          </w:tcPr>
          <w:p w14:paraId="0B98C54F"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155</w:t>
            </w:r>
          </w:p>
        </w:tc>
      </w:tr>
      <w:tr w:rsidR="001F2E97" w:rsidRPr="001F2E97" w14:paraId="220D9B26" w14:textId="77777777" w:rsidTr="009576D6">
        <w:tc>
          <w:tcPr>
            <w:tcW w:w="7508" w:type="dxa"/>
          </w:tcPr>
          <w:p w14:paraId="7983C07F"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16: Discriminant validity: Fornell-Larcker criterion</w:t>
            </w:r>
          </w:p>
        </w:tc>
        <w:tc>
          <w:tcPr>
            <w:tcW w:w="992" w:type="dxa"/>
          </w:tcPr>
          <w:p w14:paraId="4E7CBA8D"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159</w:t>
            </w:r>
          </w:p>
        </w:tc>
      </w:tr>
      <w:tr w:rsidR="001F2E97" w:rsidRPr="001F2E97" w14:paraId="06E0631D" w14:textId="77777777" w:rsidTr="009576D6">
        <w:tc>
          <w:tcPr>
            <w:tcW w:w="7508" w:type="dxa"/>
          </w:tcPr>
          <w:p w14:paraId="7F05D82B"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17. Correlation table </w:t>
            </w:r>
          </w:p>
        </w:tc>
        <w:tc>
          <w:tcPr>
            <w:tcW w:w="992" w:type="dxa"/>
          </w:tcPr>
          <w:p w14:paraId="1E42E1E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164</w:t>
            </w:r>
          </w:p>
        </w:tc>
      </w:tr>
      <w:tr w:rsidR="001F2E97" w:rsidRPr="001F2E97" w14:paraId="719C3C0C" w14:textId="77777777" w:rsidTr="009576D6">
        <w:tc>
          <w:tcPr>
            <w:tcW w:w="7508" w:type="dxa"/>
          </w:tcPr>
          <w:p w14:paraId="6946F20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18: Multivariate Tests</w:t>
            </w:r>
            <w:r w:rsidRPr="00EF70A9">
              <w:rPr>
                <w:rFonts w:ascii="Cambria" w:hAnsi="Cambria"/>
                <w:sz w:val="24"/>
                <w:szCs w:val="24"/>
                <w:vertAlign w:val="superscript"/>
              </w:rPr>
              <w:t>a</w:t>
            </w:r>
          </w:p>
        </w:tc>
        <w:tc>
          <w:tcPr>
            <w:tcW w:w="992" w:type="dxa"/>
          </w:tcPr>
          <w:p w14:paraId="61BED91E"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165</w:t>
            </w:r>
          </w:p>
        </w:tc>
      </w:tr>
      <w:tr w:rsidR="001F2E97" w:rsidRPr="001F2E97" w14:paraId="16AF7EE5" w14:textId="77777777" w:rsidTr="009576D6">
        <w:tc>
          <w:tcPr>
            <w:tcW w:w="7508" w:type="dxa"/>
          </w:tcPr>
          <w:p w14:paraId="11B884A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19: Tests of Between–Subjects Effects</w:t>
            </w:r>
          </w:p>
        </w:tc>
        <w:tc>
          <w:tcPr>
            <w:tcW w:w="992" w:type="dxa"/>
          </w:tcPr>
          <w:p w14:paraId="6EC50075"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165</w:t>
            </w:r>
          </w:p>
        </w:tc>
      </w:tr>
      <w:tr w:rsidR="001F2E97" w:rsidRPr="001F2E97" w14:paraId="638A4492" w14:textId="77777777" w:rsidTr="009576D6">
        <w:trPr>
          <w:trHeight w:val="157"/>
        </w:trPr>
        <w:tc>
          <w:tcPr>
            <w:tcW w:w="7508" w:type="dxa"/>
          </w:tcPr>
          <w:p w14:paraId="65A3CA5E" w14:textId="1FE13439"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20: Multivariate Tests</w:t>
            </w:r>
            <w:r w:rsidR="00EF70A9" w:rsidRPr="00EF70A9">
              <w:rPr>
                <w:rFonts w:ascii="Cambria" w:hAnsi="Cambria"/>
                <w:sz w:val="24"/>
                <w:szCs w:val="24"/>
                <w:vertAlign w:val="superscript"/>
              </w:rPr>
              <w:t>a</w:t>
            </w:r>
          </w:p>
        </w:tc>
        <w:tc>
          <w:tcPr>
            <w:tcW w:w="992" w:type="dxa"/>
          </w:tcPr>
          <w:p w14:paraId="5797544F"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167</w:t>
            </w:r>
          </w:p>
        </w:tc>
      </w:tr>
      <w:tr w:rsidR="001F2E97" w:rsidRPr="001F2E97" w14:paraId="48751DB0" w14:textId="77777777" w:rsidTr="009576D6">
        <w:trPr>
          <w:trHeight w:val="157"/>
        </w:trPr>
        <w:tc>
          <w:tcPr>
            <w:tcW w:w="7508" w:type="dxa"/>
          </w:tcPr>
          <w:p w14:paraId="4A758821"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21: Tests of Between–Subjects Effects</w:t>
            </w:r>
          </w:p>
        </w:tc>
        <w:tc>
          <w:tcPr>
            <w:tcW w:w="992" w:type="dxa"/>
          </w:tcPr>
          <w:p w14:paraId="19F433D4"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167</w:t>
            </w:r>
          </w:p>
        </w:tc>
      </w:tr>
      <w:tr w:rsidR="001F2E97" w:rsidRPr="001F2E97" w14:paraId="560CEAC6" w14:textId="77777777" w:rsidTr="009576D6">
        <w:trPr>
          <w:trHeight w:val="157"/>
        </w:trPr>
        <w:tc>
          <w:tcPr>
            <w:tcW w:w="7508" w:type="dxa"/>
          </w:tcPr>
          <w:p w14:paraId="5000C254"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 22: Pairwise comparisons of positive and negative caption between the high and low expertise level on the 4 dimensions of SCV</w:t>
            </w:r>
          </w:p>
        </w:tc>
        <w:tc>
          <w:tcPr>
            <w:tcW w:w="992" w:type="dxa"/>
          </w:tcPr>
          <w:p w14:paraId="482BDEBE"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168</w:t>
            </w:r>
          </w:p>
        </w:tc>
      </w:tr>
      <w:tr w:rsidR="001F2E97" w:rsidRPr="001F2E97" w14:paraId="34F6D9CC" w14:textId="77777777" w:rsidTr="009576D6">
        <w:trPr>
          <w:trHeight w:val="157"/>
        </w:trPr>
        <w:tc>
          <w:tcPr>
            <w:tcW w:w="7508" w:type="dxa"/>
          </w:tcPr>
          <w:p w14:paraId="4897A045"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Table23: Summary of causal relationships</w:t>
            </w:r>
          </w:p>
        </w:tc>
        <w:tc>
          <w:tcPr>
            <w:tcW w:w="992" w:type="dxa"/>
          </w:tcPr>
          <w:p w14:paraId="7BEC57F2"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174</w:t>
            </w:r>
          </w:p>
        </w:tc>
      </w:tr>
      <w:tr w:rsidR="001F2E97" w:rsidRPr="001F2E97" w14:paraId="20DEC8F1" w14:textId="77777777" w:rsidTr="009576D6">
        <w:trPr>
          <w:trHeight w:val="157"/>
        </w:trPr>
        <w:tc>
          <w:tcPr>
            <w:tcW w:w="7508" w:type="dxa"/>
          </w:tcPr>
          <w:p w14:paraId="7D0E3CC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24: impact of control variable </w:t>
            </w:r>
          </w:p>
        </w:tc>
        <w:tc>
          <w:tcPr>
            <w:tcW w:w="992" w:type="dxa"/>
          </w:tcPr>
          <w:p w14:paraId="263D8331"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175</w:t>
            </w:r>
          </w:p>
        </w:tc>
      </w:tr>
      <w:tr w:rsidR="001F2E97" w:rsidRPr="001F2E97" w14:paraId="23A4879E" w14:textId="77777777" w:rsidTr="009576D6">
        <w:trPr>
          <w:trHeight w:val="157"/>
        </w:trPr>
        <w:tc>
          <w:tcPr>
            <w:tcW w:w="7508" w:type="dxa"/>
          </w:tcPr>
          <w:p w14:paraId="1DCF8CBC"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25- Comparison of the results of hypothesis testing among the samples </w:t>
            </w:r>
          </w:p>
        </w:tc>
        <w:tc>
          <w:tcPr>
            <w:tcW w:w="992" w:type="dxa"/>
          </w:tcPr>
          <w:p w14:paraId="3E56D134"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177</w:t>
            </w:r>
          </w:p>
        </w:tc>
      </w:tr>
      <w:tr w:rsidR="001F2E97" w:rsidRPr="001F2E97" w14:paraId="3E20E108" w14:textId="77777777" w:rsidTr="009576D6">
        <w:trPr>
          <w:trHeight w:val="157"/>
        </w:trPr>
        <w:tc>
          <w:tcPr>
            <w:tcW w:w="7508" w:type="dxa"/>
          </w:tcPr>
          <w:p w14:paraId="79F37610"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 xml:space="preserve">Table 26: Future research </w:t>
            </w:r>
          </w:p>
        </w:tc>
        <w:tc>
          <w:tcPr>
            <w:tcW w:w="992" w:type="dxa"/>
          </w:tcPr>
          <w:p w14:paraId="0C053076" w14:textId="77777777" w:rsidR="001F2E97" w:rsidRPr="001F2E97" w:rsidRDefault="001F2E97" w:rsidP="009576D6">
            <w:pPr>
              <w:spacing w:line="240" w:lineRule="auto"/>
              <w:rPr>
                <w:rFonts w:ascii="Cambria" w:hAnsi="Cambria"/>
                <w:sz w:val="24"/>
                <w:szCs w:val="24"/>
              </w:rPr>
            </w:pPr>
            <w:r w:rsidRPr="001F2E97">
              <w:rPr>
                <w:rFonts w:ascii="Cambria" w:hAnsi="Cambria"/>
                <w:sz w:val="24"/>
                <w:szCs w:val="24"/>
              </w:rPr>
              <w:t>193</w:t>
            </w:r>
          </w:p>
        </w:tc>
      </w:tr>
    </w:tbl>
    <w:p w14:paraId="330AC307" w14:textId="77777777" w:rsidR="00D905F9" w:rsidRPr="00530906" w:rsidRDefault="00D905F9" w:rsidP="008756B1">
      <w:pPr>
        <w:jc w:val="both"/>
      </w:pPr>
    </w:p>
    <w:p w14:paraId="36565B2F" w14:textId="77777777" w:rsidR="00D905F9" w:rsidRPr="00530906" w:rsidRDefault="00D905F9" w:rsidP="008756B1">
      <w:pPr>
        <w:spacing w:line="259" w:lineRule="auto"/>
        <w:jc w:val="both"/>
      </w:pPr>
      <w:r w:rsidRPr="00530906">
        <w:br w:type="page"/>
      </w:r>
    </w:p>
    <w:p w14:paraId="29BF5AD7" w14:textId="5518E001" w:rsidR="00D905F9" w:rsidRPr="00530906" w:rsidRDefault="00D905F9" w:rsidP="008756B1">
      <w:pPr>
        <w:jc w:val="both"/>
        <w:rPr>
          <w:rFonts w:ascii="Cambria" w:hAnsi="Cambria" w:cs="Times New Roman"/>
          <w:b/>
          <w:bCs/>
          <w:sz w:val="32"/>
          <w:szCs w:val="32"/>
        </w:rPr>
      </w:pPr>
      <w:r w:rsidRPr="00530906">
        <w:rPr>
          <w:rFonts w:ascii="Cambria" w:hAnsi="Cambria" w:cs="Times New Roman"/>
          <w:b/>
          <w:bCs/>
          <w:sz w:val="32"/>
          <w:szCs w:val="32"/>
        </w:rPr>
        <w:lastRenderedPageBreak/>
        <w:t>List of figures</w:t>
      </w:r>
    </w:p>
    <w:tbl>
      <w:tblPr>
        <w:tblStyle w:val="TableGrid"/>
        <w:tblW w:w="0" w:type="auto"/>
        <w:tblLook w:val="04A0" w:firstRow="1" w:lastRow="0" w:firstColumn="1" w:lastColumn="0" w:noHBand="0" w:noVBand="1"/>
      </w:tblPr>
      <w:tblGrid>
        <w:gridCol w:w="7508"/>
        <w:gridCol w:w="992"/>
      </w:tblGrid>
      <w:tr w:rsidR="00FC3B5C" w:rsidRPr="00530906" w14:paraId="751C075B" w14:textId="77777777" w:rsidTr="009576D6">
        <w:trPr>
          <w:trHeight w:val="282"/>
        </w:trPr>
        <w:tc>
          <w:tcPr>
            <w:tcW w:w="7508" w:type="dxa"/>
            <w:shd w:val="clear" w:color="auto" w:fill="B4C6E7" w:themeFill="accent1" w:themeFillTint="66"/>
          </w:tcPr>
          <w:p w14:paraId="46BC75E5" w14:textId="77777777" w:rsidR="00FC3B5C" w:rsidRPr="00FC3B5C" w:rsidRDefault="00FC3B5C" w:rsidP="009576D6">
            <w:pPr>
              <w:spacing w:line="240" w:lineRule="auto"/>
              <w:rPr>
                <w:rFonts w:ascii="Cambria" w:hAnsi="Cambria"/>
                <w:b/>
                <w:bCs/>
                <w:sz w:val="24"/>
                <w:szCs w:val="24"/>
              </w:rPr>
            </w:pPr>
            <w:r w:rsidRPr="00FC3B5C">
              <w:rPr>
                <w:rFonts w:ascii="Cambria" w:hAnsi="Cambria"/>
                <w:b/>
                <w:bCs/>
                <w:sz w:val="24"/>
                <w:szCs w:val="24"/>
              </w:rPr>
              <w:t xml:space="preserve">Figures </w:t>
            </w:r>
          </w:p>
        </w:tc>
        <w:tc>
          <w:tcPr>
            <w:tcW w:w="992" w:type="dxa"/>
            <w:shd w:val="clear" w:color="auto" w:fill="B4C6E7" w:themeFill="accent1" w:themeFillTint="66"/>
          </w:tcPr>
          <w:p w14:paraId="4703BAA4" w14:textId="77777777" w:rsidR="00FC3B5C" w:rsidRPr="00FC3B5C" w:rsidRDefault="00FC3B5C" w:rsidP="009576D6">
            <w:pPr>
              <w:spacing w:line="240" w:lineRule="auto"/>
              <w:rPr>
                <w:rFonts w:ascii="Cambria" w:hAnsi="Cambria"/>
                <w:b/>
                <w:bCs/>
                <w:sz w:val="24"/>
                <w:szCs w:val="24"/>
              </w:rPr>
            </w:pPr>
            <w:r w:rsidRPr="00FC3B5C">
              <w:rPr>
                <w:rFonts w:ascii="Cambria" w:hAnsi="Cambria"/>
                <w:b/>
                <w:bCs/>
                <w:sz w:val="24"/>
                <w:szCs w:val="24"/>
              </w:rPr>
              <w:t>Page no</w:t>
            </w:r>
          </w:p>
        </w:tc>
      </w:tr>
      <w:tr w:rsidR="00FC3B5C" w:rsidRPr="00530906" w14:paraId="660F062E" w14:textId="77777777" w:rsidTr="009576D6">
        <w:tc>
          <w:tcPr>
            <w:tcW w:w="7508" w:type="dxa"/>
          </w:tcPr>
          <w:p w14:paraId="4F532FD5" w14:textId="1E45CC13"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1: Example of </w:t>
            </w:r>
            <w:r w:rsidR="00961D32" w:rsidRPr="00FC3B5C">
              <w:rPr>
                <w:rFonts w:ascii="Cambria" w:hAnsi="Cambria"/>
                <w:sz w:val="24"/>
                <w:szCs w:val="24"/>
              </w:rPr>
              <w:t>sustainable products</w:t>
            </w:r>
            <w:r w:rsidRPr="00FC3B5C">
              <w:rPr>
                <w:rFonts w:ascii="Cambria" w:hAnsi="Cambria"/>
                <w:sz w:val="24"/>
                <w:szCs w:val="24"/>
              </w:rPr>
              <w:t xml:space="preserve"> </w:t>
            </w:r>
          </w:p>
        </w:tc>
        <w:tc>
          <w:tcPr>
            <w:tcW w:w="992" w:type="dxa"/>
          </w:tcPr>
          <w:p w14:paraId="455EEF4C"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17</w:t>
            </w:r>
          </w:p>
        </w:tc>
      </w:tr>
      <w:tr w:rsidR="00FC3B5C" w:rsidRPr="00530906" w14:paraId="48447A11" w14:textId="77777777" w:rsidTr="009576D6">
        <w:tc>
          <w:tcPr>
            <w:tcW w:w="7508" w:type="dxa"/>
          </w:tcPr>
          <w:p w14:paraId="696D0F2A" w14:textId="13E054D7"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2: Example of </w:t>
            </w:r>
            <w:r w:rsidR="00C57B79" w:rsidRPr="00FC3B5C">
              <w:rPr>
                <w:rFonts w:ascii="Cambria" w:hAnsi="Cambria"/>
                <w:sz w:val="24"/>
                <w:szCs w:val="24"/>
              </w:rPr>
              <w:t>sustainable initiative</w:t>
            </w:r>
            <w:r w:rsidRPr="00FC3B5C">
              <w:rPr>
                <w:rFonts w:ascii="Cambria" w:hAnsi="Cambria"/>
                <w:sz w:val="24"/>
                <w:szCs w:val="24"/>
              </w:rPr>
              <w:t xml:space="preserve"> by the firms </w:t>
            </w:r>
          </w:p>
        </w:tc>
        <w:tc>
          <w:tcPr>
            <w:tcW w:w="992" w:type="dxa"/>
          </w:tcPr>
          <w:p w14:paraId="17EBB326"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18</w:t>
            </w:r>
          </w:p>
        </w:tc>
      </w:tr>
      <w:tr w:rsidR="00FC3B5C" w:rsidRPr="00530906" w14:paraId="324D3E51" w14:textId="77777777" w:rsidTr="009576D6">
        <w:trPr>
          <w:trHeight w:val="269"/>
        </w:trPr>
        <w:tc>
          <w:tcPr>
            <w:tcW w:w="7508" w:type="dxa"/>
          </w:tcPr>
          <w:p w14:paraId="060BC009"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3: Coca–cola ad </w:t>
            </w:r>
          </w:p>
        </w:tc>
        <w:tc>
          <w:tcPr>
            <w:tcW w:w="992" w:type="dxa"/>
          </w:tcPr>
          <w:p w14:paraId="0BD2D54A"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21</w:t>
            </w:r>
          </w:p>
        </w:tc>
      </w:tr>
      <w:tr w:rsidR="00FC3B5C" w:rsidRPr="00530906" w14:paraId="6ACE37B2" w14:textId="77777777" w:rsidTr="009576D6">
        <w:tc>
          <w:tcPr>
            <w:tcW w:w="7508" w:type="dxa"/>
          </w:tcPr>
          <w:p w14:paraId="585C796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4: Initial framework of the thesis</w:t>
            </w:r>
          </w:p>
        </w:tc>
        <w:tc>
          <w:tcPr>
            <w:tcW w:w="992" w:type="dxa"/>
          </w:tcPr>
          <w:p w14:paraId="6EA92A72"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25</w:t>
            </w:r>
          </w:p>
        </w:tc>
      </w:tr>
      <w:tr w:rsidR="00FC3B5C" w:rsidRPr="00530906" w14:paraId="312E3512" w14:textId="77777777" w:rsidTr="009576D6">
        <w:tc>
          <w:tcPr>
            <w:tcW w:w="7508" w:type="dxa"/>
          </w:tcPr>
          <w:p w14:paraId="043B913E"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5: An overview of the thesis</w:t>
            </w:r>
          </w:p>
        </w:tc>
        <w:tc>
          <w:tcPr>
            <w:tcW w:w="992" w:type="dxa"/>
          </w:tcPr>
          <w:p w14:paraId="7C3FA873"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29</w:t>
            </w:r>
          </w:p>
        </w:tc>
      </w:tr>
      <w:tr w:rsidR="00FC3B5C" w:rsidRPr="00530906" w14:paraId="2CBF4F27" w14:textId="77777777" w:rsidTr="009576D6">
        <w:tc>
          <w:tcPr>
            <w:tcW w:w="7508" w:type="dxa"/>
          </w:tcPr>
          <w:p w14:paraId="54B6BF97"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6: Athleta is promoting itself as a fair trade fashion brand, which denotes its commitment to social development </w:t>
            </w:r>
          </w:p>
        </w:tc>
        <w:tc>
          <w:tcPr>
            <w:tcW w:w="992" w:type="dxa"/>
          </w:tcPr>
          <w:p w14:paraId="01E0EBB6"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48</w:t>
            </w:r>
          </w:p>
        </w:tc>
      </w:tr>
      <w:tr w:rsidR="00FC3B5C" w:rsidRPr="00530906" w14:paraId="3C4BB551" w14:textId="77777777" w:rsidTr="009576D6">
        <w:tc>
          <w:tcPr>
            <w:tcW w:w="7508" w:type="dxa"/>
          </w:tcPr>
          <w:p w14:paraId="424C6130" w14:textId="0363C941"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7: People tree </w:t>
            </w:r>
            <w:r w:rsidR="00787770" w:rsidRPr="00FC3B5C">
              <w:rPr>
                <w:rFonts w:ascii="Cambria" w:hAnsi="Cambria"/>
                <w:sz w:val="24"/>
                <w:szCs w:val="24"/>
              </w:rPr>
              <w:t>promot</w:t>
            </w:r>
            <w:r w:rsidR="00C57B79">
              <w:rPr>
                <w:rFonts w:ascii="Cambria" w:hAnsi="Cambria"/>
                <w:sz w:val="24"/>
                <w:szCs w:val="24"/>
              </w:rPr>
              <w:t xml:space="preserve">es </w:t>
            </w:r>
            <w:r w:rsidRPr="00FC3B5C">
              <w:rPr>
                <w:rFonts w:ascii="Cambria" w:hAnsi="Cambria"/>
                <w:sz w:val="24"/>
                <w:szCs w:val="24"/>
              </w:rPr>
              <w:t xml:space="preserve">its commitment to the </w:t>
            </w:r>
            <w:r w:rsidR="00961D32" w:rsidRPr="00FC3B5C">
              <w:rPr>
                <w:rFonts w:ascii="Cambria" w:hAnsi="Cambria"/>
                <w:sz w:val="24"/>
                <w:szCs w:val="24"/>
              </w:rPr>
              <w:t>societal and</w:t>
            </w:r>
            <w:r w:rsidRPr="00FC3B5C">
              <w:rPr>
                <w:rFonts w:ascii="Cambria" w:hAnsi="Cambria"/>
                <w:sz w:val="24"/>
                <w:szCs w:val="24"/>
              </w:rPr>
              <w:t xml:space="preserve"> environment development through fair trade and use of environment friendly material respectively </w:t>
            </w:r>
          </w:p>
        </w:tc>
        <w:tc>
          <w:tcPr>
            <w:tcW w:w="992" w:type="dxa"/>
          </w:tcPr>
          <w:p w14:paraId="07394D0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49</w:t>
            </w:r>
          </w:p>
        </w:tc>
      </w:tr>
      <w:tr w:rsidR="00FC3B5C" w:rsidRPr="00530906" w14:paraId="0821E1EA" w14:textId="77777777" w:rsidTr="009576D6">
        <w:tc>
          <w:tcPr>
            <w:tcW w:w="7508" w:type="dxa"/>
          </w:tcPr>
          <w:p w14:paraId="3F77C6BB"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Figure 8: PRISMA for Social–media–engagement (SE)</w:t>
            </w:r>
          </w:p>
        </w:tc>
        <w:tc>
          <w:tcPr>
            <w:tcW w:w="992" w:type="dxa"/>
          </w:tcPr>
          <w:p w14:paraId="710FD9C2"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59</w:t>
            </w:r>
          </w:p>
        </w:tc>
      </w:tr>
      <w:tr w:rsidR="00FC3B5C" w:rsidRPr="00530906" w14:paraId="76D9662A" w14:textId="77777777" w:rsidTr="009576D6">
        <w:tc>
          <w:tcPr>
            <w:tcW w:w="7508" w:type="dxa"/>
          </w:tcPr>
          <w:p w14:paraId="16E479FE"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9: Influence of the Source</w:t>
            </w:r>
          </w:p>
        </w:tc>
        <w:tc>
          <w:tcPr>
            <w:tcW w:w="992" w:type="dxa"/>
          </w:tcPr>
          <w:p w14:paraId="5628D0A6"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81</w:t>
            </w:r>
          </w:p>
        </w:tc>
      </w:tr>
      <w:tr w:rsidR="00FC3B5C" w:rsidRPr="00530906" w14:paraId="1454C229" w14:textId="77777777" w:rsidTr="009576D6">
        <w:tc>
          <w:tcPr>
            <w:tcW w:w="7508" w:type="dxa"/>
          </w:tcPr>
          <w:p w14:paraId="0D314EC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10: Role of SCV on Social media</w:t>
            </w:r>
          </w:p>
        </w:tc>
        <w:tc>
          <w:tcPr>
            <w:tcW w:w="992" w:type="dxa"/>
          </w:tcPr>
          <w:p w14:paraId="37A6C809"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84</w:t>
            </w:r>
          </w:p>
        </w:tc>
      </w:tr>
      <w:tr w:rsidR="00FC3B5C" w:rsidRPr="00530906" w14:paraId="24D30FA1" w14:textId="77777777" w:rsidTr="009576D6">
        <w:tc>
          <w:tcPr>
            <w:tcW w:w="7508" w:type="dxa"/>
          </w:tcPr>
          <w:p w14:paraId="12A95DEA"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11: Role of SCV on Social media engagement</w:t>
            </w:r>
          </w:p>
        </w:tc>
        <w:tc>
          <w:tcPr>
            <w:tcW w:w="992" w:type="dxa"/>
          </w:tcPr>
          <w:p w14:paraId="06848445"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89</w:t>
            </w:r>
          </w:p>
        </w:tc>
      </w:tr>
      <w:tr w:rsidR="00FC3B5C" w:rsidRPr="00530906" w14:paraId="25B13A8C" w14:textId="77777777" w:rsidTr="009576D6">
        <w:tc>
          <w:tcPr>
            <w:tcW w:w="7508" w:type="dxa"/>
          </w:tcPr>
          <w:p w14:paraId="500B4EAE"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12: Role of emotion on Social media engagement </w:t>
            </w:r>
          </w:p>
        </w:tc>
        <w:tc>
          <w:tcPr>
            <w:tcW w:w="992" w:type="dxa"/>
          </w:tcPr>
          <w:p w14:paraId="5CD65615"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95</w:t>
            </w:r>
          </w:p>
        </w:tc>
      </w:tr>
      <w:tr w:rsidR="00FC3B5C" w:rsidRPr="00530906" w14:paraId="53F0F709" w14:textId="77777777" w:rsidTr="009576D6">
        <w:trPr>
          <w:trHeight w:val="237"/>
        </w:trPr>
        <w:tc>
          <w:tcPr>
            <w:tcW w:w="7508" w:type="dxa"/>
          </w:tcPr>
          <w:p w14:paraId="1B1FDB5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13: Role of emotion on Social media engagement</w:t>
            </w:r>
          </w:p>
        </w:tc>
        <w:tc>
          <w:tcPr>
            <w:tcW w:w="992" w:type="dxa"/>
          </w:tcPr>
          <w:p w14:paraId="302D465C"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97</w:t>
            </w:r>
          </w:p>
        </w:tc>
      </w:tr>
      <w:tr w:rsidR="00FC3B5C" w:rsidRPr="00530906" w14:paraId="2B4242F1" w14:textId="77777777" w:rsidTr="009576D6">
        <w:tc>
          <w:tcPr>
            <w:tcW w:w="7508" w:type="dxa"/>
          </w:tcPr>
          <w:p w14:paraId="5E41F646"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14: Role of social influence on behavioural intention of adopting sustainable behaviour</w:t>
            </w:r>
          </w:p>
        </w:tc>
        <w:tc>
          <w:tcPr>
            <w:tcW w:w="992" w:type="dxa"/>
          </w:tcPr>
          <w:p w14:paraId="2391CBC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103</w:t>
            </w:r>
          </w:p>
        </w:tc>
      </w:tr>
      <w:tr w:rsidR="00FC3B5C" w:rsidRPr="00530906" w14:paraId="51D471BA" w14:textId="77777777" w:rsidTr="009576D6">
        <w:tc>
          <w:tcPr>
            <w:tcW w:w="7508" w:type="dxa"/>
          </w:tcPr>
          <w:p w14:paraId="280EE84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15: Conceptual Framework</w:t>
            </w:r>
          </w:p>
        </w:tc>
        <w:tc>
          <w:tcPr>
            <w:tcW w:w="992" w:type="dxa"/>
          </w:tcPr>
          <w:p w14:paraId="5EF0AAC7"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130</w:t>
            </w:r>
          </w:p>
        </w:tc>
      </w:tr>
      <w:tr w:rsidR="00FC3B5C" w:rsidRPr="00530906" w14:paraId="61B2FBFF" w14:textId="77777777" w:rsidTr="009576D6">
        <w:tc>
          <w:tcPr>
            <w:tcW w:w="7508" w:type="dxa"/>
          </w:tcPr>
          <w:p w14:paraId="5E1BD9D0"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16: Stimulation (Sustainably ad of fictitious coffee brand)</w:t>
            </w:r>
          </w:p>
        </w:tc>
        <w:tc>
          <w:tcPr>
            <w:tcW w:w="992" w:type="dxa"/>
          </w:tcPr>
          <w:p w14:paraId="6D7FFA52"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141</w:t>
            </w:r>
          </w:p>
        </w:tc>
      </w:tr>
      <w:tr w:rsidR="00FC3B5C" w:rsidRPr="00530906" w14:paraId="269B70FB" w14:textId="77777777" w:rsidTr="009576D6">
        <w:tc>
          <w:tcPr>
            <w:tcW w:w="7508" w:type="dxa"/>
          </w:tcPr>
          <w:p w14:paraId="2A7A482B"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17: Matrix of scatter plots between each pair of DV</w:t>
            </w:r>
          </w:p>
        </w:tc>
        <w:tc>
          <w:tcPr>
            <w:tcW w:w="992" w:type="dxa"/>
          </w:tcPr>
          <w:p w14:paraId="302F6DFE"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150</w:t>
            </w:r>
          </w:p>
        </w:tc>
      </w:tr>
      <w:tr w:rsidR="00FC3B5C" w:rsidRPr="00530906" w14:paraId="6468A218" w14:textId="77777777" w:rsidTr="009576D6">
        <w:tc>
          <w:tcPr>
            <w:tcW w:w="7508" w:type="dxa"/>
          </w:tcPr>
          <w:p w14:paraId="344A2081"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Fig 18: Test of outliers of multiple regression for independent variable SCV, second order reflective construct with 4 first order constructs</w:t>
            </w:r>
          </w:p>
        </w:tc>
        <w:tc>
          <w:tcPr>
            <w:tcW w:w="992" w:type="dxa"/>
          </w:tcPr>
          <w:p w14:paraId="1ACDCE1B"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152</w:t>
            </w:r>
          </w:p>
        </w:tc>
      </w:tr>
      <w:tr w:rsidR="00FC3B5C" w:rsidRPr="00530906" w14:paraId="2BFDC0B3" w14:textId="77777777" w:rsidTr="009576D6">
        <w:tc>
          <w:tcPr>
            <w:tcW w:w="7508" w:type="dxa"/>
          </w:tcPr>
          <w:p w14:paraId="1D1F6D14"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19: Scatter plot of residual </w:t>
            </w:r>
          </w:p>
        </w:tc>
        <w:tc>
          <w:tcPr>
            <w:tcW w:w="992" w:type="dxa"/>
          </w:tcPr>
          <w:p w14:paraId="59A8637E"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153</w:t>
            </w:r>
          </w:p>
        </w:tc>
      </w:tr>
      <w:tr w:rsidR="00FC3B5C" w:rsidRPr="00530906" w14:paraId="651E46C9" w14:textId="77777777" w:rsidTr="009576D6">
        <w:tc>
          <w:tcPr>
            <w:tcW w:w="7508" w:type="dxa"/>
          </w:tcPr>
          <w:p w14:paraId="40D66A65" w14:textId="4899C81D" w:rsidR="00FC3B5C" w:rsidRPr="00FC3B5C" w:rsidRDefault="00FC3B5C" w:rsidP="009576D6">
            <w:pPr>
              <w:spacing w:line="240" w:lineRule="auto"/>
              <w:rPr>
                <w:rFonts w:ascii="Cambria" w:hAnsi="Cambria"/>
                <w:sz w:val="24"/>
                <w:szCs w:val="24"/>
              </w:rPr>
            </w:pPr>
            <w:r w:rsidRPr="00FC3B5C">
              <w:rPr>
                <w:rFonts w:ascii="Cambria" w:hAnsi="Cambria"/>
                <w:sz w:val="24"/>
                <w:szCs w:val="24"/>
              </w:rPr>
              <w:t xml:space="preserve">Fig 20: Interaction between types of </w:t>
            </w:r>
            <w:r w:rsidR="00C57B79" w:rsidRPr="00FC3B5C">
              <w:rPr>
                <w:rFonts w:ascii="Cambria" w:hAnsi="Cambria"/>
                <w:sz w:val="24"/>
                <w:szCs w:val="24"/>
              </w:rPr>
              <w:t>captions</w:t>
            </w:r>
            <w:r w:rsidRPr="00FC3B5C">
              <w:rPr>
                <w:rFonts w:ascii="Cambria" w:hAnsi="Cambria"/>
                <w:sz w:val="24"/>
                <w:szCs w:val="24"/>
              </w:rPr>
              <w:t xml:space="preserve"> and level of expertise.</w:t>
            </w:r>
          </w:p>
        </w:tc>
        <w:tc>
          <w:tcPr>
            <w:tcW w:w="992" w:type="dxa"/>
          </w:tcPr>
          <w:p w14:paraId="7CBC7696" w14:textId="77777777" w:rsidR="00FC3B5C" w:rsidRPr="00FC3B5C" w:rsidRDefault="00FC3B5C" w:rsidP="009576D6">
            <w:pPr>
              <w:spacing w:line="240" w:lineRule="auto"/>
              <w:rPr>
                <w:rFonts w:ascii="Cambria" w:hAnsi="Cambria"/>
                <w:sz w:val="24"/>
                <w:szCs w:val="24"/>
              </w:rPr>
            </w:pPr>
            <w:r w:rsidRPr="00FC3B5C">
              <w:rPr>
                <w:rFonts w:ascii="Cambria" w:hAnsi="Cambria"/>
                <w:sz w:val="24"/>
                <w:szCs w:val="24"/>
              </w:rPr>
              <w:t>164</w:t>
            </w:r>
          </w:p>
        </w:tc>
      </w:tr>
    </w:tbl>
    <w:p w14:paraId="3C9FAF67" w14:textId="09A1BBC5" w:rsidR="00D905F9" w:rsidRPr="00530906" w:rsidRDefault="00D905F9" w:rsidP="008756B1">
      <w:pPr>
        <w:spacing w:line="259" w:lineRule="auto"/>
        <w:jc w:val="both"/>
        <w:rPr>
          <w:rFonts w:eastAsia="Times New Roman"/>
        </w:rPr>
      </w:pPr>
      <w:r w:rsidRPr="00530906">
        <w:rPr>
          <w:rFonts w:eastAsia="Times New Roman"/>
        </w:rPr>
        <w:br w:type="page"/>
      </w:r>
    </w:p>
    <w:p w14:paraId="1CAD353B" w14:textId="765FBF80" w:rsidR="00422B2A" w:rsidRPr="00530906" w:rsidRDefault="00422B2A" w:rsidP="008756B1">
      <w:pPr>
        <w:spacing w:line="259" w:lineRule="auto"/>
        <w:jc w:val="both"/>
        <w:rPr>
          <w:rFonts w:eastAsia="Times New Roman"/>
        </w:rPr>
      </w:pPr>
    </w:p>
    <w:p w14:paraId="52427D9F" w14:textId="750D27AA" w:rsidR="00422B2A" w:rsidRPr="00530906" w:rsidRDefault="00422B2A" w:rsidP="008756B1">
      <w:pPr>
        <w:spacing w:line="259" w:lineRule="auto"/>
        <w:jc w:val="both"/>
        <w:rPr>
          <w:rFonts w:eastAsia="Times New Roman"/>
        </w:rPr>
      </w:pPr>
    </w:p>
    <w:p w14:paraId="14B787F7" w14:textId="0B212FF5"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1339887F" w14:textId="3587D4CF"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36FBE85C" w14:textId="35E0B931"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092D6B10" w14:textId="0802D8C5"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7042B95B" w14:textId="7FF5EF30"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18E61188" w14:textId="2F03BF92"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3DD91855" w14:textId="349B19B2" w:rsidR="00422B2A" w:rsidRPr="00530906" w:rsidRDefault="00422B2A" w:rsidP="008756B1">
      <w:pPr>
        <w:spacing w:line="259" w:lineRule="auto"/>
        <w:jc w:val="both"/>
        <w:rPr>
          <w:rFonts w:asciiTheme="majorHAnsi" w:eastAsia="Times New Roman" w:hAnsiTheme="majorHAnsi" w:cstheme="majorBidi"/>
          <w:color w:val="2F5496" w:themeColor="accent1" w:themeShade="BF"/>
          <w:sz w:val="32"/>
          <w:szCs w:val="32"/>
        </w:rPr>
      </w:pPr>
    </w:p>
    <w:p w14:paraId="3D35A1CC" w14:textId="36135E27" w:rsidR="00EE655C" w:rsidRPr="00530906" w:rsidRDefault="00EE655C" w:rsidP="008756B1">
      <w:pPr>
        <w:spacing w:line="259" w:lineRule="auto"/>
        <w:jc w:val="both"/>
        <w:rPr>
          <w:rFonts w:asciiTheme="majorHAnsi" w:eastAsia="Times New Roman" w:hAnsiTheme="majorHAnsi" w:cstheme="majorBidi"/>
          <w:color w:val="2F5496" w:themeColor="accent1" w:themeShade="BF"/>
          <w:sz w:val="32"/>
          <w:szCs w:val="32"/>
        </w:rPr>
      </w:pPr>
    </w:p>
    <w:p w14:paraId="22CD7615" w14:textId="09CF6272" w:rsidR="00D2452E" w:rsidRPr="00530906" w:rsidRDefault="00422B2A" w:rsidP="008756B1">
      <w:pPr>
        <w:pStyle w:val="Heading1"/>
        <w:jc w:val="both"/>
        <w:rPr>
          <w:rFonts w:eastAsia="Times New Roman"/>
        </w:rPr>
      </w:pPr>
      <w:bookmarkStart w:id="1" w:name="_Toc115726206"/>
      <w:r w:rsidRPr="00530906">
        <w:rPr>
          <w:rFonts w:eastAsia="Times New Roman"/>
        </w:rPr>
        <w:t>Chapter 1</w:t>
      </w:r>
      <w:r w:rsidR="00D2452E" w:rsidRPr="00530906">
        <w:rPr>
          <w:rFonts w:eastAsia="Times New Roman"/>
        </w:rPr>
        <w:t>. Introduction</w:t>
      </w:r>
      <w:bookmarkEnd w:id="1"/>
    </w:p>
    <w:p w14:paraId="123B61BC" w14:textId="77777777" w:rsidR="00422B2A" w:rsidRPr="00530906" w:rsidRDefault="00422B2A" w:rsidP="008756B1">
      <w:pPr>
        <w:spacing w:line="259" w:lineRule="auto"/>
        <w:jc w:val="both"/>
        <w:rPr>
          <w:rFonts w:ascii="Cambria" w:eastAsia="Times New Roman" w:hAnsi="Cambria" w:cs="Times New Roman"/>
          <w:color w:val="2E74B5"/>
          <w:sz w:val="26"/>
          <w:szCs w:val="26"/>
        </w:rPr>
      </w:pPr>
      <w:r w:rsidRPr="00530906">
        <w:rPr>
          <w:rFonts w:ascii="Cambria" w:eastAsia="Times New Roman" w:hAnsi="Cambria" w:cs="Times New Roman"/>
          <w:color w:val="2E74B5"/>
          <w:sz w:val="26"/>
          <w:szCs w:val="26"/>
        </w:rPr>
        <w:br w:type="page"/>
      </w:r>
    </w:p>
    <w:p w14:paraId="3F37DB4C" w14:textId="390865EF" w:rsidR="00D2452E" w:rsidRPr="00530906" w:rsidRDefault="00D2452E" w:rsidP="008756B1">
      <w:pPr>
        <w:keepNext/>
        <w:keepLines/>
        <w:spacing w:before="200" w:after="0" w:line="276" w:lineRule="auto"/>
        <w:jc w:val="both"/>
        <w:outlineLvl w:val="1"/>
        <w:rPr>
          <w:rFonts w:ascii="Cambria" w:eastAsia="Times New Roman" w:hAnsi="Cambria" w:cs="Times New Roman"/>
          <w:color w:val="2E74B5"/>
          <w:sz w:val="26"/>
          <w:szCs w:val="26"/>
        </w:rPr>
      </w:pPr>
      <w:bookmarkStart w:id="2" w:name="_Toc115726207"/>
      <w:r w:rsidRPr="00530906">
        <w:rPr>
          <w:rFonts w:ascii="Cambria" w:eastAsia="Times New Roman" w:hAnsi="Cambria" w:cs="Times New Roman"/>
          <w:color w:val="2E74B5"/>
          <w:sz w:val="26"/>
          <w:szCs w:val="26"/>
        </w:rPr>
        <w:lastRenderedPageBreak/>
        <w:t>1.1 Background and research problem identification</w:t>
      </w:r>
      <w:bookmarkEnd w:id="2"/>
    </w:p>
    <w:p w14:paraId="5CE4BA04" w14:textId="74880C34" w:rsidR="00D2452E" w:rsidRPr="009F02A6" w:rsidRDefault="00D2452E">
      <w:pPr>
        <w:tabs>
          <w:tab w:val="num" w:pos="720"/>
        </w:tabs>
        <w:spacing w:after="200" w:line="360" w:lineRule="auto"/>
        <w:jc w:val="both"/>
        <w:rPr>
          <w:rFonts w:ascii="Cambria" w:eastAsia="Calibri" w:hAnsi="Cambria" w:cs="Adobe Devanagari"/>
          <w:sz w:val="24"/>
          <w:szCs w:val="24"/>
        </w:rPr>
      </w:pPr>
      <w:r w:rsidRPr="00530906">
        <w:rPr>
          <w:rFonts w:ascii="Cambria" w:eastAsia="Times New Roman" w:hAnsi="Cambria" w:cs="Adobe Devanagari"/>
          <w:sz w:val="24"/>
          <w:szCs w:val="24"/>
        </w:rPr>
        <w:t xml:space="preserve">Concerns over sustainability is rising among general people </w:t>
      </w:r>
      <w:r w:rsidRPr="00530906">
        <w:rPr>
          <w:rFonts w:ascii="Cambria" w:eastAsia="Times New Roman" w:hAnsi="Cambria" w:cs="Times New Roman"/>
          <w:sz w:val="24"/>
          <w:szCs w:val="24"/>
        </w:rPr>
        <w:t>(</w:t>
      </w:r>
      <w:r w:rsidRPr="00530906">
        <w:rPr>
          <w:rFonts w:ascii="Cambria" w:eastAsia="Times New Roman" w:hAnsi="Cambria" w:cs="Adobe Devanagari"/>
          <w:sz w:val="24"/>
          <w:szCs w:val="24"/>
        </w:rPr>
        <w:t xml:space="preserve">Caprar, and Neville 2012; Davari and Strutton </w:t>
      </w:r>
      <w:r w:rsidRPr="009F02A6">
        <w:rPr>
          <w:rFonts w:ascii="Cambria" w:eastAsia="Times New Roman" w:hAnsi="Cambria" w:cs="Adobe Devanagari"/>
          <w:sz w:val="24"/>
          <w:szCs w:val="24"/>
        </w:rPr>
        <w:t>2014; McDonagh and Prother, 2014; Rettie et al. 2012</w:t>
      </w:r>
      <w:r w:rsidR="00517ABB" w:rsidRPr="009F02A6">
        <w:rPr>
          <w:rFonts w:ascii="Cambria" w:eastAsia="Times New Roman" w:hAnsi="Cambria" w:cs="Adobe Devanagari"/>
          <w:sz w:val="24"/>
          <w:szCs w:val="24"/>
        </w:rPr>
        <w:t>;</w:t>
      </w:r>
      <w:r w:rsidRPr="009F02A6">
        <w:rPr>
          <w:rFonts w:ascii="Cambria" w:eastAsia="Times New Roman" w:hAnsi="Cambria" w:cs="Adobe Devanagari"/>
          <w:sz w:val="24"/>
          <w:szCs w:val="24"/>
        </w:rPr>
        <w:t xml:space="preserve"> Roberts 1996</w:t>
      </w:r>
      <w:r w:rsidR="00517ABB" w:rsidRPr="009F02A6">
        <w:rPr>
          <w:rFonts w:ascii="Cambria" w:eastAsia="Times New Roman" w:hAnsi="Cambria" w:cs="Adobe Devanagari"/>
          <w:sz w:val="24"/>
          <w:szCs w:val="24"/>
        </w:rPr>
        <w:t>;</w:t>
      </w:r>
      <w:r w:rsidRPr="009F02A6">
        <w:rPr>
          <w:rFonts w:ascii="Cambria" w:eastAsia="Times New Roman" w:hAnsi="Cambria" w:cs="Adobe Devanagari"/>
          <w:sz w:val="24"/>
          <w:szCs w:val="24"/>
        </w:rPr>
        <w:t xml:space="preserve"> Leary et al 2014</w:t>
      </w:r>
      <w:r w:rsidRPr="009F02A6">
        <w:rPr>
          <w:rFonts w:ascii="Cambria" w:eastAsiaTheme="majorEastAsia" w:hAnsi="Cambria" w:cs="Times New Roman"/>
          <w:sz w:val="24"/>
          <w:szCs w:val="24"/>
        </w:rPr>
        <w:t>)</w:t>
      </w:r>
      <w:r w:rsidRPr="009F02A6">
        <w:rPr>
          <w:rFonts w:ascii="Cambria" w:eastAsia="Times New Roman" w:hAnsi="Cambria" w:cs="Times New Roman"/>
          <w:sz w:val="24"/>
          <w:szCs w:val="24"/>
        </w:rPr>
        <w:t>.</w:t>
      </w:r>
      <w:r w:rsidR="00D32A22" w:rsidRPr="009F02A6">
        <w:rPr>
          <w:rFonts w:ascii="Cambria" w:eastAsia="Times New Roman" w:hAnsi="Cambria" w:cs="Times New Roman"/>
          <w:sz w:val="24"/>
          <w:szCs w:val="24"/>
        </w:rPr>
        <w:t xml:space="preserve"> Which is also reflected in </w:t>
      </w:r>
      <w:r w:rsidR="00AA15C9" w:rsidRPr="009F02A6">
        <w:rPr>
          <w:rFonts w:ascii="Cambria" w:eastAsia="Times New Roman" w:hAnsi="Cambria" w:cs="Times New Roman"/>
          <w:sz w:val="24"/>
          <w:szCs w:val="24"/>
        </w:rPr>
        <w:t>consumers’</w:t>
      </w:r>
      <w:r w:rsidR="00D32A22" w:rsidRPr="009F02A6">
        <w:rPr>
          <w:rFonts w:ascii="Cambria" w:eastAsia="Times New Roman" w:hAnsi="Cambria" w:cs="Times New Roman"/>
          <w:sz w:val="24"/>
          <w:szCs w:val="24"/>
        </w:rPr>
        <w:t xml:space="preserve"> demand for </w:t>
      </w:r>
      <w:r w:rsidR="009002E1" w:rsidRPr="009F02A6">
        <w:rPr>
          <w:rFonts w:ascii="Cambria" w:eastAsia="Times New Roman" w:hAnsi="Cambria" w:cs="Times New Roman"/>
          <w:sz w:val="24"/>
          <w:szCs w:val="24"/>
        </w:rPr>
        <w:t>sustainable</w:t>
      </w:r>
      <w:r w:rsidR="00D32A22" w:rsidRPr="009F02A6">
        <w:rPr>
          <w:rFonts w:ascii="Cambria" w:eastAsia="Times New Roman" w:hAnsi="Cambria" w:cs="Times New Roman"/>
          <w:sz w:val="24"/>
          <w:szCs w:val="24"/>
        </w:rPr>
        <w:t xml:space="preserve"> products</w:t>
      </w:r>
      <w:r w:rsidRPr="009F02A6">
        <w:rPr>
          <w:rFonts w:ascii="Cambria" w:eastAsia="Times New Roman" w:hAnsi="Cambria" w:cs="Times New Roman"/>
          <w:sz w:val="24"/>
          <w:szCs w:val="24"/>
        </w:rPr>
        <w:t xml:space="preserve"> </w:t>
      </w:r>
      <w:r w:rsidR="00DD3FCF" w:rsidRPr="009F02A6">
        <w:rPr>
          <w:rFonts w:ascii="Cambria" w:eastAsia="Calibri" w:hAnsi="Cambria" w:cs="Adobe Devanagari"/>
          <w:sz w:val="24"/>
          <w:szCs w:val="24"/>
        </w:rPr>
        <w:t>(</w:t>
      </w:r>
      <w:r w:rsidR="00684272" w:rsidRPr="009F02A6">
        <w:rPr>
          <w:rFonts w:ascii="Cambria" w:eastAsia="Times New Roman" w:hAnsi="Cambria" w:cs="Adobe Devanagari"/>
          <w:sz w:val="24"/>
          <w:szCs w:val="24"/>
        </w:rPr>
        <w:t xml:space="preserve">Statista </w:t>
      </w:r>
      <w:r w:rsidR="00684272" w:rsidRPr="009F02A6">
        <w:rPr>
          <w:rFonts w:ascii="Cambria" w:eastAsia="Times New Roman" w:hAnsi="Cambria" w:cs="Times New Roman"/>
          <w:sz w:val="24"/>
          <w:szCs w:val="24"/>
        </w:rPr>
        <w:t xml:space="preserve">2016; </w:t>
      </w:r>
      <w:r w:rsidR="00DD3FCF" w:rsidRPr="009F02A6">
        <w:rPr>
          <w:rFonts w:ascii="Cambria" w:eastAsia="Calibri" w:hAnsi="Cambria" w:cs="Adobe Devanagari"/>
          <w:sz w:val="24"/>
          <w:szCs w:val="24"/>
        </w:rPr>
        <w:t>Statista 2021</w:t>
      </w:r>
      <w:r w:rsidR="00DD3FCF" w:rsidRPr="009F02A6">
        <w:rPr>
          <w:rFonts w:ascii="Cambria" w:eastAsia="Calibri" w:hAnsi="Cambria" w:cs="Adobe Devanagari"/>
          <w:sz w:val="24"/>
          <w:szCs w:val="24"/>
          <w:vertAlign w:val="superscript"/>
        </w:rPr>
        <w:t>6</w:t>
      </w:r>
      <w:r w:rsidR="00DD3FCF" w:rsidRPr="009F02A6">
        <w:rPr>
          <w:rFonts w:ascii="Cambria" w:eastAsia="Calibri" w:hAnsi="Cambria" w:cs="Adobe Devanagari"/>
          <w:sz w:val="24"/>
          <w:szCs w:val="24"/>
        </w:rPr>
        <w:t>)</w:t>
      </w:r>
      <w:r w:rsidR="00492641" w:rsidRPr="009F02A6">
        <w:rPr>
          <w:rFonts w:ascii="Cambria" w:eastAsia="Calibri" w:hAnsi="Cambria" w:cs="Adobe Devanagari"/>
          <w:sz w:val="24"/>
          <w:szCs w:val="24"/>
        </w:rPr>
        <w:t>.</w:t>
      </w:r>
      <w:r w:rsidR="00C31427" w:rsidRPr="009F02A6">
        <w:rPr>
          <w:rFonts w:ascii="Cambria" w:eastAsia="Calibri" w:hAnsi="Cambria" w:cs="Times New Roman"/>
          <w:sz w:val="24"/>
          <w:szCs w:val="24"/>
        </w:rPr>
        <w:t xml:space="preserve"> Sustainable </w:t>
      </w:r>
      <w:r w:rsidR="009002E1" w:rsidRPr="009F02A6">
        <w:rPr>
          <w:rFonts w:ascii="Cambria" w:eastAsia="Calibri" w:hAnsi="Cambria" w:cs="Times New Roman"/>
          <w:sz w:val="24"/>
          <w:szCs w:val="24"/>
        </w:rPr>
        <w:t>product represents</w:t>
      </w:r>
      <w:r w:rsidR="00C31427" w:rsidRPr="009F02A6">
        <w:rPr>
          <w:rFonts w:ascii="Cambria" w:eastAsia="Calibri" w:hAnsi="Cambria" w:cs="Times New Roman"/>
          <w:sz w:val="24"/>
          <w:szCs w:val="24"/>
        </w:rPr>
        <w:t xml:space="preserve"> “</w:t>
      </w:r>
      <w:r w:rsidR="00C31427" w:rsidRPr="009F02A6">
        <w:rPr>
          <w:rFonts w:ascii="Cambria" w:eastAsia="Calibri" w:hAnsi="Cambria" w:cs="Times New Roman"/>
          <w:i/>
          <w:iCs/>
          <w:sz w:val="24"/>
          <w:szCs w:val="24"/>
        </w:rPr>
        <w:t>Products that minimize harm to the environment and to society</w:t>
      </w:r>
      <w:r w:rsidR="00C31427" w:rsidRPr="009F02A6">
        <w:rPr>
          <w:rFonts w:ascii="Cambria" w:eastAsia="Calibri" w:hAnsi="Cambria" w:cs="Times New Roman"/>
          <w:sz w:val="24"/>
          <w:szCs w:val="24"/>
        </w:rPr>
        <w:t xml:space="preserve">” (Rowe et al 2019 p. 277).  </w:t>
      </w:r>
      <w:r w:rsidR="00D32A22" w:rsidRPr="009F02A6">
        <w:rPr>
          <w:rFonts w:ascii="Cambria" w:eastAsia="Calibri" w:hAnsi="Cambria" w:cs="Adobe Devanagari"/>
          <w:sz w:val="24"/>
          <w:szCs w:val="24"/>
        </w:rPr>
        <w:t xml:space="preserve">This </w:t>
      </w:r>
      <w:r w:rsidR="00C31427" w:rsidRPr="009F02A6">
        <w:rPr>
          <w:rFonts w:ascii="Cambria" w:eastAsia="Calibri" w:hAnsi="Cambria" w:cs="Adobe Devanagari"/>
          <w:sz w:val="24"/>
          <w:szCs w:val="24"/>
        </w:rPr>
        <w:t>demand</w:t>
      </w:r>
      <w:r w:rsidR="00FE4148" w:rsidRPr="009F02A6">
        <w:rPr>
          <w:rFonts w:ascii="Cambria" w:eastAsia="Calibri" w:hAnsi="Cambria" w:cs="Adobe Devanagari"/>
          <w:sz w:val="24"/>
          <w:szCs w:val="24"/>
        </w:rPr>
        <w:t xml:space="preserve"> for sustainable products</w:t>
      </w:r>
      <w:r w:rsidR="00C31427" w:rsidRPr="009F02A6">
        <w:rPr>
          <w:rFonts w:ascii="Cambria" w:eastAsia="Calibri" w:hAnsi="Cambria" w:cs="Adobe Devanagari"/>
          <w:sz w:val="24"/>
          <w:szCs w:val="24"/>
        </w:rPr>
        <w:t xml:space="preserve"> </w:t>
      </w:r>
      <w:r w:rsidR="00D32A22" w:rsidRPr="009F02A6">
        <w:rPr>
          <w:rFonts w:ascii="Cambria" w:eastAsia="Calibri" w:hAnsi="Cambria" w:cs="Adobe Devanagari"/>
          <w:sz w:val="24"/>
          <w:szCs w:val="24"/>
        </w:rPr>
        <w:t xml:space="preserve">motivates </w:t>
      </w:r>
      <w:r w:rsidR="00E33941" w:rsidRPr="009F02A6">
        <w:rPr>
          <w:rFonts w:ascii="Cambria" w:eastAsia="Calibri" w:hAnsi="Cambria" w:cs="Adobe Devanagari"/>
          <w:sz w:val="24"/>
          <w:szCs w:val="24"/>
        </w:rPr>
        <w:t>companies</w:t>
      </w:r>
      <w:r w:rsidR="00D32A22" w:rsidRPr="009F02A6">
        <w:rPr>
          <w:rFonts w:ascii="Cambria" w:eastAsia="Calibri" w:hAnsi="Cambria" w:cs="Adobe Devanagari"/>
          <w:sz w:val="24"/>
          <w:szCs w:val="24"/>
        </w:rPr>
        <w:t xml:space="preserve"> to</w:t>
      </w:r>
      <w:r w:rsidR="00C31427" w:rsidRPr="009F02A6">
        <w:rPr>
          <w:rFonts w:ascii="Cambria" w:eastAsia="Calibri" w:hAnsi="Cambria" w:cs="Adobe Devanagari"/>
          <w:sz w:val="24"/>
          <w:szCs w:val="24"/>
        </w:rPr>
        <w:t xml:space="preserve"> </w:t>
      </w:r>
      <w:r w:rsidR="00684272" w:rsidRPr="009F02A6">
        <w:rPr>
          <w:rFonts w:ascii="Cambria" w:eastAsia="Times New Roman" w:hAnsi="Cambria" w:cs="Times New Roman"/>
          <w:sz w:val="24"/>
          <w:szCs w:val="24"/>
        </w:rPr>
        <w:t>incorporat</w:t>
      </w:r>
      <w:r w:rsidR="00C31427" w:rsidRPr="009F02A6">
        <w:rPr>
          <w:rFonts w:ascii="Cambria" w:eastAsia="Times New Roman" w:hAnsi="Cambria" w:cs="Times New Roman"/>
          <w:sz w:val="24"/>
          <w:szCs w:val="24"/>
        </w:rPr>
        <w:t>e</w:t>
      </w:r>
      <w:r w:rsidR="00684272" w:rsidRPr="009F02A6">
        <w:rPr>
          <w:rFonts w:ascii="Cambria" w:eastAsia="Times New Roman" w:hAnsi="Cambria" w:cs="Times New Roman"/>
          <w:sz w:val="24"/>
          <w:szCs w:val="24"/>
        </w:rPr>
        <w:t xml:space="preserve"> sustainability </w:t>
      </w:r>
      <w:r w:rsidR="00871229">
        <w:rPr>
          <w:rFonts w:ascii="Cambria" w:eastAsia="Times New Roman" w:hAnsi="Cambria" w:cs="Times New Roman"/>
          <w:sz w:val="24"/>
          <w:szCs w:val="24"/>
        </w:rPr>
        <w:t>related aspects</w:t>
      </w:r>
      <w:r w:rsidR="00684272" w:rsidRPr="009F02A6">
        <w:rPr>
          <w:rFonts w:ascii="Cambria" w:eastAsia="Times New Roman" w:hAnsi="Cambria" w:cs="Times New Roman"/>
          <w:sz w:val="24"/>
          <w:szCs w:val="24"/>
        </w:rPr>
        <w:t xml:space="preserve"> in their</w:t>
      </w:r>
      <w:r w:rsidR="004667AF" w:rsidRPr="009F02A6">
        <w:rPr>
          <w:rFonts w:ascii="Cambria" w:eastAsia="Times New Roman" w:hAnsi="Cambria" w:cs="Times New Roman"/>
          <w:sz w:val="24"/>
          <w:szCs w:val="24"/>
        </w:rPr>
        <w:t xml:space="preserve"> offers</w:t>
      </w:r>
      <w:r w:rsidR="00684272" w:rsidRPr="009F02A6">
        <w:rPr>
          <w:rFonts w:ascii="Cambria" w:eastAsia="Times New Roman" w:hAnsi="Cambria" w:cs="Times New Roman"/>
          <w:sz w:val="24"/>
          <w:szCs w:val="24"/>
        </w:rPr>
        <w:t xml:space="preserve"> and marketing communication (Huang 2015) </w:t>
      </w:r>
      <w:r w:rsidR="00684272" w:rsidRPr="009F02A6">
        <w:rPr>
          <w:rFonts w:ascii="Cambria" w:eastAsia="Times New Roman" w:hAnsi="Cambria" w:cs="Adobe Devanagari"/>
          <w:sz w:val="24"/>
          <w:szCs w:val="24"/>
        </w:rPr>
        <w:t>for</w:t>
      </w:r>
      <w:r w:rsidR="00684272" w:rsidRPr="009F02A6">
        <w:rPr>
          <w:rFonts w:ascii="Cambria" w:eastAsia="Times New Roman" w:hAnsi="Cambria" w:cs="Times New Roman"/>
          <w:noProof/>
          <w:sz w:val="24"/>
          <w:szCs w:val="24"/>
        </w:rPr>
        <w:t xml:space="preserve"> competitiveness</w:t>
      </w:r>
      <w:r w:rsidR="00B832BC" w:rsidRPr="009F02A6">
        <w:rPr>
          <w:rFonts w:ascii="Cambria" w:eastAsia="Times New Roman" w:hAnsi="Cambria" w:cs="Times New Roman"/>
          <w:noProof/>
          <w:sz w:val="24"/>
          <w:szCs w:val="24"/>
        </w:rPr>
        <w:t xml:space="preserve"> and </w:t>
      </w:r>
      <w:r w:rsidR="00BE46B0" w:rsidRPr="009F02A6">
        <w:rPr>
          <w:rFonts w:ascii="Cambria" w:eastAsia="Times New Roman" w:hAnsi="Cambria" w:cs="Times New Roman"/>
          <w:noProof/>
          <w:sz w:val="24"/>
          <w:szCs w:val="24"/>
        </w:rPr>
        <w:t xml:space="preserve"> </w:t>
      </w:r>
      <w:r w:rsidR="00684272" w:rsidRPr="009F02A6">
        <w:rPr>
          <w:rFonts w:ascii="Cambria" w:eastAsia="Times New Roman" w:hAnsi="Cambria" w:cs="Times New Roman"/>
          <w:noProof/>
          <w:sz w:val="24"/>
          <w:szCs w:val="24"/>
        </w:rPr>
        <w:t xml:space="preserve">legitimacy </w:t>
      </w:r>
      <w:r w:rsidR="00BE46B0" w:rsidRPr="009F02A6">
        <w:rPr>
          <w:rFonts w:ascii="Cambria" w:eastAsia="Times New Roman" w:hAnsi="Cambria" w:cs="Times New Roman"/>
          <w:noProof/>
          <w:sz w:val="24"/>
          <w:szCs w:val="24"/>
        </w:rPr>
        <w:t>(</w:t>
      </w:r>
      <w:r w:rsidR="00684272" w:rsidRPr="009F02A6">
        <w:rPr>
          <w:rFonts w:ascii="Cambria" w:eastAsia="Times New Roman" w:hAnsi="Cambria" w:cs="Times New Roman"/>
          <w:sz w:val="24"/>
          <w:szCs w:val="24"/>
        </w:rPr>
        <w:t>Bansal and Roth 2000</w:t>
      </w:r>
      <w:r w:rsidR="00B832BC" w:rsidRPr="009F02A6">
        <w:rPr>
          <w:rFonts w:ascii="Cambria" w:eastAsia="Times New Roman" w:hAnsi="Cambria" w:cs="Times New Roman"/>
          <w:sz w:val="24"/>
          <w:szCs w:val="24"/>
        </w:rPr>
        <w:t xml:space="preserve">; </w:t>
      </w:r>
      <w:r w:rsidR="00684272" w:rsidRPr="009F02A6">
        <w:rPr>
          <w:rFonts w:ascii="Cambria" w:eastAsia="Times New Roman" w:hAnsi="Cambria" w:cs="Times New Roman"/>
          <w:noProof/>
          <w:sz w:val="24"/>
          <w:szCs w:val="24"/>
        </w:rPr>
        <w:t xml:space="preserve">Keller 2013). </w:t>
      </w:r>
      <w:r w:rsidR="008301D6" w:rsidRPr="009F02A6">
        <w:rPr>
          <w:rFonts w:ascii="Cambria" w:eastAsia="Times New Roman" w:hAnsi="Cambria" w:cs="Times New Roman"/>
          <w:sz w:val="24"/>
          <w:szCs w:val="24"/>
        </w:rPr>
        <w:t xml:space="preserve">For example, Waitrose’s </w:t>
      </w:r>
      <w:r w:rsidR="00C70698" w:rsidRPr="009F02A6">
        <w:rPr>
          <w:rFonts w:ascii="Cambria" w:eastAsia="Times New Roman" w:hAnsi="Cambria" w:cs="Times New Roman"/>
          <w:sz w:val="24"/>
          <w:szCs w:val="24"/>
        </w:rPr>
        <w:t>promoted</w:t>
      </w:r>
      <w:r w:rsidR="008301D6" w:rsidRPr="009F02A6">
        <w:rPr>
          <w:rFonts w:ascii="Cambria" w:eastAsia="Times New Roman" w:hAnsi="Cambria" w:cs="Times New Roman"/>
          <w:sz w:val="24"/>
          <w:szCs w:val="24"/>
        </w:rPr>
        <w:t xml:space="preserve"> ‘unpacked’ policy in their store </w:t>
      </w:r>
      <w:r w:rsidR="004F7E56" w:rsidRPr="009F02A6">
        <w:rPr>
          <w:rFonts w:ascii="Cambria" w:eastAsia="Times New Roman" w:hAnsi="Cambria" w:cs="Times New Roman"/>
          <w:sz w:val="24"/>
          <w:szCs w:val="24"/>
        </w:rPr>
        <w:t>focusing on their attempt to</w:t>
      </w:r>
      <w:r w:rsidR="008301D6" w:rsidRPr="009F02A6">
        <w:rPr>
          <w:rFonts w:ascii="Cambria" w:eastAsia="Times New Roman" w:hAnsi="Cambria" w:cs="Times New Roman"/>
          <w:sz w:val="24"/>
          <w:szCs w:val="24"/>
        </w:rPr>
        <w:t xml:space="preserve"> reduce plastic packaging (</w:t>
      </w:r>
      <w:r w:rsidR="008301D6" w:rsidRPr="009F02A6">
        <w:rPr>
          <w:rFonts w:ascii="Cambria" w:hAnsi="Cambria"/>
          <w:sz w:val="24"/>
          <w:szCs w:val="24"/>
        </w:rPr>
        <w:t>Valley</w:t>
      </w:r>
      <w:r w:rsidR="008301D6" w:rsidRPr="009F02A6">
        <w:rPr>
          <w:rFonts w:ascii="Cambria" w:eastAsia="Times New Roman" w:hAnsi="Cambria" w:cs="Times New Roman"/>
          <w:sz w:val="24"/>
          <w:szCs w:val="24"/>
        </w:rPr>
        <w:t xml:space="preserve"> 2019)</w:t>
      </w:r>
      <w:r w:rsidR="00F4138A" w:rsidRPr="009F02A6">
        <w:rPr>
          <w:rFonts w:ascii="Cambria" w:eastAsia="Times New Roman" w:hAnsi="Cambria" w:cs="Times New Roman"/>
          <w:sz w:val="24"/>
          <w:szCs w:val="24"/>
        </w:rPr>
        <w:t>; Moreish coffee promote</w:t>
      </w:r>
      <w:r w:rsidR="004F7E56" w:rsidRPr="009F02A6">
        <w:rPr>
          <w:rFonts w:ascii="Cambria" w:eastAsia="Times New Roman" w:hAnsi="Cambria" w:cs="Times New Roman"/>
          <w:sz w:val="24"/>
          <w:szCs w:val="24"/>
        </w:rPr>
        <w:t>s</w:t>
      </w:r>
      <w:r w:rsidR="00F4138A" w:rsidRPr="009F02A6">
        <w:rPr>
          <w:rFonts w:ascii="Cambria" w:eastAsia="Times New Roman" w:hAnsi="Cambria" w:cs="Times New Roman"/>
          <w:sz w:val="24"/>
          <w:szCs w:val="24"/>
        </w:rPr>
        <w:t xml:space="preserve"> their product</w:t>
      </w:r>
      <w:r w:rsidR="004F7E56" w:rsidRPr="009F02A6">
        <w:rPr>
          <w:rFonts w:ascii="Cambria" w:eastAsia="Times New Roman" w:hAnsi="Cambria" w:cs="Times New Roman"/>
          <w:sz w:val="24"/>
          <w:szCs w:val="24"/>
        </w:rPr>
        <w:t>s</w:t>
      </w:r>
      <w:r w:rsidR="00F4138A" w:rsidRPr="009F02A6">
        <w:rPr>
          <w:rFonts w:ascii="Cambria" w:eastAsia="Times New Roman" w:hAnsi="Cambria" w:cs="Times New Roman"/>
          <w:sz w:val="24"/>
          <w:szCs w:val="24"/>
        </w:rPr>
        <w:t xml:space="preserve"> under both fair trade and rain forest alliance logos to signal environment, community/social and economic development etc (Fig 1)</w:t>
      </w:r>
      <w:r w:rsidR="004F7E56" w:rsidRPr="009F02A6">
        <w:rPr>
          <w:rFonts w:ascii="Cambria" w:eastAsia="Times New Roman" w:hAnsi="Cambria" w:cs="Times New Roman"/>
          <w:sz w:val="24"/>
          <w:szCs w:val="24"/>
        </w:rPr>
        <w:t>;</w:t>
      </w:r>
      <w:r w:rsidR="00F4138A" w:rsidRPr="009F02A6">
        <w:rPr>
          <w:rFonts w:ascii="Cambria" w:eastAsia="Times New Roman" w:hAnsi="Cambria" w:cs="Times New Roman"/>
          <w:sz w:val="24"/>
          <w:szCs w:val="24"/>
        </w:rPr>
        <w:t xml:space="preserve"> H &amp; M launched ‘conscious’ collection to show commitment to sustainable sources along with its economic stance </w:t>
      </w:r>
      <w:r w:rsidR="004F7E56" w:rsidRPr="009F02A6">
        <w:rPr>
          <w:rFonts w:ascii="Cambria" w:eastAsia="Times New Roman" w:hAnsi="Cambria" w:cs="Times New Roman"/>
          <w:sz w:val="24"/>
          <w:szCs w:val="24"/>
        </w:rPr>
        <w:t xml:space="preserve">(Young, 2018) </w:t>
      </w:r>
      <w:r w:rsidR="00F4138A" w:rsidRPr="009F02A6">
        <w:rPr>
          <w:rFonts w:ascii="Cambria" w:eastAsia="Times New Roman" w:hAnsi="Cambria" w:cs="Times New Roman"/>
          <w:sz w:val="24"/>
          <w:szCs w:val="24"/>
        </w:rPr>
        <w:t xml:space="preserve">(Fig 2). </w:t>
      </w:r>
    </w:p>
    <w:p w14:paraId="5091B5A8" w14:textId="708D1F50" w:rsidR="008A10CB" w:rsidRPr="009F02A6" w:rsidRDefault="00407385" w:rsidP="008756B1">
      <w:pPr>
        <w:spacing w:line="360" w:lineRule="auto"/>
        <w:jc w:val="both"/>
        <w:rPr>
          <w:rFonts w:ascii="Cambria" w:eastAsia="Times New Roman" w:hAnsi="Cambria" w:cs="Times New Roman"/>
          <w:sz w:val="24"/>
          <w:szCs w:val="24"/>
        </w:rPr>
      </w:pPr>
      <w:r w:rsidRPr="009F02A6">
        <w:rPr>
          <w:rFonts w:ascii="Cambria" w:eastAsia="Times New Roman" w:hAnsi="Cambria" w:cs="Times New Roman"/>
          <w:noProof/>
          <w:sz w:val="24"/>
          <w:szCs w:val="24"/>
          <w:lang w:val="en-US"/>
        </w:rPr>
        <w:drawing>
          <wp:anchor distT="0" distB="0" distL="114300" distR="114300" simplePos="0" relativeHeight="251657222" behindDoc="1" locked="0" layoutInCell="1" allowOverlap="1" wp14:anchorId="5B743C30" wp14:editId="29100E08">
            <wp:simplePos x="0" y="0"/>
            <wp:positionH relativeFrom="column">
              <wp:posOffset>1865630</wp:posOffset>
            </wp:positionH>
            <wp:positionV relativeFrom="paragraph">
              <wp:posOffset>34925</wp:posOffset>
            </wp:positionV>
            <wp:extent cx="1895475" cy="2200275"/>
            <wp:effectExtent l="0" t="0" r="9525" b="9525"/>
            <wp:wrapSquare wrapText="bothSides"/>
            <wp:docPr id="2" name="Picture 16" descr="61S1g7wMc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1S1g7wMcnL._SL1500_.jpg"/>
                    <pic:cNvPicPr>
                      <a:picLocks noChangeAspect="1" noChangeArrowheads="1"/>
                    </pic:cNvPicPr>
                  </pic:nvPicPr>
                  <pic:blipFill>
                    <a:blip r:embed="rId13">
                      <a:extLst>
                        <a:ext uri="{28A0092B-C50C-407E-A947-70E740481C1C}">
                          <a14:useLocalDpi xmlns:a14="http://schemas.microsoft.com/office/drawing/2010/main" val="0"/>
                        </a:ext>
                      </a:extLst>
                    </a:blip>
                    <a:srcRect l="8047" t="9938" r="7555" b="5208"/>
                    <a:stretch>
                      <a:fillRect/>
                    </a:stretch>
                  </pic:blipFill>
                  <pic:spPr bwMode="auto">
                    <a:xfrm>
                      <a:off x="0" y="0"/>
                      <a:ext cx="1895475" cy="2200275"/>
                    </a:xfrm>
                    <a:prstGeom prst="rect">
                      <a:avLst/>
                    </a:prstGeom>
                    <a:noFill/>
                  </pic:spPr>
                </pic:pic>
              </a:graphicData>
            </a:graphic>
          </wp:anchor>
        </w:drawing>
      </w:r>
      <w:r w:rsidRPr="009F02A6">
        <w:rPr>
          <w:rFonts w:ascii="Cambria" w:eastAsia="Times New Roman" w:hAnsi="Cambria" w:cs="Times New Roman"/>
          <w:noProof/>
          <w:sz w:val="24"/>
          <w:szCs w:val="24"/>
          <w:lang w:val="en-US"/>
        </w:rPr>
        <w:drawing>
          <wp:anchor distT="0" distB="0" distL="114300" distR="114300" simplePos="0" relativeHeight="251657221" behindDoc="1" locked="0" layoutInCell="1" allowOverlap="1" wp14:anchorId="4DDE2CF9" wp14:editId="67F70A04">
            <wp:simplePos x="0" y="0"/>
            <wp:positionH relativeFrom="column">
              <wp:posOffset>-14605</wp:posOffset>
            </wp:positionH>
            <wp:positionV relativeFrom="paragraph">
              <wp:posOffset>55880</wp:posOffset>
            </wp:positionV>
            <wp:extent cx="1737995" cy="2196465"/>
            <wp:effectExtent l="0" t="0" r="0" b="0"/>
            <wp:wrapTight wrapText="bothSides">
              <wp:wrapPolygon edited="0">
                <wp:start x="0" y="0"/>
                <wp:lineTo x="0" y="21356"/>
                <wp:lineTo x="21308" y="21356"/>
                <wp:lineTo x="21308" y="0"/>
                <wp:lineTo x="0" y="0"/>
              </wp:wrapPolygon>
            </wp:wrapTight>
            <wp:docPr id="1" name="Picture 15" descr="61gWH75nQaL.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1gWH75nQaL._SX466_.jpg"/>
                    <pic:cNvPicPr>
                      <a:picLocks noChangeAspect="1" noChangeArrowheads="1"/>
                    </pic:cNvPicPr>
                  </pic:nvPicPr>
                  <pic:blipFill>
                    <a:blip r:embed="rId14">
                      <a:extLst>
                        <a:ext uri="{28A0092B-C50C-407E-A947-70E740481C1C}">
                          <a14:useLocalDpi xmlns:a14="http://schemas.microsoft.com/office/drawing/2010/main" val="0"/>
                        </a:ext>
                      </a:extLst>
                    </a:blip>
                    <a:srcRect l="8459" t="9709" r="7724" b="5888"/>
                    <a:stretch>
                      <a:fillRect/>
                    </a:stretch>
                  </pic:blipFill>
                  <pic:spPr bwMode="auto">
                    <a:xfrm>
                      <a:off x="0" y="0"/>
                      <a:ext cx="1737995" cy="2196465"/>
                    </a:xfrm>
                    <a:prstGeom prst="rect">
                      <a:avLst/>
                    </a:prstGeom>
                    <a:noFill/>
                  </pic:spPr>
                </pic:pic>
              </a:graphicData>
            </a:graphic>
          </wp:anchor>
        </w:drawing>
      </w:r>
    </w:p>
    <w:p w14:paraId="7EE750CA" w14:textId="2D872C64" w:rsidR="008A10CB" w:rsidRPr="009F02A6" w:rsidRDefault="00F4138A" w:rsidP="008756B1">
      <w:pPr>
        <w:spacing w:line="360" w:lineRule="auto"/>
        <w:jc w:val="both"/>
        <w:rPr>
          <w:rFonts w:ascii="Cambria" w:eastAsia="Times New Roman" w:hAnsi="Cambria" w:cs="Times New Roman"/>
          <w:sz w:val="24"/>
          <w:szCs w:val="24"/>
        </w:rPr>
      </w:pPr>
      <w:r w:rsidRPr="009F02A6">
        <w:rPr>
          <w:rFonts w:ascii="Cambria" w:eastAsia="Times New Roman" w:hAnsi="Cambria" w:cs="Times New Roman"/>
          <w:noProof/>
          <w:sz w:val="24"/>
          <w:szCs w:val="24"/>
        </w:rPr>
        <mc:AlternateContent>
          <mc:Choice Requires="wps">
            <w:drawing>
              <wp:anchor distT="0" distB="0" distL="114300" distR="114300" simplePos="0" relativeHeight="251657218" behindDoc="0" locked="0" layoutInCell="1" allowOverlap="1" wp14:anchorId="272C3DD2" wp14:editId="0B4835BD">
                <wp:simplePos x="0" y="0"/>
                <wp:positionH relativeFrom="column">
                  <wp:posOffset>3963670</wp:posOffset>
                </wp:positionH>
                <wp:positionV relativeFrom="paragraph">
                  <wp:posOffset>374015</wp:posOffset>
                </wp:positionV>
                <wp:extent cx="1709420" cy="1092200"/>
                <wp:effectExtent l="0" t="0" r="0" b="0"/>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09420" cy="1092200"/>
                        </a:xfrm>
                        <a:prstGeom prst="rect">
                          <a:avLst/>
                        </a:prstGeom>
                        <a:noFill/>
                        <a:ln w="12700" cap="flat" cmpd="sng" algn="ctr">
                          <a:noFill/>
                          <a:prstDash val="solid"/>
                          <a:miter lim="800000"/>
                        </a:ln>
                        <a:effectLst/>
                      </wps:spPr>
                      <wps:txbx>
                        <w:txbxContent>
                          <w:p w14:paraId="208F8BB1" w14:textId="635628B0" w:rsidR="00D34F1C" w:rsidRDefault="00D34F1C" w:rsidP="00D2452E">
                            <w:pPr>
                              <w:jc w:val="center"/>
                              <w:rPr>
                                <w:color w:val="000000" w:themeColor="text1"/>
                              </w:rPr>
                            </w:pPr>
                            <w:r>
                              <w:rPr>
                                <w:color w:val="000000" w:themeColor="text1"/>
                              </w:rPr>
                              <w:t xml:space="preserve">Fig 1: Example of </w:t>
                            </w:r>
                            <w:r w:rsidR="00824464">
                              <w:rPr>
                                <w:color w:val="000000" w:themeColor="text1"/>
                              </w:rPr>
                              <w:t>products with sustainable</w:t>
                            </w:r>
                            <w:r w:rsidR="0089004B">
                              <w:rPr>
                                <w:color w:val="000000" w:themeColor="text1"/>
                              </w:rPr>
                              <w:t xml:space="preserve"> issue</w:t>
                            </w:r>
                          </w:p>
                          <w:p w14:paraId="65C6F926" w14:textId="3B181343" w:rsidR="00D34F1C" w:rsidRDefault="00D34F1C" w:rsidP="00D2452E">
                            <w:pPr>
                              <w:jc w:val="center"/>
                              <w:rPr>
                                <w:color w:val="000000" w:themeColor="text1"/>
                              </w:rPr>
                            </w:pPr>
                            <w:r>
                              <w:rPr>
                                <w:color w:val="000000" w:themeColor="text1"/>
                              </w:rPr>
                              <w:t xml:space="preserve">Source: Google image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3DD2" id="Rectangle 35" o:spid="_x0000_s1026" style="position:absolute;left:0;text-align:left;margin-left:312.1pt;margin-top:29.45pt;width:134.6pt;height:86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" filled="f" stroked="f" strokeweight="1pt">
                <v:textbox>
                  <w:txbxContent>
                    <w:p w14:paraId="208F8BB1" w14:textId="635628B0" w:rsidR="00D34F1C" w:rsidRDefault="00D34F1C" w:rsidP="00D2452E">
                      <w:pPr>
                        <w:jc w:val="center"/>
                        <w:rPr>
                          <w:color w:val="000000" w:themeColor="text1"/>
                        </w:rPr>
                      </w:pPr>
                      <w:r>
                        <w:rPr>
                          <w:color w:val="000000" w:themeColor="text1"/>
                        </w:rPr>
                        <w:t xml:space="preserve">Fig 1: Example of </w:t>
                      </w:r>
                      <w:r w:rsidR="00824464">
                        <w:rPr>
                          <w:color w:val="000000" w:themeColor="text1"/>
                        </w:rPr>
                        <w:t>products with sustainable</w:t>
                      </w:r>
                      <w:r w:rsidR="0089004B">
                        <w:rPr>
                          <w:color w:val="000000" w:themeColor="text1"/>
                        </w:rPr>
                        <w:t xml:space="preserve"> issue</w:t>
                      </w:r>
                    </w:p>
                    <w:p w14:paraId="65C6F926" w14:textId="3B181343" w:rsidR="00D34F1C" w:rsidRDefault="00D34F1C" w:rsidP="00D2452E">
                      <w:pPr>
                        <w:jc w:val="center"/>
                        <w:rPr>
                          <w:color w:val="000000" w:themeColor="text1"/>
                        </w:rPr>
                      </w:pPr>
                      <w:r>
                        <w:rPr>
                          <w:color w:val="000000" w:themeColor="text1"/>
                        </w:rPr>
                        <w:t xml:space="preserve">Source: Google image </w:t>
                      </w:r>
                    </w:p>
                  </w:txbxContent>
                </v:textbox>
                <w10:wrap type="square"/>
              </v:rect>
            </w:pict>
          </mc:Fallback>
        </mc:AlternateContent>
      </w:r>
    </w:p>
    <w:p w14:paraId="59DC918A" w14:textId="20857192" w:rsidR="008A10CB" w:rsidRPr="009F02A6" w:rsidRDefault="008A10CB" w:rsidP="008756B1">
      <w:pPr>
        <w:spacing w:line="360" w:lineRule="auto"/>
        <w:jc w:val="both"/>
        <w:rPr>
          <w:rFonts w:ascii="Cambria" w:eastAsia="Times New Roman" w:hAnsi="Cambria" w:cs="Times New Roman"/>
          <w:sz w:val="24"/>
          <w:szCs w:val="24"/>
        </w:rPr>
      </w:pPr>
    </w:p>
    <w:p w14:paraId="3D1FD209" w14:textId="77777777" w:rsidR="008923B7" w:rsidRPr="009F02A6" w:rsidRDefault="008923B7" w:rsidP="008756B1">
      <w:pPr>
        <w:spacing w:line="360" w:lineRule="auto"/>
        <w:jc w:val="both"/>
        <w:rPr>
          <w:rFonts w:ascii="Cambria" w:eastAsia="Times New Roman" w:hAnsi="Cambria" w:cs="Times New Roman"/>
          <w:sz w:val="24"/>
          <w:szCs w:val="24"/>
        </w:rPr>
      </w:pPr>
    </w:p>
    <w:p w14:paraId="322A428C" w14:textId="2E109051" w:rsidR="00030271" w:rsidRPr="009F02A6" w:rsidRDefault="008923B7">
      <w:pPr>
        <w:tabs>
          <w:tab w:val="num" w:pos="720"/>
        </w:tabs>
        <w:spacing w:after="200" w:line="360" w:lineRule="auto"/>
        <w:jc w:val="both"/>
        <w:rPr>
          <w:rFonts w:ascii="Cambria" w:eastAsia="Times New Roman" w:hAnsi="Cambria" w:cs="Times New Roman"/>
          <w:noProof/>
          <w:sz w:val="24"/>
          <w:szCs w:val="24"/>
        </w:rPr>
      </w:pPr>
      <w:r w:rsidRPr="009F02A6">
        <w:rPr>
          <w:rFonts w:ascii="Cambria" w:eastAsia="Times New Roman" w:hAnsi="Cambria" w:cs="Times New Roman"/>
          <w:sz w:val="24"/>
          <w:szCs w:val="24"/>
        </w:rPr>
        <w:t xml:space="preserve">In </w:t>
      </w:r>
      <w:r w:rsidRPr="009F02A6">
        <w:rPr>
          <w:rFonts w:ascii="Cambria" w:eastAsia="Times New Roman" w:hAnsi="Cambria" w:cs="Times New Roman"/>
          <w:noProof/>
          <w:sz w:val="24"/>
          <w:szCs w:val="24"/>
        </w:rPr>
        <w:t>t</w:t>
      </w:r>
      <w:r w:rsidR="00D2452E" w:rsidRPr="009F02A6">
        <w:rPr>
          <w:rFonts w:ascii="Cambria" w:eastAsia="Times New Roman" w:hAnsi="Cambria" w:cs="Times New Roman"/>
          <w:noProof/>
          <w:sz w:val="24"/>
          <w:szCs w:val="24"/>
        </w:rPr>
        <w:t>his paper, sustainablity related marketing communication or s</w:t>
      </w:r>
      <w:r w:rsidR="00D2452E" w:rsidRPr="009F02A6">
        <w:rPr>
          <w:rFonts w:ascii="Cambria" w:eastAsia="Times New Roman" w:hAnsi="Cambria" w:cs="Times New Roman"/>
          <w:bCs/>
          <w:noProof/>
          <w:sz w:val="24"/>
          <w:szCs w:val="24"/>
        </w:rPr>
        <w:t xml:space="preserve">ustainability–advertising is defined </w:t>
      </w:r>
      <w:r w:rsidR="00D2452E" w:rsidRPr="009F02A6">
        <w:rPr>
          <w:rFonts w:ascii="Cambria" w:eastAsia="Times New Roman" w:hAnsi="Cambria" w:cs="Times New Roman"/>
          <w:noProof/>
          <w:sz w:val="24"/>
          <w:szCs w:val="24"/>
        </w:rPr>
        <w:t xml:space="preserve">as: </w:t>
      </w:r>
      <w:r w:rsidR="005D2019" w:rsidRPr="009F02A6">
        <w:rPr>
          <w:rFonts w:ascii="Cambria" w:eastAsia="Calibri" w:hAnsi="Cambria" w:cs="Times New Roman"/>
          <w:i/>
          <w:sz w:val="24"/>
          <w:szCs w:val="24"/>
        </w:rPr>
        <w:t>“….sustainability advertising can be described as applying advertising messages promoting sustainable goods or services and/or informing stakeholders about the firm’s social, environmental or economic sustainability efforts</w:t>
      </w:r>
      <w:r w:rsidR="005D2019" w:rsidRPr="009F02A6">
        <w:rPr>
          <w:rFonts w:ascii="Cambria" w:eastAsia="Calibri" w:hAnsi="Cambria" w:cs="Times New Roman"/>
          <w:iCs/>
          <w:sz w:val="24"/>
          <w:szCs w:val="24"/>
        </w:rPr>
        <w:t>” (Sander et al 2021 p: 431).</w:t>
      </w:r>
      <w:r w:rsidR="00D2452E" w:rsidRPr="009F02A6">
        <w:rPr>
          <w:rFonts w:ascii="Cambria" w:eastAsia="Times New Roman" w:hAnsi="Cambria" w:cs="Times New Roman"/>
          <w:noProof/>
          <w:sz w:val="24"/>
          <w:szCs w:val="24"/>
        </w:rPr>
        <w:t xml:space="preserve"> </w:t>
      </w:r>
      <w:r w:rsidR="00024EF1" w:rsidRPr="009F02A6">
        <w:rPr>
          <w:rFonts w:ascii="Cambria" w:eastAsia="Times New Roman" w:hAnsi="Cambria" w:cs="Times New Roman"/>
          <w:noProof/>
          <w:sz w:val="24"/>
          <w:szCs w:val="24"/>
        </w:rPr>
        <w:t>This implies the fact that, sustianbility ad may or may not</w:t>
      </w:r>
      <w:r w:rsidR="00AA5C8C" w:rsidRPr="009F02A6">
        <w:rPr>
          <w:rFonts w:ascii="Cambria" w:eastAsia="Times New Roman" w:hAnsi="Cambria" w:cs="Times New Roman"/>
          <w:noProof/>
          <w:sz w:val="24"/>
          <w:szCs w:val="24"/>
        </w:rPr>
        <w:t xml:space="preserve"> be about the sustainable probduct. Rather it is the promotional message focusing the organisations’ sustainable initiatives associated with the product</w:t>
      </w:r>
      <w:r w:rsidR="00A34F11" w:rsidRPr="009F02A6">
        <w:rPr>
          <w:rFonts w:ascii="Cambria" w:eastAsia="Times New Roman" w:hAnsi="Cambria" w:cs="Times New Roman"/>
          <w:noProof/>
          <w:sz w:val="24"/>
          <w:szCs w:val="24"/>
        </w:rPr>
        <w:t xml:space="preserve"> or the com</w:t>
      </w:r>
      <w:r w:rsidR="00121C88" w:rsidRPr="009F02A6">
        <w:rPr>
          <w:rFonts w:ascii="Cambria" w:eastAsia="Times New Roman" w:hAnsi="Cambria" w:cs="Times New Roman"/>
          <w:noProof/>
          <w:sz w:val="24"/>
          <w:szCs w:val="24"/>
        </w:rPr>
        <w:t>pany</w:t>
      </w:r>
      <w:r w:rsidR="00AA5C8C" w:rsidRPr="009F02A6">
        <w:rPr>
          <w:rFonts w:ascii="Cambria" w:eastAsia="Times New Roman" w:hAnsi="Cambria" w:cs="Times New Roman"/>
          <w:noProof/>
          <w:sz w:val="24"/>
          <w:szCs w:val="24"/>
        </w:rPr>
        <w:t>.</w:t>
      </w:r>
      <w:r w:rsidR="00A760D4" w:rsidRPr="009F02A6">
        <w:rPr>
          <w:rFonts w:ascii="Cambria" w:eastAsia="Times New Roman" w:hAnsi="Cambria" w:cs="Times New Roman"/>
          <w:noProof/>
          <w:sz w:val="24"/>
          <w:szCs w:val="24"/>
        </w:rPr>
        <w:t xml:space="preserve"> </w:t>
      </w:r>
      <w:r w:rsidR="007545E8" w:rsidRPr="009F02A6">
        <w:rPr>
          <w:rFonts w:ascii="Cambria" w:eastAsia="Times New Roman" w:hAnsi="Cambria" w:cs="Times New Roman"/>
          <w:noProof/>
          <w:sz w:val="24"/>
          <w:szCs w:val="24"/>
        </w:rPr>
        <w:t xml:space="preserve">In this study, </w:t>
      </w:r>
      <w:r w:rsidR="00BE487C" w:rsidRPr="009F02A6">
        <w:rPr>
          <w:rFonts w:ascii="Cambria" w:eastAsia="Times New Roman" w:hAnsi="Cambria" w:cs="Times New Roman"/>
          <w:noProof/>
          <w:sz w:val="24"/>
          <w:szCs w:val="24"/>
        </w:rPr>
        <w:t>‘</w:t>
      </w:r>
      <w:r w:rsidR="007545E8" w:rsidRPr="009F02A6">
        <w:rPr>
          <w:rFonts w:ascii="Cambria" w:eastAsia="Times New Roman" w:hAnsi="Cambria" w:cs="Times New Roman"/>
          <w:noProof/>
          <w:sz w:val="24"/>
          <w:szCs w:val="24"/>
        </w:rPr>
        <w:t>sutainability ad</w:t>
      </w:r>
      <w:r w:rsidR="00BE487C" w:rsidRPr="009F02A6">
        <w:rPr>
          <w:rFonts w:ascii="Cambria" w:eastAsia="Times New Roman" w:hAnsi="Cambria" w:cs="Times New Roman"/>
          <w:noProof/>
          <w:sz w:val="24"/>
          <w:szCs w:val="24"/>
        </w:rPr>
        <w:t xml:space="preserve">’ represents </w:t>
      </w:r>
      <w:r w:rsidR="00A924B6" w:rsidRPr="009F02A6">
        <w:rPr>
          <w:rFonts w:ascii="Cambria" w:eastAsia="Times New Roman" w:hAnsi="Cambria" w:cs="Times New Roman"/>
          <w:noProof/>
          <w:sz w:val="24"/>
          <w:szCs w:val="24"/>
        </w:rPr>
        <w:t xml:space="preserve">ads with sustainbility </w:t>
      </w:r>
      <w:r w:rsidR="00B314A2" w:rsidRPr="009F02A6">
        <w:rPr>
          <w:rFonts w:ascii="Cambria" w:eastAsia="Times New Roman" w:hAnsi="Cambria" w:cs="Times New Roman"/>
          <w:noProof/>
          <w:sz w:val="24"/>
          <w:szCs w:val="24"/>
        </w:rPr>
        <w:t>message</w:t>
      </w:r>
      <w:r w:rsidR="006119A8" w:rsidRPr="009F02A6">
        <w:rPr>
          <w:rFonts w:ascii="Cambria" w:eastAsia="Times New Roman" w:hAnsi="Cambria" w:cs="Times New Roman"/>
          <w:noProof/>
          <w:sz w:val="24"/>
          <w:szCs w:val="24"/>
        </w:rPr>
        <w:t xml:space="preserve">. </w:t>
      </w:r>
    </w:p>
    <w:p w14:paraId="3E3B4208" w14:textId="38BA188F" w:rsidR="005D2019" w:rsidRPr="009F02A6" w:rsidRDefault="00771AC1" w:rsidP="00957344">
      <w:pPr>
        <w:tabs>
          <w:tab w:val="num" w:pos="720"/>
        </w:tabs>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noProof/>
          <w:sz w:val="24"/>
          <w:szCs w:val="24"/>
          <w:lang w:val="en-US"/>
        </w:rPr>
        <w:lastRenderedPageBreak/>
        <mc:AlternateContent>
          <mc:Choice Requires="wps">
            <w:drawing>
              <wp:anchor distT="0" distB="0" distL="114300" distR="114300" simplePos="0" relativeHeight="251657217" behindDoc="0" locked="0" layoutInCell="1" allowOverlap="1" wp14:anchorId="674C6F70" wp14:editId="6C4257EB">
                <wp:simplePos x="0" y="0"/>
                <wp:positionH relativeFrom="column">
                  <wp:posOffset>3364230</wp:posOffset>
                </wp:positionH>
                <wp:positionV relativeFrom="paragraph">
                  <wp:posOffset>3235325</wp:posOffset>
                </wp:positionV>
                <wp:extent cx="2133600" cy="1395730"/>
                <wp:effectExtent l="0" t="0" r="0" b="0"/>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33600" cy="1395730"/>
                        </a:xfrm>
                        <a:prstGeom prst="rect">
                          <a:avLst/>
                        </a:prstGeom>
                        <a:noFill/>
                        <a:ln w="12700" cap="flat" cmpd="sng" algn="ctr">
                          <a:noFill/>
                          <a:prstDash val="solid"/>
                          <a:miter lim="800000"/>
                        </a:ln>
                        <a:effectLst/>
                      </wps:spPr>
                      <wps:txbx>
                        <w:txbxContent>
                          <w:p w14:paraId="0AF9D30B" w14:textId="49C3F9D6" w:rsidR="00D34F1C" w:rsidRDefault="00D34F1C" w:rsidP="00D2452E">
                            <w:pPr>
                              <w:jc w:val="center"/>
                              <w:rPr>
                                <w:color w:val="000000" w:themeColor="text1"/>
                              </w:rPr>
                            </w:pPr>
                            <w:r>
                              <w:rPr>
                                <w:color w:val="000000" w:themeColor="text1"/>
                              </w:rPr>
                              <w:t>Fig 2: Example</w:t>
                            </w:r>
                            <w:r w:rsidR="004D0350">
                              <w:rPr>
                                <w:color w:val="000000" w:themeColor="text1"/>
                              </w:rPr>
                              <w:t>s</w:t>
                            </w:r>
                            <w:r>
                              <w:rPr>
                                <w:color w:val="000000" w:themeColor="text1"/>
                              </w:rPr>
                              <w:t xml:space="preserve"> of sustainable</w:t>
                            </w:r>
                            <w:r w:rsidR="004D0350">
                              <w:rPr>
                                <w:color w:val="000000" w:themeColor="text1"/>
                              </w:rPr>
                              <w:t xml:space="preserve"> i</w:t>
                            </w:r>
                            <w:r>
                              <w:rPr>
                                <w:color w:val="000000" w:themeColor="text1"/>
                              </w:rPr>
                              <w:t>nitiative</w:t>
                            </w:r>
                            <w:r w:rsidR="004D0350">
                              <w:rPr>
                                <w:color w:val="000000" w:themeColor="text1"/>
                              </w:rPr>
                              <w:t>s</w:t>
                            </w:r>
                            <w:r>
                              <w:rPr>
                                <w:color w:val="000000" w:themeColor="text1"/>
                              </w:rPr>
                              <w:t xml:space="preserve"> by the firms </w:t>
                            </w:r>
                          </w:p>
                          <w:p w14:paraId="45EC3706" w14:textId="77777777" w:rsidR="00D34F1C" w:rsidRDefault="00D34F1C" w:rsidP="00AC6AA6">
                            <w:pPr>
                              <w:jc w:val="center"/>
                              <w:rPr>
                                <w:color w:val="000000" w:themeColor="text1"/>
                              </w:rPr>
                            </w:pPr>
                            <w:r>
                              <w:rPr>
                                <w:color w:val="000000" w:themeColor="text1"/>
                              </w:rPr>
                              <w:t xml:space="preserve">Source: Google image </w:t>
                            </w:r>
                          </w:p>
                          <w:p w14:paraId="65068369" w14:textId="0561B689" w:rsidR="00D34F1C" w:rsidRDefault="00D34F1C" w:rsidP="008756B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6F70" id="Rectangle 34" o:spid="_x0000_s1027" style="position:absolute;left:0;text-align:left;margin-left:264.9pt;margin-top:254.75pt;width:168pt;height:109.9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" filled="f" stroked="f" strokeweight="1pt">
                <v:textbox>
                  <w:txbxContent>
                    <w:p w14:paraId="0AF9D30B" w14:textId="49C3F9D6" w:rsidR="00D34F1C" w:rsidRDefault="00D34F1C" w:rsidP="00D2452E">
                      <w:pPr>
                        <w:jc w:val="center"/>
                        <w:rPr>
                          <w:color w:val="000000" w:themeColor="text1"/>
                        </w:rPr>
                      </w:pPr>
                      <w:r>
                        <w:rPr>
                          <w:color w:val="000000" w:themeColor="text1"/>
                        </w:rPr>
                        <w:t>Fig 2: Example</w:t>
                      </w:r>
                      <w:r w:rsidR="004D0350">
                        <w:rPr>
                          <w:color w:val="000000" w:themeColor="text1"/>
                        </w:rPr>
                        <w:t>s</w:t>
                      </w:r>
                      <w:r>
                        <w:rPr>
                          <w:color w:val="000000" w:themeColor="text1"/>
                        </w:rPr>
                        <w:t xml:space="preserve"> of sustainable</w:t>
                      </w:r>
                      <w:r w:rsidR="004D0350">
                        <w:rPr>
                          <w:color w:val="000000" w:themeColor="text1"/>
                        </w:rPr>
                        <w:t xml:space="preserve"> i</w:t>
                      </w:r>
                      <w:r>
                        <w:rPr>
                          <w:color w:val="000000" w:themeColor="text1"/>
                        </w:rPr>
                        <w:t>nitiative</w:t>
                      </w:r>
                      <w:r w:rsidR="004D0350">
                        <w:rPr>
                          <w:color w:val="000000" w:themeColor="text1"/>
                        </w:rPr>
                        <w:t>s</w:t>
                      </w:r>
                      <w:r>
                        <w:rPr>
                          <w:color w:val="000000" w:themeColor="text1"/>
                        </w:rPr>
                        <w:t xml:space="preserve"> by the firms </w:t>
                      </w:r>
                    </w:p>
                    <w:p w14:paraId="45EC3706" w14:textId="77777777" w:rsidR="00D34F1C" w:rsidRDefault="00D34F1C" w:rsidP="00AC6AA6">
                      <w:pPr>
                        <w:jc w:val="center"/>
                        <w:rPr>
                          <w:color w:val="000000" w:themeColor="text1"/>
                        </w:rPr>
                      </w:pPr>
                      <w:r>
                        <w:rPr>
                          <w:color w:val="000000" w:themeColor="text1"/>
                        </w:rPr>
                        <w:t xml:space="preserve">Source: Google image </w:t>
                      </w:r>
                    </w:p>
                    <w:p w14:paraId="65068369" w14:textId="0561B689" w:rsidR="00D34F1C" w:rsidRDefault="00D34F1C" w:rsidP="008756B1">
                      <w:pPr>
                        <w:rPr>
                          <w:color w:val="000000" w:themeColor="text1"/>
                        </w:rPr>
                      </w:pPr>
                    </w:p>
                  </w:txbxContent>
                </v:textbox>
                <w10:wrap type="square"/>
              </v:rect>
            </w:pict>
          </mc:Fallback>
        </mc:AlternateContent>
      </w:r>
      <w:r w:rsidRPr="009F02A6">
        <w:rPr>
          <w:rFonts w:ascii="Cambria" w:eastAsia="Times New Roman" w:hAnsi="Cambria" w:cs="Times New Roman"/>
          <w:noProof/>
          <w:sz w:val="24"/>
          <w:szCs w:val="24"/>
          <w:lang w:val="en-US"/>
        </w:rPr>
        <w:drawing>
          <wp:anchor distT="0" distB="0" distL="114300" distR="114300" simplePos="0" relativeHeight="251657220" behindDoc="1" locked="0" layoutInCell="1" allowOverlap="1" wp14:anchorId="0657745D" wp14:editId="4833BE6B">
            <wp:simplePos x="0" y="0"/>
            <wp:positionH relativeFrom="column">
              <wp:posOffset>147320</wp:posOffset>
            </wp:positionH>
            <wp:positionV relativeFrom="paragraph">
              <wp:posOffset>3093085</wp:posOffset>
            </wp:positionV>
            <wp:extent cx="3162935" cy="1519555"/>
            <wp:effectExtent l="0" t="0" r="0" b="4445"/>
            <wp:wrapTight wrapText="bothSides">
              <wp:wrapPolygon edited="0">
                <wp:start x="0" y="0"/>
                <wp:lineTo x="0" y="21392"/>
                <wp:lineTo x="21466" y="21392"/>
                <wp:lineTo x="21466" y="0"/>
                <wp:lineTo x="0" y="0"/>
              </wp:wrapPolygon>
            </wp:wrapTight>
            <wp:docPr id="4" name="Picture 13" descr="1_DYXydkMl0AR_mlWVz2iac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DYXydkMl0AR_mlWVz2iacg.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935" cy="1519555"/>
                    </a:xfrm>
                    <a:prstGeom prst="rect">
                      <a:avLst/>
                    </a:prstGeom>
                    <a:noFill/>
                  </pic:spPr>
                </pic:pic>
              </a:graphicData>
            </a:graphic>
          </wp:anchor>
        </w:drawing>
      </w:r>
      <w:r w:rsidRPr="009F02A6">
        <w:rPr>
          <w:rFonts w:ascii="Cambria" w:eastAsia="Times New Roman" w:hAnsi="Cambria" w:cs="Times New Roman"/>
          <w:noProof/>
          <w:sz w:val="24"/>
          <w:szCs w:val="24"/>
          <w:lang w:val="en-US"/>
        </w:rPr>
        <w:drawing>
          <wp:anchor distT="0" distB="0" distL="114300" distR="114300" simplePos="0" relativeHeight="251657219" behindDoc="1" locked="0" layoutInCell="1" allowOverlap="1" wp14:anchorId="6CFB5D76" wp14:editId="041CE604">
            <wp:simplePos x="0" y="0"/>
            <wp:positionH relativeFrom="margin">
              <wp:align>right</wp:align>
            </wp:positionH>
            <wp:positionV relativeFrom="paragraph">
              <wp:posOffset>306070</wp:posOffset>
            </wp:positionV>
            <wp:extent cx="5664835" cy="2808605"/>
            <wp:effectExtent l="0" t="0" r="0" b="0"/>
            <wp:wrapTight wrapText="bothSides">
              <wp:wrapPolygon edited="0">
                <wp:start x="0" y="0"/>
                <wp:lineTo x="0" y="21390"/>
                <wp:lineTo x="21501" y="21390"/>
                <wp:lineTo x="21501" y="0"/>
                <wp:lineTo x="0" y="0"/>
              </wp:wrapPolygon>
            </wp:wrapTight>
            <wp:docPr id="3" name="Picture 14" descr="A person wearing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wearing a dres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835" cy="2808605"/>
                    </a:xfrm>
                    <a:prstGeom prst="rect">
                      <a:avLst/>
                    </a:prstGeom>
                    <a:noFill/>
                  </pic:spPr>
                </pic:pic>
              </a:graphicData>
            </a:graphic>
          </wp:anchor>
        </w:drawing>
      </w:r>
    </w:p>
    <w:p w14:paraId="428E5952" w14:textId="1065E64A" w:rsidR="00052DCF" w:rsidRPr="009F02A6" w:rsidRDefault="005D2019" w:rsidP="00957344">
      <w:pPr>
        <w:tabs>
          <w:tab w:val="num" w:pos="720"/>
        </w:tabs>
        <w:spacing w:after="200" w:line="360" w:lineRule="auto"/>
        <w:jc w:val="both"/>
        <w:rPr>
          <w:rFonts w:ascii="Cambria" w:eastAsia="Times New Roman" w:hAnsi="Cambria" w:cs="Times New Roman"/>
          <w:noProof/>
          <w:sz w:val="24"/>
          <w:szCs w:val="24"/>
        </w:rPr>
      </w:pPr>
      <w:r w:rsidRPr="009F02A6">
        <w:rPr>
          <w:rFonts w:ascii="Cambria" w:eastAsia="Times New Roman" w:hAnsi="Cambria" w:cs="Times New Roman"/>
          <w:sz w:val="24"/>
          <w:szCs w:val="24"/>
        </w:rPr>
        <w:t xml:space="preserve"> </w:t>
      </w:r>
      <w:r w:rsidR="00957344" w:rsidRPr="009F02A6">
        <w:rPr>
          <w:rFonts w:ascii="Cambria" w:eastAsia="Times New Roman" w:hAnsi="Cambria" w:cs="Times New Roman"/>
          <w:sz w:val="24"/>
          <w:szCs w:val="24"/>
        </w:rPr>
        <w:t xml:space="preserve">In today’s business practice it has become common to use ‘sustainability’ agenda (Huang and Rust 2011, </w:t>
      </w:r>
      <w:r w:rsidR="00957344" w:rsidRPr="009F02A6">
        <w:rPr>
          <w:rFonts w:ascii="Cambria" w:eastAsia="Calibri" w:hAnsi="Cambria" w:cs="Adobe Devanagari"/>
          <w:sz w:val="24"/>
          <w:szCs w:val="24"/>
        </w:rPr>
        <w:t xml:space="preserve">Prothero et. al. 2010, </w:t>
      </w:r>
      <w:r w:rsidR="00957344" w:rsidRPr="009F02A6">
        <w:rPr>
          <w:rFonts w:ascii="Cambria" w:eastAsia="Calibri" w:hAnsi="Cambria" w:cs="Times New Roman"/>
          <w:sz w:val="24"/>
          <w:szCs w:val="24"/>
        </w:rPr>
        <w:t>Larceneux et al. 2012, Johnstone and Tan 2015</w:t>
      </w:r>
      <w:r w:rsidR="00957344" w:rsidRPr="009F02A6">
        <w:rPr>
          <w:rFonts w:ascii="Cambria" w:eastAsia="Times New Roman" w:hAnsi="Cambria" w:cs="Times New Roman"/>
          <w:sz w:val="24"/>
          <w:szCs w:val="24"/>
        </w:rPr>
        <w:t>), since consumers favours brands which have positive association with sustainability (</w:t>
      </w:r>
      <w:r w:rsidR="00957344" w:rsidRPr="009F02A6">
        <w:rPr>
          <w:rFonts w:ascii="Cambria" w:eastAsia="Times New Roman" w:hAnsi="Cambria" w:cs="Times New Roman"/>
          <w:noProof/>
          <w:sz w:val="24"/>
          <w:szCs w:val="24"/>
        </w:rPr>
        <w:t>Choi and Ng 2011)</w:t>
      </w:r>
      <w:r w:rsidR="00957344" w:rsidRPr="009F02A6">
        <w:rPr>
          <w:rFonts w:ascii="Cambria" w:eastAsia="Times New Roman" w:hAnsi="Cambria" w:cs="Times New Roman"/>
          <w:sz w:val="24"/>
          <w:szCs w:val="24"/>
        </w:rPr>
        <w:t xml:space="preserve">. </w:t>
      </w:r>
      <w:r w:rsidR="00957344" w:rsidRPr="009F02A6">
        <w:rPr>
          <w:rFonts w:ascii="Cambria" w:eastAsia="Times New Roman" w:hAnsi="Cambria" w:cs="Times New Roman"/>
          <w:noProof/>
          <w:sz w:val="24"/>
          <w:szCs w:val="24"/>
        </w:rPr>
        <w:t xml:space="preserve">Two thirds of major brands like– Kimberly–Clark, HP and GE, have admitted that, </w:t>
      </w:r>
      <w:r w:rsidR="000D29C0">
        <w:rPr>
          <w:rFonts w:ascii="Cambria" w:eastAsia="Times New Roman" w:hAnsi="Cambria" w:cs="Times New Roman"/>
          <w:noProof/>
          <w:sz w:val="24"/>
          <w:szCs w:val="24"/>
        </w:rPr>
        <w:t xml:space="preserve">incorporating </w:t>
      </w:r>
      <w:r w:rsidR="00957344" w:rsidRPr="009F02A6">
        <w:rPr>
          <w:rFonts w:ascii="Cambria" w:eastAsia="Times New Roman" w:hAnsi="Cambria" w:cs="Times New Roman"/>
          <w:noProof/>
          <w:sz w:val="24"/>
          <w:szCs w:val="24"/>
        </w:rPr>
        <w:t>sustainability</w:t>
      </w:r>
      <w:r w:rsidR="000D29C0">
        <w:rPr>
          <w:rFonts w:ascii="Cambria" w:eastAsia="Times New Roman" w:hAnsi="Cambria" w:cs="Times New Roman"/>
          <w:noProof/>
          <w:sz w:val="24"/>
          <w:szCs w:val="24"/>
        </w:rPr>
        <w:t xml:space="preserve"> related agendas</w:t>
      </w:r>
      <w:r w:rsidR="00957344" w:rsidRPr="009F02A6">
        <w:rPr>
          <w:rFonts w:ascii="Cambria" w:eastAsia="Times New Roman" w:hAnsi="Cambria" w:cs="Times New Roman"/>
          <w:noProof/>
          <w:sz w:val="24"/>
          <w:szCs w:val="24"/>
        </w:rPr>
        <w:t xml:space="preserve"> </w:t>
      </w:r>
      <w:r w:rsidR="000D29C0">
        <w:rPr>
          <w:rFonts w:ascii="Cambria" w:eastAsia="Times New Roman" w:hAnsi="Cambria" w:cs="Times New Roman"/>
          <w:noProof/>
          <w:sz w:val="24"/>
          <w:szCs w:val="24"/>
        </w:rPr>
        <w:t xml:space="preserve">in </w:t>
      </w:r>
      <w:r w:rsidR="00E22024">
        <w:rPr>
          <w:rFonts w:ascii="Cambria" w:eastAsia="Times New Roman" w:hAnsi="Cambria" w:cs="Times New Roman"/>
          <w:noProof/>
          <w:sz w:val="24"/>
          <w:szCs w:val="24"/>
        </w:rPr>
        <w:t xml:space="preserve">business </w:t>
      </w:r>
      <w:r w:rsidR="00957344" w:rsidRPr="009F02A6">
        <w:rPr>
          <w:rFonts w:ascii="Cambria" w:eastAsia="Times New Roman" w:hAnsi="Cambria" w:cs="Times New Roman"/>
          <w:noProof/>
          <w:sz w:val="24"/>
          <w:szCs w:val="24"/>
        </w:rPr>
        <w:t>are critical in order to remain competitive (Keller 2013,</w:t>
      </w:r>
      <w:r w:rsidR="00957344" w:rsidRPr="009F02A6">
        <w:rPr>
          <w:rFonts w:ascii="Cambria" w:eastAsia="Calibri" w:hAnsi="Cambria" w:cs="Times New Roman"/>
          <w:sz w:val="24"/>
          <w:szCs w:val="24"/>
        </w:rPr>
        <w:t xml:space="preserve"> Larceneux et al. 2012</w:t>
      </w:r>
      <w:r w:rsidR="00957344" w:rsidRPr="009F02A6">
        <w:rPr>
          <w:rFonts w:ascii="Cambria" w:eastAsia="Times New Roman" w:hAnsi="Cambria" w:cs="Times New Roman"/>
          <w:noProof/>
          <w:sz w:val="24"/>
          <w:szCs w:val="24"/>
        </w:rPr>
        <w:t xml:space="preserve">). </w:t>
      </w:r>
      <w:r w:rsidR="00052DCF" w:rsidRPr="009F02A6">
        <w:rPr>
          <w:rFonts w:ascii="Cambria" w:eastAsia="Times New Roman" w:hAnsi="Cambria" w:cs="Times New Roman"/>
          <w:noProof/>
          <w:sz w:val="24"/>
          <w:szCs w:val="24"/>
        </w:rPr>
        <w:t xml:space="preserve">But these sustainability efforts of the brands neither guarantee brands’ success nor guarantee arousal of consumers’ mindfulness towards sustainabilty issues. </w:t>
      </w:r>
      <w:r w:rsidR="00715E4F" w:rsidRPr="009F02A6">
        <w:rPr>
          <w:rFonts w:ascii="Cambria" w:eastAsia="Times New Roman" w:hAnsi="Cambria" w:cs="Times New Roman"/>
          <w:noProof/>
          <w:sz w:val="24"/>
          <w:szCs w:val="24"/>
        </w:rPr>
        <w:t>Research on s</w:t>
      </w:r>
      <w:r w:rsidR="00F271EA" w:rsidRPr="009F02A6">
        <w:rPr>
          <w:rFonts w:ascii="Cambria" w:eastAsia="Times New Roman" w:hAnsi="Cambria" w:cs="Times New Roman"/>
          <w:noProof/>
          <w:sz w:val="24"/>
          <w:szCs w:val="24"/>
        </w:rPr>
        <w:t xml:space="preserve">ustainability primarity rely on single theoretical lens such as- </w:t>
      </w:r>
      <w:r w:rsidRPr="009F02A6">
        <w:rPr>
          <w:rFonts w:ascii="Cambria" w:eastAsia="Times New Roman" w:hAnsi="Cambria" w:cs="Times New Roman"/>
          <w:noProof/>
          <w:sz w:val="24"/>
          <w:szCs w:val="24"/>
        </w:rPr>
        <w:t>t</w:t>
      </w:r>
      <w:r w:rsidR="00F271EA" w:rsidRPr="009F02A6">
        <w:rPr>
          <w:rFonts w:ascii="Cambria" w:eastAsia="Times New Roman" w:hAnsi="Cambria" w:cs="Times New Roman"/>
          <w:noProof/>
          <w:sz w:val="24"/>
          <w:szCs w:val="24"/>
        </w:rPr>
        <w:t xml:space="preserve">heroy of planned behaviour, marketing ethics theories, </w:t>
      </w:r>
      <w:r w:rsidRPr="009F02A6">
        <w:rPr>
          <w:rFonts w:ascii="Cambria" w:eastAsia="Times New Roman" w:hAnsi="Cambria" w:cs="Times New Roman"/>
          <w:noProof/>
          <w:sz w:val="24"/>
          <w:szCs w:val="24"/>
        </w:rPr>
        <w:t>n</w:t>
      </w:r>
      <w:r w:rsidR="00F271EA" w:rsidRPr="009F02A6">
        <w:rPr>
          <w:rFonts w:ascii="Cambria" w:eastAsia="Times New Roman" w:hAnsi="Cambria" w:cs="Times New Roman"/>
          <w:noProof/>
          <w:sz w:val="24"/>
          <w:szCs w:val="24"/>
        </w:rPr>
        <w:t xml:space="preserve">eutralization theories, </w:t>
      </w:r>
      <w:r w:rsidRPr="009F02A6">
        <w:rPr>
          <w:rFonts w:ascii="Cambria" w:eastAsia="Times New Roman" w:hAnsi="Cambria" w:cs="Times New Roman"/>
          <w:noProof/>
          <w:sz w:val="24"/>
          <w:szCs w:val="24"/>
        </w:rPr>
        <w:t>c</w:t>
      </w:r>
      <w:r w:rsidR="00F271EA" w:rsidRPr="009F02A6">
        <w:rPr>
          <w:rFonts w:ascii="Cambria" w:eastAsia="Times New Roman" w:hAnsi="Cambria" w:cs="Times New Roman"/>
          <w:noProof/>
          <w:sz w:val="24"/>
          <w:szCs w:val="24"/>
        </w:rPr>
        <w:t>onstrual level theory etc (Hassan et al 2021). This leads to</w:t>
      </w:r>
      <w:r w:rsidR="00902ED1" w:rsidRPr="009F02A6">
        <w:rPr>
          <w:rFonts w:ascii="Cambria" w:eastAsia="Times New Roman" w:hAnsi="Cambria" w:cs="Times New Roman"/>
          <w:noProof/>
          <w:sz w:val="24"/>
          <w:szCs w:val="24"/>
        </w:rPr>
        <w:t xml:space="preserve"> the</w:t>
      </w:r>
      <w:r w:rsidR="00F271EA" w:rsidRPr="009F02A6">
        <w:rPr>
          <w:rFonts w:ascii="Cambria" w:eastAsia="Times New Roman" w:hAnsi="Cambria" w:cs="Times New Roman"/>
          <w:noProof/>
          <w:sz w:val="24"/>
          <w:szCs w:val="24"/>
        </w:rPr>
        <w:t xml:space="preserve"> lack of </w:t>
      </w:r>
      <w:r w:rsidR="00902ED1" w:rsidRPr="009F02A6">
        <w:rPr>
          <w:rFonts w:ascii="Cambria" w:eastAsia="Times New Roman" w:hAnsi="Cambria" w:cs="Times New Roman"/>
          <w:noProof/>
          <w:sz w:val="24"/>
          <w:szCs w:val="24"/>
        </w:rPr>
        <w:t>studies which are concerned about issues like-</w:t>
      </w:r>
      <w:r w:rsidR="00F271EA" w:rsidRPr="009F02A6">
        <w:rPr>
          <w:rFonts w:ascii="Cambria" w:eastAsia="Times New Roman" w:hAnsi="Cambria" w:cs="Times New Roman"/>
          <w:noProof/>
          <w:sz w:val="24"/>
          <w:szCs w:val="24"/>
        </w:rPr>
        <w:t xml:space="preserve"> </w:t>
      </w:r>
      <w:r w:rsidR="00052DCF" w:rsidRPr="009F02A6">
        <w:rPr>
          <w:rFonts w:ascii="Cambria" w:eastAsia="Times New Roman" w:hAnsi="Cambria" w:cs="Times New Roman"/>
          <w:noProof/>
          <w:sz w:val="24"/>
          <w:szCs w:val="24"/>
        </w:rPr>
        <w:t xml:space="preserve">how to change current consumption pattern, how consumers’ positive sustainability related attitude </w:t>
      </w:r>
      <w:r w:rsidR="001838AC" w:rsidRPr="009F02A6">
        <w:rPr>
          <w:rFonts w:ascii="Cambria" w:eastAsia="Times New Roman" w:hAnsi="Cambria" w:cs="Times New Roman"/>
          <w:noProof/>
          <w:sz w:val="24"/>
          <w:szCs w:val="24"/>
        </w:rPr>
        <w:t>result</w:t>
      </w:r>
      <w:r w:rsidR="00E80595">
        <w:rPr>
          <w:rFonts w:ascii="Cambria" w:eastAsia="Times New Roman" w:hAnsi="Cambria" w:cs="Times New Roman"/>
          <w:noProof/>
          <w:sz w:val="24"/>
          <w:szCs w:val="24"/>
        </w:rPr>
        <w:t xml:space="preserve"> can be turned</w:t>
      </w:r>
      <w:r w:rsidR="00052DCF" w:rsidRPr="009F02A6">
        <w:rPr>
          <w:rFonts w:ascii="Cambria" w:eastAsia="Times New Roman" w:hAnsi="Cambria" w:cs="Times New Roman"/>
          <w:noProof/>
          <w:sz w:val="24"/>
          <w:szCs w:val="24"/>
        </w:rPr>
        <w:t xml:space="preserve"> into buying behaviour, how to nu</w:t>
      </w:r>
      <w:r w:rsidR="00902ED1" w:rsidRPr="009F02A6">
        <w:rPr>
          <w:rFonts w:ascii="Cambria" w:eastAsia="Times New Roman" w:hAnsi="Cambria" w:cs="Times New Roman"/>
          <w:noProof/>
          <w:sz w:val="24"/>
          <w:szCs w:val="24"/>
        </w:rPr>
        <w:t>r</w:t>
      </w:r>
      <w:r w:rsidR="00052DCF" w:rsidRPr="009F02A6">
        <w:rPr>
          <w:rFonts w:ascii="Cambria" w:eastAsia="Times New Roman" w:hAnsi="Cambria" w:cs="Times New Roman"/>
          <w:noProof/>
          <w:sz w:val="24"/>
          <w:szCs w:val="24"/>
        </w:rPr>
        <w:t>ture non-materialistic values</w:t>
      </w:r>
      <w:r w:rsidR="00100D04">
        <w:rPr>
          <w:rFonts w:ascii="Cambria" w:eastAsia="Times New Roman" w:hAnsi="Cambria" w:cs="Times New Roman"/>
          <w:noProof/>
          <w:sz w:val="24"/>
          <w:szCs w:val="24"/>
        </w:rPr>
        <w:t>,</w:t>
      </w:r>
      <w:r w:rsidR="00052DCF" w:rsidRPr="009F02A6">
        <w:rPr>
          <w:rFonts w:ascii="Cambria" w:eastAsia="Times New Roman" w:hAnsi="Cambria" w:cs="Times New Roman"/>
          <w:noProof/>
          <w:sz w:val="24"/>
          <w:szCs w:val="24"/>
        </w:rPr>
        <w:t xml:space="preserve"> and how to fo</w:t>
      </w:r>
      <w:r w:rsidR="00902ED1" w:rsidRPr="009F02A6">
        <w:rPr>
          <w:rFonts w:ascii="Cambria" w:eastAsia="Times New Roman" w:hAnsi="Cambria" w:cs="Times New Roman"/>
          <w:noProof/>
          <w:sz w:val="24"/>
          <w:szCs w:val="24"/>
        </w:rPr>
        <w:t>s</w:t>
      </w:r>
      <w:r w:rsidR="00052DCF" w:rsidRPr="009F02A6">
        <w:rPr>
          <w:rFonts w:ascii="Cambria" w:eastAsia="Times New Roman" w:hAnsi="Cambria" w:cs="Times New Roman"/>
          <w:noProof/>
          <w:sz w:val="24"/>
          <w:szCs w:val="24"/>
        </w:rPr>
        <w:t>ter sustainable behaviour (Fischer et al 2017)</w:t>
      </w:r>
      <w:r w:rsidR="00FC47A3" w:rsidRPr="009F02A6">
        <w:rPr>
          <w:rFonts w:ascii="Cambria" w:eastAsia="Times New Roman" w:hAnsi="Cambria" w:cs="Times New Roman"/>
          <w:noProof/>
          <w:sz w:val="24"/>
          <w:szCs w:val="24"/>
        </w:rPr>
        <w:t>.</w:t>
      </w:r>
      <w:r w:rsidR="003747A8" w:rsidRPr="009F02A6">
        <w:rPr>
          <w:rFonts w:ascii="Cambria" w:eastAsia="Times New Roman" w:hAnsi="Cambria" w:cs="Times New Roman"/>
          <w:noProof/>
          <w:sz w:val="24"/>
          <w:szCs w:val="24"/>
        </w:rPr>
        <w:t xml:space="preserve"> </w:t>
      </w:r>
      <w:r w:rsidR="00324852" w:rsidRPr="009F02A6">
        <w:rPr>
          <w:rFonts w:ascii="Cambria" w:eastAsia="Times New Roman" w:hAnsi="Cambria" w:cs="Times New Roman"/>
          <w:noProof/>
          <w:sz w:val="24"/>
          <w:szCs w:val="24"/>
        </w:rPr>
        <w:t xml:space="preserve">By definition sustainable–behaviour denotes– “consumer actions in product or service purchase, usage and </w:t>
      </w:r>
      <w:r w:rsidR="00324852" w:rsidRPr="009F02A6">
        <w:rPr>
          <w:rFonts w:ascii="Cambria" w:eastAsia="Times New Roman" w:hAnsi="Cambria" w:cs="Times New Roman"/>
          <w:noProof/>
          <w:sz w:val="24"/>
          <w:szCs w:val="24"/>
        </w:rPr>
        <w:lastRenderedPageBreak/>
        <w:t>disposal that minimize harm to the natural environment and to society” (Rowe et al 2019 p.276).</w:t>
      </w:r>
      <w:r w:rsidR="0062691E" w:rsidRPr="009F02A6">
        <w:rPr>
          <w:rFonts w:ascii="Cambria" w:eastAsia="Times New Roman" w:hAnsi="Cambria" w:cs="Times New Roman"/>
          <w:noProof/>
          <w:sz w:val="24"/>
          <w:szCs w:val="24"/>
        </w:rPr>
        <w:t xml:space="preserve"> </w:t>
      </w:r>
      <w:r w:rsidR="00902ED1" w:rsidRPr="009F02A6">
        <w:rPr>
          <w:rFonts w:ascii="Cambria" w:eastAsia="Times New Roman" w:hAnsi="Cambria" w:cs="Times New Roman"/>
          <w:noProof/>
          <w:sz w:val="24"/>
          <w:szCs w:val="24"/>
        </w:rPr>
        <w:t>An emerging phenomenon of the mordern world is, companies are loosing power over consumers and consumers’ consumption pattern is largely depend</w:t>
      </w:r>
      <w:r w:rsidR="001838AC" w:rsidRPr="009F02A6">
        <w:rPr>
          <w:rFonts w:ascii="Cambria" w:eastAsia="Times New Roman" w:hAnsi="Cambria" w:cs="Times New Roman"/>
          <w:noProof/>
          <w:sz w:val="24"/>
          <w:szCs w:val="24"/>
        </w:rPr>
        <w:t>ent</w:t>
      </w:r>
      <w:r w:rsidR="00902ED1" w:rsidRPr="009F02A6">
        <w:rPr>
          <w:rFonts w:ascii="Cambria" w:eastAsia="Times New Roman" w:hAnsi="Cambria" w:cs="Times New Roman"/>
          <w:noProof/>
          <w:sz w:val="24"/>
          <w:szCs w:val="24"/>
        </w:rPr>
        <w:t xml:space="preserve"> on other consumers’ opinition of a particular product rather than company led advertisement </w:t>
      </w:r>
      <w:r w:rsidR="00F271EA" w:rsidRPr="009F02A6">
        <w:rPr>
          <w:rFonts w:ascii="Cambria" w:eastAsia="Times New Roman" w:hAnsi="Cambria" w:cs="Times New Roman"/>
          <w:noProof/>
          <w:sz w:val="24"/>
          <w:szCs w:val="24"/>
        </w:rPr>
        <w:t>(</w:t>
      </w:r>
      <w:r w:rsidR="00902ED1" w:rsidRPr="009F02A6">
        <w:rPr>
          <w:rFonts w:ascii="Cambria" w:eastAsia="Times New Roman" w:hAnsi="Cambria" w:cs="Times New Roman"/>
          <w:noProof/>
          <w:sz w:val="24"/>
          <w:szCs w:val="24"/>
        </w:rPr>
        <w:t xml:space="preserve">Angus 2018; </w:t>
      </w:r>
      <w:r w:rsidR="00F271EA" w:rsidRPr="009F02A6">
        <w:rPr>
          <w:rFonts w:ascii="Cambria" w:eastAsia="Times New Roman" w:hAnsi="Cambria" w:cs="Times New Roman"/>
          <w:noProof/>
          <w:sz w:val="24"/>
          <w:szCs w:val="24"/>
        </w:rPr>
        <w:t>Muniz and Schau 2007; Cova and Dalli 2009)</w:t>
      </w:r>
      <w:r w:rsidR="00902ED1" w:rsidRPr="009F02A6">
        <w:rPr>
          <w:rFonts w:ascii="Cambria" w:eastAsia="Times New Roman" w:hAnsi="Cambria" w:cs="Times New Roman"/>
          <w:noProof/>
          <w:sz w:val="24"/>
          <w:szCs w:val="24"/>
        </w:rPr>
        <w:t>.</w:t>
      </w:r>
    </w:p>
    <w:p w14:paraId="5F0128B7" w14:textId="682CE36A" w:rsidR="009A5851" w:rsidRPr="009F02A6" w:rsidRDefault="00957344">
      <w:pPr>
        <w:tabs>
          <w:tab w:val="num" w:pos="720"/>
        </w:tabs>
        <w:spacing w:after="200" w:line="360" w:lineRule="auto"/>
        <w:jc w:val="both"/>
        <w:rPr>
          <w:rFonts w:ascii="Cambria" w:hAnsi="Cambria"/>
          <w:sz w:val="24"/>
          <w:szCs w:val="24"/>
        </w:rPr>
      </w:pPr>
      <w:r w:rsidRPr="009F02A6">
        <w:rPr>
          <w:rFonts w:ascii="Cambria" w:eastAsia="Times New Roman" w:hAnsi="Cambria" w:cs="Times New Roman"/>
          <w:noProof/>
          <w:sz w:val="24"/>
          <w:szCs w:val="24"/>
        </w:rPr>
        <w:t xml:space="preserve">26% consumers report that they talk to friends, family and </w:t>
      </w:r>
      <w:r w:rsidR="001838AC" w:rsidRPr="009F02A6">
        <w:rPr>
          <w:rFonts w:ascii="Cambria" w:eastAsia="Times New Roman" w:hAnsi="Cambria" w:cs="Times New Roman"/>
          <w:noProof/>
          <w:sz w:val="24"/>
          <w:szCs w:val="24"/>
        </w:rPr>
        <w:t xml:space="preserve">over </w:t>
      </w:r>
      <w:r w:rsidRPr="009F02A6">
        <w:rPr>
          <w:rFonts w:ascii="Cambria" w:eastAsia="Times New Roman" w:hAnsi="Cambria" w:cs="Times New Roman"/>
          <w:noProof/>
          <w:sz w:val="24"/>
          <w:szCs w:val="24"/>
        </w:rPr>
        <w:t>online about brands that took a stance on social issues (Edelman 2018),</w:t>
      </w:r>
      <w:r w:rsidRPr="009F02A6">
        <w:rPr>
          <w:rFonts w:ascii="Cambria" w:eastAsia="Calibri" w:hAnsi="Cambria" w:cs="Times New Roman"/>
          <w:sz w:val="24"/>
          <w:szCs w:val="24"/>
        </w:rPr>
        <w:t xml:space="preserve"> yet not much is known about the effect of consumers’ opinion of companies’ </w:t>
      </w:r>
      <w:r w:rsidR="002256FE"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2256FE" w:rsidRPr="009F02A6">
        <w:rPr>
          <w:rFonts w:ascii="Cambria" w:eastAsia="Calibri" w:hAnsi="Cambria" w:cs="Adobe Devanagari"/>
          <w:sz w:val="24"/>
          <w:szCs w:val="24"/>
        </w:rPr>
        <w:t xml:space="preserve"> message</w:t>
      </w:r>
      <w:r w:rsidR="002256FE" w:rsidRPr="009F02A6">
        <w:rPr>
          <w:rFonts w:ascii="Cambria" w:eastAsia="Calibri" w:hAnsi="Cambria" w:cs="Times New Roman"/>
          <w:sz w:val="24"/>
          <w:szCs w:val="24"/>
        </w:rPr>
        <w:t xml:space="preserve"> </w:t>
      </w:r>
      <w:r w:rsidRPr="009F02A6">
        <w:rPr>
          <w:rFonts w:ascii="Cambria" w:eastAsia="Calibri" w:hAnsi="Cambria" w:cs="Times New Roman"/>
          <w:sz w:val="24"/>
          <w:szCs w:val="24"/>
        </w:rPr>
        <w:t xml:space="preserve">that is shared in social media </w:t>
      </w:r>
      <w:r w:rsidR="001838AC" w:rsidRPr="009F02A6">
        <w:rPr>
          <w:rFonts w:ascii="Cambria" w:eastAsia="Calibri" w:hAnsi="Cambria" w:cs="Times New Roman"/>
          <w:sz w:val="24"/>
          <w:szCs w:val="24"/>
        </w:rPr>
        <w:t>with</w:t>
      </w:r>
      <w:r w:rsidRPr="009F02A6">
        <w:rPr>
          <w:rFonts w:ascii="Cambria" w:eastAsia="Calibri" w:hAnsi="Cambria" w:cs="Times New Roman"/>
          <w:sz w:val="24"/>
          <w:szCs w:val="24"/>
        </w:rPr>
        <w:t xml:space="preserve"> other consumers.</w:t>
      </w:r>
      <w:r w:rsidR="00052DCF" w:rsidRPr="009F02A6">
        <w:rPr>
          <w:rFonts w:ascii="Cambria" w:eastAsia="Calibri" w:hAnsi="Cambria" w:cs="Times New Roman"/>
          <w:sz w:val="24"/>
          <w:szCs w:val="24"/>
        </w:rPr>
        <w:t xml:space="preserve"> </w:t>
      </w:r>
      <w:r w:rsidR="00043548" w:rsidRPr="009F02A6">
        <w:rPr>
          <w:rFonts w:ascii="Cambria" w:eastAsia="Times New Roman" w:hAnsi="Cambria" w:cs="Times New Roman"/>
          <w:noProof/>
          <w:sz w:val="24"/>
          <w:szCs w:val="24"/>
        </w:rPr>
        <w:t xml:space="preserve">Though predominantly, promotional messages have been used to pursue the consumers, there is no guarantee that companies’ </w:t>
      </w:r>
      <w:r w:rsidR="008170E8" w:rsidRPr="009F02A6">
        <w:rPr>
          <w:rFonts w:ascii="Cambria" w:eastAsia="Times New Roman" w:hAnsi="Cambria" w:cs="Times New Roman"/>
          <w:noProof/>
          <w:sz w:val="24"/>
          <w:szCs w:val="24"/>
        </w:rPr>
        <w:t xml:space="preserve">ads with sustainbility message </w:t>
      </w:r>
      <w:r w:rsidR="00043548" w:rsidRPr="009F02A6">
        <w:rPr>
          <w:rFonts w:ascii="Cambria" w:eastAsia="Times New Roman" w:hAnsi="Cambria" w:cs="Times New Roman"/>
          <w:noProof/>
          <w:sz w:val="24"/>
          <w:szCs w:val="24"/>
        </w:rPr>
        <w:t>will be accepted by the consumers positively.</w:t>
      </w:r>
      <w:r w:rsidR="00C8155C" w:rsidRPr="009F02A6">
        <w:rPr>
          <w:rFonts w:ascii="Cambria" w:eastAsia="Times New Roman" w:hAnsi="Cambria" w:cs="Times New Roman"/>
          <w:noProof/>
          <w:sz w:val="24"/>
          <w:szCs w:val="24"/>
        </w:rPr>
        <w:t xml:space="preserve"> Because c</w:t>
      </w:r>
      <w:r w:rsidR="00C008D3" w:rsidRPr="009F02A6">
        <w:rPr>
          <w:rFonts w:ascii="Cambria" w:eastAsia="Times New Roman" w:hAnsi="Cambria" w:cs="Times New Roman"/>
          <w:noProof/>
          <w:sz w:val="24"/>
          <w:szCs w:val="24"/>
        </w:rPr>
        <w:t xml:space="preserve">onsumers’ response towards </w:t>
      </w:r>
      <w:r w:rsidR="00155D8B" w:rsidRPr="009F02A6">
        <w:rPr>
          <w:rFonts w:ascii="Cambria" w:hAnsi="Cambria"/>
          <w:sz w:val="24"/>
          <w:szCs w:val="24"/>
        </w:rPr>
        <w:t>organisations</w:t>
      </w:r>
      <w:r w:rsidR="008A10CB" w:rsidRPr="009F02A6">
        <w:rPr>
          <w:rFonts w:ascii="Cambria" w:hAnsi="Cambria"/>
          <w:sz w:val="24"/>
          <w:szCs w:val="24"/>
        </w:rPr>
        <w:t>’ societal and environmental initiative</w:t>
      </w:r>
      <w:r w:rsidR="003A164F" w:rsidRPr="009F02A6">
        <w:rPr>
          <w:rFonts w:ascii="Cambria" w:hAnsi="Cambria"/>
          <w:sz w:val="24"/>
          <w:szCs w:val="24"/>
        </w:rPr>
        <w:t>s</w:t>
      </w:r>
      <w:r w:rsidR="008A10CB" w:rsidRPr="009F02A6">
        <w:rPr>
          <w:rFonts w:ascii="Cambria" w:hAnsi="Cambria"/>
          <w:sz w:val="24"/>
          <w:szCs w:val="24"/>
        </w:rPr>
        <w:t xml:space="preserve"> may not always </w:t>
      </w:r>
      <w:r w:rsidR="00A278F1" w:rsidRPr="009F02A6">
        <w:rPr>
          <w:rFonts w:ascii="Cambria" w:hAnsi="Cambria"/>
          <w:sz w:val="24"/>
          <w:szCs w:val="24"/>
        </w:rPr>
        <w:t>align with</w:t>
      </w:r>
      <w:r w:rsidR="008A10CB" w:rsidRPr="009F02A6">
        <w:rPr>
          <w:rFonts w:ascii="Cambria" w:hAnsi="Cambria"/>
          <w:sz w:val="24"/>
          <w:szCs w:val="24"/>
        </w:rPr>
        <w:t xml:space="preserve"> organisations</w:t>
      </w:r>
      <w:r w:rsidR="00B14516" w:rsidRPr="009F02A6">
        <w:rPr>
          <w:rFonts w:ascii="Cambria" w:hAnsi="Cambria"/>
          <w:sz w:val="24"/>
          <w:szCs w:val="24"/>
        </w:rPr>
        <w:t>’</w:t>
      </w:r>
      <w:r w:rsidR="008A10CB" w:rsidRPr="009F02A6">
        <w:rPr>
          <w:rFonts w:ascii="Cambria" w:hAnsi="Cambria"/>
          <w:sz w:val="24"/>
          <w:szCs w:val="24"/>
        </w:rPr>
        <w:t xml:space="preserve"> </w:t>
      </w:r>
      <w:r w:rsidR="00A278F1" w:rsidRPr="009F02A6">
        <w:rPr>
          <w:rFonts w:ascii="Cambria" w:hAnsi="Cambria"/>
          <w:sz w:val="24"/>
          <w:szCs w:val="24"/>
        </w:rPr>
        <w:t>expectation</w:t>
      </w:r>
      <w:r w:rsidR="008A10CB" w:rsidRPr="009F02A6">
        <w:rPr>
          <w:rFonts w:ascii="Cambria" w:hAnsi="Cambria"/>
          <w:sz w:val="24"/>
          <w:szCs w:val="24"/>
        </w:rPr>
        <w:t xml:space="preserve"> (Sen and Bhattacharya 2001).</w:t>
      </w:r>
      <w:r w:rsidR="00CD27D2">
        <w:rPr>
          <w:rFonts w:ascii="Cambria" w:hAnsi="Cambria"/>
          <w:sz w:val="24"/>
          <w:szCs w:val="24"/>
        </w:rPr>
        <w:t xml:space="preserve"> Even </w:t>
      </w:r>
      <w:r w:rsidR="00EE752F">
        <w:rPr>
          <w:rFonts w:ascii="Cambria" w:hAnsi="Cambria"/>
          <w:sz w:val="24"/>
          <w:szCs w:val="24"/>
        </w:rPr>
        <w:t xml:space="preserve">consumers who are concerned about sustainability may be </w:t>
      </w:r>
      <w:r w:rsidR="00AA15C9">
        <w:rPr>
          <w:rFonts w:ascii="Cambria" w:hAnsi="Cambria"/>
          <w:sz w:val="24"/>
          <w:szCs w:val="24"/>
        </w:rPr>
        <w:t>sceptical</w:t>
      </w:r>
      <w:r w:rsidR="00EE752F">
        <w:rPr>
          <w:rFonts w:ascii="Cambria" w:hAnsi="Cambria"/>
          <w:sz w:val="24"/>
          <w:szCs w:val="24"/>
        </w:rPr>
        <w:t xml:space="preserve"> about compan</w:t>
      </w:r>
      <w:r w:rsidR="00EF5051">
        <w:rPr>
          <w:rFonts w:ascii="Cambria" w:hAnsi="Cambria"/>
          <w:sz w:val="24"/>
          <w:szCs w:val="24"/>
        </w:rPr>
        <w:t>ies’ ad with sustainability message (</w:t>
      </w:r>
      <w:r w:rsidR="00852942" w:rsidRPr="00852942">
        <w:rPr>
          <w:rFonts w:ascii="Cambria" w:hAnsi="Cambria"/>
          <w:sz w:val="24"/>
          <w:szCs w:val="24"/>
        </w:rPr>
        <w:t xml:space="preserve">Paço </w:t>
      </w:r>
      <w:r w:rsidR="00852942">
        <w:rPr>
          <w:rFonts w:ascii="Cambria" w:hAnsi="Cambria"/>
          <w:sz w:val="24"/>
          <w:szCs w:val="24"/>
        </w:rPr>
        <w:t xml:space="preserve">and </w:t>
      </w:r>
      <w:r w:rsidR="00852942" w:rsidRPr="00852942">
        <w:rPr>
          <w:rFonts w:ascii="Cambria" w:hAnsi="Cambria"/>
          <w:sz w:val="24"/>
          <w:szCs w:val="24"/>
        </w:rPr>
        <w:t>Reis 2012</w:t>
      </w:r>
      <w:r w:rsidR="00EF5051">
        <w:rPr>
          <w:rFonts w:ascii="Cambria" w:hAnsi="Cambria"/>
          <w:sz w:val="24"/>
          <w:szCs w:val="24"/>
        </w:rPr>
        <w:t>).</w:t>
      </w:r>
      <w:r w:rsidR="008A10CB" w:rsidRPr="009F02A6">
        <w:rPr>
          <w:rFonts w:ascii="Cambria" w:hAnsi="Cambria"/>
          <w:sz w:val="24"/>
          <w:szCs w:val="24"/>
        </w:rPr>
        <w:t xml:space="preserve"> </w:t>
      </w:r>
      <w:r w:rsidR="00AC6D0D" w:rsidRPr="009F02A6">
        <w:rPr>
          <w:rFonts w:ascii="Cambria" w:hAnsi="Cambria"/>
          <w:sz w:val="24"/>
          <w:szCs w:val="24"/>
        </w:rPr>
        <w:t>Firms’ sustainability related efforts may be deemed as a common business practice, yet their wrongdoings regarding sustainable issues will have major impact over consumer purchase behaviour (Mishina et al 2012). On the top of that, o</w:t>
      </w:r>
      <w:r w:rsidR="00B242FC" w:rsidRPr="009F02A6">
        <w:rPr>
          <w:rFonts w:ascii="Cambria" w:hAnsi="Cambria"/>
          <w:sz w:val="24"/>
          <w:szCs w:val="24"/>
        </w:rPr>
        <w:t xml:space="preserve">rganisations’ promotion of their initiatives towards </w:t>
      </w:r>
      <w:r w:rsidR="00A278F1" w:rsidRPr="009F02A6">
        <w:rPr>
          <w:rFonts w:ascii="Cambria" w:hAnsi="Cambria"/>
          <w:sz w:val="24"/>
          <w:szCs w:val="24"/>
        </w:rPr>
        <w:t>sustainability, is</w:t>
      </w:r>
      <w:r w:rsidR="00B242FC" w:rsidRPr="009F02A6">
        <w:rPr>
          <w:rFonts w:ascii="Cambria" w:hAnsi="Cambria"/>
          <w:sz w:val="24"/>
          <w:szCs w:val="24"/>
        </w:rPr>
        <w:t xml:space="preserve"> always at </w:t>
      </w:r>
      <w:r w:rsidR="00A278F1" w:rsidRPr="009F02A6">
        <w:rPr>
          <w:rFonts w:ascii="Cambria" w:hAnsi="Cambria"/>
          <w:sz w:val="24"/>
          <w:szCs w:val="24"/>
        </w:rPr>
        <w:t xml:space="preserve">the </w:t>
      </w:r>
      <w:r w:rsidR="00B242FC" w:rsidRPr="009F02A6">
        <w:rPr>
          <w:rFonts w:ascii="Cambria" w:hAnsi="Cambria"/>
          <w:sz w:val="24"/>
          <w:szCs w:val="24"/>
        </w:rPr>
        <w:t xml:space="preserve">risk of </w:t>
      </w:r>
      <w:r w:rsidR="00420688" w:rsidRPr="009F02A6">
        <w:rPr>
          <w:rFonts w:ascii="Cambria" w:hAnsi="Cambria"/>
          <w:sz w:val="24"/>
          <w:szCs w:val="24"/>
        </w:rPr>
        <w:t>consumers’ perception to be</w:t>
      </w:r>
      <w:r w:rsidR="00B242FC" w:rsidRPr="009F02A6">
        <w:rPr>
          <w:rFonts w:ascii="Cambria" w:hAnsi="Cambria"/>
          <w:sz w:val="24"/>
          <w:szCs w:val="24"/>
        </w:rPr>
        <w:t xml:space="preserve"> self–serving and exploitive (Montororios et al 2008; Kilbourne 2004). For example, environmental campaign, run by energy, </w:t>
      </w:r>
      <w:r w:rsidR="008B4CBA" w:rsidRPr="009F02A6">
        <w:rPr>
          <w:rFonts w:ascii="Cambria" w:hAnsi="Cambria"/>
          <w:sz w:val="24"/>
          <w:szCs w:val="24"/>
        </w:rPr>
        <w:t>oil,</w:t>
      </w:r>
      <w:r w:rsidR="00B242FC" w:rsidRPr="009F02A6">
        <w:rPr>
          <w:rFonts w:ascii="Cambria" w:hAnsi="Cambria"/>
          <w:sz w:val="24"/>
          <w:szCs w:val="24"/>
        </w:rPr>
        <w:t xml:space="preserve"> and gas companies have less credibility and more susceptibility to be criticised </w:t>
      </w:r>
      <w:r w:rsidR="008D116A" w:rsidRPr="009F02A6">
        <w:rPr>
          <w:rFonts w:ascii="Cambria" w:hAnsi="Cambria"/>
          <w:sz w:val="24"/>
          <w:szCs w:val="24"/>
        </w:rPr>
        <w:t>for</w:t>
      </w:r>
      <w:r w:rsidR="00B242FC" w:rsidRPr="009F02A6">
        <w:rPr>
          <w:rFonts w:ascii="Cambria" w:hAnsi="Cambria"/>
          <w:sz w:val="24"/>
          <w:szCs w:val="24"/>
        </w:rPr>
        <w:t xml:space="preserve"> greenwashing (misleading green advertisement) practice (Fernando et al 2014). Companies’ </w:t>
      </w:r>
      <w:r w:rsidR="00145564" w:rsidRPr="009F02A6">
        <w:rPr>
          <w:rFonts w:ascii="Cambria" w:hAnsi="Cambria"/>
          <w:sz w:val="24"/>
          <w:szCs w:val="24"/>
        </w:rPr>
        <w:t xml:space="preserve">such </w:t>
      </w:r>
      <w:r w:rsidR="00B242FC" w:rsidRPr="009F02A6">
        <w:rPr>
          <w:rFonts w:ascii="Cambria" w:hAnsi="Cambria"/>
          <w:sz w:val="24"/>
          <w:szCs w:val="24"/>
        </w:rPr>
        <w:t>initiatives fail mostly due to the lack of trust on companies</w:t>
      </w:r>
      <w:r w:rsidR="00AC6D0D" w:rsidRPr="009F02A6">
        <w:rPr>
          <w:rFonts w:ascii="Cambria" w:hAnsi="Cambria"/>
          <w:sz w:val="24"/>
          <w:szCs w:val="24"/>
        </w:rPr>
        <w:t>’ actions</w:t>
      </w:r>
      <w:r w:rsidR="00B242FC" w:rsidRPr="009F02A6">
        <w:rPr>
          <w:rFonts w:ascii="Cambria" w:hAnsi="Cambria"/>
          <w:sz w:val="24"/>
          <w:szCs w:val="24"/>
        </w:rPr>
        <w:t xml:space="preserve"> (Angus 2018).</w:t>
      </w:r>
      <w:r w:rsidR="00E968B7" w:rsidRPr="009F02A6">
        <w:rPr>
          <w:rFonts w:ascii="Cambria" w:hAnsi="Cambria"/>
          <w:sz w:val="24"/>
          <w:szCs w:val="24"/>
        </w:rPr>
        <w:t xml:space="preserve"> </w:t>
      </w:r>
      <w:r w:rsidR="00B25B9C" w:rsidRPr="009F02A6">
        <w:rPr>
          <w:rFonts w:ascii="Cambria" w:hAnsi="Cambria"/>
          <w:sz w:val="24"/>
          <w:szCs w:val="24"/>
        </w:rPr>
        <w:t xml:space="preserve">Company led </w:t>
      </w:r>
      <w:r w:rsidR="0054385E" w:rsidRPr="009F02A6">
        <w:rPr>
          <w:rFonts w:ascii="Cambria" w:eastAsia="Times New Roman" w:hAnsi="Cambria" w:cs="Times New Roman"/>
          <w:noProof/>
          <w:sz w:val="24"/>
          <w:szCs w:val="24"/>
        </w:rPr>
        <w:t>ads with sustainbility message</w:t>
      </w:r>
      <w:r w:rsidR="0054385E" w:rsidRPr="009F02A6">
        <w:rPr>
          <w:rFonts w:ascii="Cambria" w:hAnsi="Cambria"/>
          <w:sz w:val="24"/>
          <w:szCs w:val="24"/>
        </w:rPr>
        <w:t xml:space="preserve"> </w:t>
      </w:r>
      <w:r w:rsidR="00B25B9C" w:rsidRPr="009F02A6">
        <w:rPr>
          <w:rFonts w:ascii="Cambria" w:hAnsi="Cambria"/>
          <w:sz w:val="24"/>
          <w:szCs w:val="24"/>
        </w:rPr>
        <w:t xml:space="preserve">may also </w:t>
      </w:r>
      <w:r w:rsidR="000F67DA" w:rsidRPr="009F02A6">
        <w:rPr>
          <w:rFonts w:ascii="Cambria" w:hAnsi="Cambria"/>
          <w:sz w:val="24"/>
          <w:szCs w:val="24"/>
        </w:rPr>
        <w:t>face the same problem.</w:t>
      </w:r>
      <w:r w:rsidR="00B242FC" w:rsidRPr="009F02A6">
        <w:rPr>
          <w:rFonts w:ascii="Cambria" w:hAnsi="Cambria"/>
          <w:sz w:val="24"/>
          <w:szCs w:val="24"/>
        </w:rPr>
        <w:t xml:space="preserve"> </w:t>
      </w:r>
      <w:r w:rsidR="008A10CB" w:rsidRPr="009F02A6">
        <w:rPr>
          <w:rFonts w:ascii="Cambria" w:hAnsi="Cambria"/>
          <w:sz w:val="24"/>
          <w:szCs w:val="24"/>
        </w:rPr>
        <w:t xml:space="preserve">More importantly, </w:t>
      </w:r>
      <w:r w:rsidR="00B242FC" w:rsidRPr="009F02A6">
        <w:rPr>
          <w:rFonts w:ascii="Cambria" w:hAnsi="Cambria"/>
          <w:sz w:val="24"/>
          <w:szCs w:val="24"/>
        </w:rPr>
        <w:t>t</w:t>
      </w:r>
      <w:r w:rsidR="009158E6" w:rsidRPr="009F02A6">
        <w:rPr>
          <w:rFonts w:ascii="Cambria" w:hAnsi="Cambria"/>
          <w:sz w:val="24"/>
          <w:szCs w:val="24"/>
        </w:rPr>
        <w:t>he intensity of th</w:t>
      </w:r>
      <w:r w:rsidR="00A65EAB" w:rsidRPr="009F02A6">
        <w:rPr>
          <w:rFonts w:ascii="Cambria" w:hAnsi="Cambria"/>
          <w:sz w:val="24"/>
          <w:szCs w:val="24"/>
        </w:rPr>
        <w:t>is</w:t>
      </w:r>
      <w:r w:rsidR="009158E6" w:rsidRPr="009F02A6">
        <w:rPr>
          <w:rFonts w:ascii="Cambria" w:hAnsi="Cambria"/>
          <w:sz w:val="24"/>
          <w:szCs w:val="24"/>
        </w:rPr>
        <w:t xml:space="preserve"> problem is heightened due to interactive feature of web 2.0, which enables consumers </w:t>
      </w:r>
      <w:r w:rsidR="008B6603" w:rsidRPr="009F02A6">
        <w:rPr>
          <w:rFonts w:ascii="Cambria" w:hAnsi="Cambria"/>
          <w:sz w:val="24"/>
          <w:szCs w:val="24"/>
        </w:rPr>
        <w:t xml:space="preserve">to </w:t>
      </w:r>
      <w:r w:rsidR="009158E6" w:rsidRPr="009F02A6">
        <w:rPr>
          <w:rFonts w:ascii="Cambria" w:hAnsi="Cambria"/>
          <w:sz w:val="24"/>
          <w:szCs w:val="24"/>
        </w:rPr>
        <w:t>disseminat</w:t>
      </w:r>
      <w:r w:rsidR="008B6603" w:rsidRPr="009F02A6">
        <w:rPr>
          <w:rFonts w:ascii="Cambria" w:hAnsi="Cambria"/>
          <w:sz w:val="24"/>
          <w:szCs w:val="24"/>
        </w:rPr>
        <w:t>e</w:t>
      </w:r>
      <w:r w:rsidR="009158E6" w:rsidRPr="009F02A6">
        <w:rPr>
          <w:rFonts w:ascii="Cambria" w:hAnsi="Cambria"/>
          <w:sz w:val="24"/>
          <w:szCs w:val="24"/>
        </w:rPr>
        <w:t xml:space="preserve"> of their own opinion</w:t>
      </w:r>
      <w:r w:rsidR="00C36512" w:rsidRPr="009F02A6">
        <w:rPr>
          <w:rFonts w:ascii="Cambria" w:hAnsi="Cambria"/>
          <w:sz w:val="24"/>
          <w:szCs w:val="24"/>
        </w:rPr>
        <w:t xml:space="preserve"> </w:t>
      </w:r>
      <w:r w:rsidR="00A65EAB" w:rsidRPr="009F02A6">
        <w:rPr>
          <w:rFonts w:ascii="Cambria" w:hAnsi="Cambria"/>
          <w:sz w:val="24"/>
          <w:szCs w:val="24"/>
        </w:rPr>
        <w:t xml:space="preserve">and affect other consumers </w:t>
      </w:r>
      <w:r w:rsidR="004C4EF7" w:rsidRPr="009F02A6">
        <w:rPr>
          <w:rFonts w:ascii="Cambria" w:hAnsi="Cambria"/>
          <w:sz w:val="24"/>
          <w:szCs w:val="24"/>
        </w:rPr>
        <w:t xml:space="preserve">worldwide </w:t>
      </w:r>
      <w:r w:rsidR="00C36512" w:rsidRPr="009F02A6">
        <w:rPr>
          <w:rFonts w:ascii="Cambria" w:hAnsi="Cambria"/>
          <w:sz w:val="24"/>
          <w:szCs w:val="24"/>
        </w:rPr>
        <w:t>(Fournier and Avery 2011; Habibi et al 2014)</w:t>
      </w:r>
      <w:r w:rsidR="009158E6" w:rsidRPr="009F02A6">
        <w:rPr>
          <w:rFonts w:ascii="Cambria" w:hAnsi="Cambria"/>
          <w:sz w:val="24"/>
          <w:szCs w:val="24"/>
        </w:rPr>
        <w:t xml:space="preserve">. </w:t>
      </w:r>
    </w:p>
    <w:p w14:paraId="1C73184E" w14:textId="01D17408" w:rsidR="009A5851" w:rsidRPr="00530906" w:rsidRDefault="009A5851">
      <w:pPr>
        <w:tabs>
          <w:tab w:val="num" w:pos="720"/>
        </w:tabs>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The underlying role of consumers’ perception and opinion of the firms’</w:t>
      </w:r>
      <w:r w:rsidR="005E329D" w:rsidRPr="009F02A6">
        <w:rPr>
          <w:rFonts w:ascii="Cambria" w:eastAsia="Times New Roman" w:hAnsi="Cambria" w:cs="Times New Roman"/>
          <w:sz w:val="24"/>
          <w:szCs w:val="24"/>
        </w:rPr>
        <w:t xml:space="preserve"> </w:t>
      </w:r>
      <w:r w:rsidR="0093488C" w:rsidRPr="009F02A6">
        <w:rPr>
          <w:rFonts w:ascii="Cambria" w:eastAsia="Times New Roman" w:hAnsi="Cambria" w:cs="Times New Roman"/>
          <w:noProof/>
          <w:sz w:val="24"/>
          <w:szCs w:val="24"/>
        </w:rPr>
        <w:t>ads with sustainbility message</w:t>
      </w:r>
      <w:r w:rsidR="0093488C" w:rsidRPr="009F02A6">
        <w:rPr>
          <w:rFonts w:ascii="Cambria" w:eastAsia="Times New Roman" w:hAnsi="Cambria" w:cs="Times New Roman"/>
          <w:sz w:val="24"/>
          <w:szCs w:val="24"/>
        </w:rPr>
        <w:t xml:space="preserve"> </w:t>
      </w:r>
      <w:r w:rsidRPr="009F02A6">
        <w:rPr>
          <w:rFonts w:ascii="Cambria" w:eastAsia="Times New Roman" w:hAnsi="Cambria" w:cs="Times New Roman"/>
          <w:sz w:val="24"/>
          <w:szCs w:val="24"/>
        </w:rPr>
        <w:t xml:space="preserve">is essential to understand because, </w:t>
      </w:r>
      <w:r w:rsidR="005E329D" w:rsidRPr="009F02A6">
        <w:rPr>
          <w:rFonts w:ascii="Cambria" w:eastAsia="Times New Roman" w:hAnsi="Cambria" w:cs="Times New Roman"/>
          <w:sz w:val="24"/>
          <w:szCs w:val="24"/>
        </w:rPr>
        <w:t xml:space="preserve">because </w:t>
      </w:r>
      <w:r w:rsidRPr="009F02A6">
        <w:rPr>
          <w:rFonts w:ascii="Cambria" w:eastAsia="Times New Roman" w:hAnsi="Cambria" w:cs="Times New Roman"/>
          <w:sz w:val="24"/>
          <w:szCs w:val="24"/>
        </w:rPr>
        <w:t xml:space="preserve">it will provide an insight of the adaptation process of the brands’ </w:t>
      </w:r>
      <w:r w:rsidR="005E329D" w:rsidRPr="009F02A6">
        <w:rPr>
          <w:rFonts w:ascii="Cambria" w:eastAsia="Times New Roman" w:hAnsi="Cambria" w:cs="Times New Roman"/>
          <w:sz w:val="24"/>
          <w:szCs w:val="24"/>
        </w:rPr>
        <w:t>advertised</w:t>
      </w:r>
      <w:r w:rsidRPr="009F02A6">
        <w:rPr>
          <w:rFonts w:ascii="Cambria" w:eastAsia="Times New Roman" w:hAnsi="Cambria" w:cs="Times New Roman"/>
          <w:sz w:val="24"/>
          <w:szCs w:val="24"/>
        </w:rPr>
        <w:t xml:space="preserve"> product (Binder and </w:t>
      </w:r>
      <w:r w:rsidRPr="009F02A6">
        <w:rPr>
          <w:rFonts w:ascii="Cambria" w:eastAsia="Times New Roman" w:hAnsi="Cambria" w:cs="Times New Roman"/>
          <w:sz w:val="24"/>
          <w:szCs w:val="24"/>
        </w:rPr>
        <w:lastRenderedPageBreak/>
        <w:t>Blankenberg 2017; Stern, 2000).</w:t>
      </w:r>
      <w:r w:rsidRPr="009F02A6">
        <w:rPr>
          <w:rFonts w:ascii="Cambria" w:eastAsia="Calibri" w:hAnsi="Cambria" w:cs="Times New Roman"/>
          <w:sz w:val="24"/>
          <w:szCs w:val="24"/>
        </w:rPr>
        <w:t xml:space="preserve"> This study focuses on the impact of </w:t>
      </w:r>
      <w:r w:rsidR="00AE7376" w:rsidRPr="009F02A6">
        <w:rPr>
          <w:rFonts w:ascii="Cambria" w:eastAsia="Calibri" w:hAnsi="Cambria" w:cs="Times New Roman"/>
          <w:sz w:val="24"/>
          <w:szCs w:val="24"/>
        </w:rPr>
        <w:t xml:space="preserve">single </w:t>
      </w:r>
      <w:r w:rsidRPr="009F02A6">
        <w:rPr>
          <w:rFonts w:ascii="Cambria" w:eastAsia="Calibri" w:hAnsi="Cambria" w:cs="Times New Roman"/>
          <w:sz w:val="24"/>
          <w:szCs w:val="24"/>
        </w:rPr>
        <w:t xml:space="preserve">consumer’s positive or negative opinion (positive or negative caption) with the </w:t>
      </w:r>
      <w:r w:rsidR="00D0586A" w:rsidRPr="009F02A6">
        <w:rPr>
          <w:rFonts w:ascii="Cambria" w:eastAsia="Times New Roman" w:hAnsi="Cambria" w:cs="Times New Roman"/>
          <w:noProof/>
          <w:sz w:val="24"/>
          <w:szCs w:val="24"/>
        </w:rPr>
        <w:t xml:space="preserve">ads with sustainbility </w:t>
      </w:r>
      <w:r w:rsidR="00D0586A" w:rsidRPr="005B3E71">
        <w:rPr>
          <w:rFonts w:ascii="Cambria" w:eastAsia="Times New Roman" w:hAnsi="Cambria" w:cs="Times New Roman"/>
          <w:noProof/>
          <w:sz w:val="24"/>
          <w:szCs w:val="24"/>
        </w:rPr>
        <w:t>message</w:t>
      </w:r>
      <w:r w:rsidR="00D0586A" w:rsidRPr="005B3E71">
        <w:rPr>
          <w:rFonts w:ascii="Cambria" w:eastAsia="Calibri" w:hAnsi="Cambria" w:cs="Times New Roman"/>
          <w:sz w:val="24"/>
          <w:szCs w:val="24"/>
        </w:rPr>
        <w:t xml:space="preserve"> </w:t>
      </w:r>
      <w:r w:rsidRPr="005B3E71">
        <w:rPr>
          <w:rFonts w:ascii="Cambria" w:eastAsia="Calibri" w:hAnsi="Cambria" w:cs="Times New Roman"/>
          <w:sz w:val="24"/>
          <w:szCs w:val="24"/>
        </w:rPr>
        <w:t xml:space="preserve">when </w:t>
      </w:r>
      <w:r w:rsidR="009743AF" w:rsidRPr="005B3E71">
        <w:rPr>
          <w:rFonts w:ascii="Cambria" w:eastAsia="Calibri" w:hAnsi="Cambria" w:cs="Times New Roman"/>
          <w:sz w:val="24"/>
          <w:szCs w:val="24"/>
        </w:rPr>
        <w:t>he/</w:t>
      </w:r>
      <w:r w:rsidR="009743AF" w:rsidRPr="00530906">
        <w:rPr>
          <w:rFonts w:ascii="Cambria" w:eastAsia="Calibri" w:hAnsi="Cambria" w:cs="Times New Roman"/>
          <w:sz w:val="24"/>
          <w:szCs w:val="24"/>
        </w:rPr>
        <w:t>she</w:t>
      </w:r>
      <w:r w:rsidRPr="00530906">
        <w:rPr>
          <w:rFonts w:ascii="Cambria" w:eastAsia="Calibri" w:hAnsi="Cambria" w:cs="Times New Roman"/>
          <w:sz w:val="24"/>
          <w:szCs w:val="24"/>
        </w:rPr>
        <w:t xml:space="preserve"> post</w:t>
      </w:r>
      <w:r w:rsidR="009743AF" w:rsidRPr="00530906">
        <w:rPr>
          <w:rFonts w:ascii="Cambria" w:eastAsia="Calibri" w:hAnsi="Cambria" w:cs="Times New Roman"/>
          <w:sz w:val="24"/>
          <w:szCs w:val="24"/>
        </w:rPr>
        <w:t>s</w:t>
      </w:r>
      <w:r w:rsidRPr="00530906">
        <w:rPr>
          <w:rFonts w:ascii="Cambria" w:eastAsia="Calibri" w:hAnsi="Cambria" w:cs="Times New Roman"/>
          <w:sz w:val="24"/>
          <w:szCs w:val="24"/>
        </w:rPr>
        <w:t xml:space="preserve"> it in social media on other consumers’ social media engagement and their subsequent purchase intention of the advertised product</w:t>
      </w:r>
      <w:r w:rsidR="00CC6EE6" w:rsidRPr="00530906">
        <w:rPr>
          <w:rFonts w:ascii="Cambria" w:eastAsia="Calibri" w:hAnsi="Cambria" w:cs="Times New Roman"/>
          <w:sz w:val="24"/>
          <w:szCs w:val="24"/>
        </w:rPr>
        <w:t>s</w:t>
      </w:r>
      <w:r w:rsidRPr="00530906">
        <w:rPr>
          <w:rFonts w:ascii="Cambria" w:eastAsia="Calibri" w:hAnsi="Cambria" w:cs="Times New Roman"/>
          <w:sz w:val="24"/>
          <w:szCs w:val="24"/>
        </w:rPr>
        <w:t xml:space="preserve"> and other sustainable behaviour. </w:t>
      </w:r>
    </w:p>
    <w:p w14:paraId="79088E51" w14:textId="727395A0" w:rsidR="00EA222D" w:rsidRPr="00530906" w:rsidRDefault="009A5851" w:rsidP="008756B1">
      <w:pPr>
        <w:pStyle w:val="Heading2"/>
        <w:jc w:val="both"/>
        <w:rPr>
          <w:rFonts w:eastAsia="Times New Roman"/>
          <w:noProof/>
        </w:rPr>
      </w:pPr>
      <w:bookmarkStart w:id="3" w:name="_Toc115726208"/>
      <w:r w:rsidRPr="00530906">
        <w:rPr>
          <w:rFonts w:eastAsia="Times New Roman"/>
          <w:noProof/>
        </w:rPr>
        <w:t xml:space="preserve">1.2. </w:t>
      </w:r>
      <w:r w:rsidR="00EA222D" w:rsidRPr="00530906">
        <w:rPr>
          <w:rFonts w:eastAsia="Times New Roman"/>
          <w:noProof/>
        </w:rPr>
        <w:t>The context- social media</w:t>
      </w:r>
      <w:bookmarkEnd w:id="3"/>
      <w:r w:rsidR="00EA222D" w:rsidRPr="00530906">
        <w:rPr>
          <w:rFonts w:eastAsia="Times New Roman"/>
          <w:noProof/>
        </w:rPr>
        <w:t xml:space="preserve"> </w:t>
      </w:r>
    </w:p>
    <w:p w14:paraId="11B5542C" w14:textId="74705379" w:rsidR="00C16E40" w:rsidRPr="00530906" w:rsidRDefault="00EA222D">
      <w:pPr>
        <w:tabs>
          <w:tab w:val="num" w:pos="720"/>
        </w:tabs>
        <w:spacing w:after="200" w:line="360" w:lineRule="auto"/>
        <w:jc w:val="both"/>
        <w:rPr>
          <w:rFonts w:ascii="Cambria" w:eastAsia="Times New Roman" w:hAnsi="Cambria" w:cs="Times New Roman"/>
          <w:noProof/>
          <w:sz w:val="24"/>
          <w:szCs w:val="24"/>
        </w:rPr>
      </w:pPr>
      <w:r w:rsidRPr="00530906">
        <w:rPr>
          <w:rFonts w:ascii="Cambria" w:eastAsia="Times New Roman" w:hAnsi="Cambria" w:cs="Times New Roman"/>
          <w:noProof/>
          <w:sz w:val="24"/>
          <w:szCs w:val="24"/>
        </w:rPr>
        <w:t>This thesis has taken social media as a context because mass media did not prove to be successful in promoting sustainab</w:t>
      </w:r>
      <w:r w:rsidR="00B25162" w:rsidRPr="00530906">
        <w:rPr>
          <w:rFonts w:ascii="Cambria" w:eastAsia="Times New Roman" w:hAnsi="Cambria" w:cs="Times New Roman"/>
          <w:noProof/>
          <w:sz w:val="24"/>
          <w:szCs w:val="24"/>
        </w:rPr>
        <w:t>le behaviour</w:t>
      </w:r>
      <w:r w:rsidRPr="00530906">
        <w:rPr>
          <w:rFonts w:ascii="Cambria" w:eastAsia="Times New Roman" w:hAnsi="Cambria" w:cs="Times New Roman"/>
          <w:noProof/>
          <w:sz w:val="24"/>
          <w:szCs w:val="24"/>
        </w:rPr>
        <w:t xml:space="preserve"> (Lin and Hsu 2015). </w:t>
      </w:r>
      <w:r w:rsidR="00B8510B" w:rsidRPr="00530906">
        <w:rPr>
          <w:rFonts w:ascii="Cambria" w:eastAsia="Times New Roman" w:hAnsi="Cambria" w:cs="Times New Roman"/>
          <w:noProof/>
          <w:sz w:val="24"/>
          <w:szCs w:val="24"/>
        </w:rPr>
        <w:t>It is argued that, n</w:t>
      </w:r>
      <w:r w:rsidRPr="00530906">
        <w:rPr>
          <w:rFonts w:ascii="Cambria" w:eastAsia="Calibri" w:hAnsi="Cambria" w:cs="Times New Roman"/>
          <w:sz w:val="24"/>
          <w:szCs w:val="24"/>
        </w:rPr>
        <w:t xml:space="preserve">ew technology, </w:t>
      </w:r>
      <w:r w:rsidR="00DA086F" w:rsidRPr="00530906">
        <w:rPr>
          <w:rFonts w:ascii="Cambria" w:eastAsia="Calibri" w:hAnsi="Cambria" w:cs="Times New Roman"/>
          <w:sz w:val="24"/>
          <w:szCs w:val="24"/>
        </w:rPr>
        <w:t>i.e.,</w:t>
      </w:r>
      <w:r w:rsidRPr="00530906">
        <w:rPr>
          <w:rFonts w:ascii="Cambria" w:eastAsia="Calibri" w:hAnsi="Cambria" w:cs="Times New Roman"/>
          <w:sz w:val="24"/>
          <w:szCs w:val="24"/>
        </w:rPr>
        <w:t xml:space="preserve"> social media</w:t>
      </w:r>
      <w:r w:rsidR="000C5EB4" w:rsidRPr="00530906">
        <w:rPr>
          <w:rFonts w:ascii="Cambria" w:eastAsia="Calibri" w:hAnsi="Cambria" w:cs="Times New Roman"/>
          <w:sz w:val="24"/>
          <w:szCs w:val="24"/>
        </w:rPr>
        <w:t>,</w:t>
      </w:r>
      <w:r w:rsidRPr="00530906">
        <w:rPr>
          <w:rFonts w:ascii="Cambria" w:eastAsia="Calibri" w:hAnsi="Cambria" w:cs="Times New Roman"/>
          <w:sz w:val="24"/>
          <w:szCs w:val="24"/>
        </w:rPr>
        <w:t xml:space="preserve"> can be used to </w:t>
      </w:r>
      <w:r w:rsidR="00B67449" w:rsidRPr="00530906">
        <w:rPr>
          <w:rFonts w:ascii="Cambria" w:eastAsia="Times New Roman" w:hAnsi="Cambria" w:cs="Times New Roman"/>
          <w:noProof/>
          <w:sz w:val="24"/>
          <w:szCs w:val="24"/>
        </w:rPr>
        <w:t>educate consumers</w:t>
      </w:r>
      <w:r w:rsidR="00B67449" w:rsidRPr="00530906">
        <w:rPr>
          <w:rFonts w:ascii="Cambria" w:eastAsia="Calibri" w:hAnsi="Cambria" w:cs="Times New Roman"/>
          <w:sz w:val="24"/>
          <w:szCs w:val="24"/>
        </w:rPr>
        <w:t xml:space="preserve"> about </w:t>
      </w:r>
      <w:r w:rsidRPr="00530906">
        <w:rPr>
          <w:rFonts w:ascii="Cambria" w:eastAsia="Calibri" w:hAnsi="Cambria" w:cs="Times New Roman"/>
          <w:sz w:val="24"/>
          <w:szCs w:val="24"/>
        </w:rPr>
        <w:t xml:space="preserve">sustainable products </w:t>
      </w:r>
      <w:r w:rsidRPr="00530906">
        <w:rPr>
          <w:rFonts w:ascii="Cambria" w:eastAsia="Times New Roman" w:hAnsi="Cambria" w:cs="Times New Roman"/>
          <w:noProof/>
          <w:sz w:val="24"/>
          <w:szCs w:val="24"/>
        </w:rPr>
        <w:t>and</w:t>
      </w:r>
      <w:r w:rsidR="000D2D9D" w:rsidRPr="00530906">
        <w:rPr>
          <w:rFonts w:ascii="Cambria" w:eastAsia="Times New Roman" w:hAnsi="Cambria" w:cs="Times New Roman"/>
          <w:noProof/>
          <w:sz w:val="24"/>
          <w:szCs w:val="24"/>
        </w:rPr>
        <w:t xml:space="preserve"> promote sustainale behaviour</w:t>
      </w:r>
      <w:r w:rsidRPr="00530906">
        <w:rPr>
          <w:rFonts w:ascii="Cambria" w:eastAsia="Times New Roman" w:hAnsi="Cambria" w:cs="Times New Roman"/>
          <w:noProof/>
          <w:sz w:val="24"/>
          <w:szCs w:val="24"/>
        </w:rPr>
        <w:t xml:space="preserve"> (Lim, 2016). </w:t>
      </w:r>
      <w:r w:rsidR="00D2452E" w:rsidRPr="00530906">
        <w:rPr>
          <w:rFonts w:ascii="Cambria" w:eastAsia="Times New Roman" w:hAnsi="Cambria" w:cs="Times New Roman"/>
          <w:noProof/>
          <w:sz w:val="24"/>
          <w:szCs w:val="24"/>
        </w:rPr>
        <w:t>Online customer engagement has proved to be one of the key reasons for firms’ success (Kumar et al 2017;</w:t>
      </w:r>
      <w:r w:rsidR="00D2452E" w:rsidRPr="00530906">
        <w:rPr>
          <w:rFonts w:ascii="Cambria" w:eastAsia="Calibri" w:hAnsi="Cambria" w:cs="Times New Roman"/>
          <w:sz w:val="24"/>
          <w:szCs w:val="24"/>
        </w:rPr>
        <w:t xml:space="preserve"> Muntinga et al., 2011</w:t>
      </w:r>
      <w:r w:rsidR="00D2452E" w:rsidRPr="00530906">
        <w:rPr>
          <w:rFonts w:ascii="Cambria" w:eastAsia="Times New Roman" w:hAnsi="Cambria" w:cs="Times New Roman"/>
          <w:noProof/>
          <w:sz w:val="24"/>
          <w:szCs w:val="24"/>
        </w:rPr>
        <w:t>).</w:t>
      </w:r>
      <w:r w:rsidR="003E4B83" w:rsidRPr="00530906">
        <w:rPr>
          <w:rFonts w:ascii="Cambria" w:eastAsia="Times New Roman" w:hAnsi="Cambria" w:cs="Times New Roman"/>
          <w:noProof/>
          <w:sz w:val="24"/>
          <w:szCs w:val="24"/>
        </w:rPr>
        <w:t xml:space="preserve"> </w:t>
      </w:r>
      <w:r w:rsidR="00B8510B" w:rsidRPr="00530906">
        <w:rPr>
          <w:rFonts w:ascii="Cambria" w:eastAsia="Calibri" w:hAnsi="Cambria" w:cs="Times New Roman"/>
          <w:sz w:val="24"/>
          <w:szCs w:val="24"/>
        </w:rPr>
        <w:t xml:space="preserve">From year 2014 to 2015 social–media content per brand increased by 35% (TrackMaven 2016). Recent data shows that, 87% of the marketers use social media for content marketing (Patel, 2021). </w:t>
      </w:r>
      <w:r w:rsidR="003E4B83" w:rsidRPr="00530906">
        <w:rPr>
          <w:rFonts w:ascii="Cambria" w:eastAsia="Times New Roman" w:hAnsi="Cambria" w:cs="Times New Roman"/>
          <w:noProof/>
          <w:sz w:val="24"/>
          <w:szCs w:val="24"/>
        </w:rPr>
        <w:t>In th</w:t>
      </w:r>
      <w:r w:rsidR="00C36512" w:rsidRPr="00530906">
        <w:rPr>
          <w:rFonts w:ascii="Cambria" w:eastAsia="Times New Roman" w:hAnsi="Cambria" w:cs="Times New Roman"/>
          <w:noProof/>
          <w:sz w:val="24"/>
          <w:szCs w:val="24"/>
        </w:rPr>
        <w:t>e</w:t>
      </w:r>
      <w:r w:rsidR="003E4B83" w:rsidRPr="00530906">
        <w:rPr>
          <w:rFonts w:ascii="Cambria" w:eastAsia="Times New Roman" w:hAnsi="Cambria" w:cs="Times New Roman"/>
          <w:noProof/>
          <w:sz w:val="24"/>
          <w:szCs w:val="24"/>
        </w:rPr>
        <w:t xml:space="preserve"> </w:t>
      </w:r>
      <w:r w:rsidR="000C3767" w:rsidRPr="00530906">
        <w:rPr>
          <w:rFonts w:ascii="Cambria" w:eastAsia="Times New Roman" w:hAnsi="Cambria" w:cs="Times New Roman"/>
          <w:noProof/>
          <w:sz w:val="24"/>
          <w:szCs w:val="24"/>
        </w:rPr>
        <w:t xml:space="preserve"> </w:t>
      </w:r>
      <w:r w:rsidR="003E4B83" w:rsidRPr="00530906">
        <w:rPr>
          <w:rFonts w:ascii="Cambria" w:eastAsia="Times New Roman" w:hAnsi="Cambria" w:cs="Times New Roman"/>
          <w:noProof/>
          <w:sz w:val="24"/>
          <w:szCs w:val="24"/>
        </w:rPr>
        <w:t>context of sustainability,</w:t>
      </w:r>
      <w:r w:rsidR="003E4B83" w:rsidRPr="00530906">
        <w:rPr>
          <w:rFonts w:ascii="Cambria" w:eastAsia="Calibri" w:hAnsi="Cambria" w:cs="Times New Roman"/>
          <w:sz w:val="24"/>
          <w:szCs w:val="24"/>
        </w:rPr>
        <w:t xml:space="preserve"> </w:t>
      </w:r>
      <w:r w:rsidR="00B7209A" w:rsidRPr="00530906">
        <w:rPr>
          <w:rFonts w:ascii="Cambria" w:eastAsia="Calibri" w:hAnsi="Cambria" w:cs="Times New Roman"/>
          <w:sz w:val="24"/>
          <w:szCs w:val="24"/>
        </w:rPr>
        <w:t xml:space="preserve">companies gain leverage </w:t>
      </w:r>
      <w:r w:rsidR="003E4B83" w:rsidRPr="00530906">
        <w:rPr>
          <w:rFonts w:ascii="Cambria" w:eastAsia="Calibri" w:hAnsi="Cambria" w:cs="Times New Roman"/>
          <w:sz w:val="24"/>
          <w:szCs w:val="24"/>
        </w:rPr>
        <w:t>i</w:t>
      </w:r>
      <w:r w:rsidR="00D2452E" w:rsidRPr="00530906">
        <w:rPr>
          <w:rFonts w:ascii="Cambria" w:eastAsia="Calibri" w:hAnsi="Cambria" w:cs="Times New Roman"/>
          <w:sz w:val="24"/>
          <w:szCs w:val="24"/>
        </w:rPr>
        <w:t xml:space="preserve">f the companies’ sustainable messages are disseminated in the social–media by the consumers, reviewers or other stakeholders (Martin and Schouten 2012). </w:t>
      </w:r>
      <w:r w:rsidR="009743AF" w:rsidRPr="00530906">
        <w:rPr>
          <w:rFonts w:ascii="Cambria" w:eastAsia="Times New Roman" w:hAnsi="Cambria" w:cs="Adobe Devanagari"/>
          <w:sz w:val="24"/>
          <w:szCs w:val="24"/>
        </w:rPr>
        <w:t>But this also brings</w:t>
      </w:r>
      <w:r w:rsidR="009743AF" w:rsidRPr="00530906">
        <w:rPr>
          <w:rFonts w:ascii="Cambria" w:eastAsia="Times New Roman" w:hAnsi="Cambria" w:cs="Times New Roman"/>
          <w:noProof/>
          <w:sz w:val="24"/>
          <w:szCs w:val="24"/>
        </w:rPr>
        <w:t xml:space="preserve"> risk of misinterpretation of social media brand content (Hoffman and Novak 1996; Wirtz et al 2013). </w:t>
      </w:r>
      <w:r w:rsidR="00D2452E" w:rsidRPr="00530906">
        <w:rPr>
          <w:rFonts w:ascii="Cambria" w:eastAsia="Calibri" w:hAnsi="Cambria" w:cs="Times New Roman"/>
          <w:sz w:val="24"/>
          <w:szCs w:val="24"/>
        </w:rPr>
        <w:t xml:space="preserve">Consumers form </w:t>
      </w:r>
      <w:r w:rsidR="003E4B83" w:rsidRPr="00530906">
        <w:rPr>
          <w:rFonts w:ascii="Cambria" w:eastAsia="Calibri" w:hAnsi="Cambria" w:cs="Times New Roman"/>
          <w:sz w:val="24"/>
          <w:szCs w:val="24"/>
        </w:rPr>
        <w:t>a</w:t>
      </w:r>
      <w:r w:rsidR="00D2452E" w:rsidRPr="00530906">
        <w:rPr>
          <w:rFonts w:ascii="Cambria" w:eastAsia="Calibri" w:hAnsi="Cambria" w:cs="Times New Roman"/>
          <w:sz w:val="24"/>
          <w:szCs w:val="24"/>
        </w:rPr>
        <w:t xml:space="preserve"> perception of the product depending on the social–media contents </w:t>
      </w:r>
      <w:r w:rsidR="00E000B1" w:rsidRPr="00530906">
        <w:rPr>
          <w:rFonts w:ascii="Cambria" w:eastAsia="Calibri" w:hAnsi="Cambria" w:cs="Times New Roman"/>
          <w:sz w:val="24"/>
          <w:szCs w:val="24"/>
        </w:rPr>
        <w:t>of</w:t>
      </w:r>
      <w:r w:rsidR="00D2452E" w:rsidRPr="00530906">
        <w:rPr>
          <w:rFonts w:ascii="Cambria" w:eastAsia="Calibri" w:hAnsi="Cambria" w:cs="Times New Roman"/>
          <w:sz w:val="24"/>
          <w:szCs w:val="24"/>
        </w:rPr>
        <w:t xml:space="preserve"> the product and the brand</w:t>
      </w:r>
      <w:r w:rsidR="00E000B1" w:rsidRPr="00530906">
        <w:rPr>
          <w:rFonts w:ascii="Cambria" w:eastAsia="Calibri" w:hAnsi="Cambria" w:cs="Times New Roman"/>
          <w:sz w:val="24"/>
          <w:szCs w:val="24"/>
        </w:rPr>
        <w:t>. This</w:t>
      </w:r>
      <w:r w:rsidR="00D2452E" w:rsidRPr="00530906">
        <w:rPr>
          <w:rFonts w:ascii="Cambria" w:eastAsia="Calibri" w:hAnsi="Cambria" w:cs="Times New Roman"/>
          <w:sz w:val="24"/>
          <w:szCs w:val="24"/>
        </w:rPr>
        <w:t xml:space="preserve"> may in turn affect the brand positively or negatively through the purchase decision of the consumer (</w:t>
      </w:r>
      <w:r w:rsidR="00D2452E" w:rsidRPr="009F02A6">
        <w:rPr>
          <w:rFonts w:ascii="Cambria" w:eastAsia="Calibri" w:hAnsi="Cambria" w:cs="Times New Roman"/>
          <w:sz w:val="24"/>
          <w:szCs w:val="24"/>
        </w:rPr>
        <w:t xml:space="preserve">Hutter et al. 2013; Zhu and Zhang, 2010; </w:t>
      </w:r>
      <w:r w:rsidR="00D2452E" w:rsidRPr="009F02A6">
        <w:rPr>
          <w:rFonts w:ascii="Cambria" w:eastAsia="Times New Roman" w:hAnsi="Cambria" w:cs="Times New Roman"/>
          <w:noProof/>
          <w:sz w:val="24"/>
          <w:szCs w:val="24"/>
        </w:rPr>
        <w:t xml:space="preserve">Mishina et al 2012). Likewise, consumers’ perception about the </w:t>
      </w:r>
      <w:r w:rsidR="00C2714D" w:rsidRPr="009F02A6">
        <w:rPr>
          <w:rFonts w:ascii="Cambria" w:eastAsia="Times New Roman" w:hAnsi="Cambria" w:cs="Times New Roman"/>
          <w:noProof/>
          <w:sz w:val="24"/>
          <w:szCs w:val="24"/>
        </w:rPr>
        <w:t xml:space="preserve">ads with sustainbility message </w:t>
      </w:r>
      <w:r w:rsidR="00D94808" w:rsidRPr="009F02A6">
        <w:rPr>
          <w:rFonts w:ascii="Cambria" w:eastAsia="Times New Roman" w:hAnsi="Cambria" w:cs="Times New Roman"/>
          <w:noProof/>
          <w:sz w:val="24"/>
          <w:szCs w:val="24"/>
        </w:rPr>
        <w:t xml:space="preserve">over social media </w:t>
      </w:r>
      <w:bookmarkStart w:id="4" w:name="_Hlk85141096"/>
      <w:r w:rsidR="00D2452E" w:rsidRPr="009F02A6">
        <w:rPr>
          <w:rFonts w:ascii="Cambria" w:eastAsia="Times New Roman" w:hAnsi="Cambria" w:cs="Times New Roman"/>
          <w:noProof/>
          <w:sz w:val="24"/>
          <w:szCs w:val="24"/>
        </w:rPr>
        <w:t>determines the success of thei</w:t>
      </w:r>
      <w:r w:rsidR="00E000B1" w:rsidRPr="009F02A6">
        <w:rPr>
          <w:rFonts w:ascii="Cambria" w:eastAsia="Times New Roman" w:hAnsi="Cambria" w:cs="Times New Roman"/>
          <w:noProof/>
          <w:sz w:val="24"/>
          <w:szCs w:val="24"/>
        </w:rPr>
        <w:t>r</w:t>
      </w:r>
      <w:r w:rsidR="00D2452E" w:rsidRPr="009F02A6">
        <w:rPr>
          <w:rFonts w:ascii="Cambria" w:eastAsia="Times New Roman" w:hAnsi="Cambria" w:cs="Times New Roman"/>
          <w:noProof/>
          <w:sz w:val="24"/>
          <w:szCs w:val="24"/>
        </w:rPr>
        <w:t xml:space="preserve"> products</w:t>
      </w:r>
      <w:bookmarkEnd w:id="4"/>
      <w:r w:rsidR="00E000B1" w:rsidRPr="00530906">
        <w:rPr>
          <w:rFonts w:ascii="Cambria" w:eastAsia="Times New Roman" w:hAnsi="Cambria" w:cs="Times New Roman"/>
          <w:noProof/>
          <w:sz w:val="24"/>
          <w:szCs w:val="24"/>
        </w:rPr>
        <w:t xml:space="preserve">. </w:t>
      </w:r>
    </w:p>
    <w:p w14:paraId="0DFDE563" w14:textId="7E8F206F" w:rsidR="00D2452E" w:rsidRPr="00530906" w:rsidRDefault="00D2452E" w:rsidP="008756B1">
      <w:pPr>
        <w:pStyle w:val="Heading2"/>
        <w:jc w:val="both"/>
        <w:rPr>
          <w:rFonts w:ascii="Cambria" w:eastAsia="Times New Roman" w:hAnsi="Cambria"/>
          <w:noProof/>
          <w:color w:val="538135" w:themeColor="accent6" w:themeShade="BF"/>
        </w:rPr>
      </w:pPr>
      <w:bookmarkStart w:id="5" w:name="_Toc115726209"/>
      <w:r w:rsidRPr="00530906">
        <w:rPr>
          <w:rFonts w:ascii="Cambria" w:eastAsia="Times New Roman" w:hAnsi="Cambria"/>
          <w:noProof/>
        </w:rPr>
        <w:t>1.</w:t>
      </w:r>
      <w:r w:rsidR="006A138A" w:rsidRPr="00530906">
        <w:rPr>
          <w:rFonts w:ascii="Cambria" w:eastAsia="Times New Roman" w:hAnsi="Cambria"/>
          <w:noProof/>
        </w:rPr>
        <w:t>3</w:t>
      </w:r>
      <w:r w:rsidRPr="00530906">
        <w:rPr>
          <w:rFonts w:ascii="Cambria" w:eastAsia="Times New Roman" w:hAnsi="Cambria"/>
          <w:noProof/>
        </w:rPr>
        <w:t xml:space="preserve"> Research and manegerial probelm</w:t>
      </w:r>
      <w:bookmarkEnd w:id="5"/>
      <w:r w:rsidRPr="00530906">
        <w:rPr>
          <w:rFonts w:ascii="Cambria" w:eastAsia="Times New Roman" w:hAnsi="Cambria"/>
          <w:noProof/>
        </w:rPr>
        <w:t xml:space="preserve"> </w:t>
      </w:r>
    </w:p>
    <w:p w14:paraId="6055AFA6" w14:textId="303B1390" w:rsidR="00D2452E" w:rsidRPr="00530906" w:rsidRDefault="00D2452E" w:rsidP="008756B1">
      <w:pPr>
        <w:pStyle w:val="Heading3"/>
        <w:jc w:val="both"/>
        <w:rPr>
          <w:rFonts w:ascii="Cambria" w:eastAsia="Calibri" w:hAnsi="Cambria"/>
        </w:rPr>
      </w:pPr>
      <w:bookmarkStart w:id="6" w:name="_Toc115726210"/>
      <w:r w:rsidRPr="00530906">
        <w:rPr>
          <w:rFonts w:ascii="Cambria" w:eastAsia="Calibri" w:hAnsi="Cambria"/>
        </w:rPr>
        <w:t>1.</w:t>
      </w:r>
      <w:r w:rsidR="006A138A" w:rsidRPr="00530906">
        <w:rPr>
          <w:rFonts w:ascii="Cambria" w:eastAsia="Calibri" w:hAnsi="Cambria"/>
        </w:rPr>
        <w:t>3</w:t>
      </w:r>
      <w:r w:rsidRPr="00530906">
        <w:rPr>
          <w:rFonts w:ascii="Cambria" w:eastAsia="Calibri" w:hAnsi="Cambria"/>
        </w:rPr>
        <w:t xml:space="preserve">.1. </w:t>
      </w:r>
      <w:r w:rsidR="005A20C0" w:rsidRPr="00530906">
        <w:rPr>
          <w:rFonts w:ascii="Cambria" w:eastAsia="Calibri" w:hAnsi="Cambria"/>
        </w:rPr>
        <w:t>M</w:t>
      </w:r>
      <w:r w:rsidRPr="00530906">
        <w:rPr>
          <w:rFonts w:ascii="Cambria" w:eastAsia="Calibri" w:hAnsi="Cambria"/>
        </w:rPr>
        <w:t>anagerial problem</w:t>
      </w:r>
      <w:bookmarkEnd w:id="6"/>
      <w:r w:rsidRPr="00530906">
        <w:rPr>
          <w:rFonts w:ascii="Cambria" w:eastAsia="Calibri" w:hAnsi="Cambria"/>
        </w:rPr>
        <w:t xml:space="preserve"> </w:t>
      </w:r>
    </w:p>
    <w:p w14:paraId="0B7CCC58" w14:textId="2BB95E5D" w:rsidR="00D2452E" w:rsidRPr="00530906" w:rsidRDefault="00D2452E">
      <w:pPr>
        <w:tabs>
          <w:tab w:val="num" w:pos="720"/>
        </w:tabs>
        <w:spacing w:after="200" w:line="360" w:lineRule="auto"/>
        <w:jc w:val="both"/>
        <w:rPr>
          <w:rFonts w:ascii="Cambria" w:eastAsia="Times New Roman" w:hAnsi="Cambria" w:cs="Times New Roman"/>
          <w:noProof/>
          <w:sz w:val="24"/>
          <w:szCs w:val="24"/>
        </w:rPr>
      </w:pPr>
      <w:r w:rsidRPr="00530906">
        <w:rPr>
          <w:rFonts w:ascii="Cambria" w:eastAsia="Times New Roman" w:hAnsi="Cambria" w:cs="Times New Roman"/>
          <w:noProof/>
          <w:sz w:val="24"/>
          <w:szCs w:val="24"/>
        </w:rPr>
        <w:t xml:space="preserve">Online platforms are used to </w:t>
      </w:r>
      <w:r w:rsidR="00C637B1" w:rsidRPr="00530906">
        <w:rPr>
          <w:rFonts w:ascii="Cambria" w:eastAsia="Times New Roman" w:hAnsi="Cambria" w:cs="Times New Roman"/>
          <w:noProof/>
          <w:sz w:val="24"/>
          <w:szCs w:val="24"/>
        </w:rPr>
        <w:t>express</w:t>
      </w:r>
      <w:r w:rsidRPr="00530906">
        <w:rPr>
          <w:rFonts w:ascii="Cambria" w:eastAsia="Times New Roman" w:hAnsi="Cambria" w:cs="Times New Roman"/>
          <w:noProof/>
          <w:sz w:val="24"/>
          <w:szCs w:val="24"/>
        </w:rPr>
        <w:t xml:space="preserve"> consumer</w:t>
      </w:r>
      <w:r w:rsidR="009F6428" w:rsidRPr="00530906">
        <w:rPr>
          <w:rFonts w:ascii="Cambria" w:eastAsia="Times New Roman" w:hAnsi="Cambria" w:cs="Times New Roman"/>
          <w:noProof/>
          <w:sz w:val="24"/>
          <w:szCs w:val="24"/>
        </w:rPr>
        <w:t>s’</w:t>
      </w:r>
      <w:r w:rsidRPr="00530906">
        <w:rPr>
          <w:rFonts w:ascii="Cambria" w:eastAsia="Times New Roman" w:hAnsi="Cambria" w:cs="Times New Roman"/>
          <w:noProof/>
          <w:sz w:val="24"/>
          <w:szCs w:val="24"/>
        </w:rPr>
        <w:t xml:space="preserve"> opinions about</w:t>
      </w:r>
      <w:r w:rsidR="00B23E95">
        <w:rPr>
          <w:rFonts w:ascii="Cambria" w:eastAsia="Times New Roman" w:hAnsi="Cambria" w:cs="Times New Roman"/>
          <w:noProof/>
          <w:sz w:val="24"/>
          <w:szCs w:val="24"/>
        </w:rPr>
        <w:t xml:space="preserve"> companies’</w:t>
      </w:r>
      <w:r w:rsidRPr="00530906">
        <w:rPr>
          <w:rFonts w:ascii="Cambria" w:eastAsia="Times New Roman" w:hAnsi="Cambria" w:cs="Times New Roman"/>
          <w:noProof/>
          <w:sz w:val="24"/>
          <w:szCs w:val="24"/>
        </w:rPr>
        <w:t xml:space="preserve"> sustainability </w:t>
      </w:r>
      <w:r w:rsidR="00557DC6">
        <w:rPr>
          <w:rFonts w:ascii="Cambria" w:eastAsia="Times New Roman" w:hAnsi="Cambria" w:cs="Times New Roman"/>
          <w:noProof/>
          <w:sz w:val="24"/>
          <w:szCs w:val="24"/>
        </w:rPr>
        <w:t xml:space="preserve">related </w:t>
      </w:r>
      <w:r w:rsidR="005E60E2">
        <w:rPr>
          <w:rFonts w:ascii="Cambria" w:eastAsia="Times New Roman" w:hAnsi="Cambria" w:cs="Times New Roman"/>
          <w:noProof/>
          <w:sz w:val="24"/>
          <w:szCs w:val="24"/>
        </w:rPr>
        <w:t>practice</w:t>
      </w:r>
      <w:r w:rsidR="00B23E95">
        <w:rPr>
          <w:rFonts w:ascii="Cambria" w:eastAsia="Times New Roman" w:hAnsi="Cambria" w:cs="Times New Roman"/>
          <w:noProof/>
          <w:sz w:val="24"/>
          <w:szCs w:val="24"/>
        </w:rPr>
        <w:t>s</w:t>
      </w:r>
      <w:r w:rsidRPr="00530906">
        <w:rPr>
          <w:rFonts w:ascii="Cambria" w:eastAsia="Times New Roman" w:hAnsi="Cambria" w:cs="Times New Roman"/>
          <w:noProof/>
          <w:sz w:val="24"/>
          <w:szCs w:val="24"/>
        </w:rPr>
        <w:t xml:space="preserve"> (Cho et al  2013). But, t</w:t>
      </w:r>
      <w:r w:rsidRPr="00530906">
        <w:rPr>
          <w:rFonts w:ascii="Cambria" w:eastAsia="Times New Roman" w:hAnsi="Cambria" w:cs="Times New Roman"/>
          <w:sz w:val="24"/>
          <w:szCs w:val="24"/>
        </w:rPr>
        <w:t>he unpredictability of</w:t>
      </w:r>
      <w:r w:rsidR="00C637B1" w:rsidRPr="00530906">
        <w:rPr>
          <w:rFonts w:ascii="Cambria" w:eastAsia="Times New Roman" w:hAnsi="Cambria" w:cs="Times New Roman"/>
          <w:sz w:val="24"/>
          <w:szCs w:val="24"/>
        </w:rPr>
        <w:t xml:space="preserve"> the impact of the</w:t>
      </w:r>
      <w:r w:rsidRPr="00530906">
        <w:rPr>
          <w:rFonts w:ascii="Cambria" w:eastAsia="Times New Roman" w:hAnsi="Cambria" w:cs="Times New Roman"/>
          <w:sz w:val="24"/>
          <w:szCs w:val="24"/>
        </w:rPr>
        <w:t xml:space="preserve"> consumers’ opinion on social–media has become a powerful determinant of firms’ reputation and subsequent profit</w:t>
      </w:r>
      <w:r w:rsidR="00CB31D9" w:rsidRPr="00530906">
        <w:rPr>
          <w:rFonts w:ascii="Cambria" w:eastAsia="Times New Roman" w:hAnsi="Cambria" w:cs="Times New Roman"/>
          <w:sz w:val="24"/>
          <w:szCs w:val="24"/>
        </w:rPr>
        <w:t xml:space="preserve"> (</w:t>
      </w:r>
      <w:bookmarkStart w:id="7" w:name="_Hlk100097136"/>
      <w:r w:rsidR="00CB31D9" w:rsidRPr="00530906">
        <w:rPr>
          <w:rFonts w:ascii="Cambria" w:eastAsia="Times New Roman" w:hAnsi="Cambria" w:cs="Times New Roman"/>
          <w:sz w:val="24"/>
          <w:szCs w:val="24"/>
        </w:rPr>
        <w:t>Veloutsou and Moutinho 2009</w:t>
      </w:r>
      <w:bookmarkEnd w:id="7"/>
      <w:r w:rsidR="00CB31D9" w:rsidRPr="00530906">
        <w:rPr>
          <w:rFonts w:ascii="Cambria" w:eastAsia="Times New Roman" w:hAnsi="Cambria" w:cs="Times New Roman"/>
          <w:sz w:val="24"/>
          <w:szCs w:val="24"/>
        </w:rPr>
        <w:t>)</w:t>
      </w:r>
      <w:r w:rsidRPr="00530906">
        <w:rPr>
          <w:rFonts w:ascii="Cambria" w:eastAsia="Times New Roman" w:hAnsi="Cambria" w:cs="Times New Roman"/>
          <w:sz w:val="24"/>
          <w:szCs w:val="24"/>
        </w:rPr>
        <w:t xml:space="preserve">. </w:t>
      </w:r>
      <w:r w:rsidR="00C637B1" w:rsidRPr="00530906">
        <w:rPr>
          <w:rFonts w:ascii="Cambria" w:eastAsia="Times New Roman" w:hAnsi="Cambria" w:cs="Times New Roman"/>
          <w:sz w:val="24"/>
          <w:szCs w:val="24"/>
        </w:rPr>
        <w:t xml:space="preserve">As a matter of fact, consumers’ engagement of social media has become more powerful than the actions of other stakeholders. </w:t>
      </w:r>
      <w:r w:rsidRPr="00530906">
        <w:rPr>
          <w:rFonts w:ascii="Cambria" w:eastAsia="Times New Roman" w:hAnsi="Cambria" w:cs="Times New Roman"/>
          <w:sz w:val="24"/>
          <w:szCs w:val="24"/>
        </w:rPr>
        <w:t xml:space="preserve">In 2018 ‘Iceland’s advertisement, depicting its stance against deforestation for palm oil cultivation, were banned form television for being ‘too political’. Yet this was no.1 campaign of that year’s Christmas, because this advertisement </w:t>
      </w:r>
      <w:r w:rsidRPr="00530906">
        <w:rPr>
          <w:rFonts w:ascii="Cambria" w:eastAsia="Times New Roman" w:hAnsi="Cambria" w:cs="Times New Roman"/>
          <w:sz w:val="24"/>
          <w:szCs w:val="24"/>
        </w:rPr>
        <w:lastRenderedPageBreak/>
        <w:t>was widely shared and discussed across social media. This exposure was reflected on their sales (</w:t>
      </w:r>
      <w:hyperlink r:id="rId17" w:history="1">
        <w:r w:rsidRPr="00530906">
          <w:rPr>
            <w:rFonts w:ascii="Cambria" w:eastAsiaTheme="majorEastAsia" w:hAnsi="Cambria" w:cs="Times New Roman"/>
            <w:sz w:val="24"/>
            <w:szCs w:val="24"/>
            <w:u w:val="single"/>
          </w:rPr>
          <w:t>unilad.co.uk 2018</w:t>
        </w:r>
      </w:hyperlink>
      <w:r w:rsidRPr="00530906">
        <w:rPr>
          <w:rFonts w:ascii="Cambria" w:eastAsia="Times New Roman" w:hAnsi="Cambria" w:cs="Times New Roman"/>
          <w:sz w:val="24"/>
          <w:szCs w:val="24"/>
        </w:rPr>
        <w:t xml:space="preserve">). </w:t>
      </w:r>
      <w:r w:rsidRPr="00530906">
        <w:rPr>
          <w:rFonts w:ascii="Cambria" w:eastAsia="Times New Roman" w:hAnsi="Cambria" w:cs="Times New Roman"/>
          <w:noProof/>
          <w:sz w:val="24"/>
          <w:szCs w:val="24"/>
        </w:rPr>
        <w:t>Brands like BP, Burberry, and Volkswogon have faced dire impact because of social–media in relation to their business practice. BP’s environmental malpractice has been the focus on YouTube videos and was presented in the White House (Sass 2010), Burberry had to stop their wasteful practice of burning their unsold products and using fur (Gibson, 2018) and Volkswagen had to apologise for their carbon emission case (Lareu, 2017). Soft</w:t>
      </w:r>
      <w:r w:rsidR="007D72E1" w:rsidRPr="00530906">
        <w:rPr>
          <w:rFonts w:ascii="Cambria" w:eastAsia="Times New Roman" w:hAnsi="Cambria" w:cs="Times New Roman"/>
          <w:noProof/>
          <w:sz w:val="24"/>
          <w:szCs w:val="24"/>
        </w:rPr>
        <w:t xml:space="preserve"> </w:t>
      </w:r>
      <w:r w:rsidRPr="00530906">
        <w:rPr>
          <w:rFonts w:ascii="Cambria" w:eastAsia="Times New Roman" w:hAnsi="Cambria" w:cs="Times New Roman"/>
          <w:noProof/>
          <w:sz w:val="24"/>
          <w:szCs w:val="24"/>
        </w:rPr>
        <w:t>drink</w:t>
      </w:r>
      <w:r w:rsidR="007D72E1" w:rsidRPr="00530906">
        <w:rPr>
          <w:rFonts w:ascii="Cambria" w:eastAsia="Times New Roman" w:hAnsi="Cambria" w:cs="Times New Roman"/>
          <w:noProof/>
          <w:sz w:val="24"/>
          <w:szCs w:val="24"/>
        </w:rPr>
        <w:t xml:space="preserve"> </w:t>
      </w:r>
      <w:r w:rsidRPr="00530906">
        <w:rPr>
          <w:rFonts w:ascii="Cambria" w:eastAsia="Times New Roman" w:hAnsi="Cambria" w:cs="Times New Roman"/>
          <w:noProof/>
          <w:sz w:val="24"/>
          <w:szCs w:val="24"/>
        </w:rPr>
        <w:t>company like Coca–cola has commited itself toward recyclable plant–based polyethylene bottles. In the line of th</w:t>
      </w:r>
      <w:r w:rsidR="001236F0" w:rsidRPr="00530906">
        <w:rPr>
          <w:rFonts w:ascii="Cambria" w:eastAsia="Times New Roman" w:hAnsi="Cambria" w:cs="Times New Roman"/>
          <w:noProof/>
          <w:sz w:val="24"/>
          <w:szCs w:val="24"/>
        </w:rPr>
        <w:t>eir</w:t>
      </w:r>
      <w:r w:rsidRPr="00530906">
        <w:rPr>
          <w:rFonts w:ascii="Cambria" w:eastAsia="Times New Roman" w:hAnsi="Cambria" w:cs="Times New Roman"/>
          <w:noProof/>
          <w:sz w:val="24"/>
          <w:szCs w:val="24"/>
        </w:rPr>
        <w:t xml:space="preserve"> commitment</w:t>
      </w:r>
      <w:r w:rsidR="006877A1" w:rsidRPr="00530906">
        <w:rPr>
          <w:rFonts w:ascii="Cambria" w:eastAsia="Times New Roman" w:hAnsi="Cambria" w:cs="Times New Roman"/>
          <w:noProof/>
          <w:sz w:val="24"/>
          <w:szCs w:val="24"/>
        </w:rPr>
        <w:t>,</w:t>
      </w:r>
      <w:r w:rsidRPr="00530906">
        <w:rPr>
          <w:rFonts w:ascii="Cambria" w:eastAsia="Times New Roman" w:hAnsi="Cambria" w:cs="Times New Roman"/>
          <w:noProof/>
          <w:sz w:val="24"/>
          <w:szCs w:val="24"/>
        </w:rPr>
        <w:t xml:space="preserve"> </w:t>
      </w:r>
      <w:r w:rsidR="006877A1" w:rsidRPr="00530906">
        <w:rPr>
          <w:rFonts w:ascii="Cambria" w:eastAsia="Times New Roman" w:hAnsi="Cambria" w:cs="Times New Roman"/>
          <w:noProof/>
          <w:sz w:val="24"/>
          <w:szCs w:val="24"/>
        </w:rPr>
        <w:t>they have</w:t>
      </w:r>
      <w:r w:rsidRPr="00530906">
        <w:rPr>
          <w:rFonts w:ascii="Cambria" w:eastAsia="Times New Roman" w:hAnsi="Cambria" w:cs="Times New Roman"/>
          <w:noProof/>
          <w:sz w:val="24"/>
          <w:szCs w:val="24"/>
        </w:rPr>
        <w:t xml:space="preserve"> launched an advertisemnet claiming that– ‘single used bottle is not single used if they are recycled’ (Fig 3), which has face</w:t>
      </w:r>
      <w:r w:rsidR="003711A0" w:rsidRPr="00530906">
        <w:rPr>
          <w:rFonts w:ascii="Cambria" w:eastAsia="Times New Roman" w:hAnsi="Cambria" w:cs="Times New Roman"/>
          <w:noProof/>
          <w:sz w:val="24"/>
          <w:szCs w:val="24"/>
        </w:rPr>
        <w:t>d</w:t>
      </w:r>
      <w:r w:rsidRPr="00530906">
        <w:rPr>
          <w:rFonts w:ascii="Cambria" w:eastAsia="Times New Roman" w:hAnsi="Cambria" w:cs="Times New Roman"/>
          <w:noProof/>
          <w:sz w:val="24"/>
          <w:szCs w:val="24"/>
        </w:rPr>
        <w:t xml:space="preserve"> backlash in twitter under #calloutcoke</w:t>
      </w:r>
      <w:r w:rsidR="00C637B1" w:rsidRPr="00530906">
        <w:rPr>
          <w:rFonts w:ascii="Cambria" w:eastAsia="Times New Roman" w:hAnsi="Cambria" w:cs="Times New Roman"/>
          <w:noProof/>
          <w:sz w:val="24"/>
          <w:szCs w:val="24"/>
        </w:rPr>
        <w:t xml:space="preserve">. Comsumers </w:t>
      </w:r>
      <w:r w:rsidR="00DD5523" w:rsidRPr="00530906">
        <w:rPr>
          <w:rFonts w:ascii="Cambria" w:eastAsia="Times New Roman" w:hAnsi="Cambria" w:cs="Times New Roman"/>
          <w:noProof/>
          <w:sz w:val="24"/>
          <w:szCs w:val="24"/>
        </w:rPr>
        <w:t>used the ‘hastag’ to</w:t>
      </w:r>
      <w:r w:rsidR="00AE5FD4" w:rsidRPr="00530906">
        <w:rPr>
          <w:rFonts w:ascii="Cambria" w:eastAsia="Times New Roman" w:hAnsi="Cambria" w:cs="Times New Roman"/>
          <w:noProof/>
          <w:sz w:val="24"/>
          <w:szCs w:val="24"/>
        </w:rPr>
        <w:t xml:space="preserve"> accuse coca-cola</w:t>
      </w:r>
      <w:r w:rsidRPr="00530906">
        <w:rPr>
          <w:rFonts w:ascii="Cambria" w:eastAsia="Times New Roman" w:hAnsi="Cambria" w:cs="Times New Roman"/>
          <w:noProof/>
          <w:sz w:val="24"/>
          <w:szCs w:val="24"/>
        </w:rPr>
        <w:t xml:space="preserve"> </w:t>
      </w:r>
      <w:r w:rsidR="00AE5FD4" w:rsidRPr="00530906">
        <w:rPr>
          <w:rFonts w:ascii="Cambria" w:eastAsia="Times New Roman" w:hAnsi="Cambria" w:cs="Times New Roman"/>
          <w:noProof/>
          <w:sz w:val="24"/>
          <w:szCs w:val="24"/>
        </w:rPr>
        <w:t>of misl</w:t>
      </w:r>
      <w:r w:rsidRPr="00530906">
        <w:rPr>
          <w:rFonts w:ascii="Cambria" w:eastAsia="Times New Roman" w:hAnsi="Cambria" w:cs="Times New Roman"/>
          <w:noProof/>
          <w:sz w:val="24"/>
          <w:szCs w:val="24"/>
        </w:rPr>
        <w:t xml:space="preserve">eading consumers </w:t>
      </w:r>
      <w:r w:rsidR="00AE5FD4" w:rsidRPr="00530906">
        <w:rPr>
          <w:rFonts w:ascii="Cambria" w:eastAsia="Times New Roman" w:hAnsi="Cambria" w:cs="Times New Roman"/>
          <w:noProof/>
          <w:sz w:val="24"/>
          <w:szCs w:val="24"/>
        </w:rPr>
        <w:t>f</w:t>
      </w:r>
      <w:r w:rsidRPr="00530906">
        <w:rPr>
          <w:rFonts w:ascii="Cambria" w:eastAsia="Times New Roman" w:hAnsi="Cambria" w:cs="Times New Roman"/>
          <w:noProof/>
          <w:sz w:val="24"/>
          <w:szCs w:val="24"/>
        </w:rPr>
        <w:t xml:space="preserve">rom the fact that they are the no 1 plastic pollutant of </w:t>
      </w:r>
      <w:r w:rsidR="00AE5FD4" w:rsidRPr="00530906">
        <w:rPr>
          <w:rFonts w:ascii="Cambria" w:eastAsia="Times New Roman" w:hAnsi="Cambria" w:cs="Times New Roman"/>
          <w:noProof/>
          <w:sz w:val="24"/>
          <w:szCs w:val="24"/>
        </w:rPr>
        <w:t xml:space="preserve">earth’s </w:t>
      </w:r>
      <w:r w:rsidRPr="00530906">
        <w:rPr>
          <w:rFonts w:ascii="Cambria" w:eastAsia="Times New Roman" w:hAnsi="Cambria" w:cs="Times New Roman"/>
          <w:noProof/>
          <w:sz w:val="24"/>
          <w:szCs w:val="24"/>
        </w:rPr>
        <w:t>ocean (Citytosea.org.uk 2019). These examples illustrate the detrimental impact</w:t>
      </w:r>
      <w:r w:rsidR="001943F9" w:rsidRPr="00530906">
        <w:rPr>
          <w:rFonts w:ascii="Cambria" w:eastAsia="Times New Roman" w:hAnsi="Cambria" w:cs="Times New Roman"/>
          <w:noProof/>
          <w:sz w:val="24"/>
          <w:szCs w:val="24"/>
        </w:rPr>
        <w:t xml:space="preserve"> of</w:t>
      </w:r>
      <w:r w:rsidRPr="00530906">
        <w:rPr>
          <w:rFonts w:ascii="Cambria" w:eastAsia="Times New Roman" w:hAnsi="Cambria" w:cs="Times New Roman"/>
          <w:noProof/>
          <w:sz w:val="24"/>
          <w:szCs w:val="24"/>
        </w:rPr>
        <w:t xml:space="preserve"> consumers’ action on social–media on a company or brand. </w:t>
      </w:r>
      <w:r w:rsidRPr="00530906">
        <w:rPr>
          <w:rFonts w:ascii="Cambria" w:eastAsia="Times New Roman" w:hAnsi="Cambria" w:cs="Times New Roman"/>
          <w:sz w:val="24"/>
          <w:szCs w:val="24"/>
        </w:rPr>
        <w:t>89% of the marketers</w:t>
      </w:r>
      <w:r w:rsidR="001943F9" w:rsidRPr="00530906">
        <w:rPr>
          <w:rFonts w:ascii="Cambria" w:eastAsia="Times New Roman" w:hAnsi="Cambria" w:cs="Times New Roman"/>
          <w:sz w:val="24"/>
          <w:szCs w:val="24"/>
        </w:rPr>
        <w:t xml:space="preserve"> have confirmed the fact that</w:t>
      </w:r>
      <w:r w:rsidRPr="00530906">
        <w:rPr>
          <w:rFonts w:ascii="Cambria" w:eastAsia="Times New Roman" w:hAnsi="Cambria" w:cs="Times New Roman"/>
          <w:sz w:val="24"/>
          <w:szCs w:val="24"/>
        </w:rPr>
        <w:t>, consumers have the power to elicit change over brands through social–media (Angus 2018).</w:t>
      </w:r>
    </w:p>
    <w:p w14:paraId="4DB80A9C" w14:textId="2BB3C013" w:rsidR="00D2452E" w:rsidRPr="00530906" w:rsidRDefault="00AC6AA6">
      <w:pPr>
        <w:tabs>
          <w:tab w:val="num" w:pos="720"/>
        </w:tabs>
        <w:spacing w:after="200" w:line="360" w:lineRule="auto"/>
        <w:jc w:val="both"/>
        <w:rPr>
          <w:rFonts w:ascii="Cambria" w:eastAsia="Times New Roman" w:hAnsi="Cambria" w:cs="Times New Roman"/>
          <w:noProof/>
          <w:sz w:val="24"/>
          <w:szCs w:val="24"/>
        </w:rPr>
      </w:pPr>
      <w:r w:rsidRPr="00530906">
        <w:rPr>
          <w:rFonts w:ascii="Cambria" w:eastAsia="Times New Roman" w:hAnsi="Cambria" w:cs="Times New Roman"/>
          <w:noProof/>
          <w:sz w:val="24"/>
          <w:szCs w:val="24"/>
          <w:lang w:val="en-US"/>
        </w:rPr>
        <mc:AlternateContent>
          <mc:Choice Requires="wps">
            <w:drawing>
              <wp:anchor distT="0" distB="0" distL="114300" distR="114300" simplePos="0" relativeHeight="251657281" behindDoc="1" locked="0" layoutInCell="1" allowOverlap="1" wp14:anchorId="176EABB7" wp14:editId="63B0E471">
                <wp:simplePos x="0" y="0"/>
                <wp:positionH relativeFrom="column">
                  <wp:posOffset>4067175</wp:posOffset>
                </wp:positionH>
                <wp:positionV relativeFrom="paragraph">
                  <wp:posOffset>923925</wp:posOffset>
                </wp:positionV>
                <wp:extent cx="2021840" cy="923925"/>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21840" cy="923925"/>
                        </a:xfrm>
                        <a:prstGeom prst="rect">
                          <a:avLst/>
                        </a:prstGeom>
                        <a:noFill/>
                        <a:ln w="12700" cap="flat" cmpd="sng" algn="ctr">
                          <a:noFill/>
                          <a:prstDash val="solid"/>
                          <a:miter lim="800000"/>
                        </a:ln>
                        <a:effectLst/>
                      </wps:spPr>
                      <wps:txbx>
                        <w:txbxContent>
                          <w:p w14:paraId="0F283989" w14:textId="1597FD52" w:rsidR="00D34F1C" w:rsidRDefault="00D34F1C" w:rsidP="00AC6AA6">
                            <w:pPr>
                              <w:jc w:val="center"/>
                              <w:rPr>
                                <w:color w:val="000000" w:themeColor="text1"/>
                              </w:rPr>
                            </w:pPr>
                            <w:r>
                              <w:rPr>
                                <w:color w:val="000000" w:themeColor="text1"/>
                              </w:rPr>
                              <w:t>Fig 3</w:t>
                            </w:r>
                            <w:r w:rsidRPr="00AC6AA6">
                              <w:rPr>
                                <w:color w:val="000000" w:themeColor="text1"/>
                              </w:rPr>
                              <w:t>: Coca–co</w:t>
                            </w:r>
                            <w:r>
                              <w:rPr>
                                <w:color w:val="000000" w:themeColor="text1"/>
                              </w:rPr>
                              <w:t>la</w:t>
                            </w:r>
                            <w:r w:rsidRPr="00AC6AA6">
                              <w:rPr>
                                <w:color w:val="000000" w:themeColor="text1"/>
                              </w:rPr>
                              <w:t xml:space="preserve"> ad </w:t>
                            </w:r>
                          </w:p>
                          <w:p w14:paraId="15340514" w14:textId="77777777" w:rsidR="00D34F1C" w:rsidRDefault="00D34F1C" w:rsidP="00AC6AA6">
                            <w:pPr>
                              <w:jc w:val="center"/>
                              <w:rPr>
                                <w:color w:val="000000" w:themeColor="text1"/>
                              </w:rPr>
                            </w:pPr>
                            <w:r>
                              <w:rPr>
                                <w:color w:val="000000" w:themeColor="text1"/>
                              </w:rPr>
                              <w:t xml:space="preserve">Source: Google image </w:t>
                            </w:r>
                          </w:p>
                          <w:p w14:paraId="07B38E9C" w14:textId="77777777" w:rsidR="00D34F1C" w:rsidRDefault="00D34F1C" w:rsidP="00AC6A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EABB7" id="Rectangle 216" o:spid="_x0000_s1028" style="position:absolute;left:0;text-align:left;margin-left:320.25pt;margin-top:72.75pt;width:159.2pt;height:72.75pt;z-index:-25165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" filled="f" stroked="f" strokeweight="1pt">
                <v:textbox>
                  <w:txbxContent>
                    <w:p w14:paraId="0F283989" w14:textId="1597FD52" w:rsidR="00D34F1C" w:rsidRDefault="00D34F1C" w:rsidP="00AC6AA6">
                      <w:pPr>
                        <w:jc w:val="center"/>
                        <w:rPr>
                          <w:color w:val="000000" w:themeColor="text1"/>
                        </w:rPr>
                      </w:pPr>
                      <w:r>
                        <w:rPr>
                          <w:color w:val="000000" w:themeColor="text1"/>
                        </w:rPr>
                        <w:t>Fig 3</w:t>
                      </w:r>
                      <w:r w:rsidRPr="00AC6AA6">
                        <w:rPr>
                          <w:color w:val="000000" w:themeColor="text1"/>
                        </w:rPr>
                        <w:t>: Coca–co</w:t>
                      </w:r>
                      <w:r>
                        <w:rPr>
                          <w:color w:val="000000" w:themeColor="text1"/>
                        </w:rPr>
                        <w:t>la</w:t>
                      </w:r>
                      <w:r w:rsidRPr="00AC6AA6">
                        <w:rPr>
                          <w:color w:val="000000" w:themeColor="text1"/>
                        </w:rPr>
                        <w:t xml:space="preserve"> ad </w:t>
                      </w:r>
                    </w:p>
                    <w:p w14:paraId="15340514" w14:textId="77777777" w:rsidR="00D34F1C" w:rsidRDefault="00D34F1C" w:rsidP="00AC6AA6">
                      <w:pPr>
                        <w:jc w:val="center"/>
                        <w:rPr>
                          <w:color w:val="000000" w:themeColor="text1"/>
                        </w:rPr>
                      </w:pPr>
                      <w:r>
                        <w:rPr>
                          <w:color w:val="000000" w:themeColor="text1"/>
                        </w:rPr>
                        <w:t xml:space="preserve">Source: Google image </w:t>
                      </w:r>
                    </w:p>
                    <w:p w14:paraId="07B38E9C" w14:textId="77777777" w:rsidR="00D34F1C" w:rsidRDefault="00D34F1C" w:rsidP="00AC6AA6">
                      <w:pPr>
                        <w:jc w:val="center"/>
                        <w:rPr>
                          <w:color w:val="000000" w:themeColor="text1"/>
                        </w:rPr>
                      </w:pPr>
                    </w:p>
                  </w:txbxContent>
                </v:textbox>
              </v:rect>
            </w:pict>
          </mc:Fallback>
        </mc:AlternateContent>
      </w:r>
      <w:r w:rsidR="00D2452E" w:rsidRPr="00530906">
        <w:rPr>
          <w:rFonts w:ascii="Cambria" w:eastAsia="Times New Roman" w:hAnsi="Cambria" w:cs="Times New Roman"/>
          <w:noProof/>
          <w:sz w:val="24"/>
          <w:szCs w:val="24"/>
          <w:lang w:val="en-US"/>
        </w:rPr>
        <w:drawing>
          <wp:inline distT="0" distB="0" distL="0" distR="0" wp14:anchorId="7E7DE6ED" wp14:editId="1438BDB6">
            <wp:extent cx="4067175" cy="18669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1866900"/>
                    </a:xfrm>
                    <a:prstGeom prst="rect">
                      <a:avLst/>
                    </a:prstGeom>
                    <a:noFill/>
                    <a:ln>
                      <a:noFill/>
                    </a:ln>
                  </pic:spPr>
                </pic:pic>
              </a:graphicData>
            </a:graphic>
          </wp:inline>
        </w:drawing>
      </w:r>
      <w:r w:rsidR="00D2452E" w:rsidRPr="00530906">
        <w:rPr>
          <w:rFonts w:ascii="Cambria" w:eastAsia="Times New Roman" w:hAnsi="Cambria" w:cs="Times New Roman"/>
          <w:noProof/>
          <w:sz w:val="24"/>
          <w:szCs w:val="24"/>
        </w:rPr>
        <w:t xml:space="preserve"> </w:t>
      </w:r>
    </w:p>
    <w:p w14:paraId="287BD6D1" w14:textId="6FC399FE" w:rsidR="00D2452E" w:rsidRPr="00530906" w:rsidRDefault="00D2452E">
      <w:pPr>
        <w:tabs>
          <w:tab w:val="num" w:pos="720"/>
        </w:tabs>
        <w:spacing w:after="200" w:line="360" w:lineRule="auto"/>
        <w:jc w:val="both"/>
        <w:rPr>
          <w:rFonts w:ascii="Cambria" w:eastAsia="Times New Roman" w:hAnsi="Cambria" w:cs="Times New Roman"/>
          <w:sz w:val="24"/>
          <w:szCs w:val="24"/>
        </w:rPr>
      </w:pPr>
      <w:r w:rsidRPr="00530906">
        <w:rPr>
          <w:rFonts w:ascii="Cambria" w:eastAsia="Times New Roman" w:hAnsi="Cambria" w:cs="Times New Roman"/>
          <w:noProof/>
          <w:sz w:val="24"/>
          <w:szCs w:val="24"/>
        </w:rPr>
        <w:t>Social–media interactions with other consumers on a content</w:t>
      </w:r>
      <w:r w:rsidR="000159DF" w:rsidRPr="00530906">
        <w:rPr>
          <w:rFonts w:ascii="Cambria" w:eastAsia="Times New Roman" w:hAnsi="Cambria" w:cs="Times New Roman"/>
          <w:noProof/>
          <w:sz w:val="24"/>
          <w:szCs w:val="24"/>
        </w:rPr>
        <w:t>,</w:t>
      </w:r>
      <w:r w:rsidRPr="00530906">
        <w:rPr>
          <w:rFonts w:ascii="Cambria" w:eastAsia="Times New Roman" w:hAnsi="Cambria" w:cs="Times New Roman"/>
          <w:noProof/>
          <w:sz w:val="24"/>
          <w:szCs w:val="24"/>
        </w:rPr>
        <w:t xml:space="preserve"> have proved to be more influential than brand</w:t>
      </w:r>
      <w:r w:rsidR="00AE1B07" w:rsidRPr="00530906">
        <w:rPr>
          <w:rFonts w:ascii="Cambria" w:eastAsia="Times New Roman" w:hAnsi="Cambria" w:cs="Times New Roman"/>
          <w:noProof/>
          <w:sz w:val="24"/>
          <w:szCs w:val="24"/>
        </w:rPr>
        <w:t xml:space="preserve">/ </w:t>
      </w:r>
      <w:r w:rsidRPr="00530906">
        <w:rPr>
          <w:rFonts w:ascii="Cambria" w:eastAsia="Times New Roman" w:hAnsi="Cambria" w:cs="Times New Roman"/>
          <w:noProof/>
          <w:sz w:val="24"/>
          <w:szCs w:val="24"/>
        </w:rPr>
        <w:t>company initiated communication, since consumers trust other consumers more for information than the company (Muniz and Schau 2007; Cova and Dalli 2009; Hutter et al. 2013</w:t>
      </w:r>
      <w:r w:rsidR="00CB31D9" w:rsidRPr="00530906">
        <w:rPr>
          <w:rFonts w:ascii="Cambria" w:eastAsia="Times New Roman" w:hAnsi="Cambria" w:cs="Times New Roman"/>
          <w:noProof/>
          <w:sz w:val="24"/>
          <w:szCs w:val="24"/>
        </w:rPr>
        <w:t xml:space="preserve">; </w:t>
      </w:r>
      <w:r w:rsidR="00CB31D9" w:rsidRPr="00530906">
        <w:rPr>
          <w:rFonts w:ascii="Cambria" w:eastAsia="Times New Roman" w:hAnsi="Cambria" w:cs="Times New Roman"/>
          <w:sz w:val="24"/>
          <w:szCs w:val="24"/>
        </w:rPr>
        <w:t>Veloutsou and Moutinho 2009</w:t>
      </w:r>
      <w:r w:rsidRPr="00530906">
        <w:rPr>
          <w:rFonts w:ascii="Cambria" w:eastAsia="Times New Roman" w:hAnsi="Cambria" w:cs="Times New Roman"/>
          <w:noProof/>
          <w:sz w:val="24"/>
          <w:szCs w:val="24"/>
        </w:rPr>
        <w:t xml:space="preserve">). Social–media–engagement </w:t>
      </w:r>
      <w:r w:rsidR="00847CC5" w:rsidRPr="00530906">
        <w:rPr>
          <w:rFonts w:ascii="Cambria" w:eastAsia="Times New Roman" w:hAnsi="Cambria" w:cs="Times New Roman"/>
          <w:noProof/>
          <w:sz w:val="24"/>
          <w:szCs w:val="24"/>
        </w:rPr>
        <w:t xml:space="preserve">with a brand </w:t>
      </w:r>
      <w:r w:rsidR="00240ABC" w:rsidRPr="00530906">
        <w:rPr>
          <w:rFonts w:ascii="Cambria" w:eastAsia="Times New Roman" w:hAnsi="Cambria" w:cs="Times New Roman"/>
          <w:noProof/>
          <w:sz w:val="24"/>
          <w:szCs w:val="24"/>
        </w:rPr>
        <w:t xml:space="preserve">content </w:t>
      </w:r>
      <w:r w:rsidRPr="00530906">
        <w:rPr>
          <w:rFonts w:ascii="Cambria" w:eastAsia="Times New Roman" w:hAnsi="Cambria" w:cs="Times New Roman"/>
          <w:noProof/>
          <w:sz w:val="24"/>
          <w:szCs w:val="24"/>
        </w:rPr>
        <w:t>represents "</w:t>
      </w:r>
      <w:r w:rsidRPr="00530906">
        <w:rPr>
          <w:rFonts w:ascii="Cambria" w:eastAsia="Times New Roman" w:hAnsi="Cambria" w:cs="Times New Roman"/>
          <w:i/>
          <w:iCs/>
          <w:noProof/>
          <w:sz w:val="24"/>
          <w:szCs w:val="24"/>
        </w:rPr>
        <w:t xml:space="preserve">A set of brand related online activities on the part of the </w:t>
      </w:r>
      <w:r w:rsidRPr="009F02A6">
        <w:rPr>
          <w:rFonts w:ascii="Cambria" w:eastAsia="Times New Roman" w:hAnsi="Cambria" w:cs="Times New Roman"/>
          <w:i/>
          <w:iCs/>
          <w:noProof/>
          <w:sz w:val="24"/>
          <w:szCs w:val="24"/>
        </w:rPr>
        <w:t>consumer that vary in the degree to which the consumer interacts with social–media and engages in the consumption, contribution, and creation of media content."</w:t>
      </w:r>
      <w:r w:rsidRPr="009F02A6">
        <w:rPr>
          <w:rFonts w:ascii="Cambria" w:eastAsia="Times New Roman" w:hAnsi="Cambria" w:cs="Times New Roman"/>
          <w:noProof/>
          <w:sz w:val="24"/>
          <w:szCs w:val="24"/>
        </w:rPr>
        <w:t xml:space="preserve"> (Schivinski et al. 2016, p. 66). </w:t>
      </w:r>
      <w:r w:rsidRPr="009F02A6">
        <w:rPr>
          <w:rFonts w:ascii="Cambria" w:eastAsia="Times New Roman" w:hAnsi="Cambria" w:cs="Times New Roman"/>
          <w:sz w:val="24"/>
          <w:szCs w:val="24"/>
        </w:rPr>
        <w:t xml:space="preserve">Despite of consumers being the centre of promoting </w:t>
      </w:r>
      <w:r w:rsidR="00D75958" w:rsidRPr="009F02A6">
        <w:rPr>
          <w:rFonts w:ascii="Cambria" w:eastAsia="Times New Roman" w:hAnsi="Cambria" w:cs="Times New Roman"/>
          <w:sz w:val="24"/>
          <w:szCs w:val="24"/>
        </w:rPr>
        <w:t xml:space="preserve">sustainable </w:t>
      </w:r>
      <w:r w:rsidRPr="009F02A6">
        <w:rPr>
          <w:rFonts w:ascii="Cambria" w:eastAsia="Times New Roman" w:hAnsi="Cambria" w:cs="Times New Roman"/>
          <w:sz w:val="24"/>
          <w:szCs w:val="24"/>
        </w:rPr>
        <w:t>products, their perception on</w:t>
      </w:r>
      <w:r w:rsidR="00C3180C" w:rsidRPr="009F02A6">
        <w:rPr>
          <w:rFonts w:ascii="Cambria" w:eastAsia="Times New Roman" w:hAnsi="Cambria" w:cs="Times New Roman"/>
          <w:sz w:val="24"/>
          <w:szCs w:val="24"/>
        </w:rPr>
        <w:t xml:space="preserve"> </w:t>
      </w:r>
      <w:r w:rsidR="00632552"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632552" w:rsidRPr="009F02A6">
        <w:rPr>
          <w:rFonts w:ascii="Cambria" w:eastAsia="Calibri" w:hAnsi="Cambria" w:cs="Adobe Devanagari"/>
          <w:sz w:val="24"/>
          <w:szCs w:val="24"/>
        </w:rPr>
        <w:t xml:space="preserve"> message</w:t>
      </w:r>
      <w:r w:rsidR="00632552" w:rsidRPr="009F02A6">
        <w:rPr>
          <w:rFonts w:ascii="Cambria" w:eastAsia="Calibri" w:hAnsi="Cambria" w:cs="Times New Roman"/>
          <w:sz w:val="24"/>
          <w:szCs w:val="24"/>
        </w:rPr>
        <w:t xml:space="preserve"> </w:t>
      </w:r>
      <w:r w:rsidRPr="009F02A6">
        <w:rPr>
          <w:rFonts w:ascii="Cambria" w:eastAsia="Times New Roman" w:hAnsi="Cambria" w:cs="Times New Roman"/>
          <w:sz w:val="24"/>
          <w:szCs w:val="24"/>
        </w:rPr>
        <w:t xml:space="preserve">has never taken into account. </w:t>
      </w:r>
      <w:r w:rsidRPr="009F02A6">
        <w:rPr>
          <w:rFonts w:ascii="Cambria" w:eastAsia="Times New Roman" w:hAnsi="Cambria" w:cs="Times New Roman"/>
          <w:noProof/>
          <w:sz w:val="24"/>
          <w:szCs w:val="24"/>
        </w:rPr>
        <w:t xml:space="preserve">In a </w:t>
      </w:r>
      <w:r w:rsidRPr="009F02A6">
        <w:rPr>
          <w:rFonts w:ascii="Cambria" w:eastAsia="Times New Roman" w:hAnsi="Cambria" w:cs="Times New Roman"/>
          <w:noProof/>
          <w:sz w:val="24"/>
          <w:szCs w:val="24"/>
        </w:rPr>
        <w:lastRenderedPageBreak/>
        <w:t>nutshell, the recent surge of social–media use amongst consumers (Angus 2018; Muntinga et al. 2011) and the frequent use of sustainability themes to promote brands (Keller 2013), highlight the need to investigate how the interpretation of these</w:t>
      </w:r>
      <w:r w:rsidR="00240ABC" w:rsidRPr="009F02A6">
        <w:rPr>
          <w:rFonts w:ascii="Cambria" w:eastAsia="Times New Roman" w:hAnsi="Cambria" w:cs="Times New Roman"/>
          <w:noProof/>
          <w:sz w:val="24"/>
          <w:szCs w:val="24"/>
        </w:rPr>
        <w:t xml:space="preserve"> </w:t>
      </w:r>
      <w:r w:rsidR="003A441F" w:rsidRPr="009F02A6">
        <w:rPr>
          <w:rFonts w:ascii="Cambria" w:eastAsia="Times New Roman" w:hAnsi="Cambria" w:cs="Times New Roman"/>
          <w:noProof/>
          <w:sz w:val="24"/>
          <w:szCs w:val="24"/>
        </w:rPr>
        <w:t xml:space="preserve">ads with sustainbility message </w:t>
      </w:r>
      <w:r w:rsidRPr="009F02A6">
        <w:rPr>
          <w:rFonts w:ascii="Cambria" w:eastAsia="Times New Roman" w:hAnsi="Cambria" w:cs="Times New Roman"/>
          <w:noProof/>
          <w:sz w:val="24"/>
          <w:szCs w:val="24"/>
        </w:rPr>
        <w:t xml:space="preserve"> has affected not only </w:t>
      </w:r>
      <w:r w:rsidR="00F045F1" w:rsidRPr="009F02A6">
        <w:rPr>
          <w:rFonts w:ascii="Cambria" w:eastAsia="Times New Roman" w:hAnsi="Cambria" w:cs="Times New Roman"/>
          <w:noProof/>
          <w:sz w:val="24"/>
          <w:szCs w:val="24"/>
        </w:rPr>
        <w:t>other consumers’ social media engagem</w:t>
      </w:r>
      <w:r w:rsidR="00D75958" w:rsidRPr="009F02A6">
        <w:rPr>
          <w:rFonts w:ascii="Cambria" w:eastAsia="Times New Roman" w:hAnsi="Cambria" w:cs="Times New Roman"/>
          <w:noProof/>
          <w:sz w:val="24"/>
          <w:szCs w:val="24"/>
        </w:rPr>
        <w:t>e</w:t>
      </w:r>
      <w:r w:rsidR="00F045F1" w:rsidRPr="009F02A6">
        <w:rPr>
          <w:rFonts w:ascii="Cambria" w:eastAsia="Times New Roman" w:hAnsi="Cambria" w:cs="Times New Roman"/>
          <w:noProof/>
          <w:sz w:val="24"/>
          <w:szCs w:val="24"/>
        </w:rPr>
        <w:t>nt with th</w:t>
      </w:r>
      <w:r w:rsidR="00D044EB" w:rsidRPr="009F02A6">
        <w:rPr>
          <w:rFonts w:ascii="Cambria" w:eastAsia="Times New Roman" w:hAnsi="Cambria" w:cs="Times New Roman"/>
          <w:noProof/>
          <w:sz w:val="24"/>
          <w:szCs w:val="24"/>
        </w:rPr>
        <w:t>ose ads,</w:t>
      </w:r>
      <w:r w:rsidRPr="009F02A6">
        <w:rPr>
          <w:rFonts w:ascii="Cambria" w:eastAsia="Times New Roman" w:hAnsi="Cambria" w:cs="Times New Roman"/>
          <w:noProof/>
          <w:sz w:val="24"/>
          <w:szCs w:val="24"/>
        </w:rPr>
        <w:t xml:space="preserve"> but also the</w:t>
      </w:r>
      <w:r w:rsidR="00F045F1" w:rsidRPr="009F02A6">
        <w:rPr>
          <w:rFonts w:ascii="Cambria" w:eastAsia="Times New Roman" w:hAnsi="Cambria" w:cs="Times New Roman"/>
          <w:noProof/>
          <w:sz w:val="24"/>
          <w:szCs w:val="24"/>
        </w:rPr>
        <w:t>ir</w:t>
      </w:r>
      <w:r w:rsidRPr="009F02A6">
        <w:rPr>
          <w:rFonts w:ascii="Cambria" w:eastAsia="Times New Roman" w:hAnsi="Cambria" w:cs="Times New Roman"/>
          <w:noProof/>
          <w:sz w:val="24"/>
          <w:szCs w:val="24"/>
        </w:rPr>
        <w:t xml:space="preserve"> general intentions to purchase </w:t>
      </w:r>
      <w:r w:rsidR="00C3180C" w:rsidRPr="009F02A6">
        <w:rPr>
          <w:rFonts w:ascii="Cambria" w:eastAsia="Times New Roman" w:hAnsi="Cambria" w:cs="Times New Roman"/>
          <w:noProof/>
          <w:sz w:val="24"/>
          <w:szCs w:val="24"/>
        </w:rPr>
        <w:t xml:space="preserve">the advertised </w:t>
      </w:r>
      <w:r w:rsidRPr="009F02A6">
        <w:rPr>
          <w:rFonts w:ascii="Cambria" w:eastAsia="Times New Roman" w:hAnsi="Cambria" w:cs="Times New Roman"/>
          <w:noProof/>
          <w:sz w:val="24"/>
          <w:szCs w:val="24"/>
        </w:rPr>
        <w:t>products</w:t>
      </w:r>
      <w:r w:rsidRPr="009F02A6">
        <w:rPr>
          <w:rFonts w:ascii="Cambria" w:eastAsia="Times New Roman" w:hAnsi="Cambria" w:cs="Times New Roman"/>
          <w:sz w:val="24"/>
          <w:szCs w:val="24"/>
        </w:rPr>
        <w:t>. Managers need to identify customer</w:t>
      </w:r>
      <w:r w:rsidR="00847CC5" w:rsidRPr="009F02A6">
        <w:rPr>
          <w:rFonts w:ascii="Cambria" w:eastAsia="Times New Roman" w:hAnsi="Cambria" w:cs="Times New Roman"/>
          <w:sz w:val="24"/>
          <w:szCs w:val="24"/>
        </w:rPr>
        <w:t>s</w:t>
      </w:r>
      <w:r w:rsidRPr="009F02A6">
        <w:rPr>
          <w:rFonts w:ascii="Cambria" w:eastAsia="Times New Roman" w:hAnsi="Cambria" w:cs="Times New Roman"/>
          <w:sz w:val="24"/>
          <w:szCs w:val="24"/>
        </w:rPr>
        <w:t xml:space="preserve"> value </w:t>
      </w:r>
      <w:r w:rsidRPr="00530906">
        <w:rPr>
          <w:rFonts w:ascii="Cambria" w:eastAsia="Times New Roman" w:hAnsi="Cambria" w:cs="Times New Roman"/>
          <w:sz w:val="24"/>
          <w:szCs w:val="24"/>
        </w:rPr>
        <w:t xml:space="preserve">and concern, so that they can focus their attention to them </w:t>
      </w:r>
      <w:r w:rsidRPr="00530906">
        <w:rPr>
          <w:rFonts w:ascii="Cambria" w:eastAsia="Calibri" w:hAnsi="Cambria" w:cs="Times New Roman"/>
          <w:sz w:val="24"/>
          <w:szCs w:val="24"/>
        </w:rPr>
        <w:t>(Martin and Schouten 2012</w:t>
      </w:r>
      <w:r w:rsidRPr="00530906">
        <w:rPr>
          <w:rFonts w:ascii="Cambria" w:eastAsia="Times New Roman" w:hAnsi="Cambria" w:cs="Times New Roman"/>
          <w:sz w:val="24"/>
          <w:szCs w:val="24"/>
        </w:rPr>
        <w:t>).</w:t>
      </w:r>
    </w:p>
    <w:p w14:paraId="31ECE917" w14:textId="077010FA" w:rsidR="00D2452E" w:rsidRPr="00530906" w:rsidRDefault="00D2452E" w:rsidP="008756B1">
      <w:pPr>
        <w:pStyle w:val="Heading3"/>
        <w:jc w:val="both"/>
        <w:rPr>
          <w:rFonts w:ascii="Cambria" w:eastAsia="Calibri" w:hAnsi="Cambria"/>
        </w:rPr>
      </w:pPr>
      <w:bookmarkStart w:id="8" w:name="_Toc115726211"/>
      <w:r w:rsidRPr="00530906">
        <w:rPr>
          <w:rFonts w:ascii="Cambria" w:eastAsia="Calibri" w:hAnsi="Cambria"/>
        </w:rPr>
        <w:t>1.</w:t>
      </w:r>
      <w:r w:rsidR="006A138A" w:rsidRPr="00530906">
        <w:rPr>
          <w:rFonts w:ascii="Cambria" w:eastAsia="Calibri" w:hAnsi="Cambria"/>
        </w:rPr>
        <w:t>3</w:t>
      </w:r>
      <w:r w:rsidRPr="00530906">
        <w:rPr>
          <w:rFonts w:ascii="Cambria" w:eastAsia="Calibri" w:hAnsi="Cambria"/>
        </w:rPr>
        <w:t>.</w:t>
      </w:r>
      <w:r w:rsidR="008A1699" w:rsidRPr="00530906">
        <w:rPr>
          <w:rFonts w:ascii="Cambria" w:eastAsia="Calibri" w:hAnsi="Cambria"/>
        </w:rPr>
        <w:t>2.</w:t>
      </w:r>
      <w:r w:rsidRPr="00530906">
        <w:rPr>
          <w:rFonts w:ascii="Cambria" w:eastAsia="Calibri" w:hAnsi="Cambria"/>
        </w:rPr>
        <w:t xml:space="preserve"> Research problem</w:t>
      </w:r>
      <w:bookmarkEnd w:id="8"/>
      <w:r w:rsidRPr="00530906">
        <w:rPr>
          <w:rFonts w:ascii="Cambria" w:eastAsia="Calibri" w:hAnsi="Cambria"/>
        </w:rPr>
        <w:t xml:space="preserve"> </w:t>
      </w:r>
    </w:p>
    <w:p w14:paraId="23D7ABC1" w14:textId="04B92079" w:rsidR="00D75958" w:rsidRPr="009F02A6" w:rsidRDefault="00D2452E" w:rsidP="00D75958">
      <w:pPr>
        <w:tabs>
          <w:tab w:val="num" w:pos="720"/>
        </w:tabs>
        <w:spacing w:after="200" w:line="360" w:lineRule="auto"/>
        <w:jc w:val="both"/>
        <w:rPr>
          <w:rFonts w:ascii="Cambria" w:eastAsia="Calibri" w:hAnsi="Cambria" w:cs="Adobe Devanagari"/>
          <w:sz w:val="24"/>
          <w:szCs w:val="24"/>
        </w:rPr>
      </w:pPr>
      <w:r w:rsidRPr="00530906">
        <w:rPr>
          <w:rFonts w:ascii="Cambria" w:eastAsia="Calibri" w:hAnsi="Cambria" w:cs="Adobe Devanagari"/>
          <w:sz w:val="24"/>
          <w:szCs w:val="24"/>
        </w:rPr>
        <w:t xml:space="preserve">General publics’ sustainability concern </w:t>
      </w:r>
      <w:r w:rsidR="005A1E3C" w:rsidRPr="00530906">
        <w:rPr>
          <w:rFonts w:ascii="Cambria" w:eastAsia="Calibri" w:hAnsi="Cambria" w:cs="Adobe Devanagari"/>
          <w:sz w:val="24"/>
          <w:szCs w:val="24"/>
        </w:rPr>
        <w:t>do</w:t>
      </w:r>
      <w:r w:rsidR="00F045F1" w:rsidRPr="00530906">
        <w:rPr>
          <w:rFonts w:ascii="Cambria" w:eastAsia="Calibri" w:hAnsi="Cambria" w:cs="Adobe Devanagari"/>
          <w:sz w:val="24"/>
          <w:szCs w:val="24"/>
        </w:rPr>
        <w:t>es</w:t>
      </w:r>
      <w:r w:rsidR="005A1E3C" w:rsidRPr="00530906">
        <w:rPr>
          <w:rFonts w:ascii="Cambria" w:eastAsia="Calibri" w:hAnsi="Cambria" w:cs="Adobe Devanagari"/>
          <w:sz w:val="24"/>
          <w:szCs w:val="24"/>
        </w:rPr>
        <w:t xml:space="preserve"> not</w:t>
      </w:r>
      <w:r w:rsidRPr="00530906">
        <w:rPr>
          <w:rFonts w:ascii="Cambria" w:eastAsia="Calibri" w:hAnsi="Cambria" w:cs="Adobe Devanagari"/>
          <w:sz w:val="24"/>
          <w:szCs w:val="24"/>
        </w:rPr>
        <w:t xml:space="preserve"> ensure</w:t>
      </w:r>
      <w:r w:rsidR="00E5265A" w:rsidRPr="00530906">
        <w:rPr>
          <w:rFonts w:ascii="Cambria" w:eastAsia="Calibri" w:hAnsi="Cambria" w:cs="Adobe Devanagari"/>
          <w:sz w:val="24"/>
          <w:szCs w:val="24"/>
        </w:rPr>
        <w:t xml:space="preserve"> their</w:t>
      </w:r>
      <w:r w:rsidRPr="00530906">
        <w:rPr>
          <w:rFonts w:ascii="Cambria" w:eastAsia="Calibri" w:hAnsi="Cambria" w:cs="Adobe Devanagari"/>
          <w:sz w:val="24"/>
          <w:szCs w:val="24"/>
        </w:rPr>
        <w:t xml:space="preserve"> adaptation of sustainable behaviour </w:t>
      </w:r>
      <w:r w:rsidRPr="00530906">
        <w:rPr>
          <w:rFonts w:ascii="Cambria" w:eastAsia="Calibri" w:hAnsi="Cambria" w:cs="Times New Roman"/>
          <w:sz w:val="24"/>
          <w:szCs w:val="24"/>
        </w:rPr>
        <w:t>(</w:t>
      </w:r>
      <w:r w:rsidRPr="00530906">
        <w:rPr>
          <w:rFonts w:ascii="Cambria" w:eastAsia="Calibri" w:hAnsi="Cambria" w:cs="Adobe Devanagari"/>
          <w:sz w:val="24"/>
          <w:szCs w:val="24"/>
        </w:rPr>
        <w:t>Caprar and Neville 2012; Carrington et al 2010; Kilbourne et 2002; Carrington et al, 2014; Development, 2008</w:t>
      </w:r>
      <w:r w:rsidRPr="00530906">
        <w:rPr>
          <w:rFonts w:ascii="Cambria" w:eastAsia="Calibri" w:hAnsi="Cambria" w:cs="Times New Roman"/>
          <w:sz w:val="24"/>
          <w:szCs w:val="24"/>
        </w:rPr>
        <w:t xml:space="preserve">). </w:t>
      </w:r>
      <w:r w:rsidR="00D75958" w:rsidRPr="00530906">
        <w:rPr>
          <w:rFonts w:ascii="Cambria" w:eastAsia="Times New Roman" w:hAnsi="Cambria" w:cs="Times New Roman"/>
          <w:sz w:val="24"/>
          <w:szCs w:val="24"/>
        </w:rPr>
        <w:t xml:space="preserve">Even the formal definition of sustainable behaviour is narrowly </w:t>
      </w:r>
      <w:r w:rsidR="00D75958" w:rsidRPr="00530906">
        <w:rPr>
          <w:rFonts w:ascii="Cambria" w:eastAsia="Calibri" w:hAnsi="Cambria" w:cs="Adobe Devanagari"/>
          <w:sz w:val="24"/>
          <w:szCs w:val="24"/>
        </w:rPr>
        <w:t>focused on minimising consumption of individual consumer</w:t>
      </w:r>
      <w:r w:rsidR="00D75958" w:rsidRPr="00530906">
        <w:rPr>
          <w:rFonts w:ascii="Cambria" w:eastAsia="Times New Roman" w:hAnsi="Cambria" w:cs="Times New Roman"/>
          <w:sz w:val="24"/>
          <w:szCs w:val="24"/>
        </w:rPr>
        <w:t xml:space="preserve"> (Banbury et al 2012). This is problematic in consumption centric societies because, if consumers perceive sustainable behaviour is equivalent to consuming less,</w:t>
      </w:r>
      <w:r w:rsidR="00D75958" w:rsidRPr="00530906">
        <w:rPr>
          <w:rFonts w:ascii="Cambria" w:eastAsia="Calibri" w:hAnsi="Cambria" w:cs="Adobe Devanagari"/>
          <w:sz w:val="24"/>
          <w:szCs w:val="24"/>
        </w:rPr>
        <w:t xml:space="preserve"> they may be reluctant to do i</w:t>
      </w:r>
      <w:r w:rsidR="00BD44E9">
        <w:rPr>
          <w:rFonts w:ascii="Cambria" w:eastAsia="Calibri" w:hAnsi="Cambria" w:cs="Adobe Devanagari"/>
          <w:sz w:val="24"/>
          <w:szCs w:val="24"/>
        </w:rPr>
        <w:t>t</w:t>
      </w:r>
      <w:r w:rsidR="00E748D8">
        <w:rPr>
          <w:rFonts w:ascii="Cambria" w:eastAsia="Calibri" w:hAnsi="Cambria" w:cs="Adobe Devanagari"/>
          <w:sz w:val="24"/>
          <w:szCs w:val="24"/>
        </w:rPr>
        <w:t>,</w:t>
      </w:r>
      <w:r w:rsidR="00D75958" w:rsidRPr="00530906">
        <w:rPr>
          <w:rFonts w:ascii="Cambria" w:eastAsia="Times New Roman" w:hAnsi="Cambria" w:cs="Times New Roman"/>
          <w:sz w:val="24"/>
          <w:szCs w:val="24"/>
        </w:rPr>
        <w:t xml:space="preserve"> since high consumption symbolises high status. This phenomenon may hinder the promotion of sustainable behaviour</w:t>
      </w:r>
      <w:bookmarkStart w:id="9" w:name="_Hlk62824846"/>
      <w:r w:rsidR="00D75958" w:rsidRPr="00530906">
        <w:rPr>
          <w:rFonts w:ascii="Cambria" w:eastAsia="Calibri" w:hAnsi="Cambria" w:cs="Adobe Devanagari"/>
          <w:sz w:val="24"/>
          <w:szCs w:val="24"/>
        </w:rPr>
        <w:t xml:space="preserve"> (Brooks and Wilson, 2015</w:t>
      </w:r>
      <w:bookmarkEnd w:id="9"/>
      <w:r w:rsidR="00D75958" w:rsidRPr="00530906">
        <w:rPr>
          <w:rFonts w:ascii="Cambria" w:eastAsia="Calibri" w:hAnsi="Cambria" w:cs="Adobe Devanagari"/>
          <w:sz w:val="24"/>
          <w:szCs w:val="24"/>
        </w:rPr>
        <w:t>;</w:t>
      </w:r>
      <w:r w:rsidR="00D75958" w:rsidRPr="00530906">
        <w:rPr>
          <w:rFonts w:ascii="Cambria" w:eastAsia="Times New Roman" w:hAnsi="Cambria" w:cs="Times New Roman"/>
          <w:sz w:val="24"/>
          <w:szCs w:val="24"/>
        </w:rPr>
        <w:t xml:space="preserve"> Banbury et al 2012</w:t>
      </w:r>
      <w:r w:rsidR="00D75958" w:rsidRPr="00530906">
        <w:rPr>
          <w:rFonts w:ascii="Cambria" w:eastAsia="Calibri" w:hAnsi="Cambria" w:cs="Adobe Devanagari"/>
          <w:sz w:val="24"/>
          <w:szCs w:val="24"/>
        </w:rPr>
        <w:t xml:space="preserve">). This </w:t>
      </w:r>
      <w:r w:rsidR="00D75958" w:rsidRPr="009F02A6">
        <w:rPr>
          <w:rFonts w:ascii="Cambria" w:eastAsia="Calibri" w:hAnsi="Cambria" w:cs="Adobe Devanagari"/>
          <w:sz w:val="24"/>
          <w:szCs w:val="24"/>
        </w:rPr>
        <w:t xml:space="preserve">makes it important to understand the role of consumers’ perception of sustainability communication or </w:t>
      </w:r>
      <w:r w:rsidR="00356E18"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356E18" w:rsidRPr="009F02A6">
        <w:rPr>
          <w:rFonts w:ascii="Cambria" w:eastAsia="Calibri" w:hAnsi="Cambria" w:cs="Adobe Devanagari"/>
          <w:sz w:val="24"/>
          <w:szCs w:val="24"/>
        </w:rPr>
        <w:t xml:space="preserve"> message</w:t>
      </w:r>
      <w:r w:rsidR="00D75958" w:rsidRPr="009F02A6">
        <w:rPr>
          <w:rFonts w:ascii="Cambria" w:eastAsia="Calibri" w:hAnsi="Cambria" w:cs="Adobe Devanagari"/>
          <w:sz w:val="24"/>
          <w:szCs w:val="24"/>
        </w:rPr>
        <w:t>.</w:t>
      </w:r>
    </w:p>
    <w:p w14:paraId="68B6F709" w14:textId="23E4CD6D" w:rsidR="00D2452E" w:rsidRPr="009F02A6" w:rsidRDefault="005E03DC">
      <w:pPr>
        <w:tabs>
          <w:tab w:val="num" w:pos="720"/>
        </w:tabs>
        <w:spacing w:after="200" w:line="360" w:lineRule="auto"/>
        <w:jc w:val="both"/>
        <w:rPr>
          <w:rFonts w:ascii="Cambria" w:eastAsia="Calibri" w:hAnsi="Cambria" w:cs="Times New Roman"/>
          <w:sz w:val="24"/>
          <w:szCs w:val="24"/>
        </w:rPr>
      </w:pPr>
      <w:r w:rsidRPr="009F02A6">
        <w:rPr>
          <w:rFonts w:ascii="Cambria" w:eastAsia="Calibri" w:hAnsi="Cambria" w:cs="Times New Roman"/>
          <w:sz w:val="24"/>
          <w:szCs w:val="24"/>
        </w:rPr>
        <w:t>The studies on consumers’ pro–environmental mindset and behaviour are inconsistent (Leary et al 2014; Johnstone and Tan 2015) and still unexplained (Frank and Brock, 2018), let alone giving a direction of how to promote sustainable behaviour. Lin and Hsu (2015) posed a question, if it is possible to make people realise their own actions and promote sustainable behaviour.</w:t>
      </w:r>
      <w:r w:rsidRPr="009F02A6">
        <w:rPr>
          <w:rFonts w:ascii="Cambria" w:eastAsia="Times New Roman" w:hAnsi="Cambria" w:cs="Adobe Devanagari"/>
          <w:sz w:val="24"/>
          <w:szCs w:val="24"/>
        </w:rPr>
        <w:t xml:space="preserve"> In order to do this</w:t>
      </w:r>
      <w:r w:rsidR="00D75958" w:rsidRPr="009F02A6">
        <w:rPr>
          <w:rFonts w:ascii="Cambria" w:eastAsia="Times New Roman" w:hAnsi="Cambria" w:cs="Adobe Devanagari"/>
          <w:sz w:val="24"/>
          <w:szCs w:val="24"/>
        </w:rPr>
        <w:t>,</w:t>
      </w:r>
      <w:r w:rsidRPr="009F02A6">
        <w:rPr>
          <w:rFonts w:ascii="Cambria" w:eastAsia="Times New Roman" w:hAnsi="Cambria" w:cs="Adobe Devanagari"/>
          <w:sz w:val="24"/>
          <w:szCs w:val="24"/>
        </w:rPr>
        <w:t xml:space="preserve"> </w:t>
      </w:r>
      <w:r w:rsidRPr="009F02A6">
        <w:rPr>
          <w:rFonts w:ascii="Cambria" w:eastAsia="Calibri" w:hAnsi="Cambria" w:cs="Times New Roman"/>
          <w:sz w:val="24"/>
          <w:szCs w:val="24"/>
        </w:rPr>
        <w:t>general consumers need to be motivated to adopt sustainable behaviour (Binder and Blankenberg 2017; Stern 2000)</w:t>
      </w:r>
      <w:r w:rsidR="00D75958" w:rsidRPr="009F02A6">
        <w:rPr>
          <w:rFonts w:ascii="Cambria" w:eastAsia="Calibri" w:hAnsi="Cambria" w:cs="Times New Roman"/>
          <w:sz w:val="24"/>
          <w:szCs w:val="24"/>
        </w:rPr>
        <w:t>. T</w:t>
      </w:r>
      <w:r w:rsidRPr="009F02A6">
        <w:rPr>
          <w:rFonts w:ascii="Cambria" w:eastAsia="Calibri" w:hAnsi="Cambria" w:cs="Times New Roman"/>
          <w:sz w:val="24"/>
          <w:szCs w:val="24"/>
        </w:rPr>
        <w:t>here is a paucity of research which examine the underlying structure that inspires environmental concern and how it leads the consumer to choose sustainable product (Kilbourne et al 2002;</w:t>
      </w:r>
      <w:r w:rsidRPr="009F02A6">
        <w:rPr>
          <w:rFonts w:ascii="Cambria" w:eastAsia="Times New Roman" w:hAnsi="Cambria" w:cs="Times New Roman"/>
          <w:sz w:val="24"/>
          <w:szCs w:val="24"/>
        </w:rPr>
        <w:t xml:space="preserve"> Kilbourne 2004; Middlemiss, 2018</w:t>
      </w:r>
      <w:r w:rsidRPr="009F02A6">
        <w:rPr>
          <w:rFonts w:ascii="Cambria" w:eastAsia="Calibri" w:hAnsi="Cambria" w:cs="Times New Roman"/>
          <w:sz w:val="24"/>
          <w:szCs w:val="24"/>
        </w:rPr>
        <w:t xml:space="preserve">).  </w:t>
      </w:r>
    </w:p>
    <w:p w14:paraId="254C1A9B" w14:textId="4CEDF235" w:rsidR="00D2452E" w:rsidRPr="009F02A6" w:rsidRDefault="00D2452E">
      <w:pPr>
        <w:spacing w:line="360" w:lineRule="auto"/>
        <w:jc w:val="both"/>
        <w:rPr>
          <w:rFonts w:ascii="Cambria" w:eastAsia="Times New Roman" w:hAnsi="Cambria" w:cs="Adobe Devanagari"/>
          <w:sz w:val="24"/>
          <w:szCs w:val="24"/>
        </w:rPr>
      </w:pPr>
      <w:r w:rsidRPr="009F02A6">
        <w:rPr>
          <w:rFonts w:ascii="Cambria" w:eastAsia="Times New Roman" w:hAnsi="Cambria" w:cs="Times New Roman"/>
          <w:sz w:val="24"/>
          <w:szCs w:val="24"/>
        </w:rPr>
        <w:t xml:space="preserve">The practice of limitless consumption can be minimised if the consumers can associate themselves with the product that contribute to sustainability (Cho et al 2013; Choi and Ng, 2011). </w:t>
      </w:r>
      <w:r w:rsidRPr="009F02A6">
        <w:rPr>
          <w:rFonts w:ascii="Cambria" w:eastAsia="Calibri" w:hAnsi="Cambria" w:cs="Times New Roman"/>
          <w:sz w:val="24"/>
          <w:szCs w:val="24"/>
        </w:rPr>
        <w:t>Social</w:t>
      </w:r>
      <w:r w:rsidRPr="009F02A6">
        <w:rPr>
          <w:rFonts w:ascii="Cambria" w:eastAsia="Times New Roman" w:hAnsi="Cambria" w:cs="Times New Roman"/>
          <w:sz w:val="24"/>
          <w:szCs w:val="24"/>
        </w:rPr>
        <w:t>–</w:t>
      </w:r>
      <w:r w:rsidRPr="009F02A6">
        <w:rPr>
          <w:rFonts w:ascii="Cambria" w:eastAsia="Calibri" w:hAnsi="Cambria" w:cs="Times New Roman"/>
          <w:sz w:val="24"/>
          <w:szCs w:val="24"/>
        </w:rPr>
        <w:t xml:space="preserve">media has the capability to change consumer behaviour, and thus have an impact on firms, </w:t>
      </w:r>
      <w:r w:rsidR="005A1E3C" w:rsidRPr="009F02A6">
        <w:rPr>
          <w:rFonts w:ascii="Cambria" w:eastAsia="Calibri" w:hAnsi="Cambria" w:cs="Times New Roman"/>
          <w:sz w:val="24"/>
          <w:szCs w:val="24"/>
        </w:rPr>
        <w:t>brands,</w:t>
      </w:r>
      <w:r w:rsidRPr="009F02A6">
        <w:rPr>
          <w:rFonts w:ascii="Cambria" w:eastAsia="Calibri" w:hAnsi="Cambria" w:cs="Times New Roman"/>
          <w:sz w:val="24"/>
          <w:szCs w:val="24"/>
        </w:rPr>
        <w:t xml:space="preserve"> and products (Muntinga et al., 2011). </w:t>
      </w:r>
      <w:r w:rsidRPr="009F02A6">
        <w:rPr>
          <w:rFonts w:ascii="Cambria" w:eastAsia="Times New Roman" w:hAnsi="Cambria" w:cs="Times New Roman"/>
          <w:sz w:val="24"/>
          <w:szCs w:val="24"/>
        </w:rPr>
        <w:t xml:space="preserve">It has been observed </w:t>
      </w:r>
      <w:r w:rsidRPr="009F02A6">
        <w:rPr>
          <w:rFonts w:ascii="Cambria" w:eastAsia="Times New Roman" w:hAnsi="Cambria" w:cs="Times New Roman"/>
          <w:sz w:val="24"/>
          <w:szCs w:val="24"/>
        </w:rPr>
        <w:lastRenderedPageBreak/>
        <w:t xml:space="preserve">that internet has the capability to increase awareness and inspire the consumer to pursue greater social responsibility goals (Angus 2018; McDonagh and Prothero 2014). Though, </w:t>
      </w:r>
      <w:r w:rsidR="005A1E3C" w:rsidRPr="009F02A6">
        <w:rPr>
          <w:rFonts w:ascii="Cambria" w:eastAsia="Times New Roman" w:hAnsi="Cambria" w:cs="Times New Roman"/>
          <w:sz w:val="24"/>
          <w:szCs w:val="24"/>
        </w:rPr>
        <w:t>a</w:t>
      </w:r>
      <w:r w:rsidRPr="009F02A6">
        <w:rPr>
          <w:rFonts w:ascii="Cambria" w:eastAsia="Times New Roman" w:hAnsi="Cambria" w:cs="Times New Roman"/>
          <w:sz w:val="24"/>
          <w:szCs w:val="24"/>
        </w:rPr>
        <w:t xml:space="preserve"> few </w:t>
      </w:r>
      <w:r w:rsidR="005A1E3C" w:rsidRPr="009F02A6">
        <w:rPr>
          <w:rFonts w:ascii="Cambria" w:eastAsia="Times New Roman" w:hAnsi="Cambria" w:cs="Times New Roman"/>
          <w:sz w:val="24"/>
          <w:szCs w:val="24"/>
        </w:rPr>
        <w:t>articles</w:t>
      </w:r>
      <w:r w:rsidRPr="009F02A6">
        <w:rPr>
          <w:rFonts w:ascii="Cambria" w:eastAsia="Times New Roman" w:hAnsi="Cambria" w:cs="Times New Roman"/>
          <w:sz w:val="24"/>
          <w:szCs w:val="24"/>
        </w:rPr>
        <w:t xml:space="preserve"> ha</w:t>
      </w:r>
      <w:r w:rsidR="005A1E3C" w:rsidRPr="009F02A6">
        <w:rPr>
          <w:rFonts w:ascii="Cambria" w:eastAsia="Times New Roman" w:hAnsi="Cambria" w:cs="Times New Roman"/>
          <w:sz w:val="24"/>
          <w:szCs w:val="24"/>
        </w:rPr>
        <w:t>ve</w:t>
      </w:r>
      <w:r w:rsidRPr="009F02A6">
        <w:rPr>
          <w:rFonts w:ascii="Cambria" w:eastAsia="Times New Roman" w:hAnsi="Cambria" w:cs="Times New Roman"/>
          <w:sz w:val="24"/>
          <w:szCs w:val="24"/>
        </w:rPr>
        <w:t xml:space="preserve"> been found regarding the social</w:t>
      </w:r>
      <w:r w:rsidR="004179CD" w:rsidRPr="009F02A6">
        <w:rPr>
          <w:rFonts w:ascii="Cambria" w:eastAsia="Times New Roman" w:hAnsi="Cambria" w:cs="Times New Roman"/>
          <w:sz w:val="24"/>
          <w:szCs w:val="24"/>
        </w:rPr>
        <w:t>–</w:t>
      </w:r>
      <w:r w:rsidRPr="009F02A6">
        <w:rPr>
          <w:rFonts w:ascii="Cambria" w:eastAsia="Times New Roman" w:hAnsi="Cambria" w:cs="Times New Roman"/>
          <w:sz w:val="24"/>
          <w:szCs w:val="24"/>
        </w:rPr>
        <w:t>media’s impact on firms’ CSR (Corporate social responsibility) initiatives (Bakker and Hellsten 2013; Fieseler and Fleck 2013; Lee et al 2013; Rivera</w:t>
      </w:r>
      <w:r w:rsidR="004179CD" w:rsidRPr="009F02A6">
        <w:rPr>
          <w:rFonts w:ascii="Cambria" w:eastAsia="Times New Roman" w:hAnsi="Cambria" w:cs="Times New Roman"/>
          <w:sz w:val="24"/>
          <w:szCs w:val="24"/>
        </w:rPr>
        <w:t>–</w:t>
      </w:r>
      <w:r w:rsidRPr="009F02A6">
        <w:rPr>
          <w:rFonts w:ascii="Cambria" w:eastAsia="Times New Roman" w:hAnsi="Cambria" w:cs="Times New Roman"/>
          <w:sz w:val="24"/>
          <w:szCs w:val="24"/>
        </w:rPr>
        <w:t>Arrubla and Zorio</w:t>
      </w:r>
      <w:r w:rsidR="004179CD" w:rsidRPr="009F02A6">
        <w:rPr>
          <w:rFonts w:ascii="Cambria" w:eastAsia="Times New Roman" w:hAnsi="Cambria" w:cs="Times New Roman"/>
          <w:sz w:val="24"/>
          <w:szCs w:val="24"/>
        </w:rPr>
        <w:t>–</w:t>
      </w:r>
      <w:r w:rsidRPr="009F02A6">
        <w:rPr>
          <w:rFonts w:ascii="Cambria" w:eastAsia="Times New Roman" w:hAnsi="Cambria" w:cs="Times New Roman"/>
          <w:sz w:val="24"/>
          <w:szCs w:val="24"/>
        </w:rPr>
        <w:t>Grima 2016; Saxton et al 2019), but the terms</w:t>
      </w:r>
      <w:r w:rsidR="005A1E3C" w:rsidRPr="009F02A6">
        <w:rPr>
          <w:rFonts w:ascii="Cambria" w:eastAsia="Times New Roman" w:hAnsi="Cambria" w:cs="Times New Roman"/>
          <w:sz w:val="24"/>
          <w:szCs w:val="24"/>
        </w:rPr>
        <w:t>-</w:t>
      </w:r>
      <w:r w:rsidRPr="009F02A6">
        <w:rPr>
          <w:rFonts w:ascii="Cambria" w:eastAsia="Times New Roman" w:hAnsi="Cambria" w:cs="Times New Roman"/>
          <w:sz w:val="24"/>
          <w:szCs w:val="24"/>
        </w:rPr>
        <w:t xml:space="preserve"> CSR and su</w:t>
      </w:r>
      <w:r w:rsidR="00426472" w:rsidRPr="009F02A6">
        <w:rPr>
          <w:rFonts w:ascii="Cambria" w:eastAsia="Times New Roman" w:hAnsi="Cambria" w:cs="Times New Roman"/>
          <w:sz w:val="24"/>
          <w:szCs w:val="24"/>
        </w:rPr>
        <w:t>stain</w:t>
      </w:r>
      <w:r w:rsidRPr="009F02A6">
        <w:rPr>
          <w:rFonts w:ascii="Cambria" w:eastAsia="Times New Roman" w:hAnsi="Cambria" w:cs="Times New Roman"/>
          <w:sz w:val="24"/>
          <w:szCs w:val="24"/>
        </w:rPr>
        <w:t>ability</w:t>
      </w:r>
      <w:r w:rsidR="005A1E3C" w:rsidRPr="009F02A6">
        <w:rPr>
          <w:rFonts w:ascii="Cambria" w:eastAsia="Times New Roman" w:hAnsi="Cambria" w:cs="Times New Roman"/>
          <w:sz w:val="24"/>
          <w:szCs w:val="24"/>
        </w:rPr>
        <w:t>,</w:t>
      </w:r>
      <w:r w:rsidRPr="009F02A6">
        <w:rPr>
          <w:rFonts w:ascii="Cambria" w:eastAsia="Times New Roman" w:hAnsi="Cambria" w:cs="Times New Roman"/>
          <w:sz w:val="24"/>
          <w:szCs w:val="24"/>
        </w:rPr>
        <w:t xml:space="preserve"> are fundamentally different. </w:t>
      </w:r>
      <w:r w:rsidRPr="009F02A6">
        <w:rPr>
          <w:rFonts w:ascii="Cambria" w:hAnsi="Cambria"/>
          <w:sz w:val="24"/>
          <w:szCs w:val="24"/>
        </w:rPr>
        <w:t xml:space="preserve">CSR is focused on managerial activities with four social responsibilities: economic, legal, </w:t>
      </w:r>
      <w:r w:rsidR="005A1E3C" w:rsidRPr="009F02A6">
        <w:rPr>
          <w:rFonts w:ascii="Cambria" w:hAnsi="Cambria"/>
          <w:sz w:val="24"/>
          <w:szCs w:val="24"/>
        </w:rPr>
        <w:t>ethical,</w:t>
      </w:r>
      <w:r w:rsidRPr="009F02A6">
        <w:rPr>
          <w:rFonts w:ascii="Cambria" w:hAnsi="Cambria"/>
          <w:sz w:val="24"/>
          <w:szCs w:val="24"/>
        </w:rPr>
        <w:t xml:space="preserve"> and philanthropic (Carroll 1999). On the other hand, as per definition, sustainability is focused on social, </w:t>
      </w:r>
      <w:r w:rsidR="005A1E3C" w:rsidRPr="009F02A6">
        <w:rPr>
          <w:rFonts w:ascii="Cambria" w:hAnsi="Cambria"/>
          <w:sz w:val="24"/>
          <w:szCs w:val="24"/>
        </w:rPr>
        <w:t>economic,</w:t>
      </w:r>
      <w:r w:rsidRPr="009F02A6">
        <w:rPr>
          <w:rFonts w:ascii="Cambria" w:hAnsi="Cambria"/>
          <w:sz w:val="24"/>
          <w:szCs w:val="24"/>
        </w:rPr>
        <w:t xml:space="preserve"> and environmental betterment of</w:t>
      </w:r>
      <w:r w:rsidR="005A1E3C" w:rsidRPr="009F02A6">
        <w:rPr>
          <w:rFonts w:ascii="Cambria" w:hAnsi="Cambria"/>
          <w:sz w:val="24"/>
          <w:szCs w:val="24"/>
        </w:rPr>
        <w:t xml:space="preserve"> the</w:t>
      </w:r>
      <w:r w:rsidRPr="009F02A6">
        <w:rPr>
          <w:rFonts w:ascii="Cambria" w:hAnsi="Cambria"/>
          <w:sz w:val="24"/>
          <w:szCs w:val="24"/>
        </w:rPr>
        <w:t xml:space="preserve"> present and future generation (B</w:t>
      </w:r>
      <w:r w:rsidR="00B902FE">
        <w:rPr>
          <w:rFonts w:ascii="Cambria" w:hAnsi="Cambria"/>
          <w:sz w:val="24"/>
          <w:szCs w:val="24"/>
        </w:rPr>
        <w:t>a</w:t>
      </w:r>
      <w:r w:rsidRPr="009F02A6">
        <w:rPr>
          <w:rFonts w:ascii="Cambria" w:hAnsi="Cambria"/>
          <w:sz w:val="24"/>
          <w:szCs w:val="24"/>
        </w:rPr>
        <w:t xml:space="preserve">nbury </w:t>
      </w:r>
      <w:r w:rsidR="00B902FE">
        <w:rPr>
          <w:rFonts w:ascii="Cambria" w:hAnsi="Cambria"/>
          <w:sz w:val="24"/>
          <w:szCs w:val="24"/>
        </w:rPr>
        <w:t xml:space="preserve">et al </w:t>
      </w:r>
      <w:r w:rsidRPr="009F02A6">
        <w:rPr>
          <w:rFonts w:ascii="Cambria" w:hAnsi="Cambria"/>
          <w:sz w:val="24"/>
          <w:szCs w:val="24"/>
        </w:rPr>
        <w:t xml:space="preserve">2012). </w:t>
      </w:r>
      <w:r w:rsidR="00004035" w:rsidRPr="009F02A6">
        <w:rPr>
          <w:rFonts w:ascii="Cambria" w:eastAsia="Times New Roman" w:hAnsi="Cambria" w:cs="Times New Roman"/>
          <w:sz w:val="24"/>
          <w:szCs w:val="24"/>
        </w:rPr>
        <w:t>T</w:t>
      </w:r>
      <w:r w:rsidRPr="009F02A6">
        <w:rPr>
          <w:rFonts w:ascii="Cambria" w:eastAsia="Times New Roman" w:hAnsi="Cambria" w:cs="Times New Roman"/>
          <w:sz w:val="24"/>
          <w:szCs w:val="24"/>
        </w:rPr>
        <w:t>o the best of knowledge, there is no study on the impact</w:t>
      </w:r>
      <w:r w:rsidRPr="009F02A6">
        <w:rPr>
          <w:rFonts w:ascii="Cambria" w:eastAsia="Times New Roman" w:hAnsi="Cambria" w:cs="Adobe Devanagari"/>
          <w:sz w:val="24"/>
          <w:szCs w:val="24"/>
        </w:rPr>
        <w:t xml:space="preserve"> </w:t>
      </w:r>
      <w:r w:rsidR="00D75958" w:rsidRPr="009F02A6">
        <w:rPr>
          <w:rFonts w:ascii="Cambria" w:eastAsia="Times New Roman" w:hAnsi="Cambria" w:cs="Adobe Devanagari"/>
          <w:sz w:val="24"/>
          <w:szCs w:val="24"/>
        </w:rPr>
        <w:t xml:space="preserve">of consumers’ opinion of </w:t>
      </w:r>
      <w:r w:rsidRPr="009F02A6">
        <w:rPr>
          <w:rFonts w:ascii="Cambria" w:eastAsia="Times New Roman" w:hAnsi="Cambria" w:cs="Adobe Devanagari"/>
          <w:sz w:val="24"/>
          <w:szCs w:val="24"/>
        </w:rPr>
        <w:t xml:space="preserve">social media </w:t>
      </w:r>
      <w:r w:rsidR="00823647" w:rsidRPr="009F02A6">
        <w:rPr>
          <w:rFonts w:ascii="Cambria" w:eastAsia="Times New Roman" w:hAnsi="Cambria" w:cs="Adobe Devanagari"/>
          <w:sz w:val="24"/>
          <w:szCs w:val="24"/>
        </w:rPr>
        <w:t xml:space="preserve">on the consumption pattern of sustainable products </w:t>
      </w:r>
      <w:r w:rsidRPr="009F02A6">
        <w:rPr>
          <w:rFonts w:ascii="Cambria" w:eastAsia="Times New Roman" w:hAnsi="Cambria" w:cs="Adobe Devanagari"/>
          <w:sz w:val="24"/>
          <w:szCs w:val="24"/>
        </w:rPr>
        <w:t xml:space="preserve">in the context of </w:t>
      </w:r>
      <w:r w:rsidR="00356E18"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356E18" w:rsidRPr="009F02A6">
        <w:rPr>
          <w:rFonts w:ascii="Cambria" w:eastAsia="Calibri" w:hAnsi="Cambria" w:cs="Adobe Devanagari"/>
          <w:sz w:val="24"/>
          <w:szCs w:val="24"/>
        </w:rPr>
        <w:t xml:space="preserve"> message</w:t>
      </w:r>
      <w:r w:rsidRPr="009F02A6">
        <w:rPr>
          <w:rFonts w:ascii="Cambria" w:eastAsia="Times New Roman" w:hAnsi="Cambria" w:cs="Adobe Devanagari"/>
          <w:sz w:val="24"/>
          <w:szCs w:val="24"/>
        </w:rPr>
        <w:t xml:space="preserve">. </w:t>
      </w:r>
    </w:p>
    <w:p w14:paraId="71B1CC90" w14:textId="20D989B2" w:rsidR="00E91201" w:rsidRPr="009F02A6" w:rsidRDefault="00E91201" w:rsidP="00E91201">
      <w:pPr>
        <w:pStyle w:val="Heading2"/>
        <w:jc w:val="both"/>
        <w:rPr>
          <w:rFonts w:eastAsia="Times New Roman"/>
          <w:noProof/>
        </w:rPr>
      </w:pPr>
      <w:bookmarkStart w:id="10" w:name="_Toc115726212"/>
      <w:r w:rsidRPr="009F02A6">
        <w:rPr>
          <w:rFonts w:eastAsia="Times New Roman"/>
          <w:noProof/>
        </w:rPr>
        <w:t>1.</w:t>
      </w:r>
      <w:r w:rsidR="00823647" w:rsidRPr="009F02A6">
        <w:rPr>
          <w:rFonts w:eastAsia="Times New Roman"/>
          <w:noProof/>
        </w:rPr>
        <w:t>4</w:t>
      </w:r>
      <w:r w:rsidRPr="009F02A6">
        <w:rPr>
          <w:rFonts w:eastAsia="Times New Roman"/>
          <w:noProof/>
        </w:rPr>
        <w:t>. Rationale of using SCV (Self-Transformative consumption Vision), PAD (Pleasure-arousal-dominance) and social influence theory</w:t>
      </w:r>
      <w:bookmarkEnd w:id="10"/>
    </w:p>
    <w:p w14:paraId="4D01A2F4" w14:textId="7FB65699" w:rsidR="00E91201" w:rsidRPr="009F02A6" w:rsidRDefault="00E91201" w:rsidP="00E91201">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 xml:space="preserve">Choice of consumption product is a social process, which is shaped by the perception of how other people will interpret it (Brooks and Wilson 2015). </w:t>
      </w:r>
      <w:r w:rsidR="005C2854" w:rsidRPr="009F02A6">
        <w:rPr>
          <w:rFonts w:ascii="Cambria" w:eastAsia="Times New Roman" w:hAnsi="Cambria" w:cs="Times New Roman"/>
          <w:sz w:val="24"/>
          <w:szCs w:val="24"/>
        </w:rPr>
        <w:t>Sustainable behaviour</w:t>
      </w:r>
      <w:r w:rsidRPr="009F02A6">
        <w:rPr>
          <w:rFonts w:ascii="Cambria" w:eastAsia="Times New Roman" w:hAnsi="Cambria" w:cs="Times New Roman"/>
          <w:sz w:val="24"/>
          <w:szCs w:val="24"/>
        </w:rPr>
        <w:t xml:space="preserve"> is substantially dependent on the surroundings of the consumers. If people around them do not usually practice </w:t>
      </w:r>
      <w:r w:rsidR="005C2854" w:rsidRPr="009F02A6">
        <w:rPr>
          <w:rFonts w:ascii="Cambria" w:eastAsia="Times New Roman" w:hAnsi="Cambria" w:cs="Times New Roman"/>
          <w:sz w:val="24"/>
          <w:szCs w:val="24"/>
        </w:rPr>
        <w:t>sustainable behaviour</w:t>
      </w:r>
      <w:r w:rsidRPr="009F02A6">
        <w:rPr>
          <w:rFonts w:ascii="Cambria" w:eastAsia="Times New Roman" w:hAnsi="Cambria" w:cs="Times New Roman"/>
          <w:sz w:val="24"/>
          <w:szCs w:val="24"/>
        </w:rPr>
        <w:t xml:space="preserve">, it is highly unlikely that the consumers will see themselves practicing sustainable behaviour or consuming </w:t>
      </w:r>
      <w:r w:rsidRPr="009F02A6">
        <w:rPr>
          <w:rFonts w:ascii="Cambria" w:eastAsia="Calibri" w:hAnsi="Cambria" w:cs="Times New Roman"/>
          <w:sz w:val="24"/>
          <w:szCs w:val="24"/>
        </w:rPr>
        <w:t>the products with sustainability association</w:t>
      </w:r>
      <w:r w:rsidRPr="009F02A6">
        <w:rPr>
          <w:rFonts w:ascii="Cambria" w:eastAsia="Times New Roman" w:hAnsi="Cambria" w:cs="Times New Roman"/>
          <w:sz w:val="24"/>
          <w:szCs w:val="24"/>
        </w:rPr>
        <w:t xml:space="preserve"> (Rettie et al 2012; </w:t>
      </w:r>
      <w:r w:rsidRPr="009F02A6">
        <w:rPr>
          <w:rFonts w:ascii="Cambria" w:eastAsia="Calibri" w:hAnsi="Cambria" w:cs="Times New Roman"/>
          <w:sz w:val="24"/>
          <w:szCs w:val="24"/>
        </w:rPr>
        <w:t>Johnstone and Tan 2015</w:t>
      </w:r>
      <w:r w:rsidRPr="009F02A6">
        <w:rPr>
          <w:rFonts w:ascii="Cambria" w:eastAsia="Times New Roman" w:hAnsi="Cambria" w:cs="Times New Roman"/>
          <w:sz w:val="24"/>
          <w:szCs w:val="24"/>
        </w:rPr>
        <w:t xml:space="preserve">). </w:t>
      </w:r>
      <w:r w:rsidR="006C54D6" w:rsidRPr="009F02A6">
        <w:rPr>
          <w:rFonts w:ascii="Cambria" w:eastAsia="Times New Roman" w:hAnsi="Cambria" w:cs="Times New Roman"/>
          <w:sz w:val="24"/>
          <w:szCs w:val="24"/>
        </w:rPr>
        <w:t xml:space="preserve">So, it is essential to understand, whether the </w:t>
      </w:r>
      <w:r w:rsidR="00ED6DB1" w:rsidRPr="009F02A6">
        <w:rPr>
          <w:rFonts w:ascii="Cambria" w:eastAsia="Times New Roman" w:hAnsi="Cambria" w:cs="Times New Roman"/>
          <w:noProof/>
          <w:sz w:val="24"/>
          <w:szCs w:val="24"/>
        </w:rPr>
        <w:t xml:space="preserve">ads with sustainbility message </w:t>
      </w:r>
      <w:r w:rsidR="006C54D6" w:rsidRPr="009F02A6">
        <w:rPr>
          <w:rFonts w:ascii="Cambria" w:eastAsia="Times New Roman" w:hAnsi="Cambria" w:cs="Times New Roman"/>
          <w:sz w:val="24"/>
          <w:szCs w:val="24"/>
        </w:rPr>
        <w:t>posted on social–media by one user with positive or negative caption, can make the consumers envision themselves using that advertised product. Therefore, our conceptual model of how sustainability–advertising to promote a brand affects the consumers, builds on the concept of Self–transformative Consumption Vision (SCV) (Yim 2018). SCV is defined as: “a person's mental visualization process of creating a self–involved imaginative future incident, story or narrative about a product or service in which the consumption outcome is envisioned” (Yim et al. 2018. p. 123).</w:t>
      </w:r>
    </w:p>
    <w:p w14:paraId="52D5412F" w14:textId="370E7A86" w:rsidR="00E91201" w:rsidRPr="009F02A6" w:rsidRDefault="00E91201" w:rsidP="00E91201">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 xml:space="preserve">But SCV may not be adequate to predict the influence of </w:t>
      </w:r>
      <w:r w:rsidR="000328DC" w:rsidRPr="009F02A6">
        <w:rPr>
          <w:rFonts w:ascii="Cambria" w:eastAsia="Times New Roman" w:hAnsi="Cambria" w:cs="Times New Roman"/>
          <w:sz w:val="24"/>
          <w:szCs w:val="24"/>
        </w:rPr>
        <w:t xml:space="preserve">the </w:t>
      </w:r>
      <w:r w:rsidR="000328DC" w:rsidRPr="009F02A6">
        <w:rPr>
          <w:rFonts w:ascii="Cambria" w:eastAsia="Times New Roman" w:hAnsi="Cambria" w:cs="Times New Roman"/>
          <w:noProof/>
          <w:sz w:val="24"/>
          <w:szCs w:val="24"/>
        </w:rPr>
        <w:t xml:space="preserve">ads with sustainbility message </w:t>
      </w:r>
      <w:r w:rsidR="00A4190A" w:rsidRPr="009F02A6">
        <w:rPr>
          <w:rFonts w:ascii="Cambria" w:eastAsia="Times New Roman" w:hAnsi="Cambria" w:cs="Times New Roman"/>
          <w:noProof/>
          <w:sz w:val="24"/>
          <w:szCs w:val="24"/>
        </w:rPr>
        <w:t xml:space="preserve">on sustainable behaviour </w:t>
      </w:r>
      <w:r w:rsidR="00EE355F" w:rsidRPr="009F02A6">
        <w:rPr>
          <w:rFonts w:ascii="Cambria" w:eastAsia="Times New Roman" w:hAnsi="Cambria" w:cs="Times New Roman"/>
          <w:sz w:val="24"/>
          <w:szCs w:val="24"/>
        </w:rPr>
        <w:t>(</w:t>
      </w:r>
      <w:r w:rsidRPr="009F02A6">
        <w:rPr>
          <w:rFonts w:ascii="Cambria" w:eastAsia="Times New Roman" w:hAnsi="Cambria" w:cs="Times New Roman"/>
          <w:sz w:val="24"/>
          <w:szCs w:val="24"/>
        </w:rPr>
        <w:t xml:space="preserve">Yim 2018; Desmet 2010). Rather, it is more logical to state that, promotion of sustainable behaviour has greater possibility to be successful if suitability–ad can generate cognitive and emotional response (Davari and Strutton 2014 </w:t>
      </w:r>
      <w:r w:rsidRPr="009F02A6">
        <w:rPr>
          <w:rFonts w:ascii="Cambria" w:eastAsia="Times New Roman" w:hAnsi="Cambria" w:cs="Times New Roman"/>
          <w:sz w:val="24"/>
          <w:szCs w:val="24"/>
        </w:rPr>
        <w:lastRenderedPageBreak/>
        <w:t>Desmet 2010; Yani–de–Soriano et al 2013; Richard and Chebat 2016; Holbrook and Batra 1987; Priester and petty 2003), as a result of mental imagery or consumption vision (Amit and Greene 2012). Measuring emotional response is especially important, because choice of</w:t>
      </w:r>
      <w:r w:rsidR="00375EB7">
        <w:rPr>
          <w:rFonts w:ascii="Cambria" w:eastAsia="Times New Roman" w:hAnsi="Cambria" w:cs="Times New Roman"/>
          <w:sz w:val="24"/>
          <w:szCs w:val="24"/>
        </w:rPr>
        <w:t xml:space="preserve"> products with</w:t>
      </w:r>
      <w:r w:rsidRPr="009F02A6">
        <w:rPr>
          <w:rFonts w:ascii="Cambria" w:eastAsia="Times New Roman" w:hAnsi="Cambria" w:cs="Times New Roman"/>
          <w:sz w:val="24"/>
          <w:szCs w:val="24"/>
        </w:rPr>
        <w:t xml:space="preserve"> sustainab</w:t>
      </w:r>
      <w:r w:rsidR="00375EB7">
        <w:rPr>
          <w:rFonts w:ascii="Cambria" w:eastAsia="Times New Roman" w:hAnsi="Cambria" w:cs="Times New Roman"/>
          <w:sz w:val="24"/>
          <w:szCs w:val="24"/>
        </w:rPr>
        <w:t xml:space="preserve">ility association </w:t>
      </w:r>
      <w:r w:rsidRPr="009F02A6">
        <w:rPr>
          <w:rFonts w:ascii="Cambria" w:eastAsia="Times New Roman" w:hAnsi="Cambria" w:cs="Times New Roman"/>
          <w:sz w:val="24"/>
          <w:szCs w:val="24"/>
        </w:rPr>
        <w:t>is largely emotional in nature (</w:t>
      </w:r>
      <w:r w:rsidRPr="009F02A6">
        <w:rPr>
          <w:rFonts w:ascii="Cambria" w:eastAsia="Calibri" w:hAnsi="Cambria" w:cs="Times New Roman"/>
          <w:sz w:val="24"/>
          <w:szCs w:val="24"/>
        </w:rPr>
        <w:t>Bansal and Roth 2000; Rowe et al 2019, Martin and Schouten 2012)</w:t>
      </w:r>
      <w:r w:rsidRPr="009F02A6">
        <w:rPr>
          <w:rFonts w:ascii="Cambria" w:eastAsia="Times New Roman" w:hAnsi="Cambria" w:cs="Times New Roman"/>
          <w:sz w:val="24"/>
          <w:szCs w:val="24"/>
        </w:rPr>
        <w:t>. This elicited emotional response is expected to impact behavioural intention (Petty and Cacioppo 2018; Richard and Chebat 2016). Hence, companies should emphasis on creating emotional connection with the consumers by addressing consumers’ sustainability values. 62% consumers stand for</w:t>
      </w:r>
      <w:r w:rsidR="00671249">
        <w:rPr>
          <w:rFonts w:ascii="Cambria" w:eastAsia="Times New Roman" w:hAnsi="Cambria" w:cs="Times New Roman"/>
          <w:sz w:val="24"/>
          <w:szCs w:val="24"/>
        </w:rPr>
        <w:t xml:space="preserve"> companies those deals with</w:t>
      </w:r>
      <w:r w:rsidRPr="009F02A6">
        <w:rPr>
          <w:rFonts w:ascii="Cambria" w:eastAsia="Times New Roman" w:hAnsi="Cambria" w:cs="Times New Roman"/>
          <w:sz w:val="24"/>
          <w:szCs w:val="24"/>
        </w:rPr>
        <w:t xml:space="preserve"> sustainability</w:t>
      </w:r>
      <w:r w:rsidR="005F372D">
        <w:rPr>
          <w:rFonts w:ascii="Cambria" w:eastAsia="Times New Roman" w:hAnsi="Cambria" w:cs="Times New Roman"/>
          <w:sz w:val="24"/>
          <w:szCs w:val="24"/>
        </w:rPr>
        <w:t xml:space="preserve"> related problems</w:t>
      </w:r>
      <w:r w:rsidR="00D66A2B">
        <w:rPr>
          <w:rFonts w:ascii="Cambria" w:eastAsia="Times New Roman" w:hAnsi="Cambria" w:cs="Times New Roman"/>
          <w:sz w:val="24"/>
          <w:szCs w:val="24"/>
        </w:rPr>
        <w:t xml:space="preserve"> and</w:t>
      </w:r>
      <w:r w:rsidRPr="009F02A6">
        <w:rPr>
          <w:rFonts w:ascii="Cambria" w:eastAsia="Times New Roman" w:hAnsi="Cambria" w:cs="Times New Roman"/>
          <w:sz w:val="24"/>
          <w:szCs w:val="24"/>
        </w:rPr>
        <w:t xml:space="preserve"> 47% of the consumers stop patronizing the brands those have disappointing performance on social issues (Accenture 2018). This indicates that there is a need to measure the elicited emotion when the user is exposed to a</w:t>
      </w:r>
      <w:r w:rsidR="003945C8" w:rsidRPr="009F02A6">
        <w:rPr>
          <w:rFonts w:ascii="Cambria" w:eastAsia="Times New Roman" w:hAnsi="Cambria" w:cs="Times New Roman"/>
          <w:sz w:val="24"/>
          <w:szCs w:val="24"/>
        </w:rPr>
        <w:t>n opinion of other consumers</w:t>
      </w:r>
      <w:r w:rsidR="00235100" w:rsidRPr="009F02A6">
        <w:rPr>
          <w:rFonts w:ascii="Cambria" w:eastAsia="Times New Roman" w:hAnsi="Cambria" w:cs="Times New Roman"/>
          <w:sz w:val="24"/>
          <w:szCs w:val="24"/>
        </w:rPr>
        <w:t>/social media users</w:t>
      </w:r>
      <w:r w:rsidR="003945C8" w:rsidRPr="009F02A6">
        <w:rPr>
          <w:rFonts w:ascii="Cambria" w:eastAsia="Times New Roman" w:hAnsi="Cambria" w:cs="Times New Roman"/>
          <w:sz w:val="24"/>
          <w:szCs w:val="24"/>
        </w:rPr>
        <w:t xml:space="preserve"> regarding the </w:t>
      </w:r>
      <w:r w:rsidR="00216FDD" w:rsidRPr="009F02A6">
        <w:rPr>
          <w:rFonts w:ascii="Cambria" w:eastAsia="Times New Roman" w:hAnsi="Cambria" w:cs="Times New Roman"/>
          <w:noProof/>
          <w:sz w:val="24"/>
          <w:szCs w:val="24"/>
        </w:rPr>
        <w:t>ad with sustainbility message</w:t>
      </w:r>
      <w:r w:rsidRPr="009F02A6">
        <w:rPr>
          <w:rFonts w:ascii="Cambria" w:eastAsia="Times New Roman" w:hAnsi="Cambria" w:cs="Times New Roman"/>
          <w:sz w:val="24"/>
          <w:szCs w:val="24"/>
        </w:rPr>
        <w:t xml:space="preserve"> in social–media environment, which includes– the ad and the accompanying positive or negative caption by the actor/user. More specifically, it is required to understand to what extent the SCV generated by </w:t>
      </w:r>
      <w:r w:rsidR="00A920F7" w:rsidRPr="009F02A6">
        <w:rPr>
          <w:rFonts w:ascii="Cambria" w:eastAsia="Times New Roman" w:hAnsi="Cambria" w:cs="Times New Roman"/>
          <w:sz w:val="24"/>
          <w:szCs w:val="24"/>
        </w:rPr>
        <w:t>the</w:t>
      </w:r>
      <w:r w:rsidR="007307BF" w:rsidRPr="009F02A6">
        <w:rPr>
          <w:rFonts w:ascii="Cambria" w:eastAsia="Times New Roman" w:hAnsi="Cambria" w:cs="Times New Roman"/>
          <w:sz w:val="24"/>
          <w:szCs w:val="24"/>
        </w:rPr>
        <w:t xml:space="preserve"> </w:t>
      </w:r>
      <w:r w:rsidR="007307BF" w:rsidRPr="009F02A6">
        <w:rPr>
          <w:rFonts w:ascii="Cambria" w:eastAsia="Times New Roman" w:hAnsi="Cambria" w:cs="Times New Roman"/>
          <w:noProof/>
          <w:sz w:val="24"/>
          <w:szCs w:val="24"/>
        </w:rPr>
        <w:t>ad with sustainbility message</w:t>
      </w:r>
      <w:r w:rsidRPr="009F02A6">
        <w:rPr>
          <w:rFonts w:ascii="Cambria" w:eastAsia="Times New Roman" w:hAnsi="Cambria" w:cs="Times New Roman"/>
          <w:sz w:val="24"/>
          <w:szCs w:val="24"/>
        </w:rPr>
        <w:t xml:space="preserve"> can affect the consumers emotionally.</w:t>
      </w:r>
    </w:p>
    <w:p w14:paraId="5A327A0B" w14:textId="6241A09B" w:rsidR="00E91201" w:rsidRPr="009F02A6" w:rsidRDefault="00E91201" w:rsidP="00E91201">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This realisation leads to the emotional theory– Mehrabian–Russell Model [1996, also called Pleasure–Arousal–</w:t>
      </w:r>
      <w:r w:rsidR="00794857" w:rsidRPr="009F02A6">
        <w:rPr>
          <w:rFonts w:ascii="Cambria" w:eastAsia="Times New Roman" w:hAnsi="Cambria" w:cs="Times New Roman"/>
          <w:sz w:val="24"/>
          <w:szCs w:val="24"/>
        </w:rPr>
        <w:t>D</w:t>
      </w:r>
      <w:r w:rsidRPr="009F02A6">
        <w:rPr>
          <w:rFonts w:ascii="Cambria" w:eastAsia="Times New Roman" w:hAnsi="Cambria" w:cs="Times New Roman"/>
          <w:sz w:val="24"/>
          <w:szCs w:val="24"/>
        </w:rPr>
        <w:t xml:space="preserve">ominance PAD model] as a tool to understand how the one social media user’s caption may affect other users in a social–media environment (see Huang 2001). PAD model should be especially effective to measure the emotion engendered in social media environment, because it is originated from environmental psychology (Massara et al 2010). Moreover, PAD dimensions can characterize all emotion related concepts like– moods, feelings etc. (Huang 2001). So, using these dimensions should provide broader perspective of emotion and more robust conceptual framework. Yim (2018) has already shown that ‘Pleasure’ acts as an emotional mechanism and a mediator between SCV and attitude. Walking on the same path, this research seeks to extend Yim (2018)’s study on SCV by introducing ‘Arousal’ and ‘Dominance’ dimensions along with Pleasure of PAD model to have a comprehensive account of emotional mechanism, which has never been tested before in sustainable–consumption literature. </w:t>
      </w:r>
    </w:p>
    <w:p w14:paraId="5D80ED42" w14:textId="15CC9A58" w:rsidR="00E91201" w:rsidRPr="009F02A6" w:rsidRDefault="00E91201" w:rsidP="00E91201">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 xml:space="preserve">However, emotions are not a direct predictor of behavioural intention (Desmet, 2010). In other words, aroused emotion from </w:t>
      </w:r>
      <w:r w:rsidR="00B230F5"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B230F5" w:rsidRPr="009F02A6">
        <w:rPr>
          <w:rFonts w:ascii="Cambria" w:eastAsia="Calibri" w:hAnsi="Cambria" w:cs="Adobe Devanagari"/>
          <w:sz w:val="24"/>
          <w:szCs w:val="24"/>
        </w:rPr>
        <w:t xml:space="preserve"> message</w:t>
      </w:r>
      <w:r w:rsidR="00B230F5" w:rsidRPr="009F02A6">
        <w:rPr>
          <w:rFonts w:ascii="Cambria" w:eastAsia="Calibri" w:hAnsi="Cambria" w:cs="Times New Roman"/>
          <w:sz w:val="24"/>
          <w:szCs w:val="24"/>
        </w:rPr>
        <w:t xml:space="preserve"> </w:t>
      </w:r>
      <w:r w:rsidRPr="009F02A6">
        <w:rPr>
          <w:rFonts w:ascii="Cambria" w:eastAsia="Times New Roman" w:hAnsi="Cambria" w:cs="Times New Roman"/>
          <w:sz w:val="24"/>
          <w:szCs w:val="24"/>
        </w:rPr>
        <w:t xml:space="preserve">do not guarantee the </w:t>
      </w:r>
      <w:r w:rsidRPr="009F02A6">
        <w:rPr>
          <w:rFonts w:ascii="Cambria" w:eastAsia="Times New Roman" w:hAnsi="Cambria" w:cs="Times New Roman"/>
          <w:sz w:val="24"/>
          <w:szCs w:val="24"/>
        </w:rPr>
        <w:lastRenderedPageBreak/>
        <w:t xml:space="preserve">sustainable behaviour. The more engage people are in social–media the greater number of people are exposed and aware of the consumption choices (Lin and Hsu 2015; Buenstorf and Cordes, 2008) or other information like– the correct use of the sustainable product or the symbolic meaning of the sustainable–consumption. For instance, sustainable certification holds symbolic meaning in the online consumer community, who are focused on sustainable behaviour (Discetti 2021). Because </w:t>
      </w:r>
      <w:bookmarkStart w:id="11" w:name="_Hlk85225731"/>
      <w:r w:rsidRPr="009F02A6">
        <w:rPr>
          <w:rFonts w:ascii="Cambria" w:eastAsia="Times New Roman" w:hAnsi="Cambria" w:cs="Times New Roman"/>
          <w:sz w:val="24"/>
          <w:szCs w:val="24"/>
        </w:rPr>
        <w:t>information found in social–media through engagement has the potentiality to become new norm and promote behavioural change</w:t>
      </w:r>
      <w:bookmarkEnd w:id="11"/>
      <w:r w:rsidRPr="009F02A6">
        <w:rPr>
          <w:rFonts w:ascii="Cambria" w:eastAsia="Times New Roman" w:hAnsi="Cambria" w:cs="Times New Roman"/>
          <w:sz w:val="24"/>
          <w:szCs w:val="24"/>
        </w:rPr>
        <w:t xml:space="preserve"> (Bolton et al 2013). This phenomenon occurs due to the acquired sense of community through interaction and exposure to the new information in social–media, which influences people to re–examine their belief and reformulate their behaviour (Bolton et al 2013; Li 2013). It is posited that, creation of new normative belief can affect customers’ intention (Pickett–Backer and Ozaki 2008). Social networking sites were successful to educate</w:t>
      </w:r>
      <w:r w:rsidR="000E754A">
        <w:rPr>
          <w:rFonts w:ascii="Cambria" w:eastAsia="Times New Roman" w:hAnsi="Cambria" w:cs="Times New Roman"/>
          <w:sz w:val="24"/>
          <w:szCs w:val="24"/>
        </w:rPr>
        <w:t xml:space="preserve"> general</w:t>
      </w:r>
      <w:r w:rsidRPr="009F02A6">
        <w:rPr>
          <w:rFonts w:ascii="Cambria" w:eastAsia="Times New Roman" w:hAnsi="Cambria" w:cs="Times New Roman"/>
          <w:sz w:val="24"/>
          <w:szCs w:val="24"/>
        </w:rPr>
        <w:t xml:space="preserve"> </w:t>
      </w:r>
      <w:r w:rsidR="00A37AF8" w:rsidRPr="009F02A6">
        <w:rPr>
          <w:rFonts w:ascii="Cambria" w:eastAsia="Times New Roman" w:hAnsi="Cambria" w:cs="Times New Roman"/>
          <w:sz w:val="24"/>
          <w:szCs w:val="24"/>
        </w:rPr>
        <w:t>public</w:t>
      </w:r>
      <w:r w:rsidRPr="009F02A6">
        <w:rPr>
          <w:rFonts w:ascii="Cambria" w:eastAsia="Times New Roman" w:hAnsi="Cambria" w:cs="Times New Roman"/>
          <w:sz w:val="24"/>
          <w:szCs w:val="24"/>
        </w:rPr>
        <w:t xml:space="preserve"> about environmental issues used by non–profit groups (Fernando et al 2014). Purchase behaviour may also change towards sustainable one complementing the rising concern for environmental problems, since green consumption may signal social value (Brooks and Wiloson 2015). In other words, the urge to be liked others affects pro–environmental commitment, leads the consumers to adoption intentions of sustainable practices (Cho et al 2013). </w:t>
      </w:r>
    </w:p>
    <w:p w14:paraId="361AE115" w14:textId="172E9459" w:rsidR="00E91201" w:rsidRPr="009F02A6" w:rsidRDefault="00E91201" w:rsidP="00E91201">
      <w:pPr>
        <w:spacing w:after="200" w:line="360" w:lineRule="auto"/>
        <w:jc w:val="both"/>
        <w:rPr>
          <w:rFonts w:ascii="Cambria" w:eastAsia="Times New Roman" w:hAnsi="Cambria" w:cs="Times New Roman"/>
          <w:sz w:val="24"/>
          <w:szCs w:val="24"/>
        </w:rPr>
      </w:pPr>
      <w:bookmarkStart w:id="12" w:name="_Hlk85225703"/>
      <w:r w:rsidRPr="009F02A6">
        <w:rPr>
          <w:rFonts w:ascii="Cambria" w:eastAsia="Times New Roman" w:hAnsi="Cambria" w:cs="Times New Roman"/>
          <w:sz w:val="24"/>
          <w:szCs w:val="24"/>
        </w:rPr>
        <w:t xml:space="preserve">Consumption, especially choice of sustainable product, is greatly influenced by social norm and information </w:t>
      </w:r>
      <w:bookmarkEnd w:id="12"/>
      <w:r w:rsidRPr="009F02A6">
        <w:rPr>
          <w:rFonts w:ascii="Cambria" w:eastAsia="Times New Roman" w:hAnsi="Cambria" w:cs="Times New Roman"/>
          <w:sz w:val="24"/>
          <w:szCs w:val="24"/>
        </w:rPr>
        <w:t xml:space="preserve">(Caprar and Neville 2012; Cho et al 2013; White and Simpson 2013; Chan et al 2008). Hence, it is proposed that normative social influence and informative social influence will be affected by social–media–engagement with the ad, which </w:t>
      </w:r>
      <w:r w:rsidRPr="009F02A6">
        <w:rPr>
          <w:rFonts w:ascii="Cambria" w:eastAsia="Times New Roman" w:hAnsi="Cambria" w:cs="Times New Roman"/>
          <w:sz w:val="24"/>
          <w:szCs w:val="24"/>
          <w:lang w:val="is-IS"/>
        </w:rPr>
        <w:t xml:space="preserve">in turn </w:t>
      </w:r>
      <w:r w:rsidRPr="009F02A6">
        <w:rPr>
          <w:rFonts w:ascii="Cambria" w:eastAsia="Times New Roman" w:hAnsi="Cambria" w:cs="Times New Roman"/>
          <w:sz w:val="24"/>
          <w:szCs w:val="24"/>
        </w:rPr>
        <w:t xml:space="preserve">should </w:t>
      </w:r>
      <w:r w:rsidRPr="009F02A6">
        <w:rPr>
          <w:rFonts w:ascii="Cambria" w:eastAsia="Times New Roman" w:hAnsi="Cambria" w:cs="Times New Roman"/>
          <w:sz w:val="24"/>
          <w:szCs w:val="24"/>
          <w:lang w:val="is-IS"/>
        </w:rPr>
        <w:t xml:space="preserve">impact brand pucrhase intentions and other sustainable behavioural intentions </w:t>
      </w:r>
      <w:r w:rsidRPr="009F02A6">
        <w:rPr>
          <w:rFonts w:ascii="Cambria" w:eastAsia="Times New Roman" w:hAnsi="Cambria" w:cs="Times New Roman"/>
          <w:sz w:val="24"/>
          <w:szCs w:val="24"/>
        </w:rPr>
        <w:t>(Deutsch and Gerard 1955).</w:t>
      </w:r>
    </w:p>
    <w:p w14:paraId="73A57164" w14:textId="46F23CFB" w:rsidR="00D2452E" w:rsidRPr="00530906" w:rsidRDefault="00D2452E" w:rsidP="008756B1">
      <w:pPr>
        <w:pStyle w:val="Heading2"/>
        <w:jc w:val="both"/>
        <w:rPr>
          <w:rFonts w:ascii="Cambria" w:eastAsia="Times New Roman" w:hAnsi="Cambria"/>
          <w:noProof/>
        </w:rPr>
      </w:pPr>
      <w:bookmarkStart w:id="13" w:name="_Toc115726213"/>
      <w:r w:rsidRPr="00530906">
        <w:rPr>
          <w:rFonts w:ascii="Cambria" w:eastAsia="Times New Roman" w:hAnsi="Cambria"/>
          <w:noProof/>
        </w:rPr>
        <w:t>1.</w:t>
      </w:r>
      <w:r w:rsidR="00823647" w:rsidRPr="00530906">
        <w:rPr>
          <w:rFonts w:ascii="Cambria" w:eastAsia="Times New Roman" w:hAnsi="Cambria"/>
          <w:noProof/>
        </w:rPr>
        <w:t>5</w:t>
      </w:r>
      <w:r w:rsidR="00203029" w:rsidRPr="00530906">
        <w:rPr>
          <w:rFonts w:ascii="Cambria" w:eastAsia="Times New Roman" w:hAnsi="Cambria"/>
          <w:noProof/>
        </w:rPr>
        <w:t>.</w:t>
      </w:r>
      <w:r w:rsidRPr="00530906">
        <w:rPr>
          <w:rFonts w:ascii="Cambria" w:eastAsia="Times New Roman" w:hAnsi="Cambria"/>
          <w:noProof/>
        </w:rPr>
        <w:t xml:space="preserve"> Aims</w:t>
      </w:r>
      <w:r w:rsidR="00DE1B46" w:rsidRPr="00530906">
        <w:rPr>
          <w:rFonts w:ascii="Cambria" w:eastAsia="Times New Roman" w:hAnsi="Cambria"/>
          <w:noProof/>
        </w:rPr>
        <w:t xml:space="preserve">, </w:t>
      </w:r>
      <w:r w:rsidRPr="00530906">
        <w:rPr>
          <w:rFonts w:ascii="Cambria" w:eastAsia="Times New Roman" w:hAnsi="Cambria"/>
          <w:noProof/>
        </w:rPr>
        <w:t>Objectives</w:t>
      </w:r>
      <w:r w:rsidR="00DE1B46" w:rsidRPr="00530906">
        <w:rPr>
          <w:rFonts w:ascii="Cambria" w:eastAsia="Times New Roman" w:hAnsi="Cambria"/>
          <w:noProof/>
        </w:rPr>
        <w:t>, Research Question and Contribution</w:t>
      </w:r>
      <w:bookmarkEnd w:id="13"/>
    </w:p>
    <w:p w14:paraId="58FE5B12" w14:textId="5952CF57" w:rsidR="00D2452E" w:rsidRPr="009F02A6" w:rsidRDefault="00D2452E">
      <w:pPr>
        <w:tabs>
          <w:tab w:val="num" w:pos="720"/>
        </w:tabs>
        <w:spacing w:after="200" w:line="360" w:lineRule="auto"/>
        <w:jc w:val="both"/>
        <w:rPr>
          <w:rFonts w:ascii="Cambria" w:eastAsia="Times New Roman" w:hAnsi="Cambria" w:cs="Times New Roman"/>
          <w:noProof/>
          <w:sz w:val="24"/>
          <w:szCs w:val="24"/>
        </w:rPr>
      </w:pPr>
      <w:r w:rsidRPr="00530906">
        <w:rPr>
          <w:rFonts w:ascii="Cambria" w:eastAsia="Times New Roman" w:hAnsi="Cambria" w:cs="Adobe Devanagari"/>
          <w:sz w:val="24"/>
          <w:szCs w:val="24"/>
        </w:rPr>
        <w:t xml:space="preserve">This </w:t>
      </w:r>
      <w:r w:rsidRPr="009F02A6">
        <w:rPr>
          <w:rFonts w:ascii="Cambria" w:eastAsia="Times New Roman" w:hAnsi="Cambria" w:cs="Adobe Devanagari"/>
          <w:sz w:val="24"/>
          <w:szCs w:val="24"/>
        </w:rPr>
        <w:t xml:space="preserve">study aims to fill the gap in sustainable behaviour literature as well as social media engagement literature from the context of </w:t>
      </w:r>
      <w:r w:rsidR="00096CD2" w:rsidRPr="009F02A6">
        <w:rPr>
          <w:rFonts w:ascii="Cambria" w:eastAsia="Times New Roman" w:hAnsi="Cambria" w:cs="Adobe Devanagari"/>
          <w:sz w:val="24"/>
          <w:szCs w:val="24"/>
        </w:rPr>
        <w:t xml:space="preserve">social media engagement with the </w:t>
      </w:r>
      <w:r w:rsidR="00B97986"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B97986" w:rsidRPr="009F02A6">
        <w:rPr>
          <w:rFonts w:ascii="Cambria" w:eastAsia="Calibri" w:hAnsi="Cambria" w:cs="Adobe Devanagari"/>
          <w:sz w:val="24"/>
          <w:szCs w:val="24"/>
        </w:rPr>
        <w:t xml:space="preserve"> message</w:t>
      </w:r>
      <w:r w:rsidRPr="009F02A6">
        <w:rPr>
          <w:rFonts w:ascii="Cambria" w:eastAsia="Times New Roman" w:hAnsi="Cambria" w:cs="Adobe Devanagari"/>
          <w:sz w:val="24"/>
          <w:szCs w:val="24"/>
        </w:rPr>
        <w:t xml:space="preserve">. </w:t>
      </w:r>
      <w:r w:rsidRPr="009F02A6">
        <w:rPr>
          <w:rFonts w:ascii="Cambria" w:eastAsia="Calibri" w:hAnsi="Cambria" w:cs="Times New Roman"/>
          <w:sz w:val="24"/>
          <w:szCs w:val="24"/>
        </w:rPr>
        <w:t xml:space="preserve">This thesis posits that, social media users’ opinion about the message regarding sustainable product dictates sustainable behaviour of other consumers. </w:t>
      </w:r>
      <w:r w:rsidRPr="009F02A6">
        <w:rPr>
          <w:rFonts w:ascii="Cambria" w:eastAsia="Times New Roman" w:hAnsi="Cambria" w:cs="Times New Roman"/>
          <w:noProof/>
          <w:sz w:val="24"/>
          <w:szCs w:val="24"/>
        </w:rPr>
        <w:t xml:space="preserve">The perceptions of </w:t>
      </w:r>
      <w:r w:rsidR="00974D46" w:rsidRPr="009F02A6">
        <w:rPr>
          <w:rFonts w:ascii="Cambria" w:eastAsia="Times New Roman" w:hAnsi="Cambria" w:cs="Times New Roman"/>
          <w:noProof/>
          <w:sz w:val="24"/>
          <w:szCs w:val="24"/>
        </w:rPr>
        <w:t xml:space="preserve">the social media </w:t>
      </w:r>
      <w:r w:rsidRPr="009F02A6">
        <w:rPr>
          <w:rFonts w:ascii="Cambria" w:eastAsia="Times New Roman" w:hAnsi="Cambria" w:cs="Times New Roman"/>
          <w:noProof/>
          <w:sz w:val="24"/>
          <w:szCs w:val="24"/>
        </w:rPr>
        <w:t xml:space="preserve">users are usully expressed in the captions /statement accompanying the </w:t>
      </w:r>
      <w:r w:rsidR="00B26748" w:rsidRPr="009F02A6">
        <w:rPr>
          <w:rFonts w:ascii="Cambria" w:eastAsia="Times New Roman" w:hAnsi="Cambria" w:cs="Times New Roman"/>
          <w:noProof/>
          <w:sz w:val="24"/>
          <w:szCs w:val="24"/>
        </w:rPr>
        <w:t xml:space="preserve">ad with sustainbility message </w:t>
      </w:r>
      <w:r w:rsidRPr="009F02A6">
        <w:rPr>
          <w:rFonts w:ascii="Cambria" w:eastAsia="Times New Roman" w:hAnsi="Cambria" w:cs="Times New Roman"/>
          <w:noProof/>
          <w:sz w:val="24"/>
          <w:szCs w:val="24"/>
        </w:rPr>
        <w:t xml:space="preserve">if </w:t>
      </w:r>
      <w:r w:rsidR="009A1E64" w:rsidRPr="009F02A6">
        <w:rPr>
          <w:rFonts w:ascii="Cambria" w:eastAsia="Times New Roman" w:hAnsi="Cambria" w:cs="Times New Roman"/>
          <w:noProof/>
          <w:sz w:val="24"/>
          <w:szCs w:val="24"/>
        </w:rPr>
        <w:t>they</w:t>
      </w:r>
      <w:r w:rsidRPr="009F02A6">
        <w:rPr>
          <w:rFonts w:ascii="Cambria" w:eastAsia="Times New Roman" w:hAnsi="Cambria" w:cs="Times New Roman"/>
          <w:noProof/>
          <w:sz w:val="24"/>
          <w:szCs w:val="24"/>
        </w:rPr>
        <w:t xml:space="preserve"> choose to post</w:t>
      </w:r>
      <w:r w:rsidR="009A1E64" w:rsidRPr="009F02A6">
        <w:rPr>
          <w:rFonts w:ascii="Cambria" w:eastAsia="Times New Roman" w:hAnsi="Cambria" w:cs="Times New Roman"/>
          <w:noProof/>
          <w:sz w:val="24"/>
          <w:szCs w:val="24"/>
        </w:rPr>
        <w:t xml:space="preserve"> it</w:t>
      </w:r>
      <w:r w:rsidRPr="009F02A6">
        <w:rPr>
          <w:rFonts w:ascii="Cambria" w:eastAsia="Times New Roman" w:hAnsi="Cambria" w:cs="Times New Roman"/>
          <w:noProof/>
          <w:sz w:val="24"/>
          <w:szCs w:val="24"/>
        </w:rPr>
        <w:t>.</w:t>
      </w:r>
      <w:r w:rsidRPr="009F02A6">
        <w:rPr>
          <w:rFonts w:ascii="Cambria" w:eastAsia="Times New Roman" w:hAnsi="Cambria" w:cs="Times New Roman"/>
          <w:sz w:val="24"/>
          <w:szCs w:val="24"/>
        </w:rPr>
        <w:t xml:space="preserve"> Since positive or negatively content /statement (eWOM) direct the subsequent </w:t>
      </w:r>
      <w:r w:rsidRPr="009F02A6">
        <w:rPr>
          <w:rFonts w:ascii="Cambria" w:eastAsia="Times New Roman" w:hAnsi="Cambria" w:cs="Times New Roman"/>
          <w:sz w:val="24"/>
          <w:szCs w:val="24"/>
        </w:rPr>
        <w:lastRenderedPageBreak/>
        <w:t xml:space="preserve">engagement </w:t>
      </w:r>
      <w:r w:rsidR="006A138A" w:rsidRPr="009F02A6">
        <w:rPr>
          <w:rFonts w:ascii="Cambria" w:eastAsia="Times New Roman" w:hAnsi="Cambria" w:cs="Times New Roman"/>
          <w:sz w:val="24"/>
          <w:szCs w:val="24"/>
        </w:rPr>
        <w:t xml:space="preserve">in online media </w:t>
      </w:r>
      <w:r w:rsidRPr="009F02A6">
        <w:rPr>
          <w:rFonts w:ascii="Cambria" w:eastAsia="Times New Roman" w:hAnsi="Cambria" w:cs="Times New Roman"/>
          <w:sz w:val="24"/>
          <w:szCs w:val="24"/>
        </w:rPr>
        <w:t>(Van Doorn</w:t>
      </w:r>
      <w:r w:rsidR="00112367" w:rsidRPr="009F02A6">
        <w:rPr>
          <w:rFonts w:ascii="Cambria" w:eastAsia="Times New Roman" w:hAnsi="Cambria" w:cs="Times New Roman"/>
          <w:sz w:val="24"/>
          <w:szCs w:val="24"/>
        </w:rPr>
        <w:t xml:space="preserve"> et al</w:t>
      </w:r>
      <w:r w:rsidRPr="009F02A6">
        <w:rPr>
          <w:rFonts w:ascii="Cambria" w:eastAsia="Times New Roman" w:hAnsi="Cambria" w:cs="Times New Roman"/>
          <w:sz w:val="24"/>
          <w:szCs w:val="24"/>
        </w:rPr>
        <w:t xml:space="preserve"> 2010), t</w:t>
      </w:r>
      <w:r w:rsidRPr="009F02A6">
        <w:rPr>
          <w:rFonts w:ascii="Cambria" w:eastAsia="Times New Roman" w:hAnsi="Cambria" w:cs="Times New Roman"/>
          <w:noProof/>
          <w:sz w:val="24"/>
          <w:szCs w:val="24"/>
        </w:rPr>
        <w:t>his study examines the difference in the imapct of positive and negative statements on subsequent social media engagem</w:t>
      </w:r>
      <w:r w:rsidR="00A00DCA" w:rsidRPr="009F02A6">
        <w:rPr>
          <w:rFonts w:ascii="Cambria" w:eastAsia="Times New Roman" w:hAnsi="Cambria" w:cs="Times New Roman"/>
          <w:noProof/>
          <w:sz w:val="24"/>
          <w:szCs w:val="24"/>
        </w:rPr>
        <w:t>e</w:t>
      </w:r>
      <w:r w:rsidRPr="009F02A6">
        <w:rPr>
          <w:rFonts w:ascii="Cambria" w:eastAsia="Times New Roman" w:hAnsi="Cambria" w:cs="Times New Roman"/>
          <w:noProof/>
          <w:sz w:val="24"/>
          <w:szCs w:val="24"/>
        </w:rPr>
        <w:t>nt</w:t>
      </w:r>
      <w:r w:rsidR="00A00DCA" w:rsidRPr="009F02A6">
        <w:rPr>
          <w:rFonts w:ascii="Cambria" w:eastAsia="Times New Roman" w:hAnsi="Cambria" w:cs="Times New Roman"/>
          <w:noProof/>
          <w:sz w:val="24"/>
          <w:szCs w:val="24"/>
        </w:rPr>
        <w:t xml:space="preserve"> with the </w:t>
      </w:r>
      <w:r w:rsidR="00A70CAB" w:rsidRPr="009F02A6">
        <w:rPr>
          <w:rFonts w:ascii="Cambria" w:eastAsia="Times New Roman" w:hAnsi="Cambria" w:cs="Times New Roman"/>
          <w:noProof/>
          <w:sz w:val="24"/>
          <w:szCs w:val="24"/>
        </w:rPr>
        <w:t xml:space="preserve">ad with sustainbility message </w:t>
      </w:r>
      <w:r w:rsidRPr="009F02A6">
        <w:rPr>
          <w:rFonts w:ascii="Cambria" w:eastAsia="Times New Roman" w:hAnsi="Cambria" w:cs="Times New Roman"/>
          <w:noProof/>
          <w:sz w:val="24"/>
          <w:szCs w:val="24"/>
        </w:rPr>
        <w:t>and further sustainable behaviour</w:t>
      </w:r>
      <w:r w:rsidR="00A00DCA" w:rsidRPr="009F02A6">
        <w:rPr>
          <w:rFonts w:ascii="Cambria" w:eastAsia="Times New Roman" w:hAnsi="Cambria" w:cs="Times New Roman"/>
          <w:noProof/>
          <w:sz w:val="24"/>
          <w:szCs w:val="24"/>
        </w:rPr>
        <w:t>al</w:t>
      </w:r>
      <w:r w:rsidRPr="009F02A6">
        <w:rPr>
          <w:rFonts w:ascii="Cambria" w:eastAsia="Times New Roman" w:hAnsi="Cambria" w:cs="Times New Roman"/>
          <w:noProof/>
          <w:sz w:val="24"/>
          <w:szCs w:val="24"/>
        </w:rPr>
        <w:t xml:space="preserve"> intention. </w:t>
      </w:r>
      <w:r w:rsidRPr="009F02A6">
        <w:rPr>
          <w:rFonts w:ascii="Cambria" w:eastAsia="Times New Roman" w:hAnsi="Cambria" w:cs="Times New Roman"/>
          <w:sz w:val="24"/>
          <w:szCs w:val="24"/>
        </w:rPr>
        <w:t>So far, no study has been conducted on the effect of the endorsing caption which reflects a user’s thought and emotion of the content.</w:t>
      </w:r>
    </w:p>
    <w:bookmarkStart w:id="14" w:name="_Hlk85188832"/>
    <w:p w14:paraId="23A6685A" w14:textId="6EF97A8E" w:rsidR="0010283E" w:rsidRPr="009F02A6" w:rsidRDefault="002915A6" w:rsidP="006C54D6">
      <w:pPr>
        <w:spacing w:after="200" w:line="360" w:lineRule="auto"/>
        <w:jc w:val="both"/>
        <w:rPr>
          <w:rFonts w:ascii="Cambria" w:eastAsia="Times New Roman" w:hAnsi="Cambria" w:cs="Times New Roman"/>
          <w:noProof/>
          <w:sz w:val="24"/>
          <w:szCs w:val="24"/>
        </w:rPr>
      </w:pPr>
      <w:r w:rsidRPr="009F02A6">
        <w:rPr>
          <w:rFonts w:ascii="Cambria" w:hAnsi="Cambria"/>
          <w:noProof/>
          <w:sz w:val="24"/>
          <w:szCs w:val="24"/>
        </w:rPr>
        <mc:AlternateContent>
          <mc:Choice Requires="wpg">
            <w:drawing>
              <wp:anchor distT="0" distB="0" distL="114300" distR="114300" simplePos="0" relativeHeight="251657216" behindDoc="0" locked="0" layoutInCell="1" allowOverlap="1" wp14:anchorId="7A5C06D5" wp14:editId="5FD2AFDB">
                <wp:simplePos x="0" y="0"/>
                <wp:positionH relativeFrom="margin">
                  <wp:posOffset>187960</wp:posOffset>
                </wp:positionH>
                <wp:positionV relativeFrom="paragraph">
                  <wp:posOffset>690245</wp:posOffset>
                </wp:positionV>
                <wp:extent cx="2112010" cy="3419475"/>
                <wp:effectExtent l="0" t="0" r="21590" b="9525"/>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419475"/>
                          <a:chOff x="-171" y="-330"/>
                          <a:chExt cx="3326" cy="5385"/>
                        </a:xfrm>
                      </wpg:grpSpPr>
                      <wps:wsp>
                        <wps:cNvPr id="24" name="Straight Arrow Connector 23"/>
                        <wps:cNvCnPr>
                          <a:cxnSpLocks noChangeArrowheads="1"/>
                        </wps:cNvCnPr>
                        <wps:spPr bwMode="auto">
                          <a:xfrm>
                            <a:off x="1492" y="732"/>
                            <a:ext cx="0" cy="407"/>
                          </a:xfrm>
                          <a:prstGeom prst="straightConnector1">
                            <a:avLst/>
                          </a:prstGeom>
                          <a:noFill/>
                          <a:ln w="19050">
                            <a:solidFill>
                              <a:srgbClr val="7F7F7F"/>
                            </a:solidFill>
                            <a:miter lim="800000"/>
                            <a:headEnd/>
                            <a:tailEnd type="triangle" w="med" len="med"/>
                          </a:ln>
                          <a:extLst>
                            <a:ext uri="{909E8E84-426E-40DD-AFC4-6F175D3DCCD1}">
                              <a14:hiddenFill xmlns:a14="http://schemas.microsoft.com/office/drawing/2010/main">
                                <a:noFill/>
                              </a14:hiddenFill>
                            </a:ext>
                          </a:extLst>
                        </wps:spPr>
                        <wps:bodyPr/>
                      </wps:wsp>
                      <wpg:grpSp>
                        <wpg:cNvPr id="25" name="Group 24"/>
                        <wpg:cNvGrpSpPr>
                          <a:grpSpLocks/>
                        </wpg:cNvGrpSpPr>
                        <wpg:grpSpPr bwMode="auto">
                          <a:xfrm>
                            <a:off x="-171" y="-330"/>
                            <a:ext cx="3326" cy="5385"/>
                            <a:chOff x="-171" y="-330"/>
                            <a:chExt cx="3326" cy="5385"/>
                          </a:xfrm>
                        </wpg:grpSpPr>
                        <wps:wsp>
                          <wps:cNvPr id="26" name="Rectangle 25"/>
                          <wps:cNvSpPr>
                            <a:spLocks noChangeArrowheads="1"/>
                          </wps:cNvSpPr>
                          <wps:spPr bwMode="auto">
                            <a:xfrm>
                              <a:off x="322" y="3367"/>
                              <a:ext cx="2506" cy="785"/>
                            </a:xfrm>
                            <a:prstGeom prst="rect">
                              <a:avLst/>
                            </a:prstGeom>
                            <a:solidFill>
                              <a:srgbClr val="A5A5A5"/>
                            </a:solidFill>
                            <a:ln w="3175">
                              <a:solidFill>
                                <a:srgbClr val="000000"/>
                              </a:solidFill>
                              <a:miter lim="800000"/>
                              <a:headEnd/>
                              <a:tailEnd/>
                            </a:ln>
                          </wps:spPr>
                          <wps:txbx>
                            <w:txbxContent>
                              <w:p w14:paraId="0FC8ED7B" w14:textId="77777777" w:rsidR="00D34F1C" w:rsidRDefault="00D34F1C" w:rsidP="00D2452E">
                                <w:r>
                                  <w:t>Sustainable behaviour intention</w:t>
                                </w:r>
                              </w:p>
                              <w:p w14:paraId="2A4B46A0" w14:textId="77777777" w:rsidR="00D34F1C" w:rsidRDefault="00D34F1C" w:rsidP="00D2452E"/>
                            </w:txbxContent>
                          </wps:txbx>
                          <wps:bodyPr rot="0" vert="horz" wrap="square" lIns="91440" tIns="45720" rIns="91440" bIns="45720" anchor="t" anchorCtr="0" upright="1">
                            <a:noAutofit/>
                          </wps:bodyPr>
                        </wps:wsp>
                        <wpg:grpSp>
                          <wpg:cNvPr id="27" name="Group 26"/>
                          <wpg:cNvGrpSpPr>
                            <a:grpSpLocks/>
                          </wpg:cNvGrpSpPr>
                          <wpg:grpSpPr bwMode="auto">
                            <a:xfrm>
                              <a:off x="-171" y="-330"/>
                              <a:ext cx="3326" cy="3386"/>
                              <a:chOff x="-1089" y="-2096"/>
                              <a:chExt cx="21126" cy="21508"/>
                            </a:xfrm>
                          </wpg:grpSpPr>
                          <wps:wsp>
                            <wps:cNvPr id="28" name="Text Box 347"/>
                            <wps:cNvSpPr txBox="1">
                              <a:spLocks noChangeArrowheads="1"/>
                            </wps:cNvSpPr>
                            <wps:spPr bwMode="auto">
                              <a:xfrm>
                                <a:off x="249" y="-2096"/>
                                <a:ext cx="18198" cy="6561"/>
                              </a:xfrm>
                              <a:prstGeom prst="rect">
                                <a:avLst/>
                              </a:prstGeom>
                              <a:solidFill>
                                <a:srgbClr val="A9CBB7"/>
                              </a:solidFill>
                              <a:ln w="6350">
                                <a:solidFill>
                                  <a:srgbClr val="000000"/>
                                </a:solidFill>
                                <a:miter lim="800000"/>
                                <a:headEnd/>
                                <a:tailEnd/>
                              </a:ln>
                            </wps:spPr>
                            <wps:txbx>
                              <w:txbxContent>
                                <w:p w14:paraId="6E3F8E56" w14:textId="73191742" w:rsidR="00D34F1C" w:rsidRDefault="00D34F1C" w:rsidP="00D2452E">
                                  <w:pPr>
                                    <w:pStyle w:val="NoSpacing"/>
                                  </w:pPr>
                                  <w:r>
                                    <w:t>Positive vs negative caption</w:t>
                                  </w:r>
                                  <w:r w:rsidR="00B87BDD">
                                    <w:t xml:space="preserve"> accompanying</w:t>
                                  </w:r>
                                  <w:r>
                                    <w:t xml:space="preserve"> </w:t>
                                  </w:r>
                                  <w:r w:rsidR="003311FC" w:rsidRPr="003311FC">
                                    <w:t xml:space="preserve">ad with </w:t>
                                  </w:r>
                                  <w:r w:rsidR="00B47E37" w:rsidRPr="003311FC">
                                    <w:t>sustainability</w:t>
                                  </w:r>
                                  <w:r w:rsidR="003311FC" w:rsidRPr="003311FC">
                                    <w:t xml:space="preserve"> message</w:t>
                                  </w:r>
                                </w:p>
                                <w:p w14:paraId="17445A6D" w14:textId="77777777" w:rsidR="00D34F1C" w:rsidRDefault="00D34F1C" w:rsidP="00D2452E">
                                  <w:pPr>
                                    <w:pStyle w:val="NoSpacing"/>
                                  </w:pPr>
                                </w:p>
                                <w:p w14:paraId="344DD1B4" w14:textId="77777777" w:rsidR="00D34F1C" w:rsidRDefault="00D34F1C" w:rsidP="00D2452E"/>
                              </w:txbxContent>
                            </wps:txbx>
                            <wps:bodyPr rot="0" vert="horz" wrap="square" lIns="91440" tIns="45720" rIns="91440" bIns="45720" anchor="t" anchorCtr="0" upright="1">
                              <a:noAutofit/>
                            </wps:bodyPr>
                          </wps:wsp>
                          <wps:wsp>
                            <wps:cNvPr id="29" name="Text Box 349"/>
                            <wps:cNvSpPr txBox="1">
                              <a:spLocks noChangeArrowheads="1"/>
                            </wps:cNvSpPr>
                            <wps:spPr bwMode="auto">
                              <a:xfrm>
                                <a:off x="1096" y="7222"/>
                                <a:ext cx="16190" cy="4756"/>
                              </a:xfrm>
                              <a:prstGeom prst="rect">
                                <a:avLst/>
                              </a:prstGeom>
                              <a:solidFill>
                                <a:srgbClr val="C7ABFF"/>
                              </a:solidFill>
                              <a:ln w="6350">
                                <a:solidFill>
                                  <a:srgbClr val="000000"/>
                                </a:solidFill>
                                <a:miter lim="800000"/>
                                <a:headEnd/>
                                <a:tailEnd/>
                              </a:ln>
                            </wps:spPr>
                            <wps:txbx>
                              <w:txbxContent>
                                <w:p w14:paraId="533760C5" w14:textId="77777777" w:rsidR="00D34F1C" w:rsidRDefault="00D34F1C" w:rsidP="00D2452E">
                                  <w:r>
                                    <w:t>Social–media engagement with the ad</w:t>
                                  </w:r>
                                </w:p>
                                <w:p w14:paraId="0E885836" w14:textId="77777777" w:rsidR="00D34F1C" w:rsidRDefault="00D34F1C" w:rsidP="00D2452E"/>
                              </w:txbxContent>
                            </wps:txbx>
                            <wps:bodyPr rot="0" vert="horz" wrap="square" lIns="91440" tIns="45720" rIns="91440" bIns="45720" anchor="t" anchorCtr="0" upright="1">
                              <a:noAutofit/>
                            </wps:bodyPr>
                          </wps:wsp>
                          <wps:wsp>
                            <wps:cNvPr id="30" name="Text Box 350"/>
                            <wps:cNvSpPr txBox="1">
                              <a:spLocks noChangeArrowheads="1"/>
                            </wps:cNvSpPr>
                            <wps:spPr bwMode="auto">
                              <a:xfrm>
                                <a:off x="-1089" y="14747"/>
                                <a:ext cx="21126" cy="4665"/>
                              </a:xfrm>
                              <a:prstGeom prst="rect">
                                <a:avLst/>
                              </a:prstGeom>
                              <a:solidFill>
                                <a:srgbClr val="C5E0B4"/>
                              </a:solidFill>
                              <a:ln w="6350">
                                <a:solidFill>
                                  <a:srgbClr val="000000"/>
                                </a:solidFill>
                                <a:miter lim="800000"/>
                                <a:headEnd/>
                                <a:tailEnd/>
                              </a:ln>
                            </wps:spPr>
                            <wps:txbx>
                              <w:txbxContent>
                                <w:p w14:paraId="41410757" w14:textId="68B28EB6" w:rsidR="00D34F1C" w:rsidRDefault="00D34F1C" w:rsidP="00D2452E">
                                  <w:r>
                                    <w:t>Purchase intention of product with sustainability association</w:t>
                                  </w:r>
                                </w:p>
                                <w:p w14:paraId="76C36BBE" w14:textId="77777777" w:rsidR="00D34F1C" w:rsidRDefault="00D34F1C" w:rsidP="00D2452E"/>
                              </w:txbxContent>
                            </wps:txbx>
                            <wps:bodyPr rot="0" vert="horz" wrap="square" lIns="91440" tIns="45720" rIns="91440" bIns="45720" anchor="t" anchorCtr="0" upright="1">
                              <a:noAutofit/>
                            </wps:bodyPr>
                          </wps:wsp>
                          <wps:wsp>
                            <wps:cNvPr id="31" name="Straight Arrow Connector 32"/>
                            <wps:cNvCnPr>
                              <a:cxnSpLocks noChangeArrowheads="1"/>
                            </wps:cNvCnPr>
                            <wps:spPr bwMode="auto">
                              <a:xfrm flipH="1">
                                <a:off x="9477" y="11978"/>
                                <a:ext cx="28" cy="3048"/>
                              </a:xfrm>
                              <a:prstGeom prst="straightConnector1">
                                <a:avLst/>
                              </a:prstGeom>
                              <a:noFill/>
                              <a:ln w="19050">
                                <a:solidFill>
                                  <a:srgbClr val="7F7F7F"/>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2" name="Text Box 352"/>
                          <wps:cNvSpPr txBox="1">
                            <a:spLocks noChangeArrowheads="1"/>
                          </wps:cNvSpPr>
                          <wps:spPr bwMode="auto">
                            <a:xfrm>
                              <a:off x="296" y="4261"/>
                              <a:ext cx="2859"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78A77" w14:textId="77777777" w:rsidR="00D34F1C" w:rsidRDefault="00D34F1C" w:rsidP="00D2452E">
                                <w:r>
                                  <w:t>Fig 4</w:t>
                                </w:r>
                                <w:r w:rsidRPr="00E30CDC">
                                  <w:t>: Initial framework of the thesis</w:t>
                                </w:r>
                              </w:p>
                            </w:txbxContent>
                          </wps:txbx>
                          <wps:bodyPr rot="0" vert="horz" wrap="square" lIns="91440" tIns="45720" rIns="91440" bIns="45720" anchor="t" anchorCtr="0" upright="1">
                            <a:noAutofit/>
                          </wps:bodyPr>
                        </wps:wsp>
                        <wps:wsp>
                          <wps:cNvPr id="33" name="AutoShape 13"/>
                          <wps:cNvCnPr>
                            <a:cxnSpLocks noChangeArrowheads="1"/>
                          </wps:cNvCnPr>
                          <wps:spPr bwMode="auto">
                            <a:xfrm>
                              <a:off x="1492" y="3056"/>
                              <a:ext cx="0" cy="311"/>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A5C06D5" id="Group 23" o:spid="_x0000_s1029" style="position:absolute;left:0;text-align:left;margin-left:14.8pt;margin-top:54.35pt;width:166.3pt;height:269.25pt;z-index:251657216;mso-position-horizontal-relative:margin" coordorigin="-171,-330" coordsize="3326,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">
                <v:shapetype id="_x0000_t32" coordsize="21600,21600" o:spt="32" o:oned="t" path="m,l21600,21600e" filled="f">
                  <v:path arrowok="t" fillok="f" o:connecttype="none"/>
                  <o:lock v:ext="edit" shapetype="t"/>
                </v:shapetype>
                <v:shape id="Straight Arrow Connector 23" o:spid="_x0000_s1030" type="#_x0000_t32" style="position:absolute;left:1492;top:732;width:0;height: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" strokecolor="#7f7f7f" strokeweight="1.5pt">
                  <v:stroke endarrow="block" joinstyle="miter"/>
                  <v:path arrowok="f"/>
                  <o:lock v:ext="edit" shapetype="f"/>
                </v:shape>
                <v:group id="Group 24" o:spid="_x0000_s1031" style="position:absolute;left:-171;top:-330;width:3326;height:5385" coordorigin="-171,-330" coordsize="332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5" o:spid="_x0000_s1032" style="position:absolute;left:322;top:3367;width:250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" fillcolor="#a5a5a5" strokeweight=".25pt">
                    <v:textbox>
                      <w:txbxContent>
                        <w:p w14:paraId="0FC8ED7B" w14:textId="77777777" w:rsidR="00D34F1C" w:rsidRDefault="00D34F1C" w:rsidP="00D2452E">
                          <w:r>
                            <w:t>Sustainable behaviour intention</w:t>
                          </w:r>
                        </w:p>
                        <w:p w14:paraId="2A4B46A0" w14:textId="77777777" w:rsidR="00D34F1C" w:rsidRDefault="00D34F1C" w:rsidP="00D2452E"/>
                      </w:txbxContent>
                    </v:textbox>
                  </v:rect>
                  <v:group id="Group 26" o:spid="_x0000_s1033" style="position:absolute;left:-171;top:-330;width:3326;height:3386" coordorigin="-1089,-2096" coordsize="21126,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Text Box 347" o:spid="_x0000_s1034" type="#_x0000_t202" style="position:absolute;left:249;top:-2096;width:18198;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" fillcolor="#a9cbb7" strokeweight=".5pt">
                      <v:textbox>
                        <w:txbxContent>
                          <w:p w14:paraId="6E3F8E56" w14:textId="73191742" w:rsidR="00D34F1C" w:rsidRDefault="00D34F1C" w:rsidP="00D2452E">
                            <w:pPr>
                              <w:pStyle w:val="NoSpacing"/>
                            </w:pPr>
                            <w:r>
                              <w:t>Positive vs negative caption</w:t>
                            </w:r>
                            <w:r w:rsidR="00B87BDD">
                              <w:t xml:space="preserve"> accompanying</w:t>
                            </w:r>
                            <w:r>
                              <w:t xml:space="preserve"> </w:t>
                            </w:r>
                            <w:r w:rsidR="003311FC" w:rsidRPr="003311FC">
                              <w:t xml:space="preserve">ad with </w:t>
                            </w:r>
                            <w:r w:rsidR="00B47E37" w:rsidRPr="003311FC">
                              <w:t>sustainability</w:t>
                            </w:r>
                            <w:r w:rsidR="003311FC" w:rsidRPr="003311FC">
                              <w:t xml:space="preserve"> message</w:t>
                            </w:r>
                          </w:p>
                          <w:p w14:paraId="17445A6D" w14:textId="77777777" w:rsidR="00D34F1C" w:rsidRDefault="00D34F1C" w:rsidP="00D2452E">
                            <w:pPr>
                              <w:pStyle w:val="NoSpacing"/>
                            </w:pPr>
                          </w:p>
                          <w:p w14:paraId="344DD1B4" w14:textId="77777777" w:rsidR="00D34F1C" w:rsidRDefault="00D34F1C" w:rsidP="00D2452E"/>
                        </w:txbxContent>
                      </v:textbox>
                    </v:shape>
                    <v:shape id="Text Box 349" o:spid="_x0000_s1035" type="#_x0000_t202" style="position:absolute;left:1096;top:7222;width:1619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" fillcolor="#c7abff" strokeweight=".5pt">
                      <v:textbox>
                        <w:txbxContent>
                          <w:p w14:paraId="533760C5" w14:textId="77777777" w:rsidR="00D34F1C" w:rsidRDefault="00D34F1C" w:rsidP="00D2452E">
                            <w:r>
                              <w:t>Social–media engagement with the ad</w:t>
                            </w:r>
                          </w:p>
                          <w:p w14:paraId="0E885836" w14:textId="77777777" w:rsidR="00D34F1C" w:rsidRDefault="00D34F1C" w:rsidP="00D2452E"/>
                        </w:txbxContent>
                      </v:textbox>
                    </v:shape>
                    <v:shape id="Text Box 350" o:spid="_x0000_s1036" type="#_x0000_t202" style="position:absolute;left:-1089;top:14747;width:21126;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" fillcolor="#c5e0b4" strokeweight=".5pt">
                      <v:textbox>
                        <w:txbxContent>
                          <w:p w14:paraId="41410757" w14:textId="68B28EB6" w:rsidR="00D34F1C" w:rsidRDefault="00D34F1C" w:rsidP="00D2452E">
                            <w:r>
                              <w:t>Purchase intention of product with sustainability association</w:t>
                            </w:r>
                          </w:p>
                          <w:p w14:paraId="76C36BBE" w14:textId="77777777" w:rsidR="00D34F1C" w:rsidRDefault="00D34F1C" w:rsidP="00D2452E"/>
                        </w:txbxContent>
                      </v:textbox>
                    </v:shape>
                    <v:shape id="Straight Arrow Connector 32" o:spid="_x0000_s1037" type="#_x0000_t32" style="position:absolute;left:9477;top:11978;width:28;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" strokecolor="#7f7f7f" strokeweight="1.5pt">
                      <v:stroke endarrow="block" joinstyle="miter"/>
                      <v:path arrowok="f"/>
                      <o:lock v:ext="edit" shapetype="f"/>
                    </v:shape>
                  </v:group>
                  <v:shape id="Text Box 352" o:spid="_x0000_s1038" type="#_x0000_t202" style="position:absolute;left:296;top:4261;width:2859;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CF78A77" w14:textId="77777777" w:rsidR="00D34F1C" w:rsidRDefault="00D34F1C" w:rsidP="00D2452E">
                          <w:r>
                            <w:t>Fig 4</w:t>
                          </w:r>
                          <w:r w:rsidRPr="00E30CDC">
                            <w:t>: Initial framework of the thesis</w:t>
                          </w:r>
                        </w:p>
                      </w:txbxContent>
                    </v:textbox>
                  </v:shape>
                  <v:shape id="AutoShape 13" o:spid="_x0000_s1039" type="#_x0000_t32" style="position:absolute;left:1492;top:3056;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" strokecolor="#7f7f7f" strokeweight="2.25pt">
                    <v:stroke endarrow="block"/>
                    <v:path arrowok="f"/>
                    <o:lock v:ext="edit" shapetype="f"/>
                  </v:shape>
                </v:group>
                <w10:wrap type="square" anchorx="margin"/>
              </v:group>
            </w:pict>
          </mc:Fallback>
        </mc:AlternateContent>
      </w:r>
      <w:r w:rsidR="00D2452E" w:rsidRPr="009F02A6">
        <w:rPr>
          <w:rFonts w:ascii="Cambria" w:eastAsia="Times New Roman" w:hAnsi="Cambria" w:cs="Times New Roman"/>
          <w:noProof/>
          <w:sz w:val="24"/>
          <w:szCs w:val="24"/>
        </w:rPr>
        <w:t>This thesis fills this gap in prior research and investigates the antecedents (positive or negative captions accompanying a sustainability–ad) and consequences (users’ purchase intentions</w:t>
      </w:r>
      <w:r w:rsidR="005E7D8E" w:rsidRPr="009F02A6">
        <w:rPr>
          <w:rFonts w:ascii="Cambria" w:eastAsia="Times New Roman" w:hAnsi="Cambria" w:cs="Times New Roman"/>
          <w:noProof/>
          <w:sz w:val="24"/>
          <w:szCs w:val="24"/>
        </w:rPr>
        <w:t xml:space="preserve"> of the advertised product</w:t>
      </w:r>
      <w:r w:rsidR="00D2452E" w:rsidRPr="009F02A6">
        <w:rPr>
          <w:rFonts w:ascii="Cambria" w:eastAsia="Times New Roman" w:hAnsi="Cambria" w:cs="Times New Roman"/>
          <w:noProof/>
          <w:sz w:val="24"/>
          <w:szCs w:val="24"/>
        </w:rPr>
        <w:t xml:space="preserve"> and further sustainable behavioural intentions) of social media engagement with a</w:t>
      </w:r>
      <w:r w:rsidR="00F90528" w:rsidRPr="009F02A6">
        <w:rPr>
          <w:rFonts w:ascii="Cambria" w:eastAsia="Times New Roman" w:hAnsi="Cambria" w:cs="Times New Roman"/>
          <w:noProof/>
          <w:sz w:val="24"/>
          <w:szCs w:val="24"/>
        </w:rPr>
        <w:t>n ad with sustainbility message</w:t>
      </w:r>
      <w:r w:rsidR="00D2452E" w:rsidRPr="009F02A6">
        <w:rPr>
          <w:rFonts w:ascii="Cambria" w:eastAsia="Times New Roman" w:hAnsi="Cambria" w:cs="Times New Roman"/>
          <w:noProof/>
          <w:sz w:val="24"/>
          <w:szCs w:val="24"/>
        </w:rPr>
        <w:t>. Specifically the purpose of this thesis is to look at: 1) the role of social–media users’ opinions, in the form of positive or negative captions accompanying a</w:t>
      </w:r>
      <w:r w:rsidR="00F90528" w:rsidRPr="009F02A6">
        <w:rPr>
          <w:rFonts w:ascii="Cambria" w:eastAsia="Times New Roman" w:hAnsi="Cambria" w:cs="Times New Roman"/>
          <w:noProof/>
          <w:sz w:val="24"/>
          <w:szCs w:val="24"/>
        </w:rPr>
        <w:t xml:space="preserve">n ad with sustainbility message </w:t>
      </w:r>
      <w:r w:rsidR="00D2452E" w:rsidRPr="009F02A6">
        <w:rPr>
          <w:rFonts w:ascii="Cambria" w:eastAsia="Times New Roman" w:hAnsi="Cambria" w:cs="Times New Roman"/>
          <w:noProof/>
          <w:sz w:val="24"/>
          <w:szCs w:val="24"/>
        </w:rPr>
        <w:t xml:space="preserve">(i.e., antecedent) on other users’ social–media engagement with the </w:t>
      </w:r>
      <w:r w:rsidR="00CD56DA" w:rsidRPr="009F02A6">
        <w:rPr>
          <w:rFonts w:ascii="Cambria" w:eastAsia="Times New Roman" w:hAnsi="Cambria" w:cs="Times New Roman"/>
          <w:noProof/>
          <w:sz w:val="24"/>
          <w:szCs w:val="24"/>
        </w:rPr>
        <w:t xml:space="preserve">ad with sustainbility message </w:t>
      </w:r>
      <w:r w:rsidR="00D2452E" w:rsidRPr="009F02A6">
        <w:rPr>
          <w:rFonts w:ascii="Cambria" w:eastAsia="Times New Roman" w:hAnsi="Cambria" w:cs="Times New Roman"/>
          <w:noProof/>
          <w:sz w:val="24"/>
          <w:szCs w:val="24"/>
        </w:rPr>
        <w:t>(i.e., consequences) and 2) the role of social media engagement with a</w:t>
      </w:r>
      <w:r w:rsidR="00CD56DA" w:rsidRPr="009F02A6">
        <w:rPr>
          <w:rFonts w:ascii="Cambria" w:eastAsia="Times New Roman" w:hAnsi="Cambria" w:cs="Times New Roman"/>
          <w:noProof/>
          <w:sz w:val="24"/>
          <w:szCs w:val="24"/>
        </w:rPr>
        <w:t>n ad with sustainbility message</w:t>
      </w:r>
      <w:r w:rsidR="00D2452E" w:rsidRPr="009F02A6">
        <w:rPr>
          <w:rFonts w:ascii="Cambria" w:eastAsia="Times New Roman" w:hAnsi="Cambria" w:cs="Times New Roman"/>
          <w:noProof/>
          <w:sz w:val="24"/>
          <w:szCs w:val="24"/>
        </w:rPr>
        <w:t xml:space="preserve"> (i.e., antecedent)  on users’ purchase intentions</w:t>
      </w:r>
      <w:r w:rsidR="005E7D8E" w:rsidRPr="009F02A6">
        <w:rPr>
          <w:rFonts w:ascii="Cambria" w:eastAsia="Times New Roman" w:hAnsi="Cambria" w:cs="Times New Roman"/>
          <w:noProof/>
          <w:sz w:val="24"/>
          <w:szCs w:val="24"/>
        </w:rPr>
        <w:t xml:space="preserve"> of the advertised product</w:t>
      </w:r>
      <w:r w:rsidR="00D2452E" w:rsidRPr="009F02A6">
        <w:rPr>
          <w:rFonts w:ascii="Cambria" w:eastAsia="Times New Roman" w:hAnsi="Cambria" w:cs="Times New Roman"/>
          <w:noProof/>
          <w:sz w:val="24"/>
          <w:szCs w:val="24"/>
        </w:rPr>
        <w:t xml:space="preserve">, as well as further sustainable behavioural intentions (i.e., consequences) </w:t>
      </w:r>
      <w:bookmarkEnd w:id="14"/>
      <w:r w:rsidR="00D2452E" w:rsidRPr="009F02A6">
        <w:rPr>
          <w:rFonts w:ascii="Cambria" w:eastAsia="Times New Roman" w:hAnsi="Cambria" w:cs="Times New Roman"/>
          <w:noProof/>
          <w:sz w:val="24"/>
          <w:szCs w:val="24"/>
        </w:rPr>
        <w:t>(Fig 4).</w:t>
      </w:r>
      <w:r w:rsidR="0080292C" w:rsidRPr="009F02A6">
        <w:rPr>
          <w:rFonts w:ascii="Cambria" w:eastAsia="Times New Roman" w:hAnsi="Cambria" w:cs="Times New Roman"/>
          <w:noProof/>
          <w:sz w:val="24"/>
          <w:szCs w:val="24"/>
        </w:rPr>
        <w:t xml:space="preserve"> </w:t>
      </w:r>
    </w:p>
    <w:p w14:paraId="5A7C5165" w14:textId="7F84C5D5" w:rsidR="006C54D6" w:rsidRPr="009F02A6" w:rsidRDefault="0080292C" w:rsidP="006C54D6">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noProof/>
          <w:sz w:val="24"/>
          <w:szCs w:val="24"/>
        </w:rPr>
        <w:t xml:space="preserve">This denotes that </w:t>
      </w:r>
      <w:r w:rsidR="004E177D" w:rsidRPr="009F02A6">
        <w:rPr>
          <w:rFonts w:ascii="Cambria" w:eastAsia="Times New Roman" w:hAnsi="Cambria" w:cs="Times New Roman"/>
          <w:noProof/>
          <w:sz w:val="24"/>
          <w:szCs w:val="24"/>
        </w:rPr>
        <w:t>the</w:t>
      </w:r>
      <w:r w:rsidR="005160E2" w:rsidRPr="009F02A6">
        <w:rPr>
          <w:rFonts w:ascii="Cambria" w:eastAsia="Times New Roman" w:hAnsi="Cambria" w:cs="Times New Roman"/>
          <w:noProof/>
          <w:sz w:val="24"/>
          <w:szCs w:val="24"/>
        </w:rPr>
        <w:t xml:space="preserve"> t</w:t>
      </w:r>
      <w:r w:rsidR="009E23AE" w:rsidRPr="009F02A6">
        <w:rPr>
          <w:rFonts w:ascii="Cambria" w:eastAsia="Times New Roman" w:hAnsi="Cambria" w:cs="Times New Roman"/>
          <w:noProof/>
          <w:sz w:val="24"/>
          <w:szCs w:val="24"/>
        </w:rPr>
        <w:t>h</w:t>
      </w:r>
      <w:r w:rsidR="005160E2" w:rsidRPr="009F02A6">
        <w:rPr>
          <w:rFonts w:ascii="Cambria" w:eastAsia="Times New Roman" w:hAnsi="Cambria" w:cs="Times New Roman"/>
          <w:noProof/>
          <w:sz w:val="24"/>
          <w:szCs w:val="24"/>
        </w:rPr>
        <w:t xml:space="preserve">esis has addressed the gap of </w:t>
      </w:r>
      <w:r w:rsidR="009E23AE" w:rsidRPr="009F02A6">
        <w:rPr>
          <w:rFonts w:ascii="Cambria" w:eastAsia="Times New Roman" w:hAnsi="Cambria" w:cs="Times New Roman"/>
          <w:noProof/>
          <w:sz w:val="24"/>
          <w:szCs w:val="24"/>
        </w:rPr>
        <w:t xml:space="preserve">contemporary </w:t>
      </w:r>
      <w:r w:rsidR="004E177D" w:rsidRPr="009F02A6">
        <w:rPr>
          <w:rFonts w:ascii="Cambria" w:eastAsia="Times New Roman" w:hAnsi="Cambria" w:cs="Times New Roman"/>
          <w:noProof/>
          <w:sz w:val="24"/>
          <w:szCs w:val="24"/>
        </w:rPr>
        <w:t>contextual perspective of sustainbillity literature</w:t>
      </w:r>
      <w:r w:rsidR="006D14B7" w:rsidRPr="009F02A6">
        <w:rPr>
          <w:rFonts w:ascii="Cambria" w:eastAsia="Times New Roman" w:hAnsi="Cambria" w:cs="Times New Roman"/>
          <w:noProof/>
          <w:sz w:val="24"/>
          <w:szCs w:val="24"/>
        </w:rPr>
        <w:t xml:space="preserve"> in terms of social media engagement</w:t>
      </w:r>
      <w:r w:rsidR="005160E2" w:rsidRPr="009F02A6">
        <w:rPr>
          <w:rFonts w:ascii="Cambria" w:eastAsia="Times New Roman" w:hAnsi="Cambria" w:cs="Times New Roman"/>
          <w:noProof/>
          <w:sz w:val="24"/>
          <w:szCs w:val="24"/>
        </w:rPr>
        <w:t>.</w:t>
      </w:r>
      <w:r w:rsidR="00C07BCB" w:rsidRPr="009F02A6">
        <w:rPr>
          <w:rFonts w:ascii="Cambria" w:eastAsia="Times New Roman" w:hAnsi="Cambria" w:cs="Times New Roman"/>
          <w:noProof/>
          <w:sz w:val="24"/>
          <w:szCs w:val="24"/>
        </w:rPr>
        <w:t xml:space="preserve"> In the process of doing so, sustainab</w:t>
      </w:r>
      <w:r w:rsidR="006B69E2" w:rsidRPr="009F02A6">
        <w:rPr>
          <w:rFonts w:ascii="Cambria" w:eastAsia="Times New Roman" w:hAnsi="Cambria" w:cs="Times New Roman"/>
          <w:noProof/>
          <w:sz w:val="24"/>
          <w:szCs w:val="24"/>
        </w:rPr>
        <w:t xml:space="preserve">le behaviour </w:t>
      </w:r>
      <w:r w:rsidR="00C07BCB" w:rsidRPr="009F02A6">
        <w:rPr>
          <w:rFonts w:ascii="Cambria" w:eastAsia="Times New Roman" w:hAnsi="Cambria" w:cs="Times New Roman"/>
          <w:noProof/>
          <w:sz w:val="24"/>
          <w:szCs w:val="24"/>
        </w:rPr>
        <w:t xml:space="preserve">literature has also been enriched </w:t>
      </w:r>
      <w:r w:rsidR="009A5197" w:rsidRPr="009F02A6">
        <w:rPr>
          <w:rFonts w:ascii="Cambria" w:eastAsia="Times New Roman" w:hAnsi="Cambria" w:cs="Times New Roman"/>
          <w:noProof/>
          <w:sz w:val="24"/>
          <w:szCs w:val="24"/>
        </w:rPr>
        <w:t>by incorporating wholesome appr</w:t>
      </w:r>
      <w:r w:rsidR="00656F8E" w:rsidRPr="009F02A6">
        <w:rPr>
          <w:rFonts w:ascii="Cambria" w:eastAsia="Times New Roman" w:hAnsi="Cambria" w:cs="Times New Roman"/>
          <w:noProof/>
          <w:sz w:val="24"/>
          <w:szCs w:val="24"/>
        </w:rPr>
        <w:t>oa</w:t>
      </w:r>
      <w:r w:rsidR="009A5197" w:rsidRPr="009F02A6">
        <w:rPr>
          <w:rFonts w:ascii="Cambria" w:eastAsia="Times New Roman" w:hAnsi="Cambria" w:cs="Times New Roman"/>
          <w:noProof/>
          <w:sz w:val="24"/>
          <w:szCs w:val="24"/>
        </w:rPr>
        <w:t>ch of emotional theory and consumption vision theory. More specifically, th</w:t>
      </w:r>
      <w:r w:rsidR="00D2452E" w:rsidRPr="009F02A6">
        <w:rPr>
          <w:rFonts w:ascii="Cambria" w:eastAsia="Times New Roman" w:hAnsi="Cambria" w:cs="Times New Roman"/>
          <w:noProof/>
          <w:sz w:val="24"/>
          <w:szCs w:val="24"/>
        </w:rPr>
        <w:t>e above mentioned obejctives are examined from the lens of ‘self</w:t>
      </w:r>
      <w:r w:rsidR="004179CD" w:rsidRPr="009F02A6">
        <w:rPr>
          <w:rFonts w:ascii="Cambria" w:eastAsia="Times New Roman" w:hAnsi="Cambria" w:cs="Times New Roman"/>
          <w:noProof/>
          <w:sz w:val="24"/>
          <w:szCs w:val="24"/>
        </w:rPr>
        <w:t>–</w:t>
      </w:r>
      <w:r w:rsidR="00D2452E" w:rsidRPr="009F02A6">
        <w:rPr>
          <w:rFonts w:ascii="Cambria" w:eastAsia="Times New Roman" w:hAnsi="Cambria" w:cs="Times New Roman"/>
          <w:noProof/>
          <w:sz w:val="24"/>
          <w:szCs w:val="24"/>
        </w:rPr>
        <w:t>transformative consumption vision’ (SCV) and the Mehrabian Russel Model (otherwise known as ’</w:t>
      </w:r>
      <w:r w:rsidR="00A67CA7" w:rsidRPr="009F02A6">
        <w:rPr>
          <w:rFonts w:ascii="Cambria" w:eastAsia="Times New Roman" w:hAnsi="Cambria" w:cs="Times New Roman"/>
          <w:noProof/>
          <w:sz w:val="24"/>
          <w:szCs w:val="24"/>
        </w:rPr>
        <w:t>P</w:t>
      </w:r>
      <w:r w:rsidR="00D2452E" w:rsidRPr="009F02A6">
        <w:rPr>
          <w:rFonts w:ascii="Cambria" w:eastAsia="Times New Roman" w:hAnsi="Cambria" w:cs="Times New Roman"/>
          <w:noProof/>
          <w:sz w:val="24"/>
          <w:szCs w:val="24"/>
        </w:rPr>
        <w:t>leasure</w:t>
      </w:r>
      <w:r w:rsidR="004179CD" w:rsidRPr="009F02A6">
        <w:rPr>
          <w:rFonts w:ascii="Cambria" w:eastAsia="Times New Roman" w:hAnsi="Cambria" w:cs="Times New Roman"/>
          <w:noProof/>
          <w:sz w:val="24"/>
          <w:szCs w:val="24"/>
        </w:rPr>
        <w:t>–</w:t>
      </w:r>
      <w:r w:rsidR="00A67CA7" w:rsidRPr="009F02A6">
        <w:rPr>
          <w:rFonts w:ascii="Cambria" w:eastAsia="Times New Roman" w:hAnsi="Cambria" w:cs="Times New Roman"/>
          <w:noProof/>
          <w:sz w:val="24"/>
          <w:szCs w:val="24"/>
        </w:rPr>
        <w:t>A</w:t>
      </w:r>
      <w:r w:rsidR="00D2452E" w:rsidRPr="009F02A6">
        <w:rPr>
          <w:rFonts w:ascii="Cambria" w:eastAsia="Times New Roman" w:hAnsi="Cambria" w:cs="Times New Roman"/>
          <w:noProof/>
          <w:sz w:val="24"/>
          <w:szCs w:val="24"/>
        </w:rPr>
        <w:t>rousal</w:t>
      </w:r>
      <w:r w:rsidR="004179CD" w:rsidRPr="009F02A6">
        <w:rPr>
          <w:rFonts w:ascii="Cambria" w:eastAsia="Times New Roman" w:hAnsi="Cambria" w:cs="Times New Roman"/>
          <w:noProof/>
          <w:sz w:val="24"/>
          <w:szCs w:val="24"/>
        </w:rPr>
        <w:t>–</w:t>
      </w:r>
      <w:r w:rsidR="00A67CA7" w:rsidRPr="009F02A6">
        <w:rPr>
          <w:rFonts w:ascii="Cambria" w:eastAsia="Times New Roman" w:hAnsi="Cambria" w:cs="Times New Roman"/>
          <w:noProof/>
          <w:sz w:val="24"/>
          <w:szCs w:val="24"/>
        </w:rPr>
        <w:t>D</w:t>
      </w:r>
      <w:r w:rsidR="00D2452E" w:rsidRPr="009F02A6">
        <w:rPr>
          <w:rFonts w:ascii="Cambria" w:eastAsia="Times New Roman" w:hAnsi="Cambria" w:cs="Times New Roman"/>
          <w:noProof/>
          <w:sz w:val="24"/>
          <w:szCs w:val="24"/>
        </w:rPr>
        <w:t xml:space="preserve">ominance’: PAD  theory of emotion), and social influence theory. </w:t>
      </w:r>
    </w:p>
    <w:p w14:paraId="03C73803" w14:textId="0AB01F7D" w:rsidR="0021069A" w:rsidRPr="009F02A6" w:rsidRDefault="0021069A" w:rsidP="0021069A">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lastRenderedPageBreak/>
        <w:t>This leads to the first broad research questions</w:t>
      </w:r>
      <w:r w:rsidR="00204D22" w:rsidRPr="009F02A6">
        <w:rPr>
          <w:rFonts w:ascii="Cambria" w:eastAsia="Times New Roman" w:hAnsi="Cambria" w:cs="Times New Roman"/>
          <w:sz w:val="24"/>
          <w:szCs w:val="24"/>
        </w:rPr>
        <w:t>- how</w:t>
      </w:r>
      <w:r w:rsidRPr="009F02A6">
        <w:rPr>
          <w:rFonts w:ascii="Cambria" w:eastAsia="Times New Roman" w:hAnsi="Cambria" w:cs="Times New Roman"/>
          <w:sz w:val="24"/>
          <w:szCs w:val="24"/>
        </w:rPr>
        <w:t xml:space="preserve"> do social media user’s positive and negative captions accompanying a</w:t>
      </w:r>
      <w:r w:rsidR="00CD0D01" w:rsidRPr="009F02A6">
        <w:rPr>
          <w:rFonts w:ascii="Cambria" w:eastAsia="Times New Roman" w:hAnsi="Cambria" w:cs="Times New Roman"/>
          <w:sz w:val="24"/>
          <w:szCs w:val="24"/>
        </w:rPr>
        <w:t xml:space="preserve">n </w:t>
      </w:r>
      <w:r w:rsidR="00CD0D01" w:rsidRPr="009F02A6">
        <w:rPr>
          <w:rFonts w:ascii="Cambria" w:eastAsia="Times New Roman" w:hAnsi="Cambria" w:cs="Times New Roman"/>
          <w:noProof/>
          <w:sz w:val="24"/>
          <w:szCs w:val="24"/>
        </w:rPr>
        <w:t>ad with sustainbility message</w:t>
      </w:r>
      <w:r w:rsidR="00CD0D01" w:rsidRPr="009F02A6">
        <w:rPr>
          <w:rFonts w:ascii="Cambria" w:eastAsia="Times New Roman" w:hAnsi="Cambria" w:cs="Times New Roman"/>
          <w:sz w:val="24"/>
          <w:szCs w:val="24"/>
        </w:rPr>
        <w:t xml:space="preserve"> </w:t>
      </w:r>
      <w:r w:rsidRPr="009F02A6">
        <w:rPr>
          <w:rFonts w:ascii="Cambria" w:eastAsia="Times New Roman" w:hAnsi="Cambria" w:cs="Times New Roman"/>
          <w:sz w:val="24"/>
          <w:szCs w:val="24"/>
        </w:rPr>
        <w:t>affect other users’ social–media–engagement with the ad? This question can be broken down into more specific research questions– 1) How do user’s positive and negative captions accompanying a</w:t>
      </w:r>
      <w:r w:rsidR="00A4598B" w:rsidRPr="009F02A6">
        <w:rPr>
          <w:rFonts w:ascii="Cambria" w:eastAsia="Times New Roman" w:hAnsi="Cambria" w:cs="Times New Roman"/>
          <w:sz w:val="24"/>
          <w:szCs w:val="24"/>
        </w:rPr>
        <w:t xml:space="preserve">n </w:t>
      </w:r>
      <w:r w:rsidR="00A4598B" w:rsidRPr="009F02A6">
        <w:rPr>
          <w:rFonts w:ascii="Cambria" w:eastAsia="Times New Roman" w:hAnsi="Cambria" w:cs="Times New Roman"/>
          <w:noProof/>
          <w:sz w:val="24"/>
          <w:szCs w:val="24"/>
        </w:rPr>
        <w:t>ad with sustainbility message</w:t>
      </w:r>
      <w:r w:rsidRPr="009F02A6">
        <w:rPr>
          <w:rFonts w:ascii="Cambria" w:eastAsia="Times New Roman" w:hAnsi="Cambria" w:cs="Times New Roman"/>
          <w:sz w:val="24"/>
          <w:szCs w:val="24"/>
        </w:rPr>
        <w:t xml:space="preserve"> affect SCV of other users? 2) How does SCV affect Pleasure, Arousal and Dominance dimensions of emotion generated by </w:t>
      </w:r>
      <w:r w:rsidR="00611C65">
        <w:rPr>
          <w:rFonts w:ascii="Cambria" w:eastAsia="Times New Roman" w:hAnsi="Cambria" w:cs="Times New Roman"/>
          <w:sz w:val="24"/>
          <w:szCs w:val="24"/>
        </w:rPr>
        <w:t>ad with s</w:t>
      </w:r>
      <w:r w:rsidRPr="009F02A6">
        <w:rPr>
          <w:rFonts w:ascii="Cambria" w:eastAsia="Times New Roman" w:hAnsi="Cambria" w:cs="Times New Roman"/>
          <w:sz w:val="24"/>
          <w:szCs w:val="24"/>
        </w:rPr>
        <w:t>ustainability</w:t>
      </w:r>
      <w:r w:rsidR="00370B1D">
        <w:rPr>
          <w:rFonts w:ascii="Cambria" w:eastAsia="Times New Roman" w:hAnsi="Cambria" w:cs="Times New Roman"/>
          <w:sz w:val="24"/>
          <w:szCs w:val="24"/>
        </w:rPr>
        <w:t xml:space="preserve"> message</w:t>
      </w:r>
      <w:r w:rsidRPr="009F02A6">
        <w:rPr>
          <w:rFonts w:ascii="Cambria" w:eastAsia="Times New Roman" w:hAnsi="Cambria" w:cs="Times New Roman"/>
          <w:sz w:val="24"/>
          <w:szCs w:val="24"/>
        </w:rPr>
        <w:t xml:space="preserve">? 3) How do the Pleasure, Arousal and Dominance dimensions of emotion affect social–media–engagement with the </w:t>
      </w:r>
      <w:r w:rsidR="009E3A8B" w:rsidRPr="009F02A6">
        <w:rPr>
          <w:rFonts w:ascii="Cambria" w:eastAsia="Times New Roman" w:hAnsi="Cambria" w:cs="Times New Roman"/>
          <w:noProof/>
          <w:sz w:val="24"/>
          <w:szCs w:val="24"/>
        </w:rPr>
        <w:t>ad with sustainbility message</w:t>
      </w:r>
      <w:r w:rsidRPr="009F02A6">
        <w:rPr>
          <w:rFonts w:ascii="Cambria" w:eastAsia="Times New Roman" w:hAnsi="Cambria" w:cs="Times New Roman"/>
          <w:sz w:val="24"/>
          <w:szCs w:val="24"/>
        </w:rPr>
        <w:t xml:space="preserve">? Second broad research question that is answered in this study is– How does social–media–engagement with the </w:t>
      </w:r>
      <w:r w:rsidR="00186461" w:rsidRPr="009F02A6">
        <w:rPr>
          <w:rFonts w:ascii="Cambria" w:eastAsia="Times New Roman" w:hAnsi="Cambria" w:cs="Times New Roman"/>
          <w:noProof/>
          <w:sz w:val="24"/>
          <w:szCs w:val="24"/>
        </w:rPr>
        <w:t>ad with sustainbility message</w:t>
      </w:r>
      <w:r w:rsidR="00186461" w:rsidRPr="009F02A6">
        <w:rPr>
          <w:rFonts w:ascii="Cambria" w:eastAsia="Times New Roman" w:hAnsi="Cambria" w:cs="Times New Roman"/>
          <w:sz w:val="24"/>
          <w:szCs w:val="24"/>
        </w:rPr>
        <w:t xml:space="preserve"> </w:t>
      </w:r>
      <w:r w:rsidRPr="009F02A6">
        <w:rPr>
          <w:rFonts w:ascii="Cambria" w:eastAsia="Times New Roman" w:hAnsi="Cambria" w:cs="Times New Roman"/>
          <w:sz w:val="24"/>
          <w:szCs w:val="24"/>
        </w:rPr>
        <w:t xml:space="preserve">influence purchase intention of the brand and other sustainable behaviour? </w:t>
      </w:r>
    </w:p>
    <w:p w14:paraId="5C0D74DB" w14:textId="6D8A0EB5" w:rsidR="00DE1B46" w:rsidRPr="009F02A6" w:rsidRDefault="0021069A" w:rsidP="0021069A">
      <w:pPr>
        <w:spacing w:after="200" w:line="360" w:lineRule="auto"/>
        <w:jc w:val="both"/>
        <w:rPr>
          <w:rFonts w:ascii="Cambria" w:eastAsia="Times New Roman" w:hAnsi="Cambria" w:cs="Times New Roman"/>
          <w:sz w:val="24"/>
          <w:szCs w:val="24"/>
        </w:rPr>
      </w:pPr>
      <w:r w:rsidRPr="009F02A6">
        <w:rPr>
          <w:rFonts w:ascii="Cambria" w:eastAsia="Times New Roman" w:hAnsi="Cambria" w:cs="Times New Roman"/>
          <w:sz w:val="24"/>
          <w:szCs w:val="24"/>
        </w:rPr>
        <w:t>To the best of knowledge, the impact of users’ positive or negative caption accompanying a</w:t>
      </w:r>
      <w:r w:rsidR="00D2265D" w:rsidRPr="009F02A6">
        <w:rPr>
          <w:rFonts w:ascii="Cambria" w:eastAsia="Times New Roman" w:hAnsi="Cambria" w:cs="Times New Roman"/>
          <w:sz w:val="24"/>
          <w:szCs w:val="24"/>
        </w:rPr>
        <w:t xml:space="preserve">n </w:t>
      </w:r>
      <w:r w:rsidR="00D2265D" w:rsidRPr="009F02A6">
        <w:rPr>
          <w:rFonts w:ascii="Cambria" w:eastAsia="Times New Roman" w:hAnsi="Cambria" w:cs="Times New Roman"/>
          <w:noProof/>
          <w:sz w:val="24"/>
          <w:szCs w:val="24"/>
        </w:rPr>
        <w:t xml:space="preserve">ad with sustainbility message </w:t>
      </w:r>
      <w:r w:rsidRPr="009F02A6">
        <w:rPr>
          <w:rFonts w:ascii="Cambria" w:eastAsia="Times New Roman" w:hAnsi="Cambria" w:cs="Times New Roman"/>
          <w:sz w:val="24"/>
          <w:szCs w:val="24"/>
        </w:rPr>
        <w:t>on social–media–engagement and subsequent purchase intention of the products with sustainability association and other sustainable behaviour has never been studied before, especially form the point of SCV, PAD and social influence theory. This study extends the theory of consumption vision by incorporating all the dimensions of PAD theory of emotion with SCV to understand the role of SCV and emotion to influence ad attitude and resulting social–media–engagement in the context of sustainability. In addition to that, this thesis advances the literature on sustainable–behaviour by investigating the role of social–media environment on consumers’ acceptance of products with sustainability association and sustainable behaviour</w:t>
      </w:r>
      <w:r w:rsidR="00DE1B46" w:rsidRPr="009F02A6">
        <w:rPr>
          <w:rFonts w:ascii="Cambria" w:eastAsia="Times New Roman" w:hAnsi="Cambria" w:cs="Times New Roman"/>
          <w:sz w:val="24"/>
          <w:szCs w:val="24"/>
        </w:rPr>
        <w:t xml:space="preserve">. </w:t>
      </w:r>
    </w:p>
    <w:p w14:paraId="1A0290DD" w14:textId="401FE5D4" w:rsidR="0021069A" w:rsidRPr="009F02A6" w:rsidRDefault="00DE1B46" w:rsidP="0021069A">
      <w:pPr>
        <w:spacing w:after="200" w:line="360" w:lineRule="auto"/>
        <w:jc w:val="both"/>
        <w:rPr>
          <w:rFonts w:ascii="Cambria" w:eastAsia="Times New Roman" w:hAnsi="Cambria" w:cs="Times New Roman"/>
          <w:sz w:val="24"/>
          <w:szCs w:val="24"/>
        </w:rPr>
      </w:pPr>
      <w:r w:rsidRPr="009F02A6">
        <w:t xml:space="preserve"> </w:t>
      </w:r>
      <w:r w:rsidRPr="009F02A6">
        <w:rPr>
          <w:rFonts w:ascii="Cambria" w:eastAsia="Times New Roman" w:hAnsi="Cambria" w:cs="Times New Roman"/>
          <w:sz w:val="24"/>
          <w:szCs w:val="24"/>
        </w:rPr>
        <w:t xml:space="preserve">This thesis is inspired by the academic gap in social media engagement literature in the context of </w:t>
      </w:r>
      <w:r w:rsidR="00B97986"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B97986" w:rsidRPr="009F02A6">
        <w:rPr>
          <w:rFonts w:ascii="Cambria" w:eastAsia="Calibri" w:hAnsi="Cambria" w:cs="Adobe Devanagari"/>
          <w:sz w:val="24"/>
          <w:szCs w:val="24"/>
        </w:rPr>
        <w:t xml:space="preserve"> message</w:t>
      </w:r>
      <w:r w:rsidR="00B97986" w:rsidRPr="009F02A6">
        <w:rPr>
          <w:rFonts w:ascii="Cambria" w:eastAsia="Calibri" w:hAnsi="Cambria" w:cs="Times New Roman"/>
          <w:sz w:val="24"/>
          <w:szCs w:val="24"/>
        </w:rPr>
        <w:t xml:space="preserve"> </w:t>
      </w:r>
      <w:r w:rsidRPr="009F02A6">
        <w:rPr>
          <w:rFonts w:ascii="Cambria" w:eastAsia="Times New Roman" w:hAnsi="Cambria" w:cs="Times New Roman"/>
          <w:sz w:val="24"/>
          <w:szCs w:val="24"/>
        </w:rPr>
        <w:t xml:space="preserve">and the managerial requirement for the insight of how other consumers’ opinion on the </w:t>
      </w:r>
      <w:bookmarkStart w:id="15" w:name="_Hlk96543644"/>
      <w:r w:rsidR="00B97986"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B97986" w:rsidRPr="009F02A6">
        <w:rPr>
          <w:rFonts w:ascii="Cambria" w:eastAsia="Calibri" w:hAnsi="Cambria" w:cs="Adobe Devanagari"/>
          <w:sz w:val="24"/>
          <w:szCs w:val="24"/>
        </w:rPr>
        <w:t xml:space="preserve"> message</w:t>
      </w:r>
      <w:r w:rsidR="00B97986" w:rsidRPr="009F02A6">
        <w:rPr>
          <w:rFonts w:ascii="Cambria" w:eastAsia="Calibri" w:hAnsi="Cambria" w:cs="Times New Roman"/>
          <w:sz w:val="24"/>
          <w:szCs w:val="24"/>
        </w:rPr>
        <w:t xml:space="preserve"> </w:t>
      </w:r>
      <w:bookmarkEnd w:id="15"/>
      <w:r w:rsidRPr="009F02A6">
        <w:rPr>
          <w:rFonts w:ascii="Cambria" w:eastAsia="Times New Roman" w:hAnsi="Cambria" w:cs="Times New Roman"/>
          <w:sz w:val="24"/>
          <w:szCs w:val="24"/>
        </w:rPr>
        <w:t xml:space="preserve">may influence the purchase decision of sustainable product. Thus, this research contributes to the social media engagement literature by investigating the consequence of social media engagement in the context of </w:t>
      </w:r>
      <w:r w:rsidR="005E65E9"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5E65E9" w:rsidRPr="009F02A6">
        <w:rPr>
          <w:rFonts w:ascii="Cambria" w:eastAsia="Calibri" w:hAnsi="Cambria" w:cs="Adobe Devanagari"/>
          <w:sz w:val="24"/>
          <w:szCs w:val="24"/>
        </w:rPr>
        <w:t xml:space="preserve"> message</w:t>
      </w:r>
      <w:r w:rsidRPr="009F02A6">
        <w:rPr>
          <w:rFonts w:ascii="Cambria" w:eastAsia="Times New Roman" w:hAnsi="Cambria" w:cs="Times New Roman"/>
          <w:sz w:val="24"/>
          <w:szCs w:val="24"/>
        </w:rPr>
        <w:t xml:space="preserve">. In addition to that, this study also advances sustainable behaviour literature by investigating sustainable behavioural intentions that may result from exposure to positive or negative caption on social media accompanying </w:t>
      </w:r>
      <w:r w:rsidR="00204D22" w:rsidRPr="009F02A6">
        <w:rPr>
          <w:rFonts w:ascii="Cambria" w:eastAsia="Times New Roman" w:hAnsi="Cambria" w:cs="Times New Roman"/>
          <w:sz w:val="24"/>
          <w:szCs w:val="24"/>
        </w:rPr>
        <w:t>an</w:t>
      </w:r>
      <w:r w:rsidRPr="009F02A6">
        <w:rPr>
          <w:rFonts w:ascii="Cambria" w:eastAsia="Times New Roman" w:hAnsi="Cambria" w:cs="Times New Roman"/>
          <w:sz w:val="24"/>
          <w:szCs w:val="24"/>
        </w:rPr>
        <w:t xml:space="preserve"> </w:t>
      </w:r>
      <w:r w:rsidR="005E65E9"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5E65E9" w:rsidRPr="009F02A6">
        <w:rPr>
          <w:rFonts w:ascii="Cambria" w:eastAsia="Calibri" w:hAnsi="Cambria" w:cs="Adobe Devanagari"/>
          <w:sz w:val="24"/>
          <w:szCs w:val="24"/>
        </w:rPr>
        <w:t xml:space="preserve"> message</w:t>
      </w:r>
      <w:r w:rsidRPr="009F02A6">
        <w:rPr>
          <w:rFonts w:ascii="Cambria" w:eastAsia="Times New Roman" w:hAnsi="Cambria" w:cs="Times New Roman"/>
          <w:sz w:val="24"/>
          <w:szCs w:val="24"/>
        </w:rPr>
        <w:t>.</w:t>
      </w:r>
    </w:p>
    <w:p w14:paraId="22A1AA32" w14:textId="499282F4" w:rsidR="00D2452E" w:rsidRPr="00530906" w:rsidRDefault="00D2452E" w:rsidP="008756B1">
      <w:pPr>
        <w:pStyle w:val="Heading2"/>
        <w:jc w:val="both"/>
        <w:rPr>
          <w:rFonts w:ascii="Cambria" w:eastAsia="Times New Roman" w:hAnsi="Cambria"/>
        </w:rPr>
      </w:pPr>
      <w:bookmarkStart w:id="16" w:name="_Toc115726214"/>
      <w:r w:rsidRPr="00530906">
        <w:rPr>
          <w:rFonts w:ascii="Cambria" w:eastAsia="Times New Roman" w:hAnsi="Cambria"/>
        </w:rPr>
        <w:lastRenderedPageBreak/>
        <w:t>1.</w:t>
      </w:r>
      <w:r w:rsidR="00823647" w:rsidRPr="00530906">
        <w:rPr>
          <w:rFonts w:ascii="Cambria" w:eastAsia="Times New Roman" w:hAnsi="Cambria"/>
        </w:rPr>
        <w:t>6</w:t>
      </w:r>
      <w:r w:rsidRPr="00530906">
        <w:rPr>
          <w:rFonts w:ascii="Cambria" w:eastAsia="Times New Roman" w:hAnsi="Cambria"/>
        </w:rPr>
        <w:t>. Thesis and chapters overview</w:t>
      </w:r>
      <w:bookmarkEnd w:id="16"/>
    </w:p>
    <w:p w14:paraId="7E621605" w14:textId="4E5B944A" w:rsidR="00DE1B46" w:rsidRPr="009F02A6" w:rsidRDefault="00DE1B46">
      <w:pPr>
        <w:spacing w:line="360" w:lineRule="auto"/>
        <w:jc w:val="both"/>
        <w:rPr>
          <w:rFonts w:ascii="Cambria" w:eastAsia="Times New Roman" w:hAnsi="Cambria" w:cs="Times New Roman"/>
          <w:noProof/>
          <w:sz w:val="24"/>
          <w:szCs w:val="24"/>
        </w:rPr>
      </w:pPr>
      <w:r w:rsidRPr="009F02A6">
        <w:rPr>
          <w:rFonts w:ascii="Cambria" w:eastAsia="Times New Roman" w:hAnsi="Cambria" w:cs="Adobe Devanagari"/>
          <w:sz w:val="24"/>
          <w:szCs w:val="24"/>
        </w:rPr>
        <w:t>I</w:t>
      </w:r>
      <w:r w:rsidRPr="009F02A6">
        <w:rPr>
          <w:rFonts w:ascii="Cambria" w:eastAsia="Times New Roman" w:hAnsi="Cambria" w:cs="Times New Roman"/>
          <w:noProof/>
          <w:sz w:val="24"/>
          <w:szCs w:val="24"/>
        </w:rPr>
        <w:t xml:space="preserve">t is important for companies/brands to look into how single user’s notion of  company’s </w:t>
      </w:r>
      <w:r w:rsidR="001444EF" w:rsidRPr="009F02A6">
        <w:rPr>
          <w:rFonts w:ascii="Cambria" w:eastAsia="Times New Roman" w:hAnsi="Cambria" w:cs="Times New Roman"/>
          <w:noProof/>
          <w:sz w:val="24"/>
          <w:szCs w:val="24"/>
        </w:rPr>
        <w:t xml:space="preserve">ad with sustainbility message </w:t>
      </w:r>
      <w:r w:rsidRPr="009F02A6">
        <w:rPr>
          <w:rFonts w:ascii="Cambria" w:eastAsia="Times New Roman" w:hAnsi="Cambria" w:cs="Times New Roman"/>
          <w:noProof/>
          <w:sz w:val="24"/>
          <w:szCs w:val="24"/>
        </w:rPr>
        <w:t>may influence other users. Since consumers have reported that they talk online about brands those has been positively associated themselves with social issues (Edelman 2018), social media engagement with the</w:t>
      </w:r>
      <w:r w:rsidR="0060764A" w:rsidRPr="009F02A6">
        <w:rPr>
          <w:rFonts w:ascii="Cambria" w:eastAsia="Times New Roman" w:hAnsi="Cambria" w:cs="Times New Roman"/>
          <w:noProof/>
          <w:sz w:val="24"/>
          <w:szCs w:val="24"/>
        </w:rPr>
        <w:t xml:space="preserve"> ad with sustainbility message</w:t>
      </w:r>
      <w:r w:rsidRPr="009F02A6">
        <w:rPr>
          <w:rFonts w:ascii="Cambria" w:eastAsia="Times New Roman" w:hAnsi="Cambria" w:cs="Times New Roman"/>
          <w:noProof/>
          <w:sz w:val="24"/>
          <w:szCs w:val="24"/>
        </w:rPr>
        <w:t xml:space="preserve"> may act as a competitive tool to build reputation for a company and result long term profitability (Keller 2013; Bansal and Roth 2000; </w:t>
      </w:r>
      <w:r w:rsidRPr="009F02A6">
        <w:rPr>
          <w:rFonts w:ascii="Cambria" w:eastAsia="Calibri" w:hAnsi="Cambria" w:cs="Times New Roman"/>
          <w:sz w:val="24"/>
          <w:szCs w:val="24"/>
        </w:rPr>
        <w:t xml:space="preserve">Prothero et al 2010; </w:t>
      </w:r>
      <w:r w:rsidRPr="009F02A6">
        <w:rPr>
          <w:rFonts w:ascii="Cambria" w:eastAsia="Times New Roman" w:hAnsi="Cambria" w:cs="Times New Roman"/>
          <w:noProof/>
          <w:sz w:val="24"/>
          <w:szCs w:val="24"/>
        </w:rPr>
        <w:t xml:space="preserve">Thøgersen et al 2012; Olsen et al 2014). </w:t>
      </w:r>
    </w:p>
    <w:p w14:paraId="55288A1B" w14:textId="05C783DD" w:rsidR="00D2452E" w:rsidRPr="009F02A6" w:rsidRDefault="00D2452E">
      <w:pPr>
        <w:spacing w:line="360" w:lineRule="auto"/>
        <w:jc w:val="both"/>
        <w:rPr>
          <w:rFonts w:ascii="Cambria" w:eastAsia="Calibri" w:hAnsi="Cambria" w:cs="Times New Roman"/>
          <w:sz w:val="24"/>
          <w:szCs w:val="24"/>
        </w:rPr>
      </w:pPr>
      <w:r w:rsidRPr="009F02A6">
        <w:rPr>
          <w:rFonts w:ascii="Cambria" w:eastAsia="Calibri" w:hAnsi="Cambria" w:cs="Times New Roman"/>
          <w:sz w:val="24"/>
          <w:szCs w:val="24"/>
        </w:rPr>
        <w:t xml:space="preserve">The next chapter, literature review starts </w:t>
      </w:r>
      <w:r w:rsidR="00E924C2" w:rsidRPr="009F02A6">
        <w:rPr>
          <w:rFonts w:ascii="Cambria" w:eastAsia="Calibri" w:hAnsi="Cambria" w:cs="Times New Roman"/>
          <w:sz w:val="24"/>
          <w:szCs w:val="24"/>
        </w:rPr>
        <w:t>discussing literature</w:t>
      </w:r>
      <w:r w:rsidR="00EE7161" w:rsidRPr="009F02A6">
        <w:rPr>
          <w:rFonts w:ascii="Cambria" w:eastAsia="Calibri" w:hAnsi="Cambria" w:cs="Times New Roman"/>
          <w:sz w:val="24"/>
          <w:szCs w:val="24"/>
        </w:rPr>
        <w:t xml:space="preserve"> </w:t>
      </w:r>
      <w:r w:rsidR="00E50899" w:rsidRPr="009F02A6">
        <w:rPr>
          <w:rFonts w:ascii="Cambria" w:eastAsia="Calibri" w:hAnsi="Cambria" w:cs="Times New Roman"/>
          <w:sz w:val="24"/>
          <w:szCs w:val="24"/>
        </w:rPr>
        <w:t xml:space="preserve">about </w:t>
      </w:r>
      <w:r w:rsidR="0049019E" w:rsidRPr="009F02A6">
        <w:rPr>
          <w:rFonts w:ascii="Cambria" w:eastAsia="Calibri" w:hAnsi="Cambria" w:cs="Times New Roman"/>
          <w:sz w:val="24"/>
          <w:szCs w:val="24"/>
        </w:rPr>
        <w:t>sustainability.</w:t>
      </w:r>
      <w:r w:rsidR="00B361EC" w:rsidRPr="009F02A6">
        <w:t xml:space="preserve"> </w:t>
      </w:r>
      <w:r w:rsidR="00B361EC" w:rsidRPr="009F02A6">
        <w:rPr>
          <w:rFonts w:ascii="Cambria" w:eastAsia="Calibri" w:hAnsi="Cambria" w:cs="Times New Roman"/>
          <w:sz w:val="24"/>
          <w:szCs w:val="24"/>
        </w:rPr>
        <w:t>In this part sustainability related constructs (i.e sustainable behaviour and sustainability ad) are discussed along with a critica</w:t>
      </w:r>
      <w:r w:rsidR="00437814" w:rsidRPr="009F02A6">
        <w:rPr>
          <w:rFonts w:ascii="Cambria" w:eastAsia="Calibri" w:hAnsi="Cambria" w:cs="Times New Roman"/>
          <w:sz w:val="24"/>
          <w:szCs w:val="24"/>
        </w:rPr>
        <w:t>l</w:t>
      </w:r>
      <w:r w:rsidR="00B361EC" w:rsidRPr="009F02A6">
        <w:rPr>
          <w:rFonts w:ascii="Cambria" w:eastAsia="Calibri" w:hAnsi="Cambria" w:cs="Times New Roman"/>
          <w:sz w:val="24"/>
          <w:szCs w:val="24"/>
        </w:rPr>
        <w:t xml:space="preserve"> literature review of the antecedents of adopting sustainable behaviour</w:t>
      </w:r>
      <w:r w:rsidR="00E924C2" w:rsidRPr="009F02A6">
        <w:rPr>
          <w:rFonts w:ascii="Cambria" w:eastAsia="Calibri" w:hAnsi="Cambria" w:cs="Times New Roman"/>
          <w:sz w:val="24"/>
          <w:szCs w:val="24"/>
        </w:rPr>
        <w:t>, foll</w:t>
      </w:r>
      <w:r w:rsidR="000A3FBD" w:rsidRPr="009F02A6">
        <w:rPr>
          <w:rFonts w:ascii="Cambria" w:eastAsia="Calibri" w:hAnsi="Cambria" w:cs="Times New Roman"/>
          <w:sz w:val="24"/>
          <w:szCs w:val="24"/>
        </w:rPr>
        <w:t xml:space="preserve">owed by the discussion about the aspects of </w:t>
      </w:r>
      <w:r w:rsidR="00434C83">
        <w:rPr>
          <w:rFonts w:ascii="Cambria" w:eastAsia="Calibri" w:hAnsi="Cambria" w:cs="Times New Roman"/>
          <w:sz w:val="24"/>
          <w:szCs w:val="24"/>
        </w:rPr>
        <w:t xml:space="preserve">ad with </w:t>
      </w:r>
      <w:r w:rsidR="000A3FBD" w:rsidRPr="009F02A6">
        <w:rPr>
          <w:rFonts w:ascii="Cambria" w:eastAsia="Calibri" w:hAnsi="Cambria" w:cs="Times New Roman"/>
          <w:sz w:val="24"/>
          <w:szCs w:val="24"/>
        </w:rPr>
        <w:t xml:space="preserve">sustainability </w:t>
      </w:r>
      <w:r w:rsidR="00434C83">
        <w:rPr>
          <w:rFonts w:ascii="Cambria" w:eastAsia="Calibri" w:hAnsi="Cambria" w:cs="Times New Roman"/>
          <w:sz w:val="24"/>
          <w:szCs w:val="24"/>
        </w:rPr>
        <w:t>message</w:t>
      </w:r>
      <w:r w:rsidR="00B361EC" w:rsidRPr="009F02A6">
        <w:rPr>
          <w:rFonts w:ascii="Cambria" w:eastAsia="Calibri" w:hAnsi="Cambria" w:cs="Times New Roman"/>
          <w:sz w:val="24"/>
          <w:szCs w:val="24"/>
        </w:rPr>
        <w:t>.</w:t>
      </w:r>
      <w:r w:rsidR="00437814" w:rsidRPr="009F02A6">
        <w:rPr>
          <w:rFonts w:ascii="Cambria" w:eastAsia="Calibri" w:hAnsi="Cambria" w:cs="Times New Roman"/>
          <w:sz w:val="24"/>
          <w:szCs w:val="24"/>
        </w:rPr>
        <w:t xml:space="preserve"> Literature review chapter proceeded </w:t>
      </w:r>
      <w:r w:rsidR="00DC3BA4" w:rsidRPr="009F02A6">
        <w:rPr>
          <w:rFonts w:ascii="Cambria" w:eastAsia="Calibri" w:hAnsi="Cambria" w:cs="Times New Roman"/>
          <w:sz w:val="24"/>
          <w:szCs w:val="24"/>
        </w:rPr>
        <w:t xml:space="preserve">with </w:t>
      </w:r>
      <w:r w:rsidR="00204D22" w:rsidRPr="009F02A6">
        <w:rPr>
          <w:rFonts w:ascii="Cambria" w:eastAsia="Calibri" w:hAnsi="Cambria" w:cs="Times New Roman"/>
          <w:sz w:val="24"/>
          <w:szCs w:val="24"/>
        </w:rPr>
        <w:t>another</w:t>
      </w:r>
      <w:r w:rsidR="00DC3BA4" w:rsidRPr="009F02A6">
        <w:rPr>
          <w:rFonts w:ascii="Cambria" w:eastAsia="Calibri" w:hAnsi="Cambria" w:cs="Times New Roman"/>
          <w:sz w:val="24"/>
          <w:szCs w:val="24"/>
        </w:rPr>
        <w:t xml:space="preserve"> pillar of the thesis- ‘social media engagement’. </w:t>
      </w:r>
      <w:r w:rsidR="00EE7161" w:rsidRPr="009F02A6">
        <w:rPr>
          <w:rFonts w:ascii="Cambria" w:eastAsia="Calibri" w:hAnsi="Cambria" w:cs="Times New Roman"/>
          <w:sz w:val="24"/>
          <w:szCs w:val="24"/>
        </w:rPr>
        <w:t>A</w:t>
      </w:r>
      <w:r w:rsidRPr="009F02A6">
        <w:rPr>
          <w:rFonts w:ascii="Cambria" w:eastAsia="Calibri" w:hAnsi="Cambria" w:cs="Times New Roman"/>
          <w:sz w:val="24"/>
          <w:szCs w:val="24"/>
        </w:rPr>
        <w:t xml:space="preserve"> thematic literature review </w:t>
      </w:r>
      <w:r w:rsidR="00EE7161" w:rsidRPr="009F02A6">
        <w:rPr>
          <w:rFonts w:ascii="Cambria" w:eastAsia="Calibri" w:hAnsi="Cambria" w:cs="Times New Roman"/>
          <w:sz w:val="24"/>
          <w:szCs w:val="24"/>
        </w:rPr>
        <w:t xml:space="preserve">has been reported </w:t>
      </w:r>
      <w:r w:rsidRPr="009F02A6">
        <w:rPr>
          <w:rFonts w:ascii="Cambria" w:eastAsia="Calibri" w:hAnsi="Cambria" w:cs="Times New Roman"/>
          <w:sz w:val="24"/>
          <w:szCs w:val="24"/>
        </w:rPr>
        <w:t xml:space="preserve">to identify themes of antecedents of social media engagement and their consequences. It is conducted because, the research questions </w:t>
      </w:r>
      <w:r w:rsidR="00EE7161" w:rsidRPr="009F02A6">
        <w:rPr>
          <w:rFonts w:ascii="Cambria" w:eastAsia="Calibri" w:hAnsi="Cambria" w:cs="Times New Roman"/>
          <w:sz w:val="24"/>
          <w:szCs w:val="24"/>
        </w:rPr>
        <w:t>investigate</w:t>
      </w:r>
      <w:r w:rsidRPr="009F02A6">
        <w:rPr>
          <w:rFonts w:ascii="Cambria" w:eastAsia="Calibri" w:hAnsi="Cambria" w:cs="Times New Roman"/>
          <w:sz w:val="24"/>
          <w:szCs w:val="24"/>
        </w:rPr>
        <w:t xml:space="preserve"> how one user’s social media activity (positive and negative c</w:t>
      </w:r>
      <w:r w:rsidR="008A3BED">
        <w:rPr>
          <w:rFonts w:ascii="Cambria" w:eastAsia="Calibri" w:hAnsi="Cambria" w:cs="Times New Roman"/>
          <w:sz w:val="24"/>
          <w:szCs w:val="24"/>
        </w:rPr>
        <w:t>aption</w:t>
      </w:r>
      <w:r w:rsidRPr="009F02A6">
        <w:rPr>
          <w:rFonts w:ascii="Cambria" w:eastAsia="Calibri" w:hAnsi="Cambria" w:cs="Times New Roman"/>
          <w:sz w:val="24"/>
          <w:szCs w:val="24"/>
        </w:rPr>
        <w:t xml:space="preserve">) on </w:t>
      </w:r>
      <w:r w:rsidR="004A010B" w:rsidRPr="009F02A6">
        <w:rPr>
          <w:rFonts w:ascii="Cambria" w:eastAsia="Times New Roman" w:hAnsi="Cambria" w:cs="Times New Roman"/>
          <w:noProof/>
          <w:sz w:val="24"/>
          <w:szCs w:val="24"/>
        </w:rPr>
        <w:t>ad with sustainbility message</w:t>
      </w:r>
      <w:r w:rsidR="004A010B" w:rsidRPr="009F02A6">
        <w:rPr>
          <w:rFonts w:ascii="Cambria" w:eastAsia="Calibri" w:hAnsi="Cambria" w:cs="Times New Roman"/>
          <w:sz w:val="24"/>
          <w:szCs w:val="24"/>
        </w:rPr>
        <w:t xml:space="preserve"> </w:t>
      </w:r>
      <w:r w:rsidRPr="009F02A6">
        <w:rPr>
          <w:rFonts w:ascii="Cambria" w:eastAsia="Calibri" w:hAnsi="Cambria" w:cs="Times New Roman"/>
          <w:sz w:val="24"/>
          <w:szCs w:val="24"/>
        </w:rPr>
        <w:t>act as an antecedent of social media engagement of other users and how it affects the</w:t>
      </w:r>
      <w:r w:rsidR="00EE7161" w:rsidRPr="009F02A6">
        <w:rPr>
          <w:rFonts w:ascii="Cambria" w:eastAsia="Calibri" w:hAnsi="Cambria" w:cs="Times New Roman"/>
          <w:sz w:val="24"/>
          <w:szCs w:val="24"/>
        </w:rPr>
        <w:t xml:space="preserve"> purchase intention of sustainable product and other</w:t>
      </w:r>
      <w:r w:rsidRPr="009F02A6">
        <w:rPr>
          <w:rFonts w:ascii="Cambria" w:eastAsia="Calibri" w:hAnsi="Cambria" w:cs="Times New Roman"/>
          <w:sz w:val="24"/>
          <w:szCs w:val="24"/>
        </w:rPr>
        <w:t xml:space="preserve"> sustainab</w:t>
      </w:r>
      <w:r w:rsidR="00EE7161" w:rsidRPr="009F02A6">
        <w:rPr>
          <w:rFonts w:ascii="Cambria" w:eastAsia="Calibri" w:hAnsi="Cambria" w:cs="Times New Roman"/>
          <w:sz w:val="24"/>
          <w:szCs w:val="24"/>
        </w:rPr>
        <w:t>le</w:t>
      </w:r>
      <w:r w:rsidRPr="009F02A6">
        <w:rPr>
          <w:rFonts w:ascii="Cambria" w:eastAsia="Calibri" w:hAnsi="Cambria" w:cs="Times New Roman"/>
          <w:sz w:val="24"/>
          <w:szCs w:val="24"/>
        </w:rPr>
        <w:t xml:space="preserve"> behaviour as a consequence. Hence</w:t>
      </w:r>
      <w:r w:rsidR="004861BE">
        <w:rPr>
          <w:rFonts w:ascii="Cambria" w:eastAsia="Calibri" w:hAnsi="Cambria" w:cs="Times New Roman"/>
          <w:sz w:val="24"/>
          <w:szCs w:val="24"/>
        </w:rPr>
        <w:t>,</w:t>
      </w:r>
      <w:r w:rsidRPr="009F02A6">
        <w:rPr>
          <w:rFonts w:ascii="Cambria" w:eastAsia="Calibri" w:hAnsi="Cambria" w:cs="Times New Roman"/>
          <w:sz w:val="24"/>
          <w:szCs w:val="24"/>
        </w:rPr>
        <w:t xml:space="preserve"> the thematic literature review provides an understanding of the antecedents and the consequences of social media engagement. </w:t>
      </w:r>
      <w:r w:rsidR="00E66692" w:rsidRPr="009F02A6">
        <w:rPr>
          <w:rFonts w:ascii="Cambria" w:eastAsia="Calibri" w:hAnsi="Cambria" w:cs="Times New Roman"/>
          <w:sz w:val="24"/>
          <w:szCs w:val="24"/>
        </w:rPr>
        <w:t xml:space="preserve">Other relevant </w:t>
      </w:r>
      <w:r w:rsidR="00A55BE2" w:rsidRPr="009F02A6">
        <w:rPr>
          <w:rFonts w:ascii="Cambria" w:eastAsia="Calibri" w:hAnsi="Cambria" w:cs="Times New Roman"/>
          <w:sz w:val="24"/>
          <w:szCs w:val="24"/>
        </w:rPr>
        <w:t>constructs</w:t>
      </w:r>
      <w:r w:rsidR="00E66692" w:rsidRPr="009F02A6">
        <w:rPr>
          <w:rFonts w:ascii="Cambria" w:eastAsia="Calibri" w:hAnsi="Cambria" w:cs="Times New Roman"/>
          <w:sz w:val="24"/>
          <w:szCs w:val="24"/>
        </w:rPr>
        <w:t xml:space="preserve"> and theories have</w:t>
      </w:r>
      <w:r w:rsidR="004C0D89" w:rsidRPr="009F02A6">
        <w:rPr>
          <w:rFonts w:ascii="Cambria" w:eastAsia="Calibri" w:hAnsi="Cambria" w:cs="Times New Roman"/>
          <w:sz w:val="24"/>
          <w:szCs w:val="24"/>
        </w:rPr>
        <w:t xml:space="preserve"> </w:t>
      </w:r>
      <w:r w:rsidR="00E66692" w:rsidRPr="009F02A6">
        <w:rPr>
          <w:rFonts w:ascii="Cambria" w:eastAsia="Calibri" w:hAnsi="Cambria" w:cs="Times New Roman"/>
          <w:sz w:val="24"/>
          <w:szCs w:val="24"/>
        </w:rPr>
        <w:t>also been included in the literature review chapter</w:t>
      </w:r>
      <w:r w:rsidRPr="009F02A6">
        <w:rPr>
          <w:rFonts w:ascii="Cambria" w:eastAsia="Calibri" w:hAnsi="Cambria" w:cs="Times New Roman"/>
          <w:sz w:val="24"/>
          <w:szCs w:val="24"/>
        </w:rPr>
        <w:t>. The constructs those have been used in the conceptual framework are</w:t>
      </w:r>
      <w:r w:rsidR="004179CD" w:rsidRPr="009F02A6">
        <w:rPr>
          <w:rFonts w:ascii="Cambria" w:eastAsia="Calibri" w:hAnsi="Cambria" w:cs="Times New Roman"/>
          <w:sz w:val="24"/>
          <w:szCs w:val="24"/>
        </w:rPr>
        <w:t>–</w:t>
      </w:r>
      <w:r w:rsidRPr="009F02A6">
        <w:rPr>
          <w:rFonts w:ascii="Cambria" w:eastAsia="Calibri" w:hAnsi="Cambria" w:cs="Times New Roman"/>
          <w:sz w:val="24"/>
          <w:szCs w:val="24"/>
        </w:rPr>
        <w:t xml:space="preserve"> source expertise, ad involvement, SCV, pleasure, arousal, dominance, ad attitude, sustainable purchase intention, sustainable behavioural intention. The rationale of relationships has been established in the hypothesis development chapter. </w:t>
      </w:r>
    </w:p>
    <w:p w14:paraId="7E78C730" w14:textId="7D573504" w:rsidR="00190F3A" w:rsidRPr="009F02A6" w:rsidRDefault="00D2452E" w:rsidP="00AA0373">
      <w:pPr>
        <w:spacing w:line="360" w:lineRule="auto"/>
        <w:jc w:val="both"/>
        <w:rPr>
          <w:rFonts w:ascii="Cambria" w:hAnsi="Cambria"/>
        </w:rPr>
      </w:pPr>
      <w:r w:rsidRPr="009F02A6">
        <w:rPr>
          <w:rFonts w:ascii="Cambria" w:eastAsia="Calibri" w:hAnsi="Cambria" w:cs="Times New Roman"/>
          <w:sz w:val="24"/>
          <w:szCs w:val="24"/>
        </w:rPr>
        <w:t xml:space="preserve">2 x 2 between group Experimental research design has been chosen as a methodological stance because of the requirement to manipulate the type of caption (Positive vs negative) and the level of source expertise (high vs low). The result and discussion chapter show the evidence that positive comment on </w:t>
      </w:r>
      <w:r w:rsidR="009220BF"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9220BF" w:rsidRPr="009F02A6">
        <w:rPr>
          <w:rFonts w:ascii="Cambria" w:eastAsia="Calibri" w:hAnsi="Cambria" w:cs="Adobe Devanagari"/>
          <w:sz w:val="24"/>
          <w:szCs w:val="24"/>
        </w:rPr>
        <w:t xml:space="preserve"> message</w:t>
      </w:r>
      <w:r w:rsidR="009220BF" w:rsidRPr="009F02A6">
        <w:rPr>
          <w:rFonts w:ascii="Cambria" w:eastAsia="Calibri" w:hAnsi="Cambria" w:cs="Times New Roman"/>
          <w:sz w:val="24"/>
          <w:szCs w:val="24"/>
        </w:rPr>
        <w:t xml:space="preserve"> </w:t>
      </w:r>
      <w:r w:rsidR="009D4E86" w:rsidRPr="009F02A6">
        <w:rPr>
          <w:rFonts w:ascii="Cambria" w:eastAsia="Calibri" w:hAnsi="Cambria" w:cs="Times New Roman"/>
          <w:sz w:val="24"/>
          <w:szCs w:val="24"/>
        </w:rPr>
        <w:t xml:space="preserve">have more </w:t>
      </w:r>
      <w:r w:rsidRPr="009F02A6">
        <w:rPr>
          <w:rFonts w:ascii="Cambria" w:eastAsia="Calibri" w:hAnsi="Cambria" w:cs="Times New Roman"/>
          <w:sz w:val="24"/>
          <w:szCs w:val="24"/>
        </w:rPr>
        <w:t>influence</w:t>
      </w:r>
      <w:r w:rsidR="009D4E86" w:rsidRPr="009F02A6">
        <w:rPr>
          <w:rFonts w:ascii="Cambria" w:eastAsia="Calibri" w:hAnsi="Cambria" w:cs="Times New Roman"/>
          <w:sz w:val="24"/>
          <w:szCs w:val="24"/>
        </w:rPr>
        <w:t xml:space="preserve"> on</w:t>
      </w:r>
      <w:r w:rsidRPr="009F02A6">
        <w:rPr>
          <w:rFonts w:ascii="Cambria" w:eastAsia="Calibri" w:hAnsi="Cambria" w:cs="Times New Roman"/>
          <w:sz w:val="24"/>
          <w:szCs w:val="24"/>
        </w:rPr>
        <w:t xml:space="preserve"> the sustainable purchase behaviour and other sustainable behaviour </w:t>
      </w:r>
      <w:r w:rsidRPr="009F02A6">
        <w:rPr>
          <w:rFonts w:ascii="Cambria" w:eastAsia="Calibri" w:hAnsi="Cambria" w:cs="Times New Roman"/>
          <w:sz w:val="24"/>
          <w:szCs w:val="24"/>
        </w:rPr>
        <w:lastRenderedPageBreak/>
        <w:t xml:space="preserve">than a negative comment. The thesis concluded with the direction of future research and </w:t>
      </w:r>
      <w:r w:rsidRPr="009F02A6">
        <w:rPr>
          <w:bCs/>
        </w:rPr>
        <w:t>managerial</w:t>
      </w:r>
      <w:r w:rsidRPr="009F02A6">
        <w:rPr>
          <w:rFonts w:ascii="Cambria" w:eastAsia="Calibri" w:hAnsi="Cambria" w:cs="Times New Roman"/>
          <w:sz w:val="24"/>
          <w:szCs w:val="24"/>
        </w:rPr>
        <w:t xml:space="preserve"> implication. Fig 5 gives an overview of the thesis.</w:t>
      </w:r>
      <w:r w:rsidR="00190F3A" w:rsidRPr="009F02A6">
        <w:rPr>
          <w:rFonts w:ascii="Cambria" w:hAnsi="Cambria"/>
        </w:rPr>
        <w:br w:type="page"/>
      </w:r>
    </w:p>
    <w:p w14:paraId="5C58F322" w14:textId="38152AD8" w:rsidR="00D2452E" w:rsidRPr="009F02A6" w:rsidRDefault="00F50C8C" w:rsidP="008756B1">
      <w:pPr>
        <w:jc w:val="both"/>
        <w:rPr>
          <w:rFonts w:ascii="Cambria" w:hAnsi="Cambria"/>
        </w:rPr>
      </w:pPr>
      <w:r>
        <w:rPr>
          <w:rFonts w:ascii="Cambria" w:hAnsi="Cambria"/>
          <w:noProof/>
        </w:rPr>
        <w:lastRenderedPageBreak/>
        <mc:AlternateContent>
          <mc:Choice Requires="wpg">
            <w:drawing>
              <wp:anchor distT="0" distB="0" distL="114300" distR="114300" simplePos="0" relativeHeight="251659337" behindDoc="0" locked="0" layoutInCell="1" allowOverlap="1" wp14:anchorId="1F1966D4" wp14:editId="711E0C16">
                <wp:simplePos x="0" y="0"/>
                <wp:positionH relativeFrom="column">
                  <wp:posOffset>128337</wp:posOffset>
                </wp:positionH>
                <wp:positionV relativeFrom="paragraph">
                  <wp:posOffset>224589</wp:posOffset>
                </wp:positionV>
                <wp:extent cx="5934276" cy="8039100"/>
                <wp:effectExtent l="0" t="0" r="9525" b="0"/>
                <wp:wrapNone/>
                <wp:docPr id="45" name="Group 45"/>
                <wp:cNvGraphicFramePr/>
                <a:graphic xmlns:a="http://schemas.openxmlformats.org/drawingml/2006/main">
                  <a:graphicData uri="http://schemas.microsoft.com/office/word/2010/wordprocessingGroup">
                    <wpg:wgp>
                      <wpg:cNvGrpSpPr/>
                      <wpg:grpSpPr>
                        <a:xfrm>
                          <a:off x="0" y="0"/>
                          <a:ext cx="5934276" cy="8039100"/>
                          <a:chOff x="0" y="0"/>
                          <a:chExt cx="5934276" cy="8039100"/>
                        </a:xfrm>
                      </wpg:grpSpPr>
                      <wpg:grpSp>
                        <wpg:cNvPr id="215" name="Group 215"/>
                        <wpg:cNvGrpSpPr/>
                        <wpg:grpSpPr>
                          <a:xfrm>
                            <a:off x="0" y="0"/>
                            <a:ext cx="5934276" cy="8039100"/>
                            <a:chOff x="-80211" y="0"/>
                            <a:chExt cx="5934276" cy="8039100"/>
                          </a:xfrm>
                        </wpg:grpSpPr>
                        <wpg:grpSp>
                          <wpg:cNvPr id="5" name="Group 5"/>
                          <wpg:cNvGrpSpPr>
                            <a:grpSpLocks/>
                          </wpg:cNvGrpSpPr>
                          <wpg:grpSpPr bwMode="auto">
                            <a:xfrm>
                              <a:off x="104775" y="0"/>
                              <a:ext cx="5749290" cy="8039100"/>
                              <a:chOff x="1935" y="1785"/>
                              <a:chExt cx="9054" cy="12660"/>
                            </a:xfrm>
                          </wpg:grpSpPr>
                          <wps:wsp>
                            <wps:cNvPr id="7" name="Text Box 14"/>
                            <wps:cNvSpPr txBox="1">
                              <a:spLocks noChangeArrowheads="1"/>
                            </wps:cNvSpPr>
                            <wps:spPr bwMode="auto">
                              <a:xfrm>
                                <a:off x="6270" y="3255"/>
                                <a:ext cx="3000" cy="162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FE26A" w14:textId="77777777" w:rsidR="00D34F1C" w:rsidRDefault="00D34F1C" w:rsidP="00D2452E">
                                  <w:r w:rsidRPr="00ED6B7A">
                                    <w:rPr>
                                      <w:b/>
                                      <w:bCs/>
                                    </w:rPr>
                                    <w:t>Research question 2:</w:t>
                                  </w:r>
                                  <w:r>
                                    <w:t xml:space="preserve"> How does social media engagement may influence sustainable purchase and other behavioural intention </w:t>
                                  </w:r>
                                </w:p>
                              </w:txbxContent>
                            </wps:txbx>
                            <wps:bodyPr rot="0" vert="horz" wrap="square" lIns="91440" tIns="45720" rIns="91440" bIns="45720" anchor="t" anchorCtr="0" upright="1">
                              <a:noAutofit/>
                            </wps:bodyPr>
                          </wps:wsp>
                          <wpg:grpSp>
                            <wpg:cNvPr id="8" name="Group 15"/>
                            <wpg:cNvGrpSpPr>
                              <a:grpSpLocks/>
                            </wpg:cNvGrpSpPr>
                            <wpg:grpSpPr bwMode="auto">
                              <a:xfrm>
                                <a:off x="1935" y="1785"/>
                                <a:ext cx="9054" cy="12660"/>
                                <a:chOff x="1935" y="1785"/>
                                <a:chExt cx="9054" cy="12660"/>
                              </a:xfrm>
                            </wpg:grpSpPr>
                            <wps:wsp>
                              <wps:cNvPr id="9" name="Text Box 16"/>
                              <wps:cNvSpPr txBox="1">
                                <a:spLocks noChangeArrowheads="1"/>
                              </wps:cNvSpPr>
                              <wps:spPr bwMode="auto">
                                <a:xfrm>
                                  <a:off x="2700" y="1785"/>
                                  <a:ext cx="6570" cy="1470"/>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2EE56" w14:textId="77777777" w:rsidR="00D34F1C" w:rsidRDefault="00D34F1C" w:rsidP="00D2452E">
                                    <w:pPr>
                                      <w:jc w:val="center"/>
                                      <w:rPr>
                                        <w:b/>
                                      </w:rPr>
                                    </w:pPr>
                                    <w:r w:rsidRPr="005F55A3">
                                      <w:rPr>
                                        <w:b/>
                                      </w:rPr>
                                      <w:t>Introduction:</w:t>
                                    </w:r>
                                  </w:p>
                                  <w:p w14:paraId="6B3E3FBE" w14:textId="6303C034" w:rsidR="00D34F1C" w:rsidRPr="002438FE" w:rsidRDefault="00D34F1C" w:rsidP="00D2452E">
                                    <w:pPr>
                                      <w:rPr>
                                        <w:bCs/>
                                      </w:rPr>
                                    </w:pPr>
                                    <w:r w:rsidRPr="002438FE">
                                      <w:rPr>
                                        <w:bCs/>
                                      </w:rPr>
                                      <w:t>Background:</w:t>
                                    </w:r>
                                    <w:r>
                                      <w:rPr>
                                        <w:bCs/>
                                      </w:rPr>
                                      <w:t xml:space="preserve"> </w:t>
                                    </w:r>
                                    <w:r w:rsidRPr="009F02A6">
                                      <w:rPr>
                                        <w:bCs/>
                                      </w:rPr>
                                      <w:t xml:space="preserve">Consumers have trust issue regarding </w:t>
                                    </w:r>
                                    <w:r w:rsidR="009D38AB" w:rsidRPr="00881198">
                                      <w:rPr>
                                        <w:bCs/>
                                      </w:rPr>
                                      <w:t>ad with sustainbility message</w:t>
                                    </w:r>
                                    <w:r w:rsidR="009D38AB" w:rsidRPr="009F02A6">
                                      <w:rPr>
                                        <w:bCs/>
                                      </w:rPr>
                                      <w:t xml:space="preserve"> </w:t>
                                    </w:r>
                                    <w:r w:rsidRPr="009F02A6">
                                      <w:rPr>
                                        <w:bCs/>
                                      </w:rPr>
                                      <w:t>of the company. Their positive or negative opinion of it disseminated on social</w:t>
                                    </w:r>
                                    <w:r>
                                      <w:rPr>
                                        <w:bCs/>
                                      </w:rPr>
                                      <w:t xml:space="preserve"> media affect the reputation and sales of the brand</w:t>
                                    </w:r>
                                  </w:p>
                                </w:txbxContent>
                              </wps:txbx>
                              <wps:bodyPr rot="0" vert="horz" wrap="square" lIns="91440" tIns="45720" rIns="91440" bIns="45720" anchor="t" anchorCtr="0" upright="1">
                                <a:noAutofit/>
                              </wps:bodyPr>
                            </wps:wsp>
                            <wps:wsp>
                              <wps:cNvPr id="10" name="Text Box 17"/>
                              <wps:cNvSpPr txBox="1">
                                <a:spLocks noChangeArrowheads="1"/>
                              </wps:cNvSpPr>
                              <wps:spPr bwMode="auto">
                                <a:xfrm>
                                  <a:off x="1935" y="5355"/>
                                  <a:ext cx="8040" cy="19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810F5" w14:textId="77777777" w:rsidR="00D34F1C" w:rsidRPr="0081631F" w:rsidRDefault="00D34F1C" w:rsidP="00D2452E">
                                    <w:pPr>
                                      <w:rPr>
                                        <w:b/>
                                      </w:rPr>
                                    </w:pPr>
                                    <w:r w:rsidRPr="0081631F">
                                      <w:rPr>
                                        <w:b/>
                                      </w:rPr>
                                      <w:t>Literature review:</w:t>
                                    </w:r>
                                  </w:p>
                                  <w:p w14:paraId="49FF7526" w14:textId="77777777" w:rsidR="00D34F1C" w:rsidRDefault="00D34F1C" w:rsidP="00D2452E">
                                    <w:r w:rsidRPr="00991DE4">
                                      <w:rPr>
                                        <w:highlight w:val="lightGray"/>
                                      </w:rPr>
                                      <w:t>Thematic literature review to understand the antecedent and consequences of social media engagement</w:t>
                                    </w:r>
                                    <w:r>
                                      <w:t xml:space="preserve">. </w:t>
                                    </w:r>
                                  </w:p>
                                  <w:p w14:paraId="683E0D17" w14:textId="77777777" w:rsidR="00D34F1C" w:rsidRPr="00761295" w:rsidRDefault="00D34F1C" w:rsidP="00D2452E">
                                    <w:r>
                                      <w:t>Elaborate description of the theories and the constructs along with the rationale in incorporating those in the conceptual framework</w:t>
                                    </w:r>
                                  </w:p>
                                </w:txbxContent>
                              </wps:txbx>
                              <wps:bodyPr rot="0" vert="horz" wrap="square" lIns="91440" tIns="45720" rIns="91440" bIns="45720" anchor="t" anchorCtr="0" upright="1">
                                <a:noAutofit/>
                              </wps:bodyPr>
                            </wps:wsp>
                            <wps:wsp>
                              <wps:cNvPr id="11" name="Text Box 18"/>
                              <wps:cNvSpPr txBox="1">
                                <a:spLocks noChangeArrowheads="1"/>
                              </wps:cNvSpPr>
                              <wps:spPr bwMode="auto">
                                <a:xfrm>
                                  <a:off x="5025" y="7680"/>
                                  <a:ext cx="2640" cy="4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3C6C5" w14:textId="77777777" w:rsidR="00D34F1C" w:rsidRPr="0081631F" w:rsidRDefault="00D34F1C" w:rsidP="00D2452E">
                                    <w:pPr>
                                      <w:rPr>
                                        <w:b/>
                                      </w:rPr>
                                    </w:pPr>
                                    <w:r w:rsidRPr="0081631F">
                                      <w:rPr>
                                        <w:b/>
                                      </w:rPr>
                                      <w:t>Hypothesis development</w:t>
                                    </w:r>
                                  </w:p>
                                </w:txbxContent>
                              </wps:txbx>
                              <wps:bodyPr rot="0" vert="horz" wrap="square" lIns="91440" tIns="45720" rIns="91440" bIns="45720" anchor="t" anchorCtr="0" upright="1">
                                <a:noAutofit/>
                              </wps:bodyPr>
                            </wps:wsp>
                            <wps:wsp>
                              <wps:cNvPr id="12" name="Text Box 19"/>
                              <wps:cNvSpPr txBox="1">
                                <a:spLocks noChangeArrowheads="1"/>
                              </wps:cNvSpPr>
                              <wps:spPr bwMode="auto">
                                <a:xfrm>
                                  <a:off x="4524" y="8676"/>
                                  <a:ext cx="6465" cy="1290"/>
                                </a:xfrm>
                                <a:prstGeom prst="rect">
                                  <a:avLst/>
                                </a:prstGeom>
                                <a:solidFill>
                                  <a:srgbClr val="E2B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8109F" w14:textId="77777777" w:rsidR="00D34F1C" w:rsidRPr="0081631F" w:rsidRDefault="00D34F1C" w:rsidP="00D2452E">
                                    <w:pPr>
                                      <w:jc w:val="center"/>
                                      <w:rPr>
                                        <w:b/>
                                      </w:rPr>
                                    </w:pPr>
                                    <w:r w:rsidRPr="0081631F">
                                      <w:rPr>
                                        <w:b/>
                                      </w:rPr>
                                      <w:t>Methodology</w:t>
                                    </w:r>
                                  </w:p>
                                  <w:p w14:paraId="1FA26733" w14:textId="703E0770" w:rsidR="00D34F1C" w:rsidRDefault="00D34F1C" w:rsidP="00D2452E">
                                    <w:r>
                                      <w:t xml:space="preserve">2 x 2 between group experiment conducted on fictitious brand by manipulating the types of </w:t>
                                    </w:r>
                                    <w:r w:rsidR="004D2324">
                                      <w:t>captions</w:t>
                                    </w:r>
                                    <w:r>
                                      <w:t xml:space="preserve"> and level of source expertise.</w:t>
                                    </w:r>
                                  </w:p>
                                </w:txbxContent>
                              </wps:txbx>
                              <wps:bodyPr rot="0" vert="horz" wrap="square" lIns="91440" tIns="45720" rIns="91440" bIns="45720" anchor="t" anchorCtr="0" upright="1">
                                <a:noAutofit/>
                              </wps:bodyPr>
                            </wps:wsp>
                            <wps:wsp>
                              <wps:cNvPr id="13" name="Text Box 20"/>
                              <wps:cNvSpPr txBox="1">
                                <a:spLocks noChangeArrowheads="1"/>
                              </wps:cNvSpPr>
                              <wps:spPr bwMode="auto">
                                <a:xfrm>
                                  <a:off x="5520" y="10410"/>
                                  <a:ext cx="1185" cy="45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C2F7C" w14:textId="77777777" w:rsidR="00D34F1C" w:rsidRPr="00EA62E3" w:rsidRDefault="00D34F1C" w:rsidP="00D2452E">
                                    <w:pPr>
                                      <w:rPr>
                                        <w:b/>
                                      </w:rPr>
                                    </w:pPr>
                                    <w:r w:rsidRPr="0081631F">
                                      <w:rPr>
                                        <w:b/>
                                      </w:rPr>
                                      <w:t xml:space="preserve">Analysis </w:t>
                                    </w:r>
                                  </w:p>
                                </w:txbxContent>
                              </wps:txbx>
                              <wps:bodyPr rot="0" vert="horz" wrap="square" lIns="91440" tIns="45720" rIns="91440" bIns="45720" anchor="t" anchorCtr="0" upright="1">
                                <a:noAutofit/>
                              </wps:bodyPr>
                            </wps:wsp>
                            <wps:wsp>
                              <wps:cNvPr id="14" name="Text Box 21"/>
                              <wps:cNvSpPr txBox="1">
                                <a:spLocks noChangeArrowheads="1"/>
                              </wps:cNvSpPr>
                              <wps:spPr bwMode="auto">
                                <a:xfrm>
                                  <a:off x="3480" y="11370"/>
                                  <a:ext cx="5445" cy="13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A4419" w14:textId="77777777" w:rsidR="00D34F1C" w:rsidRPr="0081631F" w:rsidRDefault="00D34F1C" w:rsidP="00D2452E">
                                    <w:pPr>
                                      <w:jc w:val="center"/>
                                      <w:rPr>
                                        <w:b/>
                                      </w:rPr>
                                    </w:pPr>
                                    <w:r w:rsidRPr="0081631F">
                                      <w:rPr>
                                        <w:b/>
                                      </w:rPr>
                                      <w:t>Discussion</w:t>
                                    </w:r>
                                  </w:p>
                                  <w:p w14:paraId="64432F8C" w14:textId="77777777" w:rsidR="00D34F1C" w:rsidRDefault="00D34F1C" w:rsidP="00D2452E">
                                    <w:r>
                                      <w:t>Review of the findings with explanation and implication. Limitation of the study</w:t>
                                    </w:r>
                                  </w:p>
                                </w:txbxContent>
                              </wps:txbx>
                              <wps:bodyPr rot="0" vert="horz" wrap="square" lIns="91440" tIns="45720" rIns="91440" bIns="45720" anchor="t" anchorCtr="0" upright="1">
                                <a:noAutofit/>
                              </wps:bodyPr>
                            </wps:wsp>
                            <wps:wsp>
                              <wps:cNvPr id="15" name="Text Box 22"/>
                              <wps:cNvSpPr txBox="1">
                                <a:spLocks noChangeArrowheads="1"/>
                              </wps:cNvSpPr>
                              <wps:spPr bwMode="auto">
                                <a:xfrm>
                                  <a:off x="5205" y="13200"/>
                                  <a:ext cx="2850" cy="1245"/>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80907" w14:textId="77777777" w:rsidR="00D34F1C" w:rsidRDefault="00D34F1C" w:rsidP="00D2452E">
                                    <w:pPr>
                                      <w:jc w:val="center"/>
                                      <w:rPr>
                                        <w:b/>
                                      </w:rPr>
                                    </w:pPr>
                                    <w:r w:rsidRPr="0081631F">
                                      <w:rPr>
                                        <w:b/>
                                      </w:rPr>
                                      <w:t>Conclusion</w:t>
                                    </w:r>
                                  </w:p>
                                  <w:p w14:paraId="493F4CBA" w14:textId="77777777" w:rsidR="00D34F1C" w:rsidRPr="0081631F" w:rsidRDefault="00D34F1C" w:rsidP="00D2452E">
                                    <w:pPr>
                                      <w:rPr>
                                        <w:b/>
                                      </w:rPr>
                                    </w:pPr>
                                    <w:r>
                                      <w:t>Managerial implication and future research</w:t>
                                    </w:r>
                                    <w:r w:rsidRPr="0081631F">
                                      <w:rPr>
                                        <w:b/>
                                      </w:rPr>
                                      <w:t xml:space="preserve"> </w:t>
                                    </w:r>
                                  </w:p>
                                </w:txbxContent>
                              </wps:txbx>
                              <wps:bodyPr rot="0" vert="horz" wrap="square" lIns="91440" tIns="45720" rIns="91440" bIns="45720" anchor="t" anchorCtr="0" upright="1">
                                <a:noAutofit/>
                              </wps:bodyPr>
                            </wps:wsp>
                            <wps:wsp>
                              <wps:cNvPr id="16" name="Text Box 23"/>
                              <wps:cNvSpPr txBox="1">
                                <a:spLocks noChangeArrowheads="1"/>
                              </wps:cNvSpPr>
                              <wps:spPr bwMode="auto">
                                <a:xfrm>
                                  <a:off x="2700" y="3255"/>
                                  <a:ext cx="3570" cy="162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0D460" w14:textId="7E69A4CB" w:rsidR="00D34F1C" w:rsidRDefault="00D34F1C" w:rsidP="00D2452E">
                                    <w:r w:rsidRPr="00ED6B7A">
                                      <w:rPr>
                                        <w:b/>
                                        <w:bCs/>
                                      </w:rPr>
                                      <w:t>Research question 1:</w:t>
                                    </w:r>
                                    <w:r>
                                      <w:t xml:space="preserve"> How does the positive </w:t>
                                    </w:r>
                                    <w:r w:rsidR="000E5673">
                                      <w:t>and</w:t>
                                    </w:r>
                                    <w:r>
                                      <w:t xml:space="preserve"> negative caption accompanying sustainability ad (i.e. antecedent) may influence social media engagement </w:t>
                                    </w:r>
                                  </w:p>
                                </w:txbxContent>
                              </wps:txbx>
                              <wps:bodyPr rot="0" vert="horz" wrap="square" lIns="91440" tIns="45720" rIns="91440" bIns="45720" anchor="t" anchorCtr="0" upright="1">
                                <a:noAutofit/>
                              </wps:bodyPr>
                            </wps:wsp>
                            <wps:wsp>
                              <wps:cNvPr id="17" name="AutoShape 24"/>
                              <wps:cNvSpPr>
                                <a:spLocks noChangeArrowheads="1"/>
                              </wps:cNvSpPr>
                              <wps:spPr bwMode="auto">
                                <a:xfrm>
                                  <a:off x="5834" y="4875"/>
                                  <a:ext cx="143" cy="480"/>
                                </a:xfrm>
                                <a:prstGeom prst="downArrow">
                                  <a:avLst>
                                    <a:gd name="adj1" fmla="val 50000"/>
                                    <a:gd name="adj2" fmla="val 83916"/>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18" name="AutoShape 25"/>
                              <wps:cNvSpPr>
                                <a:spLocks noChangeArrowheads="1"/>
                              </wps:cNvSpPr>
                              <wps:spPr bwMode="auto">
                                <a:xfrm>
                                  <a:off x="5977" y="7290"/>
                                  <a:ext cx="143" cy="390"/>
                                </a:xfrm>
                                <a:prstGeom prst="downArrow">
                                  <a:avLst>
                                    <a:gd name="adj1" fmla="val 50000"/>
                                    <a:gd name="adj2" fmla="val 68182"/>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19" name="AutoShape 26"/>
                              <wps:cNvSpPr>
                                <a:spLocks noChangeArrowheads="1"/>
                              </wps:cNvSpPr>
                              <wps:spPr bwMode="auto">
                                <a:xfrm>
                                  <a:off x="5977" y="8130"/>
                                  <a:ext cx="143" cy="547"/>
                                </a:xfrm>
                                <a:prstGeom prst="downArrow">
                                  <a:avLst>
                                    <a:gd name="adj1" fmla="val 50000"/>
                                    <a:gd name="adj2" fmla="val 95629"/>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0" name="AutoShape 27"/>
                              <wps:cNvSpPr>
                                <a:spLocks noChangeArrowheads="1"/>
                              </wps:cNvSpPr>
                              <wps:spPr bwMode="auto">
                                <a:xfrm>
                                  <a:off x="5977" y="9967"/>
                                  <a:ext cx="143" cy="443"/>
                                </a:xfrm>
                                <a:prstGeom prst="downArrow">
                                  <a:avLst>
                                    <a:gd name="adj1" fmla="val 50000"/>
                                    <a:gd name="adj2" fmla="val 77448"/>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1" name="AutoShape 28"/>
                              <wps:cNvSpPr>
                                <a:spLocks noChangeArrowheads="1"/>
                              </wps:cNvSpPr>
                              <wps:spPr bwMode="auto">
                                <a:xfrm>
                                  <a:off x="5977" y="10860"/>
                                  <a:ext cx="143" cy="510"/>
                                </a:xfrm>
                                <a:prstGeom prst="downArrow">
                                  <a:avLst>
                                    <a:gd name="adj1" fmla="val 50000"/>
                                    <a:gd name="adj2" fmla="val 89161"/>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2" name="AutoShape 29"/>
                              <wps:cNvSpPr>
                                <a:spLocks noChangeArrowheads="1"/>
                              </wps:cNvSpPr>
                              <wps:spPr bwMode="auto">
                                <a:xfrm>
                                  <a:off x="6120" y="12690"/>
                                  <a:ext cx="150" cy="510"/>
                                </a:xfrm>
                                <a:prstGeom prst="downArrow">
                                  <a:avLst>
                                    <a:gd name="adj1" fmla="val 50000"/>
                                    <a:gd name="adj2" fmla="val 85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g:grpSp>
                        </wpg:grpSp>
                        <wps:wsp>
                          <wps:cNvPr id="212" name="Rectangle 212"/>
                          <wps:cNvSpPr/>
                          <wps:spPr>
                            <a:xfrm>
                              <a:off x="-80211" y="3522746"/>
                              <a:ext cx="1828800" cy="11430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2D2BEF" w14:textId="73F0A689" w:rsidR="00D34F1C" w:rsidRPr="00EE722D" w:rsidRDefault="00D34F1C" w:rsidP="00EE722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2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 literature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review to identify recent studies conducted in digital engagement and sustainable behaviour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Straight Arrow Connector 44"/>
                        <wps:cNvCnPr/>
                        <wps:spPr>
                          <a:xfrm>
                            <a:off x="1828800" y="3605464"/>
                            <a:ext cx="9465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1966D4" id="Group 45" o:spid="_x0000_s1040" style="position:absolute;left:0;text-align:left;margin-left:10.1pt;margin-top:17.7pt;width:467.25pt;height:633pt;z-index:251659337" coordsize="59342,8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">
                <v:group id="Group 215" o:spid="_x0000_s1041" style="position:absolute;width:59342;height:80391" coordorigin="-802" coordsize="59342,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5" o:spid="_x0000_s1042" style="position:absolute;left:1047;width:57493;height:80391" coordorigin="1935,1785" coordsize="9054,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4" o:spid="_x0000_s1043" type="#_x0000_t202" style="position:absolute;left:6270;top:3255;width:30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" fillcolor="#e2efd9 [665]" stroked="f">
                      <v:textbox>
                        <w:txbxContent>
                          <w:p w14:paraId="5C7FE26A" w14:textId="77777777" w:rsidR="00D34F1C" w:rsidRDefault="00D34F1C" w:rsidP="00D2452E">
                            <w:r w:rsidRPr="00ED6B7A">
                              <w:rPr>
                                <w:b/>
                                <w:bCs/>
                              </w:rPr>
                              <w:t>Research question 2:</w:t>
                            </w:r>
                            <w:r>
                              <w:t xml:space="preserve"> How does social media engagement may influence sustainable purchase and other behavioural intention </w:t>
                            </w:r>
                          </w:p>
                        </w:txbxContent>
                      </v:textbox>
                    </v:shape>
                    <v:group id="_x0000_s1044" style="position:absolute;left:1935;top:1785;width:9054;height:12660" coordorigin="1935,1785" coordsize="9054,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16" o:spid="_x0000_s1045" type="#_x0000_t202" style="position:absolute;left:2700;top:1785;width:657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" fillcolor="#c5e0b3 [1305]" stroked="f">
                        <v:textbox>
                          <w:txbxContent>
                            <w:p w14:paraId="62C2EE56" w14:textId="77777777" w:rsidR="00D34F1C" w:rsidRDefault="00D34F1C" w:rsidP="00D2452E">
                              <w:pPr>
                                <w:jc w:val="center"/>
                                <w:rPr>
                                  <w:b/>
                                </w:rPr>
                              </w:pPr>
                              <w:r w:rsidRPr="005F55A3">
                                <w:rPr>
                                  <w:b/>
                                </w:rPr>
                                <w:t>Introduction:</w:t>
                              </w:r>
                            </w:p>
                            <w:p w14:paraId="6B3E3FBE" w14:textId="6303C034" w:rsidR="00D34F1C" w:rsidRPr="002438FE" w:rsidRDefault="00D34F1C" w:rsidP="00D2452E">
                              <w:pPr>
                                <w:rPr>
                                  <w:bCs/>
                                </w:rPr>
                              </w:pPr>
                              <w:r w:rsidRPr="002438FE">
                                <w:rPr>
                                  <w:bCs/>
                                </w:rPr>
                                <w:t>Background:</w:t>
                              </w:r>
                              <w:r>
                                <w:rPr>
                                  <w:bCs/>
                                </w:rPr>
                                <w:t xml:space="preserve"> </w:t>
                              </w:r>
                              <w:r w:rsidRPr="009F02A6">
                                <w:rPr>
                                  <w:bCs/>
                                </w:rPr>
                                <w:t xml:space="preserve">Consumers have trust issue regarding </w:t>
                              </w:r>
                              <w:r w:rsidR="009D38AB" w:rsidRPr="00881198">
                                <w:rPr>
                                  <w:bCs/>
                                </w:rPr>
                                <w:t xml:space="preserve">ad with </w:t>
                              </w:r>
                              <w:proofErr w:type="spellStart"/>
                              <w:r w:rsidR="009D38AB" w:rsidRPr="00881198">
                                <w:rPr>
                                  <w:bCs/>
                                </w:rPr>
                                <w:t>sustainbility</w:t>
                              </w:r>
                              <w:proofErr w:type="spellEnd"/>
                              <w:r w:rsidR="009D38AB" w:rsidRPr="00881198">
                                <w:rPr>
                                  <w:bCs/>
                                </w:rPr>
                                <w:t xml:space="preserve"> message</w:t>
                              </w:r>
                              <w:r w:rsidR="009D38AB" w:rsidRPr="009F02A6">
                                <w:rPr>
                                  <w:bCs/>
                                </w:rPr>
                                <w:t xml:space="preserve"> </w:t>
                              </w:r>
                              <w:r w:rsidRPr="009F02A6">
                                <w:rPr>
                                  <w:bCs/>
                                </w:rPr>
                                <w:t>of the company. Their positive or negative opinion of it disseminated on social</w:t>
                              </w:r>
                              <w:r>
                                <w:rPr>
                                  <w:bCs/>
                                </w:rPr>
                                <w:t xml:space="preserve"> media affect the reputation and sales of the brand</w:t>
                              </w:r>
                            </w:p>
                          </w:txbxContent>
                        </v:textbox>
                      </v:shape>
                      <v:shape id="Text Box 17" o:spid="_x0000_s1046" type="#_x0000_t202" style="position:absolute;left:1935;top:5355;width:804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" fillcolor="#acb9ca [1311]" stroked="f">
                        <v:textbox>
                          <w:txbxContent>
                            <w:p w14:paraId="478810F5" w14:textId="77777777" w:rsidR="00D34F1C" w:rsidRPr="0081631F" w:rsidRDefault="00D34F1C" w:rsidP="00D2452E">
                              <w:pPr>
                                <w:rPr>
                                  <w:b/>
                                </w:rPr>
                              </w:pPr>
                              <w:r w:rsidRPr="0081631F">
                                <w:rPr>
                                  <w:b/>
                                </w:rPr>
                                <w:t>Literature review:</w:t>
                              </w:r>
                            </w:p>
                            <w:p w14:paraId="49FF7526" w14:textId="77777777" w:rsidR="00D34F1C" w:rsidRDefault="00D34F1C" w:rsidP="00D2452E">
                              <w:r w:rsidRPr="00991DE4">
                                <w:rPr>
                                  <w:highlight w:val="lightGray"/>
                                </w:rPr>
                                <w:t>Thematic literature review to understand the antecedent and consequences of social media engagement</w:t>
                              </w:r>
                              <w:r>
                                <w:t xml:space="preserve">. </w:t>
                              </w:r>
                            </w:p>
                            <w:p w14:paraId="683E0D17" w14:textId="77777777" w:rsidR="00D34F1C" w:rsidRPr="00761295" w:rsidRDefault="00D34F1C" w:rsidP="00D2452E">
                              <w:r>
                                <w:t>Elaborate description of the theories and the constructs along with the rationale in incorporating those in the conceptual framework</w:t>
                              </w:r>
                            </w:p>
                          </w:txbxContent>
                        </v:textbox>
                      </v:shape>
                      <v:shape id="Text Box 18" o:spid="_x0000_s1047" type="#_x0000_t202" style="position:absolute;left:5025;top:7680;width:2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" fillcolor="#f7caac [1301]" stroked="f">
                        <v:textbox>
                          <w:txbxContent>
                            <w:p w14:paraId="3BA3C6C5" w14:textId="77777777" w:rsidR="00D34F1C" w:rsidRPr="0081631F" w:rsidRDefault="00D34F1C" w:rsidP="00D2452E">
                              <w:pPr>
                                <w:rPr>
                                  <w:b/>
                                </w:rPr>
                              </w:pPr>
                              <w:r w:rsidRPr="0081631F">
                                <w:rPr>
                                  <w:b/>
                                </w:rPr>
                                <w:t>Hypothesis development</w:t>
                              </w:r>
                            </w:p>
                          </w:txbxContent>
                        </v:textbox>
                      </v:shape>
                      <v:shape id="Text Box 19" o:spid="_x0000_s1048" type="#_x0000_t202" style="position:absolute;left:4524;top:8676;width:646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" fillcolor="#e2b7ff" stroked="f">
                        <v:textbox>
                          <w:txbxContent>
                            <w:p w14:paraId="38F8109F" w14:textId="77777777" w:rsidR="00D34F1C" w:rsidRPr="0081631F" w:rsidRDefault="00D34F1C" w:rsidP="00D2452E">
                              <w:pPr>
                                <w:jc w:val="center"/>
                                <w:rPr>
                                  <w:b/>
                                </w:rPr>
                              </w:pPr>
                              <w:r w:rsidRPr="0081631F">
                                <w:rPr>
                                  <w:b/>
                                </w:rPr>
                                <w:t>Methodology</w:t>
                              </w:r>
                            </w:p>
                            <w:p w14:paraId="1FA26733" w14:textId="703E0770" w:rsidR="00D34F1C" w:rsidRDefault="00D34F1C" w:rsidP="00D2452E">
                              <w:r>
                                <w:t xml:space="preserve">2 x 2 between group experiment conducted on fictitious brand by manipulating the types of </w:t>
                              </w:r>
                              <w:r w:rsidR="004D2324">
                                <w:t>captions</w:t>
                              </w:r>
                              <w:r>
                                <w:t xml:space="preserve"> and level of source expertise.</w:t>
                              </w:r>
                            </w:p>
                          </w:txbxContent>
                        </v:textbox>
                      </v:shape>
                      <v:shape id="Text Box 20" o:spid="_x0000_s1049" type="#_x0000_t202" style="position:absolute;left:5520;top:10410;width:11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" fillcolor="#a8d08d [1945]" stroked="f">
                        <v:textbox>
                          <w:txbxContent>
                            <w:p w14:paraId="0ECC2F7C" w14:textId="77777777" w:rsidR="00D34F1C" w:rsidRPr="00EA62E3" w:rsidRDefault="00D34F1C" w:rsidP="00D2452E">
                              <w:pPr>
                                <w:rPr>
                                  <w:b/>
                                </w:rPr>
                              </w:pPr>
                              <w:r w:rsidRPr="0081631F">
                                <w:rPr>
                                  <w:b/>
                                </w:rPr>
                                <w:t xml:space="preserve">Analysis </w:t>
                              </w:r>
                            </w:p>
                          </w:txbxContent>
                        </v:textbox>
                      </v:shape>
                      <v:shape id="Text Box 21" o:spid="_x0000_s1050" type="#_x0000_t202" style="position:absolute;left:3480;top:11370;width:544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" fillcolor="#b4c6e7 [1300]" stroked="f">
                        <v:textbox>
                          <w:txbxContent>
                            <w:p w14:paraId="06EA4419" w14:textId="77777777" w:rsidR="00D34F1C" w:rsidRPr="0081631F" w:rsidRDefault="00D34F1C" w:rsidP="00D2452E">
                              <w:pPr>
                                <w:jc w:val="center"/>
                                <w:rPr>
                                  <w:b/>
                                </w:rPr>
                              </w:pPr>
                              <w:r w:rsidRPr="0081631F">
                                <w:rPr>
                                  <w:b/>
                                </w:rPr>
                                <w:t>Discussion</w:t>
                              </w:r>
                            </w:p>
                            <w:p w14:paraId="64432F8C" w14:textId="77777777" w:rsidR="00D34F1C" w:rsidRDefault="00D34F1C" w:rsidP="00D2452E">
                              <w:r>
                                <w:t>Review of the findings with explanation and implication. Limitation of the study</w:t>
                              </w:r>
                            </w:p>
                          </w:txbxContent>
                        </v:textbox>
                      </v:shape>
                      <v:shape id="Text Box 22" o:spid="_x0000_s1051" type="#_x0000_t202" style="position:absolute;left:5205;top:13200;width:285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" fillcolor="#f4b083 [1941]" stroked="f">
                        <v:textbox>
                          <w:txbxContent>
                            <w:p w14:paraId="62B80907" w14:textId="77777777" w:rsidR="00D34F1C" w:rsidRDefault="00D34F1C" w:rsidP="00D2452E">
                              <w:pPr>
                                <w:jc w:val="center"/>
                                <w:rPr>
                                  <w:b/>
                                </w:rPr>
                              </w:pPr>
                              <w:r w:rsidRPr="0081631F">
                                <w:rPr>
                                  <w:b/>
                                </w:rPr>
                                <w:t>Conclusion</w:t>
                              </w:r>
                            </w:p>
                            <w:p w14:paraId="493F4CBA" w14:textId="77777777" w:rsidR="00D34F1C" w:rsidRPr="0081631F" w:rsidRDefault="00D34F1C" w:rsidP="00D2452E">
                              <w:pPr>
                                <w:rPr>
                                  <w:b/>
                                </w:rPr>
                              </w:pPr>
                              <w:r>
                                <w:t>Managerial implication and future research</w:t>
                              </w:r>
                              <w:r w:rsidRPr="0081631F">
                                <w:rPr>
                                  <w:b/>
                                </w:rPr>
                                <w:t xml:space="preserve"> </w:t>
                              </w:r>
                            </w:p>
                          </w:txbxContent>
                        </v:textbox>
                      </v:shape>
                      <v:shape id="Text Box 23" o:spid="_x0000_s1052" type="#_x0000_t202" style="position:absolute;left:2700;top:3255;width:357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" fillcolor="#e2efd9 [665]" stroked="f">
                        <v:textbox>
                          <w:txbxContent>
                            <w:p w14:paraId="75B0D460" w14:textId="7E69A4CB" w:rsidR="00D34F1C" w:rsidRDefault="00D34F1C" w:rsidP="00D2452E">
                              <w:r w:rsidRPr="00ED6B7A">
                                <w:rPr>
                                  <w:b/>
                                  <w:bCs/>
                                </w:rPr>
                                <w:t>Research question 1:</w:t>
                              </w:r>
                              <w:r>
                                <w:t xml:space="preserve"> How does the positive </w:t>
                              </w:r>
                              <w:r w:rsidR="000E5673">
                                <w:t>and</w:t>
                              </w:r>
                              <w:r>
                                <w:t xml:space="preserve"> negative caption accompanying sustainability ad (i.e. antecedent) may influence social media engagement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53" type="#_x0000_t67" style="position:absolute;left:5834;top:4875;width:1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" fillcolor="#a5a5a5 [2092]" stroked="f">
                        <v:textbox style="layout-flow:vertical-ideographic"/>
                      </v:shape>
                      <v:shape id="AutoShape 25" o:spid="_x0000_s1054" type="#_x0000_t67" style="position:absolute;left:5977;top:7290;width:14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" fillcolor="#a5a5a5 [2092]" stroked="f">
                        <v:textbox style="layout-flow:vertical-ideographic"/>
                      </v:shape>
                      <v:shape id="AutoShape 26" o:spid="_x0000_s1055" type="#_x0000_t67" style="position:absolute;left:5977;top:8130;width:14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" fillcolor="#a5a5a5 [2092]" stroked="f">
                        <v:textbox style="layout-flow:vertical-ideographic"/>
                      </v:shape>
                      <v:shape id="AutoShape 27" o:spid="_x0000_s1056" type="#_x0000_t67" style="position:absolute;left:5977;top:9967;width:1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" fillcolor="#a5a5a5 [2092]" stroked="f">
                        <v:textbox style="layout-flow:vertical-ideographic"/>
                      </v:shape>
                      <v:shape id="AutoShape 28" o:spid="_x0000_s1057" type="#_x0000_t67" style="position:absolute;left:5977;top:10860;width:1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" fillcolor="#a5a5a5 [2092]" stroked="f">
                        <v:textbox style="layout-flow:vertical-ideographic"/>
                      </v:shape>
                      <v:shape id="AutoShape 29" o:spid="_x0000_s1058" type="#_x0000_t67" style="position:absolute;left:6120;top:12690;width:1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" fillcolor="#a5a5a5 [2092]" stroked="f">
                        <v:textbox style="layout-flow:vertical-ideographic"/>
                      </v:shape>
                    </v:group>
                  </v:group>
                  <v:rect id="Rectangle 212" o:spid="_x0000_s1059" style="position:absolute;left:-802;top:35227;width:1828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" filled="f" strokecolor="#1f3763 [1604]" strokeweight="1pt">
                    <v:stroke dashstyle="3 1"/>
                    <v:textbox>
                      <w:txbxContent>
                        <w:p w14:paraId="572D2BEF" w14:textId="73F0A689" w:rsidR="00D34F1C" w:rsidRPr="00EE722D" w:rsidRDefault="00D34F1C" w:rsidP="00EE722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2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 literature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review to identify recent studies conducted in digital engagement and sustainable behaviour literature</w:t>
                          </w:r>
                        </w:p>
                      </w:txbxContent>
                    </v:textbox>
                  </v:rect>
                </v:group>
                <v:shape id="Straight Arrow Connector 44" o:spid="_x0000_s1060" type="#_x0000_t32" style="position:absolute;left:18288;top:36054;width:9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" strokecolor="#4472c4 [3204]" strokeweight=".5pt">
                  <v:stroke endarrow="block" joinstyle="miter"/>
                </v:shape>
              </v:group>
            </w:pict>
          </mc:Fallback>
        </mc:AlternateContent>
      </w:r>
      <w:r w:rsidR="00D2452E" w:rsidRPr="009F02A6">
        <w:rPr>
          <w:rFonts w:ascii="Cambria" w:hAnsi="Cambria"/>
        </w:rPr>
        <w:t xml:space="preserve">Fig 5: </w:t>
      </w:r>
      <w:r w:rsidR="00BC3DAA" w:rsidRPr="009F02A6">
        <w:rPr>
          <w:rFonts w:ascii="Cambria" w:hAnsi="Cambria"/>
        </w:rPr>
        <w:t>A</w:t>
      </w:r>
      <w:r w:rsidR="00D2452E" w:rsidRPr="009F02A6">
        <w:rPr>
          <w:rFonts w:ascii="Cambria" w:hAnsi="Cambria"/>
        </w:rPr>
        <w:t>n overview of the thesis</w:t>
      </w:r>
    </w:p>
    <w:p w14:paraId="5EA77DB5" w14:textId="7B7C353C" w:rsidR="00D2452E" w:rsidRPr="00530906" w:rsidRDefault="00D2452E" w:rsidP="008756B1">
      <w:pPr>
        <w:spacing w:line="259" w:lineRule="auto"/>
        <w:jc w:val="both"/>
        <w:rPr>
          <w:rFonts w:ascii="Cambria" w:hAnsi="Cambria"/>
        </w:rPr>
      </w:pPr>
      <w:r w:rsidRPr="00530906">
        <w:rPr>
          <w:rFonts w:ascii="Cambria" w:hAnsi="Cambria"/>
        </w:rPr>
        <w:br w:type="page"/>
      </w:r>
    </w:p>
    <w:p w14:paraId="04BBE3B7" w14:textId="371B9ADA" w:rsidR="00422B2A" w:rsidRPr="00530906" w:rsidRDefault="00422B2A" w:rsidP="008756B1">
      <w:pPr>
        <w:spacing w:line="259" w:lineRule="auto"/>
        <w:jc w:val="both"/>
        <w:rPr>
          <w:rFonts w:ascii="Cambria" w:hAnsi="Cambria"/>
        </w:rPr>
      </w:pPr>
    </w:p>
    <w:p w14:paraId="39107FF4" w14:textId="6162DEE7" w:rsidR="00422B2A" w:rsidRPr="00530906" w:rsidRDefault="00422B2A" w:rsidP="008756B1">
      <w:pPr>
        <w:spacing w:line="259" w:lineRule="auto"/>
        <w:jc w:val="both"/>
        <w:rPr>
          <w:rFonts w:ascii="Cambria" w:hAnsi="Cambria"/>
        </w:rPr>
      </w:pPr>
    </w:p>
    <w:p w14:paraId="290E38F5" w14:textId="76CF19FE" w:rsidR="00422B2A" w:rsidRPr="00530906" w:rsidRDefault="00422B2A" w:rsidP="008756B1">
      <w:pPr>
        <w:spacing w:line="259" w:lineRule="auto"/>
        <w:jc w:val="both"/>
        <w:rPr>
          <w:rFonts w:ascii="Cambria" w:hAnsi="Cambria"/>
        </w:rPr>
      </w:pPr>
    </w:p>
    <w:p w14:paraId="02250B08" w14:textId="520E9A31" w:rsidR="00422B2A" w:rsidRPr="00530906" w:rsidRDefault="00422B2A" w:rsidP="008756B1">
      <w:pPr>
        <w:spacing w:line="259" w:lineRule="auto"/>
        <w:jc w:val="both"/>
        <w:rPr>
          <w:rFonts w:ascii="Cambria" w:hAnsi="Cambria"/>
        </w:rPr>
      </w:pPr>
    </w:p>
    <w:p w14:paraId="153E1CC0" w14:textId="2CFB3B26" w:rsidR="00422B2A" w:rsidRPr="00530906" w:rsidRDefault="00422B2A" w:rsidP="008756B1">
      <w:pPr>
        <w:spacing w:line="259" w:lineRule="auto"/>
        <w:jc w:val="both"/>
        <w:rPr>
          <w:rFonts w:ascii="Cambria" w:hAnsi="Cambria"/>
        </w:rPr>
      </w:pPr>
    </w:p>
    <w:p w14:paraId="3D18FDA4" w14:textId="616690EF" w:rsidR="00422B2A" w:rsidRPr="00530906" w:rsidRDefault="00422B2A" w:rsidP="008756B1">
      <w:pPr>
        <w:spacing w:line="259" w:lineRule="auto"/>
        <w:jc w:val="both"/>
        <w:rPr>
          <w:rFonts w:ascii="Cambria" w:hAnsi="Cambria"/>
        </w:rPr>
      </w:pPr>
    </w:p>
    <w:p w14:paraId="36D3102B" w14:textId="00CCDB1E" w:rsidR="00422B2A" w:rsidRPr="00530906" w:rsidRDefault="00422B2A" w:rsidP="008756B1">
      <w:pPr>
        <w:spacing w:line="259" w:lineRule="auto"/>
        <w:jc w:val="both"/>
        <w:rPr>
          <w:rFonts w:ascii="Cambria" w:hAnsi="Cambria"/>
        </w:rPr>
      </w:pPr>
    </w:p>
    <w:p w14:paraId="4DFECC63" w14:textId="2BE3DC7F" w:rsidR="00422B2A" w:rsidRPr="00530906" w:rsidRDefault="00422B2A" w:rsidP="008756B1">
      <w:pPr>
        <w:spacing w:line="259" w:lineRule="auto"/>
        <w:jc w:val="both"/>
        <w:rPr>
          <w:rFonts w:ascii="Cambria" w:hAnsi="Cambria"/>
        </w:rPr>
      </w:pPr>
    </w:p>
    <w:p w14:paraId="5F8EC296" w14:textId="4CA0F2AA" w:rsidR="00422B2A" w:rsidRPr="00530906" w:rsidRDefault="00422B2A" w:rsidP="008756B1">
      <w:pPr>
        <w:spacing w:line="259" w:lineRule="auto"/>
        <w:jc w:val="both"/>
        <w:rPr>
          <w:rFonts w:ascii="Cambria" w:hAnsi="Cambria"/>
        </w:rPr>
      </w:pPr>
    </w:p>
    <w:p w14:paraId="558A44B7" w14:textId="2C6CBADA" w:rsidR="00422B2A" w:rsidRPr="00530906" w:rsidRDefault="00422B2A" w:rsidP="008756B1">
      <w:pPr>
        <w:spacing w:line="259" w:lineRule="auto"/>
        <w:jc w:val="both"/>
        <w:rPr>
          <w:rFonts w:ascii="Cambria" w:hAnsi="Cambria"/>
        </w:rPr>
      </w:pPr>
    </w:p>
    <w:p w14:paraId="624913BC" w14:textId="32E6EDDB" w:rsidR="00422B2A" w:rsidRPr="00530906" w:rsidRDefault="00422B2A" w:rsidP="008756B1">
      <w:pPr>
        <w:spacing w:line="259" w:lineRule="auto"/>
        <w:jc w:val="both"/>
        <w:rPr>
          <w:rFonts w:ascii="Cambria" w:hAnsi="Cambria"/>
        </w:rPr>
      </w:pPr>
    </w:p>
    <w:p w14:paraId="603FB7CF" w14:textId="06D91F88" w:rsidR="00422B2A" w:rsidRPr="00530906" w:rsidRDefault="00422B2A" w:rsidP="008756B1">
      <w:pPr>
        <w:spacing w:line="259" w:lineRule="auto"/>
        <w:jc w:val="both"/>
        <w:rPr>
          <w:rFonts w:ascii="Cambria" w:hAnsi="Cambria"/>
        </w:rPr>
      </w:pPr>
    </w:p>
    <w:p w14:paraId="529B59FB" w14:textId="337D48B1" w:rsidR="00422B2A" w:rsidRPr="00530906" w:rsidRDefault="00422B2A" w:rsidP="008756B1">
      <w:pPr>
        <w:spacing w:line="259" w:lineRule="auto"/>
        <w:jc w:val="both"/>
        <w:rPr>
          <w:rFonts w:ascii="Cambria" w:hAnsi="Cambria"/>
        </w:rPr>
      </w:pPr>
    </w:p>
    <w:p w14:paraId="14425315" w14:textId="110C3376" w:rsidR="00422B2A" w:rsidRPr="00530906" w:rsidRDefault="00422B2A" w:rsidP="008756B1">
      <w:pPr>
        <w:pStyle w:val="Heading1"/>
        <w:jc w:val="both"/>
        <w:rPr>
          <w:rFonts w:ascii="Cambria" w:eastAsia="Calibri" w:hAnsi="Cambria"/>
        </w:rPr>
      </w:pPr>
      <w:bookmarkStart w:id="17" w:name="_Toc115726215"/>
      <w:r w:rsidRPr="00530906">
        <w:rPr>
          <w:rFonts w:ascii="Cambria" w:eastAsia="Calibri" w:hAnsi="Cambria"/>
        </w:rPr>
        <w:t>Chapter 2</w:t>
      </w:r>
      <w:r w:rsidR="00C7217E" w:rsidRPr="00530906">
        <w:rPr>
          <w:rFonts w:ascii="Cambria" w:eastAsia="Calibri" w:hAnsi="Cambria"/>
        </w:rPr>
        <w:t>. Literature review</w:t>
      </w:r>
      <w:bookmarkStart w:id="18" w:name="_Toc513031853"/>
      <w:bookmarkEnd w:id="17"/>
    </w:p>
    <w:p w14:paraId="50D70BA2" w14:textId="77777777" w:rsidR="00422B2A" w:rsidRPr="00530906" w:rsidRDefault="00422B2A" w:rsidP="008756B1">
      <w:pPr>
        <w:spacing w:line="259" w:lineRule="auto"/>
        <w:jc w:val="both"/>
        <w:rPr>
          <w:rFonts w:ascii="Cambria" w:eastAsia="Calibri" w:hAnsi="Cambria" w:cstheme="majorBidi"/>
          <w:color w:val="2F5496" w:themeColor="accent1" w:themeShade="BF"/>
          <w:sz w:val="32"/>
          <w:szCs w:val="32"/>
        </w:rPr>
      </w:pPr>
      <w:r w:rsidRPr="00530906">
        <w:rPr>
          <w:rFonts w:ascii="Cambria" w:eastAsia="Calibri" w:hAnsi="Cambria"/>
        </w:rPr>
        <w:br w:type="page"/>
      </w:r>
    </w:p>
    <w:p w14:paraId="41CB41CC" w14:textId="67772644" w:rsidR="00977BCD" w:rsidRPr="00B03713" w:rsidRDefault="0038561E" w:rsidP="00EA5DD7">
      <w:pPr>
        <w:spacing w:line="360" w:lineRule="auto"/>
        <w:jc w:val="both"/>
        <w:rPr>
          <w:rFonts w:ascii="Cambria" w:hAnsi="Cambria"/>
          <w:sz w:val="24"/>
          <w:szCs w:val="24"/>
        </w:rPr>
      </w:pPr>
      <w:r w:rsidRPr="00B03713">
        <w:rPr>
          <w:rFonts w:ascii="Cambria" w:hAnsi="Cambria"/>
          <w:sz w:val="24"/>
          <w:szCs w:val="24"/>
        </w:rPr>
        <w:lastRenderedPageBreak/>
        <w:t xml:space="preserve">Natural resource consumption of global carrying capacity is increasing every year at an alarming rate (WBCSD 2018). </w:t>
      </w:r>
      <w:r w:rsidR="00EA5DD7" w:rsidRPr="00B03713">
        <w:rPr>
          <w:rFonts w:ascii="Cambria" w:hAnsi="Cambria"/>
          <w:sz w:val="24"/>
          <w:szCs w:val="24"/>
        </w:rPr>
        <w:t>If the current consumption rate retains</w:t>
      </w:r>
      <w:r w:rsidR="001E5D50" w:rsidRPr="00B03713">
        <w:rPr>
          <w:rFonts w:ascii="Cambria" w:hAnsi="Cambria"/>
          <w:sz w:val="24"/>
          <w:szCs w:val="24"/>
        </w:rPr>
        <w:t>,</w:t>
      </w:r>
      <w:r w:rsidR="00EA5DD7" w:rsidRPr="00B03713">
        <w:rPr>
          <w:rFonts w:ascii="Cambria" w:hAnsi="Cambria"/>
          <w:sz w:val="24"/>
          <w:szCs w:val="24"/>
        </w:rPr>
        <w:t xml:space="preserve"> the planet will not sustain the population forecasted for mid to late 21st century (Mick, 2006).</w:t>
      </w:r>
      <w:r w:rsidR="00C87C0C" w:rsidRPr="00B03713">
        <w:rPr>
          <w:rFonts w:ascii="Cambria" w:hAnsi="Cambria"/>
          <w:sz w:val="24"/>
          <w:szCs w:val="24"/>
        </w:rPr>
        <w:t xml:space="preserve"> </w:t>
      </w:r>
      <w:r w:rsidR="00EA5DD7" w:rsidRPr="00B03713">
        <w:rPr>
          <w:rFonts w:ascii="Cambria" w:hAnsi="Cambria"/>
          <w:sz w:val="24"/>
          <w:szCs w:val="24"/>
        </w:rPr>
        <w:t xml:space="preserve">Sustainability is hard to achieve, due to the unsustainable consumption pattern of the modern society (Thøgersen and Schrader, 2012, Leary et al 2014, Kilbourne and Pickett 2008, WBCSD 2018). </w:t>
      </w:r>
      <w:r w:rsidR="003D277D" w:rsidRPr="00B03713">
        <w:rPr>
          <w:rFonts w:ascii="Cambria" w:hAnsi="Cambria"/>
          <w:sz w:val="24"/>
          <w:szCs w:val="24"/>
        </w:rPr>
        <w:t>The aftermath of limitless consumption can be averted if the general consumers are motivated to adopt sustainable behaviour (Binder and Blankenberg 2017; Stern, 2000; Choi and Ng, 2011).</w:t>
      </w:r>
      <w:r w:rsidR="008A4CF5" w:rsidRPr="00B03713">
        <w:rPr>
          <w:rFonts w:ascii="Cambria" w:hAnsi="Cambria"/>
          <w:sz w:val="24"/>
          <w:szCs w:val="24"/>
        </w:rPr>
        <w:t xml:space="preserve"> It is argued that the best approach is to </w:t>
      </w:r>
      <w:r w:rsidR="00896880" w:rsidRPr="00B03713">
        <w:rPr>
          <w:rFonts w:ascii="Cambria" w:hAnsi="Cambria"/>
          <w:sz w:val="24"/>
          <w:szCs w:val="24"/>
        </w:rPr>
        <w:t>do so is t</w:t>
      </w:r>
      <w:r w:rsidR="001C76DB" w:rsidRPr="00B03713">
        <w:rPr>
          <w:rFonts w:ascii="Cambria" w:hAnsi="Cambria"/>
          <w:sz w:val="24"/>
          <w:szCs w:val="24"/>
        </w:rPr>
        <w:t>hrough promotion</w:t>
      </w:r>
      <w:r w:rsidR="003D277D" w:rsidRPr="00B03713">
        <w:rPr>
          <w:rFonts w:ascii="Cambria" w:hAnsi="Cambria"/>
          <w:sz w:val="24"/>
          <w:szCs w:val="24"/>
        </w:rPr>
        <w:t xml:space="preserve"> </w:t>
      </w:r>
      <w:r w:rsidR="00A140AE" w:rsidRPr="00B03713">
        <w:rPr>
          <w:rFonts w:ascii="Cambria" w:hAnsi="Cambria"/>
          <w:sz w:val="24"/>
          <w:szCs w:val="24"/>
        </w:rPr>
        <w:t xml:space="preserve">(Belz and Peattie 2012). </w:t>
      </w:r>
      <w:r w:rsidR="00A943CB" w:rsidRPr="00B03713">
        <w:rPr>
          <w:rFonts w:ascii="Cambria" w:hAnsi="Cambria"/>
          <w:sz w:val="24"/>
          <w:szCs w:val="24"/>
        </w:rPr>
        <w:t xml:space="preserve">Yet till date, there is paucity </w:t>
      </w:r>
      <w:r w:rsidR="00A55BE2" w:rsidRPr="00B03713">
        <w:rPr>
          <w:rFonts w:ascii="Cambria" w:hAnsi="Cambria"/>
          <w:sz w:val="24"/>
          <w:szCs w:val="24"/>
        </w:rPr>
        <w:t>of research</w:t>
      </w:r>
      <w:r w:rsidR="00A943CB" w:rsidRPr="00B03713">
        <w:rPr>
          <w:rFonts w:ascii="Cambria" w:hAnsi="Cambria"/>
          <w:sz w:val="24"/>
          <w:szCs w:val="24"/>
        </w:rPr>
        <w:t xml:space="preserve"> on how to promote the sustainable behaviour (Kilbourne et al 2002, Lin and Hsu 2015).</w:t>
      </w:r>
      <w:r w:rsidR="00977BCD" w:rsidRPr="00B03713">
        <w:rPr>
          <w:rFonts w:ascii="Cambria" w:hAnsi="Cambria"/>
          <w:sz w:val="24"/>
          <w:szCs w:val="24"/>
        </w:rPr>
        <w:t xml:space="preserve"> </w:t>
      </w:r>
    </w:p>
    <w:p w14:paraId="39DC8B0E" w14:textId="41F8D4A5" w:rsidR="006B3417" w:rsidRPr="00B03713" w:rsidRDefault="00EA5DD7" w:rsidP="005E260F">
      <w:pPr>
        <w:spacing w:line="360" w:lineRule="auto"/>
        <w:jc w:val="both"/>
        <w:rPr>
          <w:rFonts w:ascii="Cambria" w:eastAsia="Calibri" w:hAnsi="Cambria" w:cs="Times New Roman"/>
        </w:rPr>
      </w:pPr>
      <w:r w:rsidRPr="00B03713">
        <w:rPr>
          <w:rFonts w:ascii="Cambria" w:hAnsi="Cambria"/>
          <w:sz w:val="24"/>
          <w:szCs w:val="24"/>
        </w:rPr>
        <w:t xml:space="preserve">Even </w:t>
      </w:r>
      <w:r w:rsidR="005D6F78" w:rsidRPr="00B03713">
        <w:rPr>
          <w:rFonts w:ascii="Cambria" w:hAnsi="Cambria"/>
          <w:sz w:val="24"/>
          <w:szCs w:val="24"/>
        </w:rPr>
        <w:t>though the general consumers are</w:t>
      </w:r>
      <w:r w:rsidRPr="00B03713">
        <w:rPr>
          <w:rFonts w:ascii="Cambria" w:hAnsi="Cambria"/>
          <w:sz w:val="24"/>
          <w:szCs w:val="24"/>
        </w:rPr>
        <w:t xml:space="preserve"> concern</w:t>
      </w:r>
      <w:r w:rsidR="005D6F78" w:rsidRPr="00B03713">
        <w:rPr>
          <w:rFonts w:ascii="Cambria" w:hAnsi="Cambria"/>
          <w:sz w:val="24"/>
          <w:szCs w:val="24"/>
        </w:rPr>
        <w:t>ed about</w:t>
      </w:r>
      <w:r w:rsidRPr="00B03713">
        <w:rPr>
          <w:rFonts w:ascii="Cambria" w:hAnsi="Cambria"/>
          <w:sz w:val="24"/>
          <w:szCs w:val="24"/>
        </w:rPr>
        <w:t xml:space="preserve"> sustainability</w:t>
      </w:r>
      <w:r w:rsidR="00B0428A" w:rsidRPr="00B03713">
        <w:rPr>
          <w:rFonts w:ascii="Cambria" w:hAnsi="Cambria"/>
          <w:sz w:val="24"/>
          <w:szCs w:val="24"/>
        </w:rPr>
        <w:t>, th</w:t>
      </w:r>
      <w:r w:rsidR="00605073" w:rsidRPr="00B03713">
        <w:rPr>
          <w:rFonts w:ascii="Cambria" w:hAnsi="Cambria"/>
          <w:sz w:val="24"/>
          <w:szCs w:val="24"/>
        </w:rPr>
        <w:t>ey do not adopt sustainable behaviour</w:t>
      </w:r>
      <w:r w:rsidR="007720E0" w:rsidRPr="00B03713">
        <w:rPr>
          <w:rFonts w:ascii="Cambria" w:hAnsi="Cambria"/>
          <w:sz w:val="24"/>
          <w:szCs w:val="24"/>
        </w:rPr>
        <w:t xml:space="preserve"> </w:t>
      </w:r>
      <w:r w:rsidRPr="00B03713">
        <w:rPr>
          <w:rFonts w:ascii="Cambria" w:hAnsi="Cambria"/>
          <w:sz w:val="24"/>
          <w:szCs w:val="24"/>
        </w:rPr>
        <w:t xml:space="preserve">(Caprar and Neville, 2012: Carrington et al, 2010; Kilbourne et 2002; Carrington et al, 2014; Development, 2008). </w:t>
      </w:r>
      <w:r w:rsidR="00E44B20" w:rsidRPr="00B03713">
        <w:rPr>
          <w:rFonts w:ascii="Cambria" w:hAnsi="Cambria"/>
          <w:sz w:val="24"/>
          <w:szCs w:val="24"/>
        </w:rPr>
        <w:t>Companies are capitalising consumers</w:t>
      </w:r>
      <w:r w:rsidR="00A55BE2" w:rsidRPr="00B03713">
        <w:rPr>
          <w:rFonts w:ascii="Cambria" w:hAnsi="Cambria"/>
          <w:sz w:val="24"/>
          <w:szCs w:val="24"/>
        </w:rPr>
        <w:t>’ concern</w:t>
      </w:r>
      <w:r w:rsidR="00977BCD" w:rsidRPr="00B03713">
        <w:rPr>
          <w:rFonts w:ascii="Cambria" w:hAnsi="Cambria"/>
          <w:sz w:val="24"/>
          <w:szCs w:val="24"/>
        </w:rPr>
        <w:t xml:space="preserve"> for sustainability</w:t>
      </w:r>
      <w:r w:rsidR="00E03FF1" w:rsidRPr="00B03713">
        <w:rPr>
          <w:rFonts w:ascii="Cambria" w:hAnsi="Cambria"/>
          <w:sz w:val="24"/>
          <w:szCs w:val="24"/>
        </w:rPr>
        <w:t xml:space="preserve"> by associating their products</w:t>
      </w:r>
      <w:r w:rsidR="00016CC9" w:rsidRPr="00B03713">
        <w:rPr>
          <w:rFonts w:ascii="Cambria" w:hAnsi="Cambria"/>
          <w:sz w:val="24"/>
          <w:szCs w:val="24"/>
        </w:rPr>
        <w:t>,</w:t>
      </w:r>
      <w:r w:rsidR="00E03FF1" w:rsidRPr="00B03713">
        <w:rPr>
          <w:rFonts w:ascii="Cambria" w:hAnsi="Cambria"/>
          <w:sz w:val="24"/>
          <w:szCs w:val="24"/>
        </w:rPr>
        <w:t xml:space="preserve"> services</w:t>
      </w:r>
      <w:r w:rsidR="00016CC9" w:rsidRPr="00B03713">
        <w:rPr>
          <w:rFonts w:ascii="Cambria" w:hAnsi="Cambria"/>
          <w:sz w:val="24"/>
          <w:szCs w:val="24"/>
        </w:rPr>
        <w:t xml:space="preserve"> and business practices</w:t>
      </w:r>
      <w:r w:rsidR="00E03FF1" w:rsidRPr="00B03713">
        <w:rPr>
          <w:rFonts w:ascii="Cambria" w:hAnsi="Cambria"/>
          <w:sz w:val="24"/>
          <w:szCs w:val="24"/>
        </w:rPr>
        <w:t xml:space="preserve"> with sustainability</w:t>
      </w:r>
      <w:r w:rsidR="00977BCD" w:rsidRPr="00B03713">
        <w:rPr>
          <w:rFonts w:ascii="Cambria" w:hAnsi="Cambria"/>
          <w:sz w:val="24"/>
          <w:szCs w:val="24"/>
        </w:rPr>
        <w:t xml:space="preserve"> </w:t>
      </w:r>
      <w:r w:rsidR="00CA4F58" w:rsidRPr="00B03713">
        <w:rPr>
          <w:rFonts w:ascii="Cambria" w:hAnsi="Cambria"/>
          <w:sz w:val="24"/>
          <w:szCs w:val="24"/>
        </w:rPr>
        <w:t>and advertise</w:t>
      </w:r>
      <w:r w:rsidR="009E05EA" w:rsidRPr="00B03713">
        <w:rPr>
          <w:rFonts w:ascii="Cambria" w:hAnsi="Cambria"/>
          <w:sz w:val="24"/>
          <w:szCs w:val="24"/>
        </w:rPr>
        <w:t xml:space="preserve"> </w:t>
      </w:r>
      <w:r w:rsidR="00CA4F58" w:rsidRPr="00B03713">
        <w:rPr>
          <w:rFonts w:ascii="Cambria" w:hAnsi="Cambria"/>
          <w:sz w:val="24"/>
          <w:szCs w:val="24"/>
        </w:rPr>
        <w:t xml:space="preserve">those initiatives through ad with sustainability message </w:t>
      </w:r>
      <w:r w:rsidR="00CD2E54" w:rsidRPr="00B03713">
        <w:rPr>
          <w:rFonts w:ascii="Cambria" w:hAnsi="Cambria"/>
          <w:sz w:val="24"/>
          <w:szCs w:val="24"/>
        </w:rPr>
        <w:t>(</w:t>
      </w:r>
      <w:r w:rsidR="006D1F9D" w:rsidRPr="00B03713">
        <w:rPr>
          <w:rFonts w:ascii="Cambria" w:eastAsia="Calibri" w:hAnsi="Cambria" w:cs="Adobe Devanagari"/>
          <w:sz w:val="24"/>
          <w:szCs w:val="24"/>
        </w:rPr>
        <w:t xml:space="preserve">Prothero et. al. 2010; </w:t>
      </w:r>
      <w:r w:rsidR="00E10B35" w:rsidRPr="00B03713">
        <w:rPr>
          <w:rFonts w:ascii="Cambria" w:hAnsi="Cambria"/>
          <w:sz w:val="24"/>
          <w:szCs w:val="24"/>
        </w:rPr>
        <w:t xml:space="preserve">Huang and Rust 2011, Prothero et. al. 2010, Larceneux et al. 2012, Johnstone and Tan 2015; </w:t>
      </w:r>
      <w:r w:rsidR="00CD2E54" w:rsidRPr="00B03713">
        <w:rPr>
          <w:rFonts w:ascii="Cambria" w:hAnsi="Cambria"/>
          <w:sz w:val="24"/>
          <w:szCs w:val="24"/>
        </w:rPr>
        <w:t>Statista 2016; Statista 20216</w:t>
      </w:r>
      <w:r w:rsidR="00B30862" w:rsidRPr="00B03713">
        <w:rPr>
          <w:rFonts w:ascii="Cambria" w:hAnsi="Cambria"/>
          <w:sz w:val="24"/>
          <w:szCs w:val="24"/>
        </w:rPr>
        <w:t>, Cho et al 2013</w:t>
      </w:r>
      <w:r w:rsidR="00CD2E54" w:rsidRPr="00B03713">
        <w:rPr>
          <w:rFonts w:ascii="Cambria" w:hAnsi="Cambria"/>
          <w:sz w:val="24"/>
          <w:szCs w:val="24"/>
        </w:rPr>
        <w:t>)</w:t>
      </w:r>
      <w:r w:rsidR="00A061F4" w:rsidRPr="00B03713">
        <w:rPr>
          <w:rFonts w:ascii="Cambria" w:hAnsi="Cambria"/>
          <w:sz w:val="24"/>
          <w:szCs w:val="24"/>
        </w:rPr>
        <w:t>.</w:t>
      </w:r>
      <w:r w:rsidR="000B5375" w:rsidRPr="00B03713">
        <w:rPr>
          <w:rFonts w:ascii="Cambria" w:hAnsi="Cambria"/>
          <w:sz w:val="24"/>
          <w:szCs w:val="24"/>
        </w:rPr>
        <w:t xml:space="preserve"> Though this approach</w:t>
      </w:r>
      <w:r w:rsidR="00E823C2" w:rsidRPr="00B03713">
        <w:rPr>
          <w:rFonts w:ascii="Cambria" w:hAnsi="Cambria"/>
          <w:sz w:val="24"/>
          <w:szCs w:val="24"/>
        </w:rPr>
        <w:t xml:space="preserve"> has proved to be </w:t>
      </w:r>
      <w:r w:rsidR="00915A35" w:rsidRPr="00B03713">
        <w:rPr>
          <w:rFonts w:ascii="Cambria" w:hAnsi="Cambria"/>
          <w:sz w:val="24"/>
          <w:szCs w:val="24"/>
        </w:rPr>
        <w:t xml:space="preserve">fruitful </w:t>
      </w:r>
      <w:r w:rsidRPr="00B03713">
        <w:rPr>
          <w:rFonts w:ascii="Cambria" w:hAnsi="Cambria"/>
          <w:sz w:val="24"/>
          <w:szCs w:val="24"/>
        </w:rPr>
        <w:t>(Choi and Ng 2011, Roberts, 1996</w:t>
      </w:r>
      <w:r w:rsidR="00915A35" w:rsidRPr="00B03713">
        <w:rPr>
          <w:rFonts w:ascii="Cambria" w:hAnsi="Cambria"/>
          <w:sz w:val="24"/>
          <w:szCs w:val="24"/>
        </w:rPr>
        <w:t>,</w:t>
      </w:r>
      <w:r w:rsidRPr="00B03713">
        <w:rPr>
          <w:rFonts w:ascii="Cambria" w:hAnsi="Cambria"/>
          <w:sz w:val="24"/>
          <w:szCs w:val="24"/>
        </w:rPr>
        <w:t xml:space="preserve"> Bhattacharya and Sen 2003</w:t>
      </w:r>
      <w:r w:rsidR="00A43227" w:rsidRPr="00B03713">
        <w:rPr>
          <w:rFonts w:ascii="Cambria" w:hAnsi="Cambria"/>
          <w:sz w:val="24"/>
          <w:szCs w:val="24"/>
        </w:rPr>
        <w:t xml:space="preserve">, </w:t>
      </w:r>
      <w:r w:rsidRPr="00B03713">
        <w:rPr>
          <w:rFonts w:ascii="Cambria" w:hAnsi="Cambria"/>
          <w:sz w:val="24"/>
          <w:szCs w:val="24"/>
        </w:rPr>
        <w:t>Caprar and Neville 2012)</w:t>
      </w:r>
      <w:r w:rsidR="00C35C4C" w:rsidRPr="00B03713">
        <w:rPr>
          <w:rFonts w:ascii="Cambria" w:hAnsi="Cambria"/>
          <w:sz w:val="24"/>
          <w:szCs w:val="24"/>
        </w:rPr>
        <w:t xml:space="preserve">, but not </w:t>
      </w:r>
      <w:r w:rsidR="005E260F" w:rsidRPr="00B03713">
        <w:rPr>
          <w:rFonts w:ascii="Cambria" w:hAnsi="Cambria"/>
          <w:sz w:val="24"/>
          <w:szCs w:val="24"/>
        </w:rPr>
        <w:t>guaranteed</w:t>
      </w:r>
      <w:r w:rsidR="00A74F61" w:rsidRPr="00B03713">
        <w:rPr>
          <w:rFonts w:ascii="Cambria" w:hAnsi="Cambria"/>
          <w:sz w:val="24"/>
          <w:szCs w:val="24"/>
        </w:rPr>
        <w:t xml:space="preserve"> </w:t>
      </w:r>
      <w:r w:rsidR="005E260F" w:rsidRPr="00B03713">
        <w:rPr>
          <w:rFonts w:ascii="Cambria" w:hAnsi="Cambria"/>
          <w:sz w:val="24"/>
          <w:szCs w:val="24"/>
        </w:rPr>
        <w:t xml:space="preserve">due to consumers’ </w:t>
      </w:r>
      <w:r w:rsidR="00A55BE2" w:rsidRPr="00B03713">
        <w:rPr>
          <w:rFonts w:ascii="Cambria" w:hAnsi="Cambria"/>
          <w:sz w:val="24"/>
          <w:szCs w:val="24"/>
        </w:rPr>
        <w:t>scepticism</w:t>
      </w:r>
      <w:r w:rsidR="005E260F" w:rsidRPr="00B03713">
        <w:rPr>
          <w:rFonts w:ascii="Cambria" w:hAnsi="Cambria"/>
          <w:sz w:val="24"/>
          <w:szCs w:val="24"/>
        </w:rPr>
        <w:t xml:space="preserve"> of companies</w:t>
      </w:r>
      <w:r w:rsidR="005F4A2C" w:rsidRPr="00B03713">
        <w:rPr>
          <w:rFonts w:ascii="Cambria" w:hAnsi="Cambria"/>
          <w:sz w:val="24"/>
          <w:szCs w:val="24"/>
        </w:rPr>
        <w:t>’</w:t>
      </w:r>
      <w:r w:rsidR="005E260F" w:rsidRPr="00B03713">
        <w:rPr>
          <w:rFonts w:ascii="Cambria" w:hAnsi="Cambria"/>
          <w:sz w:val="24"/>
          <w:szCs w:val="24"/>
        </w:rPr>
        <w:t xml:space="preserve"> ad with sustainabil</w:t>
      </w:r>
      <w:r w:rsidR="00730B5D" w:rsidRPr="00B03713">
        <w:rPr>
          <w:rFonts w:ascii="Cambria" w:hAnsi="Cambria"/>
          <w:sz w:val="24"/>
          <w:szCs w:val="24"/>
        </w:rPr>
        <w:t>ity message</w:t>
      </w:r>
      <w:r w:rsidR="00DA233E" w:rsidRPr="00B03713">
        <w:rPr>
          <w:rFonts w:ascii="Cambria" w:hAnsi="Cambria"/>
          <w:sz w:val="24"/>
          <w:szCs w:val="24"/>
        </w:rPr>
        <w:t xml:space="preserve"> (Peattie and Crane 2005; Kilbourne 2004)</w:t>
      </w:r>
      <w:r w:rsidRPr="00B03713">
        <w:rPr>
          <w:rFonts w:ascii="Cambria" w:hAnsi="Cambria"/>
          <w:sz w:val="24"/>
          <w:szCs w:val="24"/>
        </w:rPr>
        <w:t xml:space="preserve">. </w:t>
      </w:r>
      <w:r w:rsidR="00E15CEF" w:rsidRPr="00B03713">
        <w:rPr>
          <w:rFonts w:ascii="Cambria" w:hAnsi="Cambria"/>
          <w:sz w:val="24"/>
          <w:szCs w:val="24"/>
        </w:rPr>
        <w:t xml:space="preserve">In the age of social media, </w:t>
      </w:r>
      <w:r w:rsidR="003759D8" w:rsidRPr="00B03713">
        <w:rPr>
          <w:rFonts w:ascii="Cambria" w:hAnsi="Cambria"/>
          <w:sz w:val="24"/>
          <w:szCs w:val="24"/>
        </w:rPr>
        <w:t>c</w:t>
      </w:r>
      <w:r w:rsidR="00127331" w:rsidRPr="00B03713">
        <w:rPr>
          <w:rFonts w:ascii="Cambria" w:hAnsi="Cambria"/>
          <w:sz w:val="24"/>
          <w:szCs w:val="24"/>
        </w:rPr>
        <w:t xml:space="preserve">onsumers’ positive or negative opinion of the ad with sustainability message </w:t>
      </w:r>
      <w:r w:rsidR="008924EB" w:rsidRPr="00B03713">
        <w:rPr>
          <w:rFonts w:ascii="Cambria" w:hAnsi="Cambria"/>
          <w:sz w:val="24"/>
          <w:szCs w:val="24"/>
        </w:rPr>
        <w:t xml:space="preserve">has a dynamic </w:t>
      </w:r>
      <w:r w:rsidR="008C55A2" w:rsidRPr="00B03713">
        <w:rPr>
          <w:rFonts w:ascii="Cambria" w:hAnsi="Cambria"/>
          <w:sz w:val="24"/>
          <w:szCs w:val="24"/>
        </w:rPr>
        <w:t>impact on other consumers</w:t>
      </w:r>
      <w:r w:rsidR="00627560" w:rsidRPr="00B03713">
        <w:rPr>
          <w:rFonts w:ascii="Cambria" w:hAnsi="Cambria"/>
          <w:sz w:val="24"/>
          <w:szCs w:val="24"/>
        </w:rPr>
        <w:t xml:space="preserve">, </w:t>
      </w:r>
      <w:r w:rsidR="00C47786" w:rsidRPr="00B03713">
        <w:rPr>
          <w:rFonts w:ascii="Cambria" w:hAnsi="Cambria"/>
          <w:sz w:val="24"/>
          <w:szCs w:val="24"/>
        </w:rPr>
        <w:t>which determine the</w:t>
      </w:r>
      <w:r w:rsidR="005C0ECB" w:rsidRPr="00B03713">
        <w:rPr>
          <w:rFonts w:ascii="Cambria" w:hAnsi="Cambria"/>
          <w:sz w:val="24"/>
          <w:szCs w:val="24"/>
        </w:rPr>
        <w:t xml:space="preserve"> success of advertised product with sustainability association</w:t>
      </w:r>
      <w:r w:rsidR="001B1F72" w:rsidRPr="00B03713">
        <w:rPr>
          <w:rFonts w:ascii="Cambria" w:hAnsi="Cambria"/>
          <w:sz w:val="24"/>
          <w:szCs w:val="24"/>
        </w:rPr>
        <w:t xml:space="preserve"> (Veloutsou</w:t>
      </w:r>
      <w:r w:rsidR="001B1F72" w:rsidRPr="008F691E">
        <w:rPr>
          <w:rFonts w:ascii="Cambria" w:hAnsi="Cambria"/>
          <w:sz w:val="24"/>
          <w:szCs w:val="24"/>
        </w:rPr>
        <w:t xml:space="preserve"> and Moutinho 2009)</w:t>
      </w:r>
      <w:r w:rsidR="005C0ECB" w:rsidRPr="008F691E">
        <w:rPr>
          <w:rFonts w:ascii="Cambria" w:hAnsi="Cambria"/>
          <w:sz w:val="24"/>
          <w:szCs w:val="24"/>
        </w:rPr>
        <w:t>.</w:t>
      </w:r>
      <w:r w:rsidR="00127331" w:rsidRPr="00B03713">
        <w:rPr>
          <w:rFonts w:ascii="Cambria" w:eastAsia="Calibri" w:hAnsi="Cambria" w:cs="Times New Roman"/>
        </w:rPr>
        <w:t xml:space="preserve"> </w:t>
      </w:r>
    </w:p>
    <w:p w14:paraId="3C7D3423" w14:textId="430518CA" w:rsidR="0056156D" w:rsidRPr="00B03713" w:rsidRDefault="009D6145" w:rsidP="00EA5DD7">
      <w:pPr>
        <w:spacing w:line="360" w:lineRule="auto"/>
        <w:jc w:val="both"/>
        <w:rPr>
          <w:rFonts w:ascii="Cambria" w:hAnsi="Cambria"/>
          <w:sz w:val="24"/>
          <w:szCs w:val="24"/>
        </w:rPr>
      </w:pPr>
      <w:r w:rsidRPr="00B03713">
        <w:rPr>
          <w:rFonts w:ascii="Cambria" w:hAnsi="Cambria"/>
          <w:sz w:val="24"/>
          <w:szCs w:val="24"/>
        </w:rPr>
        <w:t>This chapter discusses the key theories and constructs along with their rationale to be considered to investigate the research question</w:t>
      </w:r>
      <w:r w:rsidR="00861BDA" w:rsidRPr="00B03713">
        <w:rPr>
          <w:rFonts w:ascii="Cambria" w:hAnsi="Cambria"/>
          <w:sz w:val="24"/>
          <w:szCs w:val="24"/>
        </w:rPr>
        <w:t>s</w:t>
      </w:r>
      <w:r w:rsidRPr="00B03713">
        <w:rPr>
          <w:rFonts w:ascii="Cambria" w:hAnsi="Cambria"/>
          <w:sz w:val="24"/>
          <w:szCs w:val="24"/>
        </w:rPr>
        <w:t xml:space="preserve">. </w:t>
      </w:r>
      <w:r w:rsidR="0056156D" w:rsidRPr="00B03713">
        <w:rPr>
          <w:rFonts w:ascii="Cambria" w:hAnsi="Cambria"/>
          <w:sz w:val="24"/>
          <w:szCs w:val="24"/>
        </w:rPr>
        <w:t xml:space="preserve">This chapter starts with </w:t>
      </w:r>
      <w:r w:rsidR="00DE3F30" w:rsidRPr="00B03713">
        <w:rPr>
          <w:rFonts w:ascii="Cambria" w:hAnsi="Cambria"/>
          <w:sz w:val="24"/>
          <w:szCs w:val="24"/>
        </w:rPr>
        <w:t>an in–depth discussion about the sustainability related constructs which includes– sustainable behaviour, sustainable purchase intention, and sustainability advertisement</w:t>
      </w:r>
      <w:r w:rsidR="00073A69" w:rsidRPr="00B03713">
        <w:rPr>
          <w:rFonts w:ascii="Cambria" w:hAnsi="Cambria"/>
          <w:sz w:val="24"/>
          <w:szCs w:val="24"/>
        </w:rPr>
        <w:t>.</w:t>
      </w:r>
      <w:r w:rsidR="008516BA" w:rsidRPr="00B03713">
        <w:rPr>
          <w:rFonts w:ascii="Cambria" w:hAnsi="Cambria"/>
          <w:sz w:val="24"/>
          <w:szCs w:val="24"/>
        </w:rPr>
        <w:t xml:space="preserve"> </w:t>
      </w:r>
      <w:r w:rsidR="00073A69" w:rsidRPr="00B03713">
        <w:rPr>
          <w:rFonts w:ascii="Cambria" w:hAnsi="Cambria"/>
          <w:sz w:val="24"/>
          <w:szCs w:val="24"/>
        </w:rPr>
        <w:t>A critical literature review has provided an understanding of the antecedents of adopting sustainable behaviour. Th</w:t>
      </w:r>
      <w:r w:rsidR="0087613D" w:rsidRPr="00B03713">
        <w:rPr>
          <w:rFonts w:ascii="Cambria" w:hAnsi="Cambria"/>
          <w:sz w:val="24"/>
          <w:szCs w:val="24"/>
        </w:rPr>
        <w:t xml:space="preserve">is </w:t>
      </w:r>
      <w:r w:rsidR="00073A69" w:rsidRPr="00B03713">
        <w:rPr>
          <w:rFonts w:ascii="Cambria" w:hAnsi="Cambria"/>
          <w:sz w:val="24"/>
          <w:szCs w:val="24"/>
        </w:rPr>
        <w:t xml:space="preserve">literature review </w:t>
      </w:r>
      <w:r w:rsidR="0087613D" w:rsidRPr="00B03713">
        <w:rPr>
          <w:rFonts w:ascii="Cambria" w:hAnsi="Cambria"/>
          <w:sz w:val="24"/>
          <w:szCs w:val="24"/>
        </w:rPr>
        <w:t xml:space="preserve">chapter </w:t>
      </w:r>
      <w:r w:rsidR="00073A69" w:rsidRPr="00B03713">
        <w:rPr>
          <w:rFonts w:ascii="Cambria" w:hAnsi="Cambria"/>
          <w:sz w:val="24"/>
          <w:szCs w:val="24"/>
        </w:rPr>
        <w:t xml:space="preserve">proceeds </w:t>
      </w:r>
      <w:r w:rsidR="00653CA9" w:rsidRPr="00B03713">
        <w:rPr>
          <w:rFonts w:ascii="Cambria" w:hAnsi="Cambria"/>
          <w:sz w:val="24"/>
          <w:szCs w:val="24"/>
        </w:rPr>
        <w:t xml:space="preserve">to discuss about </w:t>
      </w:r>
      <w:r w:rsidR="00CE09FF" w:rsidRPr="00B03713">
        <w:rPr>
          <w:rFonts w:ascii="Cambria" w:hAnsi="Cambria"/>
          <w:sz w:val="24"/>
          <w:szCs w:val="24"/>
        </w:rPr>
        <w:t>social media engagement to give an overview how this behavioural construct affects the businesses and consumers</w:t>
      </w:r>
      <w:r w:rsidR="001F755A" w:rsidRPr="00B03713">
        <w:rPr>
          <w:rFonts w:ascii="Cambria" w:hAnsi="Cambria"/>
          <w:sz w:val="24"/>
          <w:szCs w:val="24"/>
        </w:rPr>
        <w:t>; f</w:t>
      </w:r>
      <w:r w:rsidR="00653CA9" w:rsidRPr="00B03713">
        <w:rPr>
          <w:rFonts w:ascii="Cambria" w:hAnsi="Cambria"/>
          <w:sz w:val="24"/>
          <w:szCs w:val="24"/>
        </w:rPr>
        <w:t>ollowed</w:t>
      </w:r>
      <w:r w:rsidR="00CE09FF" w:rsidRPr="00B03713">
        <w:rPr>
          <w:rFonts w:ascii="Cambria" w:hAnsi="Cambria"/>
          <w:sz w:val="24"/>
          <w:szCs w:val="24"/>
        </w:rPr>
        <w:t xml:space="preserve"> </w:t>
      </w:r>
      <w:r w:rsidR="008516BA" w:rsidRPr="00B03713">
        <w:rPr>
          <w:rFonts w:ascii="Cambria" w:hAnsi="Cambria"/>
          <w:sz w:val="24"/>
          <w:szCs w:val="24"/>
        </w:rPr>
        <w:t xml:space="preserve">by a thematic literature review to understand the </w:t>
      </w:r>
      <w:r w:rsidR="008516BA" w:rsidRPr="00B03713">
        <w:rPr>
          <w:rFonts w:ascii="Cambria" w:hAnsi="Cambria"/>
          <w:sz w:val="24"/>
          <w:szCs w:val="24"/>
        </w:rPr>
        <w:lastRenderedPageBreak/>
        <w:t xml:space="preserve">antecedent and consequences of social media engagement and to justify the claim regarding the gap in research on social media engagement on </w:t>
      </w:r>
      <w:r w:rsidR="0017363F" w:rsidRPr="00B03713">
        <w:rPr>
          <w:rFonts w:ascii="Cambria" w:eastAsia="Times New Roman" w:hAnsi="Cambria" w:cs="Times New Roman"/>
          <w:noProof/>
          <w:sz w:val="24"/>
          <w:szCs w:val="24"/>
        </w:rPr>
        <w:t>ad with sustainbility message</w:t>
      </w:r>
      <w:r w:rsidR="005B4170" w:rsidRPr="00B03713">
        <w:rPr>
          <w:rFonts w:ascii="Cambria" w:eastAsia="Times New Roman" w:hAnsi="Cambria" w:cs="Times New Roman"/>
          <w:noProof/>
          <w:sz w:val="24"/>
          <w:szCs w:val="24"/>
        </w:rPr>
        <w:t xml:space="preserve"> </w:t>
      </w:r>
      <w:r w:rsidR="008516BA" w:rsidRPr="00B03713">
        <w:rPr>
          <w:rFonts w:ascii="Cambria" w:hAnsi="Cambria"/>
          <w:sz w:val="24"/>
          <w:szCs w:val="24"/>
        </w:rPr>
        <w:t>and how the consumers’ options influence the intention to adopt sustainable behaviour.</w:t>
      </w:r>
      <w:r w:rsidR="00BE3AA6" w:rsidRPr="00B03713">
        <w:rPr>
          <w:rFonts w:ascii="Cambria" w:hAnsi="Cambria"/>
          <w:sz w:val="24"/>
          <w:szCs w:val="24"/>
        </w:rPr>
        <w:t xml:space="preserve"> </w:t>
      </w:r>
      <w:r w:rsidR="0056156D" w:rsidRPr="00B03713">
        <w:rPr>
          <w:rFonts w:ascii="Cambria" w:hAnsi="Cambria"/>
          <w:sz w:val="24"/>
          <w:szCs w:val="24"/>
        </w:rPr>
        <w:t>In the subsequent sections, discussion evolved around</w:t>
      </w:r>
      <w:r w:rsidR="005B3C0E" w:rsidRPr="00B03713">
        <w:rPr>
          <w:rFonts w:ascii="Cambria" w:hAnsi="Cambria"/>
          <w:sz w:val="24"/>
          <w:szCs w:val="24"/>
        </w:rPr>
        <w:t xml:space="preserve"> </w:t>
      </w:r>
      <w:r w:rsidR="004175B2" w:rsidRPr="00B03713">
        <w:rPr>
          <w:rFonts w:ascii="Cambria" w:hAnsi="Cambria"/>
          <w:sz w:val="24"/>
          <w:szCs w:val="24"/>
        </w:rPr>
        <w:t>related antecedents</w:t>
      </w:r>
      <w:r w:rsidR="0056156D" w:rsidRPr="00B03713">
        <w:rPr>
          <w:rFonts w:ascii="Cambria" w:hAnsi="Cambria"/>
          <w:sz w:val="24"/>
          <w:szCs w:val="24"/>
        </w:rPr>
        <w:t xml:space="preserve"> like– captions on </w:t>
      </w:r>
      <w:r w:rsidR="00DA0997" w:rsidRPr="00B03713">
        <w:rPr>
          <w:rFonts w:ascii="Cambria" w:eastAsia="Calibri" w:hAnsi="Cambria" w:cs="Adobe Devanagari"/>
          <w:sz w:val="24"/>
          <w:szCs w:val="24"/>
        </w:rPr>
        <w:t xml:space="preserve">ad with </w:t>
      </w:r>
      <w:r w:rsidR="00E363FB" w:rsidRPr="00B03713">
        <w:rPr>
          <w:rFonts w:ascii="Cambria" w:eastAsia="Calibri" w:hAnsi="Cambria" w:cs="Adobe Devanagari"/>
          <w:sz w:val="24"/>
          <w:szCs w:val="24"/>
        </w:rPr>
        <w:t>sustainability</w:t>
      </w:r>
      <w:r w:rsidR="00DA0997" w:rsidRPr="00B03713">
        <w:rPr>
          <w:rFonts w:ascii="Cambria" w:eastAsia="Calibri" w:hAnsi="Cambria" w:cs="Adobe Devanagari"/>
          <w:sz w:val="24"/>
          <w:szCs w:val="24"/>
        </w:rPr>
        <w:t xml:space="preserve"> message</w:t>
      </w:r>
      <w:r w:rsidR="00DA0997" w:rsidRPr="00B03713">
        <w:rPr>
          <w:rFonts w:ascii="Cambria" w:eastAsia="Calibri" w:hAnsi="Cambria" w:cs="Times New Roman"/>
          <w:sz w:val="24"/>
          <w:szCs w:val="24"/>
        </w:rPr>
        <w:t xml:space="preserve"> </w:t>
      </w:r>
      <w:r w:rsidR="0056156D" w:rsidRPr="00B03713">
        <w:rPr>
          <w:rFonts w:ascii="Cambria" w:hAnsi="Cambria"/>
          <w:sz w:val="24"/>
          <w:szCs w:val="24"/>
        </w:rPr>
        <w:t xml:space="preserve">in social media, source expertise, ad involvement, self–transformative consumption vision (SCV), Pleasure, arousal and dominance (PAD) theory of emotion, advertisement (ad) attitude, </w:t>
      </w:r>
      <w:r w:rsidR="00C56623" w:rsidRPr="00B03713">
        <w:rPr>
          <w:rFonts w:ascii="Cambria" w:hAnsi="Cambria"/>
          <w:sz w:val="24"/>
          <w:szCs w:val="24"/>
        </w:rPr>
        <w:t xml:space="preserve">and </w:t>
      </w:r>
      <w:r w:rsidR="0056156D" w:rsidRPr="00B03713">
        <w:rPr>
          <w:rFonts w:ascii="Cambria" w:hAnsi="Cambria"/>
          <w:sz w:val="24"/>
          <w:szCs w:val="24"/>
        </w:rPr>
        <w:t xml:space="preserve">social influence. Previous research on these constructs </w:t>
      </w:r>
      <w:r w:rsidR="003E1D5C" w:rsidRPr="00B03713">
        <w:rPr>
          <w:rFonts w:ascii="Cambria" w:hAnsi="Cambria"/>
          <w:sz w:val="24"/>
          <w:szCs w:val="24"/>
        </w:rPr>
        <w:t>and how they can explain the phenomenon of interest (sustainable behaviour intention) have</w:t>
      </w:r>
      <w:r w:rsidR="0056156D" w:rsidRPr="00B03713">
        <w:rPr>
          <w:rFonts w:ascii="Cambria" w:hAnsi="Cambria"/>
          <w:sz w:val="24"/>
          <w:szCs w:val="24"/>
        </w:rPr>
        <w:t xml:space="preserve"> also been reviewed in this chapter.</w:t>
      </w:r>
    </w:p>
    <w:p w14:paraId="6FB941C0" w14:textId="77777777" w:rsidR="00E1493C" w:rsidRPr="00B03713" w:rsidRDefault="00E1493C" w:rsidP="00E1493C">
      <w:pPr>
        <w:pStyle w:val="Heading2"/>
        <w:rPr>
          <w:rFonts w:eastAsia="Calibri"/>
          <w:color w:val="auto"/>
        </w:rPr>
      </w:pPr>
      <w:bookmarkStart w:id="19" w:name="_Toc115726216"/>
      <w:r w:rsidRPr="00B03713">
        <w:rPr>
          <w:rFonts w:eastAsia="Calibri"/>
          <w:color w:val="auto"/>
        </w:rPr>
        <w:t>2.1. Sustainability</w:t>
      </w:r>
      <w:bookmarkEnd w:id="19"/>
      <w:r w:rsidRPr="00B03713">
        <w:rPr>
          <w:rFonts w:eastAsia="Calibri"/>
          <w:color w:val="auto"/>
        </w:rPr>
        <w:t xml:space="preserve"> </w:t>
      </w:r>
    </w:p>
    <w:p w14:paraId="311C5FCE" w14:textId="7F879B13"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Theme="minorEastAsia" w:hAnsi="Cambria"/>
          <w:sz w:val="24"/>
          <w:szCs w:val="24"/>
        </w:rPr>
        <w:t xml:space="preserve">Sustainability </w:t>
      </w:r>
      <w:r w:rsidR="00633618" w:rsidRPr="00B03713">
        <w:rPr>
          <w:rFonts w:ascii="Cambria" w:eastAsiaTheme="minorEastAsia" w:hAnsi="Cambria"/>
          <w:sz w:val="24"/>
          <w:szCs w:val="24"/>
        </w:rPr>
        <w:t>refers to</w:t>
      </w:r>
      <w:r w:rsidRPr="00B03713">
        <w:rPr>
          <w:rFonts w:ascii="Cambria" w:eastAsiaTheme="minorEastAsia" w:hAnsi="Cambria"/>
          <w:sz w:val="24"/>
          <w:szCs w:val="24"/>
        </w:rPr>
        <w:t xml:space="preserve"> the betterment of current and future generations </w:t>
      </w:r>
      <w:r w:rsidRPr="00B03713">
        <w:rPr>
          <w:rFonts w:ascii="Cambria" w:eastAsia="Calibri" w:hAnsi="Cambria" w:cs="Times New Roman"/>
          <w:sz w:val="24"/>
          <w:szCs w:val="24"/>
        </w:rPr>
        <w:t>(</w:t>
      </w:r>
      <w:r w:rsidRPr="00B03713">
        <w:rPr>
          <w:rFonts w:ascii="Cambria" w:eastAsia="Calibri" w:hAnsi="Cambria" w:cs="Adobe Devanagari"/>
          <w:sz w:val="24"/>
          <w:szCs w:val="24"/>
        </w:rPr>
        <w:t>Banbury et al 2012; WBCSD 2018</w:t>
      </w:r>
      <w:r w:rsidRPr="00B03713">
        <w:rPr>
          <w:rFonts w:ascii="Cambria" w:eastAsia="Calibri" w:hAnsi="Cambria" w:cs="Times New Roman"/>
          <w:sz w:val="24"/>
          <w:szCs w:val="24"/>
        </w:rPr>
        <w:t>) which encompasses environmental (e.g. conservation of natural resources), social (e.g. poverty eradication and equal benefits for all the actors involved in the business), and economic (e.g. long–term sustenance of organisations’ activity; voluntary simplicity, collaborative, and debt-free of consumption) dimensions, otherwise known as triple bottom–line (</w:t>
      </w:r>
      <w:r w:rsidRPr="00B03713">
        <w:rPr>
          <w:rFonts w:ascii="Cambria" w:eastAsia="Calibri" w:hAnsi="Cambria" w:cs="Adobe Devanagari"/>
          <w:sz w:val="24"/>
          <w:szCs w:val="24"/>
        </w:rPr>
        <w:t>Lim 2017; Lim 2016; Huang and Rust 2011; Kemper and Ballantine 2019; Balderjahn et al 2013)</w:t>
      </w:r>
      <w:r w:rsidRPr="00B03713">
        <w:rPr>
          <w:rFonts w:ascii="Cambria" w:eastAsia="Calibri" w:hAnsi="Cambria" w:cs="Times New Roman"/>
          <w:sz w:val="24"/>
          <w:szCs w:val="24"/>
        </w:rPr>
        <w:t xml:space="preserve">. </w:t>
      </w:r>
    </w:p>
    <w:p w14:paraId="289441D2" w14:textId="2EA816DF"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Calibri" w:hAnsi="Cambria" w:cs="Times New Roman"/>
          <w:sz w:val="24"/>
          <w:szCs w:val="24"/>
        </w:rPr>
        <w:t>Problem with sustainability literature is that major part of it is focused on only environmental dimension of sustainability rather than incorporating all three dimensions (Lim 2017; Lim 2016; Huang and Rust 2011). Moreover, even if sustainability literature is a focus of academia since 1970 (</w:t>
      </w:r>
      <w:r w:rsidRPr="00B03713">
        <w:rPr>
          <w:rFonts w:ascii="Cambria" w:eastAsia="Calibri" w:hAnsi="Cambria" w:cs="Adobe Devanagari"/>
          <w:sz w:val="24"/>
          <w:szCs w:val="24"/>
        </w:rPr>
        <w:t>McDonagh and Prothero 2014</w:t>
      </w:r>
      <w:r w:rsidRPr="00B03713">
        <w:rPr>
          <w:rFonts w:ascii="Cambria" w:eastAsia="Calibri" w:hAnsi="Cambria" w:cs="Times New Roman"/>
          <w:sz w:val="24"/>
          <w:szCs w:val="24"/>
        </w:rPr>
        <w:t xml:space="preserve">), it has not evolved with the context of modern-day sustainability </w:t>
      </w:r>
      <w:r w:rsidR="002465FF" w:rsidRPr="00B03713">
        <w:rPr>
          <w:rFonts w:ascii="Cambria" w:eastAsia="Calibri" w:hAnsi="Cambria" w:cs="Times New Roman"/>
          <w:sz w:val="24"/>
          <w:szCs w:val="24"/>
        </w:rPr>
        <w:t>related problems</w:t>
      </w:r>
      <w:r w:rsidRPr="00B03713">
        <w:rPr>
          <w:rFonts w:ascii="Cambria" w:eastAsia="Calibri" w:hAnsi="Cambria" w:cs="Times New Roman"/>
          <w:sz w:val="24"/>
          <w:szCs w:val="24"/>
        </w:rPr>
        <w:t xml:space="preserve">. Research to promote sustainable behaviour study should be action–oriented (Mick 2006). Early publications about sustainability were focused on clarification of the concept ‘sustainability’ and the importance of sustainable–behaviour. Though, later publications focused on how to implement sustainability concept, but those academic works were leaned toward discussing policies, which have the risk to be failures due to consumers’ rejection if the policies are formulated without changing consumers’ mindset (Schrader and Thøgersen 2011; Sedlacko et al 2014). </w:t>
      </w:r>
    </w:p>
    <w:p w14:paraId="5AADE2EA" w14:textId="77777777" w:rsidR="00E1493C" w:rsidRPr="00B03713" w:rsidRDefault="00E1493C" w:rsidP="00E1493C">
      <w:pPr>
        <w:spacing w:line="360" w:lineRule="auto"/>
        <w:jc w:val="both"/>
        <w:rPr>
          <w:rFonts w:ascii="Cambria" w:eastAsia="Calibri" w:hAnsi="Cambria" w:cs="Adobe Devanagari"/>
          <w:sz w:val="24"/>
          <w:szCs w:val="24"/>
        </w:rPr>
      </w:pPr>
      <w:r w:rsidRPr="00B03713">
        <w:rPr>
          <w:rFonts w:ascii="Cambria" w:eastAsia="Calibri" w:hAnsi="Cambria" w:cs="Adobe Devanagari"/>
          <w:sz w:val="24"/>
          <w:szCs w:val="24"/>
        </w:rPr>
        <w:t xml:space="preserve">One of the major impediments of achieving sustainable development is overconsumption of mass consumers. If the current levels of consumption continue to rise, the planet will </w:t>
      </w:r>
      <w:r w:rsidRPr="00B03713">
        <w:rPr>
          <w:rFonts w:ascii="Cambria" w:eastAsia="Calibri" w:hAnsi="Cambria" w:cs="Adobe Devanagari"/>
          <w:sz w:val="24"/>
          <w:szCs w:val="24"/>
        </w:rPr>
        <w:lastRenderedPageBreak/>
        <w:t>not be able to sustain the population forecasted in mid to late 21</w:t>
      </w:r>
      <w:r w:rsidRPr="00B03713">
        <w:rPr>
          <w:rFonts w:ascii="Cambria" w:eastAsia="Calibri" w:hAnsi="Cambria" w:cs="Adobe Devanagari"/>
          <w:sz w:val="24"/>
          <w:szCs w:val="24"/>
          <w:vertAlign w:val="superscript"/>
        </w:rPr>
        <w:t>st</w:t>
      </w:r>
      <w:r w:rsidRPr="00B03713">
        <w:rPr>
          <w:rFonts w:ascii="Cambria" w:eastAsia="Calibri" w:hAnsi="Cambria" w:cs="Adobe Devanagari"/>
          <w:sz w:val="24"/>
          <w:szCs w:val="24"/>
        </w:rPr>
        <w:t xml:space="preserve"> century (Mick, 2006; </w:t>
      </w:r>
      <w:r w:rsidRPr="00B03713">
        <w:rPr>
          <w:rFonts w:ascii="Cambria" w:eastAsia="Calibri" w:hAnsi="Cambria" w:cs="Times New Roman"/>
          <w:sz w:val="24"/>
          <w:szCs w:val="24"/>
        </w:rPr>
        <w:t>Johnstone and Tan 2015</w:t>
      </w:r>
      <w:r w:rsidRPr="00B03713">
        <w:rPr>
          <w:rFonts w:ascii="Cambria" w:eastAsia="Calibri" w:hAnsi="Cambria" w:cs="Adobe Devanagari"/>
          <w:sz w:val="24"/>
          <w:szCs w:val="24"/>
        </w:rPr>
        <w:t xml:space="preserve">). Natural resource consumption has increased to 125% of global carrying capacity and could possibly rise to 170% by 2040 (WBCSD 2018). Global material use is estimated to rise by 15% by 2030 and 75% by 2060, due to population growth coupled with high economic growth </w:t>
      </w:r>
      <w:hyperlink r:id="rId19" w:history="1">
        <w:r w:rsidRPr="00B03713">
          <w:rPr>
            <w:rStyle w:val="Hyperlink"/>
            <w:rFonts w:ascii="Cambria" w:eastAsia="Calibri" w:hAnsi="Cambria" w:cs="Adobe Devanagari"/>
            <w:color w:val="auto"/>
            <w:sz w:val="24"/>
            <w:szCs w:val="24"/>
          </w:rPr>
          <w:t>(datatopics.worldbank.org</w:t>
        </w:r>
      </w:hyperlink>
      <w:r w:rsidRPr="00B03713">
        <w:rPr>
          <w:rFonts w:ascii="Cambria" w:eastAsia="Calibri" w:hAnsi="Cambria" w:cs="Adobe Devanagari"/>
          <w:sz w:val="24"/>
          <w:szCs w:val="24"/>
        </w:rPr>
        <w:t xml:space="preserve"> 2021). On the top of that, in 2015, fossil fuel consumption of the world is 79.68% of total fuel consumption (data.worldbank.org 2021).</w:t>
      </w:r>
    </w:p>
    <w:p w14:paraId="5BE70BBD" w14:textId="77777777"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Calibri" w:hAnsi="Cambria" w:cs="Adobe Devanagari"/>
          <w:sz w:val="24"/>
          <w:szCs w:val="24"/>
        </w:rPr>
        <w:t xml:space="preserve"> Though Pickett–Backer and Ozaki (2008) treated </w:t>
      </w:r>
      <w:r w:rsidRPr="00B03713">
        <w:rPr>
          <w:rFonts w:ascii="Cambria" w:eastAsia="Times New Roman" w:hAnsi="Cambria" w:cs="Times New Roman"/>
          <w:sz w:val="24"/>
          <w:szCs w:val="24"/>
        </w:rPr>
        <w:t>products with sustainability association</w:t>
      </w:r>
      <w:r w:rsidRPr="00B03713">
        <w:rPr>
          <w:rFonts w:ascii="Cambria" w:eastAsia="Calibri" w:hAnsi="Cambria" w:cs="Adobe Devanagari"/>
          <w:sz w:val="24"/>
          <w:szCs w:val="24"/>
        </w:rPr>
        <w:t xml:space="preserve"> as a niche market, now a day</w:t>
      </w:r>
      <w:r w:rsidRPr="00B03713">
        <w:rPr>
          <w:rFonts w:ascii="Cambria" w:eastAsia="Calibri" w:hAnsi="Cambria" w:cs="Times New Roman"/>
          <w:sz w:val="24"/>
          <w:szCs w:val="24"/>
        </w:rPr>
        <w:t xml:space="preserve"> the marketplace has changed. </w:t>
      </w:r>
      <w:r w:rsidRPr="00B03713">
        <w:rPr>
          <w:rFonts w:ascii="Cambria" w:eastAsia="Calibri" w:hAnsi="Cambria" w:cs="Adobe Devanagari"/>
          <w:sz w:val="24"/>
          <w:szCs w:val="24"/>
        </w:rPr>
        <w:t>The market for green products has shifted from small niche market to mass market in early 90’s (Roberts 1996; VanDoorn and Verhoef 2015; Carrington et al 2010; weforum.org 2019). For instance, organic food has a 106 billion dollar global market in 2019 (Statista 2021)</w:t>
      </w:r>
      <w:r w:rsidRPr="00B03713">
        <w:rPr>
          <w:rFonts w:ascii="Cambria" w:hAnsi="Cambria"/>
          <w:sz w:val="24"/>
          <w:szCs w:val="24"/>
          <w:vertAlign w:val="superscript"/>
        </w:rPr>
        <w:t>5</w:t>
      </w:r>
      <w:r w:rsidRPr="00B03713">
        <w:rPr>
          <w:rFonts w:ascii="Cambria" w:eastAsia="Calibri" w:hAnsi="Cambria" w:cs="Times New Roman"/>
          <w:sz w:val="24"/>
          <w:szCs w:val="24"/>
        </w:rPr>
        <w:t xml:space="preserve">. Yet </w:t>
      </w:r>
      <w:r w:rsidRPr="00B03713">
        <w:rPr>
          <w:rFonts w:ascii="Cambria" w:eastAsia="Calibri" w:hAnsi="Cambria" w:cs="Adobe Devanagari"/>
          <w:sz w:val="24"/>
          <w:szCs w:val="24"/>
        </w:rPr>
        <w:t xml:space="preserve">consumers’ demand for product that is sustainable in nature, remains a small fraction of overall demand, whereas global consumption is also growing due to economic and technological growth and (Egea and de Frutos 2013; Peattie and Peattie 2009; </w:t>
      </w:r>
      <w:r w:rsidRPr="00B03713">
        <w:rPr>
          <w:rFonts w:ascii="Cambria" w:eastAsia="Calibri" w:hAnsi="Cambria" w:cs="Times New Roman"/>
          <w:sz w:val="24"/>
          <w:szCs w:val="24"/>
        </w:rPr>
        <w:t>Johnstone and Tan 2015; Luchs et al 2010</w:t>
      </w:r>
      <w:r w:rsidRPr="00B03713">
        <w:rPr>
          <w:rFonts w:ascii="Cambria" w:eastAsia="Calibri" w:hAnsi="Cambria" w:cs="Adobe Devanagari"/>
          <w:sz w:val="24"/>
          <w:szCs w:val="24"/>
        </w:rPr>
        <w:t xml:space="preserve">). </w:t>
      </w:r>
      <w:r w:rsidRPr="00B03713">
        <w:rPr>
          <w:rFonts w:ascii="Cambria" w:eastAsia="Calibri" w:hAnsi="Cambria" w:cs="Times New Roman"/>
          <w:sz w:val="24"/>
          <w:szCs w:val="24"/>
        </w:rPr>
        <w:t xml:space="preserve"> </w:t>
      </w:r>
    </w:p>
    <w:p w14:paraId="49BA3E9B" w14:textId="77777777"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Calibri" w:hAnsi="Cambria" w:cs="Times New Roman"/>
          <w:sz w:val="24"/>
          <w:szCs w:val="24"/>
        </w:rPr>
        <w:t xml:space="preserve">There is a number of gaps in sustainability related research from the point of consumption. For example, the definition of sustainable behaviour in terms of consumption presented in 1994 Oslo Symposium is- </w:t>
      </w:r>
    </w:p>
    <w:p w14:paraId="09009E33" w14:textId="77777777" w:rsidR="00E1493C" w:rsidRPr="00B03713" w:rsidRDefault="00E1493C" w:rsidP="00E1493C">
      <w:pPr>
        <w:spacing w:line="360" w:lineRule="auto"/>
        <w:ind w:left="567" w:right="804"/>
        <w:jc w:val="both"/>
        <w:rPr>
          <w:rFonts w:ascii="Cambria" w:eastAsia="Calibri" w:hAnsi="Cambria" w:cs="Times New Roman"/>
          <w:i/>
          <w:iCs/>
          <w:sz w:val="24"/>
          <w:szCs w:val="24"/>
        </w:rPr>
      </w:pPr>
      <w:r w:rsidRPr="00B03713">
        <w:rPr>
          <w:rFonts w:ascii="Cambria" w:eastAsia="Calibri" w:hAnsi="Cambria" w:cs="Times New Roman"/>
          <w:i/>
          <w:iCs/>
          <w:sz w:val="24"/>
          <w:szCs w:val="24"/>
        </w:rPr>
        <w:t>“The use of goods and services that respond to basic needs and bring a better quality of life, while minimizing the use of natural resources, toxic materials and emissions of waste and pollutants over the life cycle, so as not to jeopardize the needs of future generations.” (Banbury et al 2012, p 497).</w:t>
      </w:r>
    </w:p>
    <w:p w14:paraId="77C1AE7D" w14:textId="2CE45018"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Calibri" w:hAnsi="Cambria" w:cs="Times New Roman"/>
          <w:sz w:val="24"/>
          <w:szCs w:val="24"/>
        </w:rPr>
        <w:t xml:space="preserve">This definition is criticised for giving emphasis on minimising the consumption and for not giving any direction of how to motivate the consumer to adopt it (Banbury et al 2012). Because, if sustainable behaviour is deemed to be equivalent of reducing consumption, consumers may be reluctant to adopt it (see, Lim 2017). Moreover, what sustainable behaviour means for consumer of different economic class, is also vague (Sedlacko et al 2014). Stern (2000) argues that since environmental attitude is different from environmental behaviour, theories only explaining environmentalism are insufficient to understand how to pursue consumers to adopt behaviour that is sustainable. This notion </w:t>
      </w:r>
      <w:r w:rsidRPr="00B03713">
        <w:rPr>
          <w:rFonts w:ascii="Cambria" w:eastAsia="Calibri" w:hAnsi="Cambria" w:cs="Times New Roman"/>
          <w:sz w:val="24"/>
          <w:szCs w:val="24"/>
        </w:rPr>
        <w:lastRenderedPageBreak/>
        <w:t>should also be true when it is extended to other dimensions of sustainability (</w:t>
      </w:r>
      <w:r w:rsidR="00DE5195" w:rsidRPr="00B03713">
        <w:rPr>
          <w:rFonts w:ascii="Cambria" w:eastAsia="Calibri" w:hAnsi="Cambria" w:cs="Times New Roman"/>
          <w:sz w:val="24"/>
          <w:szCs w:val="24"/>
        </w:rPr>
        <w:t>i.e.,</w:t>
      </w:r>
      <w:r w:rsidRPr="00B03713">
        <w:rPr>
          <w:rFonts w:ascii="Cambria" w:eastAsia="Calibri" w:hAnsi="Cambria" w:cs="Times New Roman"/>
          <w:sz w:val="24"/>
          <w:szCs w:val="24"/>
        </w:rPr>
        <w:t xml:space="preserve"> social and economic). In other words, research on sustainable behaviour should start with the problem rather than theory and should simultaneously encompass multiple domain and level (Phipps et al 2013). </w:t>
      </w:r>
    </w:p>
    <w:p w14:paraId="5C4FF8CE" w14:textId="5E520584" w:rsidR="00E1493C" w:rsidRPr="00B03713" w:rsidRDefault="00E1493C" w:rsidP="00E1493C">
      <w:pPr>
        <w:spacing w:line="360" w:lineRule="auto"/>
        <w:jc w:val="both"/>
        <w:rPr>
          <w:rFonts w:ascii="Cambria" w:eastAsia="Calibri" w:hAnsi="Cambria" w:cs="Times New Roman"/>
          <w:sz w:val="24"/>
          <w:szCs w:val="24"/>
        </w:rPr>
      </w:pPr>
      <w:r w:rsidRPr="00B03713">
        <w:rPr>
          <w:rFonts w:ascii="Cambria" w:eastAsia="Calibri" w:hAnsi="Cambria" w:cs="Times New Roman"/>
          <w:sz w:val="24"/>
          <w:szCs w:val="24"/>
        </w:rPr>
        <w:t>The business organisations are trying to capitalise sustainability</w:t>
      </w:r>
      <w:r w:rsidR="003C30F7" w:rsidRPr="00B03713">
        <w:rPr>
          <w:rFonts w:ascii="Cambria" w:eastAsia="Calibri" w:hAnsi="Cambria" w:cs="Times New Roman"/>
          <w:sz w:val="24"/>
          <w:szCs w:val="24"/>
        </w:rPr>
        <w:t xml:space="preserve"> (</w:t>
      </w:r>
      <w:r w:rsidR="003C30F7" w:rsidRPr="00B03713">
        <w:rPr>
          <w:rFonts w:ascii="Cambria" w:eastAsia="Times New Roman" w:hAnsi="Cambria" w:cs="Times New Roman"/>
          <w:sz w:val="24"/>
          <w:szCs w:val="24"/>
        </w:rPr>
        <w:t xml:space="preserve">Huang and Rust 2011, </w:t>
      </w:r>
      <w:r w:rsidR="003C30F7" w:rsidRPr="00B03713">
        <w:rPr>
          <w:rFonts w:ascii="Cambria" w:eastAsia="Calibri" w:hAnsi="Cambria" w:cs="Adobe Devanagari"/>
          <w:sz w:val="24"/>
          <w:szCs w:val="24"/>
        </w:rPr>
        <w:t xml:space="preserve">Prothero et. al. 2010, </w:t>
      </w:r>
      <w:r w:rsidR="003C30F7" w:rsidRPr="00B03713">
        <w:rPr>
          <w:rFonts w:ascii="Cambria" w:eastAsia="Calibri" w:hAnsi="Cambria" w:cs="Times New Roman"/>
          <w:sz w:val="24"/>
          <w:szCs w:val="24"/>
        </w:rPr>
        <w:t>Larceneux et al. 2012, Johnstone and Tan 2015)</w:t>
      </w:r>
      <w:r w:rsidRPr="00B03713">
        <w:rPr>
          <w:rFonts w:ascii="Cambria" w:eastAsia="Calibri" w:hAnsi="Cambria" w:cs="Times New Roman"/>
          <w:sz w:val="24"/>
          <w:szCs w:val="24"/>
        </w:rPr>
        <w:t xml:space="preserve">. It was estimated that, there will be at least $12 trillion worth of market opportunity to rise by 2030 due to UN sustainable development goals (europeanbusinessreview.com, 2017). </w:t>
      </w:r>
      <w:r w:rsidRPr="00B03713">
        <w:rPr>
          <w:rFonts w:ascii="Cambria" w:eastAsia="Calibri" w:hAnsi="Cambria" w:cs="Adobe Devanagari"/>
          <w:sz w:val="24"/>
          <w:szCs w:val="24"/>
        </w:rPr>
        <w:t xml:space="preserve">As seen from the appendix 2, studies those have taken contemporary perspective to promote sustainable–behaviour is limited even after almost 50 years of introduction of the topic around 1970 (McDonagh, and Prothero 2014, Banbury et al 2012, </w:t>
      </w:r>
      <w:r w:rsidRPr="00B03713">
        <w:rPr>
          <w:rFonts w:ascii="Cambria" w:eastAsia="Calibri" w:hAnsi="Cambria" w:cs="Times New Roman"/>
          <w:sz w:val="24"/>
          <w:szCs w:val="24"/>
        </w:rPr>
        <w:t xml:space="preserve">Stern, 2000, Kilbourne 2004, Lim 2017, Prothero et al 2010, Sedlacko et al 2014). The promotion of product with sustainable dimensions associated with it and adopting other sustainable behaviour needs to be assessed from modern day perspective. A research gap like this makes it hard for the firms to formulate applicable–managerial strategy, which is also scarce in this subject area (McDonagh and Protheo 2014, Caprar and Neville 2012, Lim 2017, White and Simpson 2013). This trend has hardly changed despite of recent shift of research focus from managerial perspective to more micro level concepts like, environmental value, dominant social paradigm etc (Kilbourne 2004). As seen in Appendix 2, lion portion of consumer centric studies tend to describe the impact of consumers’ general characteristics on sustainability rather than how the context affects consumers’ mindset to </w:t>
      </w:r>
      <w:r w:rsidR="00DE5195" w:rsidRPr="00B03713">
        <w:rPr>
          <w:rFonts w:ascii="Cambria" w:eastAsia="Calibri" w:hAnsi="Cambria" w:cs="Times New Roman"/>
          <w:sz w:val="24"/>
          <w:szCs w:val="24"/>
        </w:rPr>
        <w:t>act</w:t>
      </w:r>
      <w:r w:rsidRPr="00B03713">
        <w:rPr>
          <w:rFonts w:ascii="Cambria" w:eastAsia="Calibri" w:hAnsi="Cambria" w:cs="Times New Roman"/>
          <w:sz w:val="24"/>
          <w:szCs w:val="24"/>
        </w:rPr>
        <w:t xml:space="preserve"> towards sustainable behaviour.</w:t>
      </w:r>
    </w:p>
    <w:p w14:paraId="14FB8DA6" w14:textId="309DCAFC" w:rsidR="00C7217E" w:rsidRPr="00530906" w:rsidRDefault="00C7217E" w:rsidP="008756B1">
      <w:pPr>
        <w:pStyle w:val="Heading2"/>
        <w:jc w:val="both"/>
        <w:rPr>
          <w:rFonts w:ascii="Cambria" w:eastAsia="Calibri" w:hAnsi="Cambria"/>
        </w:rPr>
      </w:pPr>
      <w:bookmarkStart w:id="20" w:name="_Toc115726217"/>
      <w:r w:rsidRPr="00530906">
        <w:rPr>
          <w:rFonts w:ascii="Cambria" w:eastAsia="Calibri" w:hAnsi="Cambria"/>
        </w:rPr>
        <w:t>2.</w:t>
      </w:r>
      <w:r w:rsidR="00C034C0" w:rsidRPr="00530906">
        <w:rPr>
          <w:rFonts w:ascii="Cambria" w:eastAsia="Calibri" w:hAnsi="Cambria"/>
        </w:rPr>
        <w:t>2</w:t>
      </w:r>
      <w:r w:rsidRPr="00530906">
        <w:rPr>
          <w:rFonts w:ascii="Cambria" w:eastAsia="Calibri" w:hAnsi="Cambria"/>
        </w:rPr>
        <w:t xml:space="preserve">. </w:t>
      </w:r>
      <w:bookmarkEnd w:id="18"/>
      <w:r w:rsidRPr="00530906">
        <w:rPr>
          <w:rFonts w:ascii="Cambria" w:eastAsia="Calibri" w:hAnsi="Cambria"/>
        </w:rPr>
        <w:t>Sustainable behaviour:</w:t>
      </w:r>
      <w:bookmarkEnd w:id="20"/>
    </w:p>
    <w:p w14:paraId="0FF5A979" w14:textId="77777777" w:rsidR="0003233F" w:rsidRPr="00530906" w:rsidRDefault="00C7217E">
      <w:pPr>
        <w:spacing w:line="360" w:lineRule="auto"/>
        <w:jc w:val="both"/>
        <w:rPr>
          <w:rFonts w:ascii="Cambria" w:eastAsia="Calibri" w:hAnsi="Cambria" w:cs="Adobe Devanagari"/>
          <w:sz w:val="24"/>
          <w:szCs w:val="24"/>
        </w:rPr>
      </w:pPr>
      <w:r w:rsidRPr="00530906">
        <w:rPr>
          <w:rFonts w:ascii="Cambria" w:eastAsia="Calibri" w:hAnsi="Cambria" w:cs="Times New Roman"/>
          <w:i/>
          <w:iCs/>
          <w:sz w:val="24"/>
          <w:szCs w:val="24"/>
        </w:rPr>
        <w:t>Sustainable behaviour ranges from product or service purchase, usage and disposal and concerned about the well–being of both natural environment and society (</w:t>
      </w:r>
      <w:r w:rsidRPr="00530906">
        <w:rPr>
          <w:rFonts w:ascii="Cambria" w:eastAsia="Calibri" w:hAnsi="Cambria" w:cs="Times New Roman"/>
          <w:sz w:val="24"/>
          <w:szCs w:val="24"/>
        </w:rPr>
        <w:t xml:space="preserve">Rowe et al 2019). </w:t>
      </w:r>
      <w:r w:rsidR="005E6581" w:rsidRPr="00530906">
        <w:rPr>
          <w:rFonts w:ascii="Cambria" w:eastAsia="Calibri" w:hAnsi="Cambria" w:cs="Times New Roman"/>
          <w:sz w:val="24"/>
          <w:szCs w:val="24"/>
        </w:rPr>
        <w:t xml:space="preserve">Sustainable behaviour has also been addressed as </w:t>
      </w:r>
      <w:r w:rsidR="005E6581" w:rsidRPr="00530906">
        <w:rPr>
          <w:rFonts w:ascii="Cambria" w:eastAsia="Calibri" w:hAnsi="Cambria" w:cs="Adobe Devanagari"/>
          <w:sz w:val="24"/>
          <w:szCs w:val="24"/>
        </w:rPr>
        <w:t xml:space="preserve">pro–environmental behaviour, sustainable consumption, societal consumption, ethical consumption, </w:t>
      </w:r>
      <w:r w:rsidR="005E6581" w:rsidRPr="00530906">
        <w:rPr>
          <w:rFonts w:ascii="Cambria" w:eastAsia="Calibri" w:hAnsi="Cambria" w:cs="Times New Roman"/>
          <w:sz w:val="24"/>
          <w:szCs w:val="24"/>
        </w:rPr>
        <w:t xml:space="preserve">green consumption, </w:t>
      </w:r>
      <w:r w:rsidR="005E6581" w:rsidRPr="00530906">
        <w:rPr>
          <w:rFonts w:ascii="Cambria" w:eastAsia="Calibri" w:hAnsi="Cambria" w:cs="Adobe Devanagari"/>
          <w:sz w:val="24"/>
          <w:szCs w:val="24"/>
        </w:rPr>
        <w:t>environmental citizenship etc (Middlemiss 2018;</w:t>
      </w:r>
      <w:r w:rsidR="005E6581" w:rsidRPr="00530906">
        <w:rPr>
          <w:rFonts w:ascii="Cambria" w:eastAsia="Calibri" w:hAnsi="Cambria" w:cs="Times New Roman"/>
          <w:sz w:val="24"/>
          <w:szCs w:val="24"/>
        </w:rPr>
        <w:t xml:space="preserve"> Frank and Brock 2018; Huang and Rust 2011</w:t>
      </w:r>
      <w:r w:rsidR="005E6581" w:rsidRPr="00530906">
        <w:rPr>
          <w:rFonts w:ascii="Cambria" w:eastAsiaTheme="minorEastAsia" w:hAnsi="Cambria" w:cs="Times New Roman"/>
          <w:sz w:val="24"/>
          <w:szCs w:val="24"/>
        </w:rPr>
        <w:t>;</w:t>
      </w:r>
      <w:r w:rsidR="005E6581" w:rsidRPr="00530906">
        <w:rPr>
          <w:rFonts w:ascii="Cambria" w:eastAsia="Calibri" w:hAnsi="Cambria" w:cs="Times New Roman"/>
          <w:sz w:val="24"/>
          <w:szCs w:val="24"/>
        </w:rPr>
        <w:t xml:space="preserve"> Lin and Hsu 2015</w:t>
      </w:r>
      <w:r w:rsidR="005E6581" w:rsidRPr="00530906">
        <w:rPr>
          <w:rFonts w:ascii="Cambria" w:eastAsia="Calibri" w:hAnsi="Cambria" w:cs="Adobe Devanagari"/>
          <w:sz w:val="24"/>
          <w:szCs w:val="24"/>
        </w:rPr>
        <w:t xml:space="preserve">). </w:t>
      </w:r>
    </w:p>
    <w:p w14:paraId="05170BB1" w14:textId="3A25926E" w:rsidR="0003233F" w:rsidRPr="00530906" w:rsidRDefault="0003233F">
      <w:pPr>
        <w:spacing w:line="360" w:lineRule="auto"/>
        <w:jc w:val="both"/>
        <w:rPr>
          <w:rFonts w:ascii="Cambria" w:eastAsia="Calibri" w:hAnsi="Cambria" w:cs="Adobe Devanagari"/>
          <w:sz w:val="24"/>
          <w:szCs w:val="24"/>
        </w:rPr>
      </w:pPr>
      <w:r w:rsidRPr="00530906">
        <w:rPr>
          <w:rFonts w:ascii="Cambria" w:eastAsia="Calibri" w:hAnsi="Cambria" w:cs="Adobe Devanagari"/>
          <w:sz w:val="24"/>
          <w:szCs w:val="24"/>
        </w:rPr>
        <w:t>The definition of the term ‘sustainable b</w:t>
      </w:r>
      <w:r w:rsidR="00ED4CB1" w:rsidRPr="00530906">
        <w:rPr>
          <w:rFonts w:ascii="Cambria" w:eastAsia="Calibri" w:hAnsi="Cambria" w:cs="Adobe Devanagari"/>
          <w:sz w:val="24"/>
          <w:szCs w:val="24"/>
        </w:rPr>
        <w:t>e</w:t>
      </w:r>
      <w:r w:rsidRPr="00530906">
        <w:rPr>
          <w:rFonts w:ascii="Cambria" w:eastAsia="Calibri" w:hAnsi="Cambria" w:cs="Adobe Devanagari"/>
          <w:sz w:val="24"/>
          <w:szCs w:val="24"/>
        </w:rPr>
        <w:t xml:space="preserve">haviour’ is still not an established one. </w:t>
      </w:r>
      <w:r w:rsidR="00D33730" w:rsidRPr="00530906">
        <w:rPr>
          <w:rFonts w:ascii="Cambria" w:eastAsia="Calibri" w:hAnsi="Cambria" w:cs="Adobe Devanagari"/>
          <w:sz w:val="24"/>
          <w:szCs w:val="24"/>
        </w:rPr>
        <w:t>A</w:t>
      </w:r>
      <w:r w:rsidRPr="00530906">
        <w:rPr>
          <w:rFonts w:ascii="Cambria" w:eastAsia="Calibri" w:hAnsi="Cambria" w:cs="Adobe Devanagari"/>
          <w:sz w:val="24"/>
          <w:szCs w:val="24"/>
        </w:rPr>
        <w:t>bove mentioned terms</w:t>
      </w:r>
      <w:r w:rsidR="002E3BFD" w:rsidRPr="00530906">
        <w:rPr>
          <w:rFonts w:ascii="Cambria" w:eastAsia="Calibri" w:hAnsi="Cambria" w:cs="Adobe Devanagari"/>
          <w:sz w:val="24"/>
          <w:szCs w:val="24"/>
        </w:rPr>
        <w:t xml:space="preserve"> and other related terms</w:t>
      </w:r>
      <w:r w:rsidRPr="00530906">
        <w:rPr>
          <w:rFonts w:ascii="Cambria" w:eastAsia="Calibri" w:hAnsi="Cambria" w:cs="Adobe Devanagari"/>
          <w:sz w:val="24"/>
          <w:szCs w:val="24"/>
        </w:rPr>
        <w:t xml:space="preserve"> </w:t>
      </w:r>
      <w:r w:rsidR="00E960DD" w:rsidRPr="00530906">
        <w:rPr>
          <w:rFonts w:ascii="Cambria" w:eastAsia="Calibri" w:hAnsi="Cambria" w:cs="Adobe Devanagari"/>
          <w:sz w:val="24"/>
          <w:szCs w:val="24"/>
        </w:rPr>
        <w:t xml:space="preserve">usually do not encompass all three dimensions </w:t>
      </w:r>
      <w:r w:rsidR="00E960DD" w:rsidRPr="00530906">
        <w:rPr>
          <w:rFonts w:ascii="Cambria" w:eastAsia="Calibri" w:hAnsi="Cambria" w:cs="Adobe Devanagari"/>
          <w:sz w:val="24"/>
          <w:szCs w:val="24"/>
        </w:rPr>
        <w:lastRenderedPageBreak/>
        <w:t xml:space="preserve">of </w:t>
      </w:r>
      <w:r w:rsidR="000968EA" w:rsidRPr="00530906">
        <w:rPr>
          <w:rFonts w:ascii="Cambria" w:eastAsia="Calibri" w:hAnsi="Cambria" w:cs="Adobe Devanagari"/>
          <w:sz w:val="24"/>
          <w:szCs w:val="24"/>
        </w:rPr>
        <w:t>sustainability, yet</w:t>
      </w:r>
      <w:r w:rsidR="00E960DD" w:rsidRPr="00530906">
        <w:rPr>
          <w:rFonts w:ascii="Cambria" w:eastAsia="Calibri" w:hAnsi="Cambria" w:cs="Adobe Devanagari"/>
          <w:sz w:val="24"/>
          <w:szCs w:val="24"/>
        </w:rPr>
        <w:t xml:space="preserve"> </w:t>
      </w:r>
      <w:r w:rsidR="00DE5195">
        <w:rPr>
          <w:rFonts w:ascii="Cambria" w:eastAsia="Calibri" w:hAnsi="Cambria" w:cs="Adobe Devanagari"/>
          <w:sz w:val="24"/>
          <w:szCs w:val="24"/>
        </w:rPr>
        <w:t xml:space="preserve">they </w:t>
      </w:r>
      <w:r w:rsidRPr="00530906">
        <w:rPr>
          <w:rFonts w:ascii="Cambria" w:eastAsia="Calibri" w:hAnsi="Cambria" w:cs="Adobe Devanagari"/>
          <w:sz w:val="24"/>
          <w:szCs w:val="24"/>
        </w:rPr>
        <w:t xml:space="preserve">have been used interchangeably in sustainability literature. For example, </w:t>
      </w:r>
      <w:r w:rsidRPr="00530906">
        <w:rPr>
          <w:rFonts w:ascii="Cambria" w:eastAsia="Calibri" w:hAnsi="Cambria" w:cs="Times New Roman"/>
          <w:sz w:val="24"/>
          <w:szCs w:val="24"/>
        </w:rPr>
        <w:t>‘ethical consumerism’ represents consumption that ensures the sustainability of earth resources and social responsibility (Lin and Hsu 2015). Furthermore, ‘</w:t>
      </w:r>
      <w:r w:rsidRPr="00530906">
        <w:rPr>
          <w:rFonts w:ascii="Cambria" w:eastAsia="Calibri" w:hAnsi="Cambria" w:cs="Adobe Devanagari"/>
          <w:sz w:val="24"/>
          <w:szCs w:val="24"/>
        </w:rPr>
        <w:t>ethical consumerism’ has also been used as synonymous to ‘</w:t>
      </w:r>
      <w:r w:rsidRPr="00530906">
        <w:rPr>
          <w:rFonts w:ascii="Cambria" w:eastAsia="Calibri" w:hAnsi="Cambria" w:cs="Times New Roman"/>
          <w:sz w:val="24"/>
          <w:szCs w:val="24"/>
        </w:rPr>
        <w:t xml:space="preserve">green consumption’ </w:t>
      </w:r>
      <w:r w:rsidR="00547A53" w:rsidRPr="00530906">
        <w:rPr>
          <w:rFonts w:ascii="Cambria" w:eastAsia="Calibri" w:hAnsi="Cambria" w:cs="Times New Roman"/>
          <w:sz w:val="24"/>
          <w:szCs w:val="24"/>
        </w:rPr>
        <w:t>(Lin and Hsu 2015)</w:t>
      </w:r>
      <w:r w:rsidR="00102DD0" w:rsidRPr="00530906">
        <w:rPr>
          <w:rFonts w:ascii="Cambria" w:eastAsia="Calibri" w:hAnsi="Cambria" w:cs="Times New Roman"/>
          <w:sz w:val="24"/>
          <w:szCs w:val="24"/>
        </w:rPr>
        <w:t xml:space="preserve">. </w:t>
      </w:r>
      <w:r w:rsidR="00941219">
        <w:rPr>
          <w:rFonts w:ascii="Cambria" w:eastAsia="Calibri" w:hAnsi="Cambria" w:cs="Adobe Devanagari"/>
          <w:sz w:val="24"/>
          <w:szCs w:val="24"/>
        </w:rPr>
        <w:t xml:space="preserve">However, </w:t>
      </w:r>
      <w:r w:rsidRPr="00530906">
        <w:rPr>
          <w:rFonts w:ascii="Cambria" w:eastAsia="Calibri" w:hAnsi="Cambria" w:cs="Adobe Devanagari"/>
          <w:sz w:val="24"/>
          <w:szCs w:val="24"/>
        </w:rPr>
        <w:t>‘green consumption’ and ‘environmental consumption’ are criticized for not including broader ethical issues like– human or animal rights (Valor and Carrero 2014</w:t>
      </w:r>
      <w:r w:rsidR="000968EA" w:rsidRPr="00530906">
        <w:rPr>
          <w:rFonts w:ascii="Cambria" w:eastAsia="Calibri" w:hAnsi="Cambria" w:cs="Adobe Devanagari"/>
          <w:sz w:val="24"/>
          <w:szCs w:val="24"/>
        </w:rPr>
        <w:t>). A</w:t>
      </w:r>
      <w:r w:rsidRPr="00530906">
        <w:rPr>
          <w:rFonts w:ascii="Cambria" w:eastAsia="Calibri" w:hAnsi="Cambria" w:cs="Times New Roman"/>
          <w:sz w:val="24"/>
          <w:szCs w:val="24"/>
        </w:rPr>
        <w:t xml:space="preserve"> broader term– ‘sustainable consumption’ is deemed to be an extension of ‘ethical consumption</w:t>
      </w:r>
      <w:r w:rsidR="00EA5C2F" w:rsidRPr="00530906">
        <w:rPr>
          <w:rFonts w:ascii="Cambria" w:eastAsia="Calibri" w:hAnsi="Cambria" w:cs="Times New Roman"/>
          <w:sz w:val="24"/>
          <w:szCs w:val="24"/>
        </w:rPr>
        <w:t>’ because</w:t>
      </w:r>
      <w:r w:rsidRPr="00530906">
        <w:rPr>
          <w:rFonts w:ascii="Cambria" w:eastAsia="Calibri" w:hAnsi="Cambria" w:cs="Times New Roman"/>
          <w:sz w:val="24"/>
          <w:szCs w:val="24"/>
        </w:rPr>
        <w:t xml:space="preserve"> it goes beyond environmental issue and encompasses global issues/ politics and sense of justice (</w:t>
      </w:r>
      <w:r w:rsidR="00EA5C2F" w:rsidRPr="00530906">
        <w:rPr>
          <w:rFonts w:ascii="Cambria" w:eastAsia="Calibri" w:hAnsi="Cambria" w:cs="Times New Roman"/>
          <w:sz w:val="24"/>
          <w:szCs w:val="24"/>
        </w:rPr>
        <w:t>e.g.,</w:t>
      </w:r>
      <w:r w:rsidRPr="00530906">
        <w:rPr>
          <w:rFonts w:ascii="Cambria" w:eastAsia="Calibri" w:hAnsi="Cambria" w:cs="Times New Roman"/>
          <w:sz w:val="24"/>
          <w:szCs w:val="24"/>
        </w:rPr>
        <w:t xml:space="preserve"> fair trade) (Huang and Rust 2011;</w:t>
      </w:r>
      <w:r w:rsidRPr="00530906">
        <w:rPr>
          <w:rFonts w:ascii="Cambria" w:eastAsiaTheme="minorEastAsia" w:hAnsi="Cambria"/>
          <w:sz w:val="24"/>
          <w:szCs w:val="24"/>
        </w:rPr>
        <w:t xml:space="preserve"> Lusch et al 2010</w:t>
      </w:r>
      <w:r w:rsidRPr="00530906">
        <w:rPr>
          <w:rFonts w:ascii="Cambria" w:eastAsia="Calibri" w:hAnsi="Cambria" w:cs="Times New Roman"/>
          <w:sz w:val="24"/>
          <w:szCs w:val="24"/>
        </w:rPr>
        <w:t xml:space="preserve">). Moreover, </w:t>
      </w:r>
      <w:r w:rsidR="00102DD0" w:rsidRPr="00530906">
        <w:rPr>
          <w:rFonts w:ascii="Cambria" w:eastAsia="Calibri" w:hAnsi="Cambria" w:cs="Times New Roman"/>
          <w:sz w:val="24"/>
          <w:szCs w:val="24"/>
        </w:rPr>
        <w:t>similar</w:t>
      </w:r>
      <w:r w:rsidRPr="00530906">
        <w:rPr>
          <w:rFonts w:ascii="Cambria" w:eastAsia="Calibri" w:hAnsi="Cambria" w:cs="Times New Roman"/>
          <w:sz w:val="24"/>
          <w:szCs w:val="24"/>
        </w:rPr>
        <w:t xml:space="preserve"> term </w:t>
      </w:r>
      <w:r w:rsidR="00102DD0" w:rsidRPr="00530906">
        <w:rPr>
          <w:rFonts w:ascii="Cambria" w:eastAsia="Calibri" w:hAnsi="Cambria" w:cs="Times New Roman"/>
          <w:sz w:val="24"/>
          <w:szCs w:val="24"/>
        </w:rPr>
        <w:t>‘S</w:t>
      </w:r>
      <w:r w:rsidRPr="00530906">
        <w:rPr>
          <w:rFonts w:ascii="Cambria" w:eastAsia="Calibri" w:hAnsi="Cambria" w:cs="Times New Roman"/>
          <w:sz w:val="24"/>
          <w:szCs w:val="24"/>
        </w:rPr>
        <w:t>ustainable–product consumption</w:t>
      </w:r>
      <w:r w:rsidR="00102DD0" w:rsidRPr="00530906">
        <w:rPr>
          <w:rFonts w:ascii="Cambria" w:eastAsia="Calibri" w:hAnsi="Cambria" w:cs="Times New Roman"/>
          <w:sz w:val="24"/>
          <w:szCs w:val="24"/>
        </w:rPr>
        <w:t>’</w:t>
      </w:r>
      <w:r w:rsidRPr="00530906">
        <w:rPr>
          <w:rFonts w:ascii="Cambria" w:eastAsia="Calibri" w:hAnsi="Cambria" w:cs="Times New Roman"/>
          <w:sz w:val="24"/>
          <w:szCs w:val="24"/>
        </w:rPr>
        <w:t xml:space="preserve">, can be extended to ‘organic </w:t>
      </w:r>
      <w:r w:rsidR="00EA5C2F" w:rsidRPr="00530906">
        <w:rPr>
          <w:rFonts w:ascii="Cambria" w:eastAsia="Calibri" w:hAnsi="Cambria" w:cs="Times New Roman"/>
          <w:sz w:val="24"/>
          <w:szCs w:val="24"/>
        </w:rPr>
        <w:t>products’ since</w:t>
      </w:r>
      <w:r w:rsidRPr="00530906">
        <w:rPr>
          <w:rFonts w:ascii="Cambria" w:eastAsia="Calibri" w:hAnsi="Cambria" w:cs="Times New Roman"/>
          <w:sz w:val="24"/>
          <w:szCs w:val="24"/>
        </w:rPr>
        <w:t xml:space="preserve"> it is associated with the welfare of all people and nature and the consumption decision is moral or ethical in nature (Juhl et al 2017; Larceneux et al 2012). Hence, the term ‘sustainable behaviour’ can denote all the other terms which encompasses the principles of green/ environmental/ organic/ ethical/ societal consumption behaviour. Most importantly, sustainable </w:t>
      </w:r>
      <w:r w:rsidR="00102DD0" w:rsidRPr="00530906">
        <w:rPr>
          <w:rFonts w:ascii="Cambria" w:eastAsia="Calibri" w:hAnsi="Cambria" w:cs="Times New Roman"/>
          <w:sz w:val="24"/>
          <w:szCs w:val="24"/>
        </w:rPr>
        <w:t>behaviour</w:t>
      </w:r>
      <w:r w:rsidRPr="00530906">
        <w:rPr>
          <w:rFonts w:ascii="Cambria" w:eastAsia="Calibri" w:hAnsi="Cambria" w:cs="Times New Roman"/>
          <w:sz w:val="24"/>
          <w:szCs w:val="24"/>
        </w:rPr>
        <w:t xml:space="preserve"> should not only mean minimising consumption (</w:t>
      </w:r>
      <w:r w:rsidRPr="00530906">
        <w:rPr>
          <w:rFonts w:ascii="Cambria" w:eastAsia="Calibri" w:hAnsi="Cambria" w:cs="Adobe Devanagari"/>
          <w:sz w:val="24"/>
          <w:szCs w:val="24"/>
        </w:rPr>
        <w:t>Banbury et al 2012).</w:t>
      </w:r>
      <w:r w:rsidR="00547A53" w:rsidRPr="00530906">
        <w:rPr>
          <w:rFonts w:ascii="Cambria" w:eastAsia="Calibri" w:hAnsi="Cambria" w:cs="Adobe Devanagari"/>
          <w:sz w:val="24"/>
          <w:szCs w:val="24"/>
        </w:rPr>
        <w:t xml:space="preserve"> </w:t>
      </w:r>
    </w:p>
    <w:p w14:paraId="1175DCBE" w14:textId="077FD27F"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Adobe Devanagari"/>
          <w:sz w:val="24"/>
          <w:szCs w:val="24"/>
        </w:rPr>
        <w:t xml:space="preserve">For this thesis, this triple bottom line (social, </w:t>
      </w:r>
      <w:r w:rsidR="00EA5C2F" w:rsidRPr="00530906">
        <w:rPr>
          <w:rFonts w:ascii="Cambria" w:eastAsia="Calibri" w:hAnsi="Cambria" w:cs="Adobe Devanagari"/>
          <w:sz w:val="24"/>
          <w:szCs w:val="24"/>
        </w:rPr>
        <w:t>environmental,</w:t>
      </w:r>
      <w:r w:rsidRPr="00530906">
        <w:rPr>
          <w:rFonts w:ascii="Cambria" w:eastAsia="Calibri" w:hAnsi="Cambria" w:cs="Adobe Devanagari"/>
          <w:sz w:val="24"/>
          <w:szCs w:val="24"/>
        </w:rPr>
        <w:t xml:space="preserve"> and economic) has been considered as the scope of sustainability</w:t>
      </w:r>
      <w:r w:rsidR="00B330FE" w:rsidRPr="00530906">
        <w:rPr>
          <w:rFonts w:ascii="Cambria" w:eastAsia="Calibri" w:hAnsi="Cambria" w:cs="Adobe Devanagari"/>
          <w:sz w:val="24"/>
          <w:szCs w:val="24"/>
        </w:rPr>
        <w:t xml:space="preserve">, rather than </w:t>
      </w:r>
      <w:r w:rsidR="00EA3997" w:rsidRPr="00530906">
        <w:rPr>
          <w:rFonts w:ascii="Cambria" w:eastAsia="Calibri" w:hAnsi="Cambria" w:cs="Adobe Devanagari"/>
          <w:sz w:val="24"/>
          <w:szCs w:val="24"/>
        </w:rPr>
        <w:t>focusing on the green/ environmental aspect of sustainability like dominant part of the sustainable b</w:t>
      </w:r>
      <w:r w:rsidR="006F47C5" w:rsidRPr="00530906">
        <w:rPr>
          <w:rFonts w:ascii="Cambria" w:eastAsia="Calibri" w:hAnsi="Cambria" w:cs="Adobe Devanagari"/>
          <w:sz w:val="24"/>
          <w:szCs w:val="24"/>
        </w:rPr>
        <w:t>e</w:t>
      </w:r>
      <w:r w:rsidR="00EA3997" w:rsidRPr="00530906">
        <w:rPr>
          <w:rFonts w:ascii="Cambria" w:eastAsia="Calibri" w:hAnsi="Cambria" w:cs="Adobe Devanagari"/>
          <w:sz w:val="24"/>
          <w:szCs w:val="24"/>
        </w:rPr>
        <w:t>haviour literature</w:t>
      </w:r>
      <w:r w:rsidR="002B6FE2" w:rsidRPr="00530906">
        <w:rPr>
          <w:rFonts w:ascii="Cambria" w:eastAsia="Calibri" w:hAnsi="Cambria" w:cs="Adobe Devanagari"/>
          <w:sz w:val="24"/>
          <w:szCs w:val="24"/>
        </w:rPr>
        <w:t xml:space="preserve"> (table 1)</w:t>
      </w:r>
      <w:r w:rsidR="00EA3997" w:rsidRPr="00530906">
        <w:rPr>
          <w:rFonts w:ascii="Cambria" w:eastAsia="Calibri" w:hAnsi="Cambria" w:cs="Adobe Devanagari"/>
          <w:sz w:val="24"/>
          <w:szCs w:val="24"/>
        </w:rPr>
        <w:t xml:space="preserve"> (Lim 2017; Lim 2016; Huang and Rust 2011</w:t>
      </w:r>
      <w:r w:rsidR="00E75147" w:rsidRPr="00530906">
        <w:rPr>
          <w:rFonts w:ascii="Cambria" w:eastAsia="Calibri" w:hAnsi="Cambria" w:cs="Adobe Devanagari"/>
          <w:sz w:val="24"/>
          <w:szCs w:val="24"/>
        </w:rPr>
        <w:t>; Balderjahn et al 2013</w:t>
      </w:r>
      <w:r w:rsidR="00EA3997" w:rsidRPr="00530906">
        <w:rPr>
          <w:rFonts w:ascii="Cambria" w:eastAsia="Calibri" w:hAnsi="Cambria" w:cs="Adobe Devanagari"/>
          <w:sz w:val="24"/>
          <w:szCs w:val="24"/>
        </w:rPr>
        <w:t>).</w:t>
      </w:r>
      <w:r w:rsidR="002B6FE2" w:rsidRPr="00530906">
        <w:rPr>
          <w:rFonts w:ascii="Cambria" w:eastAsia="Calibri" w:hAnsi="Cambria" w:cs="Adobe Devanagari"/>
          <w:sz w:val="24"/>
          <w:szCs w:val="24"/>
        </w:rPr>
        <w:t xml:space="preserve"> This umbrella </w:t>
      </w:r>
      <w:r w:rsidR="005E6581" w:rsidRPr="00530906">
        <w:rPr>
          <w:rFonts w:ascii="Cambria" w:eastAsia="Calibri" w:hAnsi="Cambria" w:cs="Adobe Devanagari"/>
          <w:sz w:val="24"/>
          <w:szCs w:val="24"/>
        </w:rPr>
        <w:t xml:space="preserve">term </w:t>
      </w:r>
      <w:r w:rsidR="002B6FE2" w:rsidRPr="00530906">
        <w:rPr>
          <w:rFonts w:ascii="Cambria" w:eastAsia="Calibri" w:hAnsi="Cambria" w:cs="Adobe Devanagari"/>
          <w:sz w:val="24"/>
          <w:szCs w:val="24"/>
        </w:rPr>
        <w:t>encompass</w:t>
      </w:r>
      <w:r w:rsidR="005E6581" w:rsidRPr="00530906">
        <w:rPr>
          <w:rFonts w:ascii="Cambria" w:eastAsia="Calibri" w:hAnsi="Cambria" w:cs="Adobe Devanagari"/>
          <w:sz w:val="24"/>
          <w:szCs w:val="24"/>
        </w:rPr>
        <w:t>es</w:t>
      </w:r>
      <w:r w:rsidR="002B6FE2" w:rsidRPr="00530906">
        <w:rPr>
          <w:rFonts w:ascii="Cambria" w:eastAsia="Calibri" w:hAnsi="Cambria" w:cs="Adobe Devanagari"/>
          <w:sz w:val="24"/>
          <w:szCs w:val="24"/>
        </w:rPr>
        <w:t xml:space="preserve"> all </w:t>
      </w:r>
      <w:r w:rsidR="005E2493" w:rsidRPr="00530906">
        <w:rPr>
          <w:rFonts w:ascii="Cambria" w:eastAsia="Calibri" w:hAnsi="Cambria" w:cs="Adobe Devanagari"/>
          <w:sz w:val="24"/>
          <w:szCs w:val="24"/>
        </w:rPr>
        <w:t xml:space="preserve">the </w:t>
      </w:r>
      <w:r w:rsidR="005E2493" w:rsidRPr="00530906">
        <w:rPr>
          <w:rFonts w:ascii="Cambria" w:eastAsia="Calibri" w:hAnsi="Cambria" w:cs="Times New Roman"/>
          <w:sz w:val="24"/>
          <w:szCs w:val="24"/>
        </w:rPr>
        <w:t>all</w:t>
      </w:r>
      <w:r w:rsidR="002B6FE2" w:rsidRPr="00530906">
        <w:rPr>
          <w:rFonts w:ascii="Cambria" w:eastAsia="Calibri" w:hAnsi="Cambria" w:cs="Times New Roman"/>
          <w:sz w:val="24"/>
          <w:szCs w:val="24"/>
        </w:rPr>
        <w:t xml:space="preserve"> the other terms those have</w:t>
      </w:r>
      <w:r w:rsidR="005E6581" w:rsidRPr="00530906">
        <w:rPr>
          <w:rFonts w:ascii="Cambria" w:eastAsia="Calibri" w:hAnsi="Cambria" w:cs="Times New Roman"/>
          <w:sz w:val="24"/>
          <w:szCs w:val="24"/>
        </w:rPr>
        <w:t xml:space="preserve"> been used to define s</w:t>
      </w:r>
      <w:r w:rsidRPr="00530906">
        <w:rPr>
          <w:rFonts w:ascii="Cambria" w:eastAsia="Calibri" w:hAnsi="Cambria" w:cs="Times New Roman"/>
          <w:sz w:val="24"/>
          <w:szCs w:val="24"/>
        </w:rPr>
        <w:t xml:space="preserve">ustainable behaviour </w:t>
      </w:r>
      <w:r w:rsidR="005E6581" w:rsidRPr="00530906">
        <w:rPr>
          <w:rFonts w:ascii="Cambria" w:eastAsia="Calibri" w:hAnsi="Cambria" w:cs="Times New Roman"/>
          <w:sz w:val="24"/>
          <w:szCs w:val="24"/>
        </w:rPr>
        <w:t xml:space="preserve">(Table </w:t>
      </w:r>
      <w:r w:rsidR="00AD5DF6">
        <w:rPr>
          <w:rFonts w:ascii="Cambria" w:eastAsia="Calibri" w:hAnsi="Cambria" w:cs="Times New Roman"/>
          <w:sz w:val="24"/>
          <w:szCs w:val="24"/>
        </w:rPr>
        <w:t>1</w:t>
      </w:r>
      <w:r w:rsidR="005E6581" w:rsidRPr="00530906">
        <w:rPr>
          <w:rFonts w:ascii="Cambria" w:eastAsia="Calibri" w:hAnsi="Cambria" w:cs="Times New Roman"/>
          <w:sz w:val="24"/>
          <w:szCs w:val="24"/>
        </w:rPr>
        <w:t xml:space="preserve">).  </w:t>
      </w:r>
      <w:r w:rsidRPr="00530906">
        <w:rPr>
          <w:rFonts w:ascii="Cambria" w:eastAsia="Calibri" w:hAnsi="Cambria" w:cs="Times New Roman"/>
          <w:sz w:val="24"/>
          <w:szCs w:val="24"/>
        </w:rPr>
        <w:t xml:space="preserve">So, these topics were also considered to shape the thesis along with literature about sustainability. </w:t>
      </w:r>
    </w:p>
    <w:p w14:paraId="71A22AC7" w14:textId="3E38C0E4" w:rsidR="00C7217E" w:rsidRPr="00530906" w:rsidRDefault="00C7217E" w:rsidP="008756B1">
      <w:pPr>
        <w:spacing w:line="259" w:lineRule="auto"/>
        <w:jc w:val="both"/>
        <w:rPr>
          <w:rFonts w:ascii="Cambria" w:eastAsia="Calibri" w:hAnsi="Cambria" w:cs="Times New Roman"/>
          <w:sz w:val="24"/>
          <w:szCs w:val="24"/>
        </w:rPr>
      </w:pPr>
      <w:r w:rsidRPr="00530906">
        <w:rPr>
          <w:rFonts w:ascii="Cambria" w:eastAsia="Calibri" w:hAnsi="Cambria" w:cs="Times New Roman"/>
          <w:sz w:val="24"/>
          <w:szCs w:val="24"/>
        </w:rPr>
        <w:t>Table</w:t>
      </w:r>
      <w:r w:rsidR="00165DAC">
        <w:rPr>
          <w:rFonts w:ascii="Cambria" w:eastAsia="Calibri" w:hAnsi="Cambria" w:cs="Times New Roman"/>
          <w:sz w:val="24"/>
          <w:szCs w:val="24"/>
        </w:rPr>
        <w:t>1</w:t>
      </w:r>
      <w:r w:rsidRPr="00530906">
        <w:rPr>
          <w:rFonts w:ascii="Cambria" w:eastAsia="Calibri" w:hAnsi="Cambria" w:cs="Times New Roman"/>
          <w:sz w:val="24"/>
          <w:szCs w:val="24"/>
        </w:rPr>
        <w:t>: Definition of sustainable behaviour from different perspective</w:t>
      </w:r>
    </w:p>
    <w:tbl>
      <w:tblPr>
        <w:tblStyle w:val="TableGrid"/>
        <w:tblW w:w="0" w:type="auto"/>
        <w:tblLook w:val="04A0" w:firstRow="1" w:lastRow="0" w:firstColumn="1" w:lastColumn="0" w:noHBand="0" w:noVBand="1"/>
      </w:tblPr>
      <w:tblGrid>
        <w:gridCol w:w="1751"/>
        <w:gridCol w:w="5679"/>
        <w:gridCol w:w="1586"/>
      </w:tblGrid>
      <w:tr w:rsidR="00C7217E" w:rsidRPr="00530906" w14:paraId="1B62C8E3" w14:textId="77777777" w:rsidTr="008756B1">
        <w:tc>
          <w:tcPr>
            <w:tcW w:w="1623" w:type="dxa"/>
            <w:shd w:val="clear" w:color="auto" w:fill="A8D08D" w:themeFill="accent6" w:themeFillTint="99"/>
          </w:tcPr>
          <w:p w14:paraId="7550189D" w14:textId="77777777" w:rsidR="00C7217E" w:rsidRPr="00530906" w:rsidRDefault="00C7217E">
            <w:pPr>
              <w:spacing w:after="200" w:line="360" w:lineRule="auto"/>
              <w:jc w:val="both"/>
              <w:rPr>
                <w:rFonts w:ascii="Cambria" w:eastAsiaTheme="minorEastAsia" w:hAnsi="Cambria" w:cs="Times New Roman"/>
                <w:b/>
                <w:bCs/>
                <w:sz w:val="24"/>
                <w:szCs w:val="24"/>
              </w:rPr>
            </w:pPr>
            <w:r w:rsidRPr="00530906">
              <w:rPr>
                <w:rFonts w:ascii="Cambria" w:eastAsiaTheme="minorEastAsia" w:hAnsi="Cambria" w:cs="Times New Roman"/>
                <w:b/>
                <w:bCs/>
                <w:sz w:val="24"/>
                <w:szCs w:val="24"/>
              </w:rPr>
              <w:t>Sustainable behaviour</w:t>
            </w:r>
          </w:p>
        </w:tc>
        <w:tc>
          <w:tcPr>
            <w:tcW w:w="5790" w:type="dxa"/>
          </w:tcPr>
          <w:p w14:paraId="1CCD36D9" w14:textId="4E4B70F6"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w:t>
            </w:r>
            <w:r w:rsidR="009805C8">
              <w:rPr>
                <w:rFonts w:ascii="Cambria" w:eastAsiaTheme="minorEastAsia" w:hAnsi="Cambria" w:cs="Times New Roman"/>
                <w:sz w:val="24"/>
                <w:szCs w:val="24"/>
              </w:rPr>
              <w:t>…</w:t>
            </w:r>
            <w:r w:rsidRPr="00530906">
              <w:rPr>
                <w:rFonts w:ascii="Cambria" w:eastAsiaTheme="minorEastAsia" w:hAnsi="Cambria" w:cs="Times New Roman"/>
                <w:sz w:val="24"/>
                <w:szCs w:val="24"/>
              </w:rPr>
              <w:t xml:space="preserve">consumer actions in product or service purchase, usage and disposal that minimize harm to the natural environment and to society” </w:t>
            </w:r>
          </w:p>
        </w:tc>
        <w:tc>
          <w:tcPr>
            <w:tcW w:w="1603" w:type="dxa"/>
          </w:tcPr>
          <w:p w14:paraId="07BDE765"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Rowe et al (2019) p.276.</w:t>
            </w:r>
          </w:p>
        </w:tc>
      </w:tr>
      <w:tr w:rsidR="00C7217E" w:rsidRPr="00530906" w14:paraId="2542F6D0" w14:textId="77777777" w:rsidTr="008756B1">
        <w:tc>
          <w:tcPr>
            <w:tcW w:w="1623" w:type="dxa"/>
            <w:shd w:val="clear" w:color="auto" w:fill="A8D08D" w:themeFill="accent6" w:themeFillTint="99"/>
          </w:tcPr>
          <w:p w14:paraId="37C172F9"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Pro–environmental behaviour</w:t>
            </w:r>
          </w:p>
        </w:tc>
        <w:tc>
          <w:tcPr>
            <w:tcW w:w="5790" w:type="dxa"/>
          </w:tcPr>
          <w:p w14:paraId="13649160"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encompasses a range of activities and “behaviours </w:t>
            </w:r>
            <w:r w:rsidRPr="00530906">
              <w:rPr>
                <w:rFonts w:ascii="Cambria" w:eastAsiaTheme="minorEastAsia" w:hAnsi="Cambria" w:cs="Times New Roman"/>
                <w:iCs/>
                <w:sz w:val="24"/>
                <w:szCs w:val="24"/>
              </w:rPr>
              <w:t xml:space="preserve">that benefit the natural environment, enhance </w:t>
            </w:r>
            <w:r w:rsidRPr="00530906">
              <w:rPr>
                <w:rFonts w:ascii="Cambria" w:eastAsiaTheme="minorEastAsia" w:hAnsi="Cambria" w:cs="Times New Roman"/>
                <w:iCs/>
                <w:sz w:val="24"/>
                <w:szCs w:val="24"/>
              </w:rPr>
              <w:lastRenderedPageBreak/>
              <w:t>environmental quality, or harm the environment as little as possible”</w:t>
            </w:r>
            <w:r w:rsidRPr="00530906">
              <w:rPr>
                <w:rFonts w:ascii="Cambria" w:eastAsiaTheme="minorEastAsia" w:hAnsi="Cambria" w:cs="Times New Roman"/>
                <w:sz w:val="24"/>
                <w:szCs w:val="24"/>
              </w:rPr>
              <w:t>. </w:t>
            </w:r>
          </w:p>
        </w:tc>
        <w:tc>
          <w:tcPr>
            <w:tcW w:w="1603" w:type="dxa"/>
          </w:tcPr>
          <w:p w14:paraId="1429DE54"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lastRenderedPageBreak/>
              <w:t>Larson et al., 2015, p. 113).</w:t>
            </w:r>
          </w:p>
        </w:tc>
      </w:tr>
      <w:tr w:rsidR="00C7217E" w:rsidRPr="00530906" w14:paraId="2475FDA5" w14:textId="77777777" w:rsidTr="008756B1">
        <w:tc>
          <w:tcPr>
            <w:tcW w:w="1623" w:type="dxa"/>
            <w:shd w:val="clear" w:color="auto" w:fill="A8D08D" w:themeFill="accent6" w:themeFillTint="99"/>
          </w:tcPr>
          <w:p w14:paraId="1503492E"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Sustainable consumption</w:t>
            </w:r>
          </w:p>
        </w:tc>
        <w:tc>
          <w:tcPr>
            <w:tcW w:w="5790" w:type="dxa"/>
          </w:tcPr>
          <w:p w14:paraId="3A1B255B"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Sustainable–consumption is a broad term referring to the various ways to reduce</w:t>
            </w:r>
            <w:r w:rsidRPr="00530906">
              <w:rPr>
                <w:rFonts w:ascii="Cambria" w:eastAsiaTheme="minorEastAsia" w:hAnsi="Cambria" w:cs="Times New Roman"/>
                <w:sz w:val="24"/>
                <w:szCs w:val="24"/>
              </w:rPr>
              <w:cr/>
              <w:t>the ecological footprint of consumption</w:t>
            </w:r>
          </w:p>
        </w:tc>
        <w:tc>
          <w:tcPr>
            <w:tcW w:w="1603" w:type="dxa"/>
          </w:tcPr>
          <w:p w14:paraId="3E74DE03" w14:textId="77777777" w:rsidR="00C7217E" w:rsidRPr="00530906" w:rsidRDefault="00C7217E">
            <w:pPr>
              <w:spacing w:after="200" w:line="360" w:lineRule="auto"/>
              <w:jc w:val="both"/>
              <w:rPr>
                <w:rFonts w:ascii="Cambria" w:eastAsiaTheme="minorEastAsia" w:hAnsi="Cambria" w:cs="Adobe Devanagari"/>
                <w:sz w:val="24"/>
                <w:szCs w:val="24"/>
              </w:rPr>
            </w:pPr>
            <w:r w:rsidRPr="00530906">
              <w:rPr>
                <w:rFonts w:ascii="Cambria" w:eastAsiaTheme="minorEastAsia" w:hAnsi="Cambria" w:cs="Adobe Devanagari"/>
                <w:sz w:val="24"/>
                <w:szCs w:val="24"/>
              </w:rPr>
              <w:t>(Eagea and De Frutos 2013, p 661)</w:t>
            </w:r>
          </w:p>
        </w:tc>
      </w:tr>
      <w:tr w:rsidR="00C7217E" w:rsidRPr="00530906" w14:paraId="31F5B2C5" w14:textId="77777777" w:rsidTr="008756B1">
        <w:tc>
          <w:tcPr>
            <w:tcW w:w="1623" w:type="dxa"/>
            <w:shd w:val="clear" w:color="auto" w:fill="A8D08D" w:themeFill="accent6" w:themeFillTint="99"/>
          </w:tcPr>
          <w:p w14:paraId="5D9073A3"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green consumerism</w:t>
            </w:r>
          </w:p>
        </w:tc>
        <w:tc>
          <w:tcPr>
            <w:tcW w:w="5790" w:type="dxa"/>
          </w:tcPr>
          <w:p w14:paraId="09B1261C"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“namely the voluntary consideration given to the eco–friendliness of manufacturing and the process of using and disposing of products”</w:t>
            </w:r>
          </w:p>
        </w:tc>
        <w:tc>
          <w:tcPr>
            <w:tcW w:w="1603" w:type="dxa"/>
          </w:tcPr>
          <w:p w14:paraId="6C0FB73E"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Lin and Hsu (2015) P, 326</w:t>
            </w:r>
          </w:p>
        </w:tc>
      </w:tr>
      <w:tr w:rsidR="00C7217E" w:rsidRPr="00530906" w14:paraId="4A6C5999" w14:textId="77777777" w:rsidTr="008756B1">
        <w:tc>
          <w:tcPr>
            <w:tcW w:w="1623" w:type="dxa"/>
            <w:shd w:val="clear" w:color="auto" w:fill="A8D08D" w:themeFill="accent6" w:themeFillTint="99"/>
          </w:tcPr>
          <w:p w14:paraId="39D8031D"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Ethical consumption</w:t>
            </w:r>
          </w:p>
        </w:tc>
        <w:tc>
          <w:tcPr>
            <w:tcW w:w="5790" w:type="dxa"/>
          </w:tcPr>
          <w:p w14:paraId="2EFC3751"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“is buying goods and services that are produced in circumstances that meet the consumer’s ethical criteria” </w:t>
            </w:r>
          </w:p>
        </w:tc>
        <w:tc>
          <w:tcPr>
            <w:tcW w:w="1603" w:type="dxa"/>
          </w:tcPr>
          <w:p w14:paraId="1CE2F8B8"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Huang and Rust (2011, p: 44)</w:t>
            </w:r>
          </w:p>
        </w:tc>
      </w:tr>
      <w:tr w:rsidR="00C7217E" w:rsidRPr="00530906" w14:paraId="7E6B4D65" w14:textId="77777777" w:rsidTr="008756B1">
        <w:tc>
          <w:tcPr>
            <w:tcW w:w="1623" w:type="dxa"/>
            <w:shd w:val="clear" w:color="auto" w:fill="A8D08D" w:themeFill="accent6" w:themeFillTint="99"/>
          </w:tcPr>
          <w:p w14:paraId="39B6299C"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societal consumption</w:t>
            </w:r>
          </w:p>
        </w:tc>
        <w:tc>
          <w:tcPr>
            <w:tcW w:w="5790" w:type="dxa"/>
          </w:tcPr>
          <w:p w14:paraId="1C671626"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“sensitive to aspects of environmental impact and social justice, even if altruistic motivations are absent”</w:t>
            </w:r>
          </w:p>
        </w:tc>
        <w:tc>
          <w:tcPr>
            <w:tcW w:w="1603" w:type="dxa"/>
          </w:tcPr>
          <w:p w14:paraId="39C9666E"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Huang and Rust (2011), P. 39</w:t>
            </w:r>
          </w:p>
        </w:tc>
      </w:tr>
      <w:tr w:rsidR="00C7217E" w:rsidRPr="00530906" w14:paraId="53B6027E" w14:textId="77777777" w:rsidTr="008756B1">
        <w:tc>
          <w:tcPr>
            <w:tcW w:w="1623" w:type="dxa"/>
            <w:shd w:val="clear" w:color="auto" w:fill="A8D08D" w:themeFill="accent6" w:themeFillTint="99"/>
          </w:tcPr>
          <w:p w14:paraId="758507CF"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Environmental citizenship behaviour</w:t>
            </w:r>
          </w:p>
        </w:tc>
        <w:tc>
          <w:tcPr>
            <w:tcW w:w="5790" w:type="dxa"/>
          </w:tcPr>
          <w:p w14:paraId="0B89949A" w14:textId="572DC36A" w:rsidR="00C7217E" w:rsidRPr="00530906" w:rsidRDefault="001A5AB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w:t>
            </w:r>
            <w:r w:rsidR="00C7217E" w:rsidRPr="00530906">
              <w:rPr>
                <w:rFonts w:ascii="Cambria" w:eastAsiaTheme="minorEastAsia" w:hAnsi="Cambria" w:cs="Times New Roman"/>
                <w:sz w:val="24"/>
                <w:szCs w:val="24"/>
              </w:rPr>
              <w:t>ivic perspective of pro–environmental behaviour</w:t>
            </w:r>
          </w:p>
        </w:tc>
        <w:tc>
          <w:tcPr>
            <w:tcW w:w="1603" w:type="dxa"/>
          </w:tcPr>
          <w:p w14:paraId="381689EC" w14:textId="77777777" w:rsidR="00C7217E" w:rsidRPr="00530906" w:rsidRDefault="00C7217E">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Song et al (2019)</w:t>
            </w:r>
          </w:p>
        </w:tc>
      </w:tr>
    </w:tbl>
    <w:p w14:paraId="088A7ADC" w14:textId="77777777" w:rsidR="00C7217E" w:rsidRPr="00530906" w:rsidRDefault="00C7217E">
      <w:pPr>
        <w:spacing w:line="360" w:lineRule="auto"/>
        <w:jc w:val="both"/>
        <w:rPr>
          <w:rFonts w:ascii="Cambria" w:eastAsia="Calibri" w:hAnsi="Cambria" w:cs="Adobe Devanagari"/>
          <w:sz w:val="24"/>
          <w:szCs w:val="24"/>
        </w:rPr>
      </w:pPr>
    </w:p>
    <w:p w14:paraId="439810A7" w14:textId="1E882A87" w:rsidR="00C7217E" w:rsidRPr="00530906" w:rsidRDefault="005E6581">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A</w:t>
      </w:r>
      <w:r w:rsidR="00C7217E" w:rsidRPr="00530906">
        <w:rPr>
          <w:rFonts w:ascii="Cambria" w:eastAsia="Calibri" w:hAnsi="Cambria" w:cs="Adobe Devanagari"/>
          <w:sz w:val="24"/>
          <w:szCs w:val="24"/>
        </w:rPr>
        <w:t xml:space="preserve">s evident in table 1, though different terms vary in their definition, all of them can be covered as ‘sustainable behaviour’. </w:t>
      </w:r>
      <w:r w:rsidR="00647FA5" w:rsidRPr="00530906">
        <w:rPr>
          <w:rFonts w:ascii="Cambria" w:eastAsia="Calibri" w:hAnsi="Cambria" w:cs="Adobe Devanagari"/>
          <w:sz w:val="24"/>
          <w:szCs w:val="24"/>
        </w:rPr>
        <w:t>Valor and Carrero (2014) took ‘ethical consumerism’ even further by proposing another term ‘responsible consumption’, which represents consumers choice of product on the basis of traditional dimension (</w:t>
      </w:r>
      <w:r w:rsidR="00EA5C2F" w:rsidRPr="00530906">
        <w:rPr>
          <w:rFonts w:ascii="Cambria" w:eastAsia="Calibri" w:hAnsi="Cambria" w:cs="Adobe Devanagari"/>
          <w:sz w:val="24"/>
          <w:szCs w:val="24"/>
        </w:rPr>
        <w:t>i.e.,</w:t>
      </w:r>
      <w:r w:rsidR="00647FA5" w:rsidRPr="00530906">
        <w:rPr>
          <w:rFonts w:ascii="Cambria" w:eastAsia="Calibri" w:hAnsi="Cambria" w:cs="Adobe Devanagari"/>
          <w:sz w:val="24"/>
          <w:szCs w:val="24"/>
        </w:rPr>
        <w:t xml:space="preserve"> quality, price etc)</w:t>
      </w:r>
      <w:r w:rsidR="00443758" w:rsidRPr="00530906">
        <w:rPr>
          <w:rFonts w:ascii="Cambria" w:eastAsia="Calibri" w:hAnsi="Cambria" w:cs="Adobe Devanagari"/>
          <w:sz w:val="24"/>
          <w:szCs w:val="24"/>
        </w:rPr>
        <w:t xml:space="preserve"> along</w:t>
      </w:r>
      <w:r w:rsidR="007851AE" w:rsidRPr="00530906">
        <w:rPr>
          <w:rFonts w:ascii="Cambria" w:eastAsia="Calibri" w:hAnsi="Cambria" w:cs="Adobe Devanagari"/>
          <w:sz w:val="24"/>
          <w:szCs w:val="24"/>
        </w:rPr>
        <w:t xml:space="preserve"> with ethical dimension. However</w:t>
      </w:r>
      <w:r w:rsidR="005C5697" w:rsidRPr="00530906">
        <w:rPr>
          <w:rFonts w:ascii="Cambria" w:eastAsia="Calibri" w:hAnsi="Cambria" w:cs="Adobe Devanagari"/>
          <w:sz w:val="24"/>
          <w:szCs w:val="24"/>
        </w:rPr>
        <w:t>,</w:t>
      </w:r>
      <w:r w:rsidR="007851AE" w:rsidRPr="00530906">
        <w:rPr>
          <w:rFonts w:ascii="Cambria" w:eastAsia="Calibri" w:hAnsi="Cambria" w:cs="Adobe Devanagari"/>
          <w:sz w:val="24"/>
          <w:szCs w:val="24"/>
        </w:rPr>
        <w:t xml:space="preserve"> they also </w:t>
      </w:r>
      <w:r w:rsidR="005C5697" w:rsidRPr="00530906">
        <w:rPr>
          <w:rFonts w:ascii="Cambria" w:eastAsia="Calibri" w:hAnsi="Cambria" w:cs="Adobe Devanagari"/>
          <w:sz w:val="24"/>
          <w:szCs w:val="24"/>
        </w:rPr>
        <w:t xml:space="preserve">associated </w:t>
      </w:r>
      <w:r w:rsidR="00976167" w:rsidRPr="00530906">
        <w:rPr>
          <w:rFonts w:ascii="Cambria" w:eastAsia="Calibri" w:hAnsi="Cambria" w:cs="Adobe Devanagari"/>
          <w:sz w:val="24"/>
          <w:szCs w:val="24"/>
        </w:rPr>
        <w:t>‘</w:t>
      </w:r>
      <w:r w:rsidR="005C5697" w:rsidRPr="00530906">
        <w:rPr>
          <w:rFonts w:ascii="Cambria" w:eastAsia="Calibri" w:hAnsi="Cambria" w:cs="Adobe Devanagari"/>
          <w:sz w:val="24"/>
          <w:szCs w:val="24"/>
        </w:rPr>
        <w:t>responsible consumption</w:t>
      </w:r>
      <w:r w:rsidR="00976167" w:rsidRPr="00530906">
        <w:rPr>
          <w:rFonts w:ascii="Cambria" w:eastAsia="Calibri" w:hAnsi="Cambria" w:cs="Adobe Devanagari"/>
          <w:sz w:val="24"/>
          <w:szCs w:val="24"/>
        </w:rPr>
        <w:t>’</w:t>
      </w:r>
      <w:r w:rsidR="005C5697" w:rsidRPr="00530906">
        <w:rPr>
          <w:rFonts w:ascii="Cambria" w:eastAsia="Calibri" w:hAnsi="Cambria" w:cs="Adobe Devanagari"/>
          <w:sz w:val="24"/>
          <w:szCs w:val="24"/>
        </w:rPr>
        <w:t xml:space="preserve"> with ‘consumer activism’ and ‘political consumerism’. But these later two terms are mai</w:t>
      </w:r>
      <w:r w:rsidR="001A3ED6" w:rsidRPr="00530906">
        <w:rPr>
          <w:rFonts w:ascii="Cambria" w:eastAsia="Calibri" w:hAnsi="Cambria" w:cs="Adobe Devanagari"/>
          <w:sz w:val="24"/>
          <w:szCs w:val="24"/>
        </w:rPr>
        <w:t>nly focused on consumers</w:t>
      </w:r>
      <w:r w:rsidR="00CA13A3" w:rsidRPr="00530906">
        <w:rPr>
          <w:rFonts w:ascii="Cambria" w:eastAsia="Calibri" w:hAnsi="Cambria" w:cs="Adobe Devanagari"/>
          <w:sz w:val="24"/>
          <w:szCs w:val="24"/>
        </w:rPr>
        <w:t>’</w:t>
      </w:r>
      <w:r w:rsidR="001A3ED6" w:rsidRPr="00530906">
        <w:rPr>
          <w:rFonts w:ascii="Cambria" w:eastAsia="Calibri" w:hAnsi="Cambria" w:cs="Adobe Devanagari"/>
          <w:sz w:val="24"/>
          <w:szCs w:val="24"/>
        </w:rPr>
        <w:t xml:space="preserve"> objective to alter corporate and government practice</w:t>
      </w:r>
      <w:r w:rsidR="002801F2" w:rsidRPr="00530906">
        <w:rPr>
          <w:rFonts w:ascii="Cambria" w:eastAsia="Calibri" w:hAnsi="Cambria" w:cs="Adobe Devanagari"/>
          <w:sz w:val="24"/>
          <w:szCs w:val="24"/>
        </w:rPr>
        <w:t xml:space="preserve"> generated form their negative opinion about the firm</w:t>
      </w:r>
      <w:r w:rsidR="001A3ED6" w:rsidRPr="00530906">
        <w:rPr>
          <w:rFonts w:ascii="Cambria" w:eastAsia="Calibri" w:hAnsi="Cambria" w:cs="Adobe Devanagari"/>
          <w:sz w:val="24"/>
          <w:szCs w:val="24"/>
        </w:rPr>
        <w:t xml:space="preserve"> (Valor and Carrero 2014</w:t>
      </w:r>
      <w:r w:rsidR="00E323EB" w:rsidRPr="00530906">
        <w:rPr>
          <w:rFonts w:ascii="Cambria" w:eastAsia="Calibri" w:hAnsi="Cambria" w:cs="Adobe Devanagari"/>
          <w:sz w:val="24"/>
          <w:szCs w:val="24"/>
        </w:rPr>
        <w:t xml:space="preserve">; Discetti 2020; </w:t>
      </w:r>
      <w:r w:rsidR="00E323EB" w:rsidRPr="0004365A">
        <w:rPr>
          <w:rFonts w:ascii="Cambria" w:eastAsia="Calibri" w:hAnsi="Cambria" w:cs="Adobe Devanagari"/>
          <w:sz w:val="24"/>
          <w:szCs w:val="24"/>
        </w:rPr>
        <w:t>Prahalad and Ramaswam</w:t>
      </w:r>
      <w:r w:rsidR="0006605E" w:rsidRPr="0004365A">
        <w:rPr>
          <w:rFonts w:ascii="Cambria" w:eastAsia="Calibri" w:hAnsi="Cambria" w:cs="Adobe Devanagari"/>
          <w:sz w:val="24"/>
          <w:szCs w:val="24"/>
        </w:rPr>
        <w:t>y 2</w:t>
      </w:r>
      <w:r w:rsidR="00E323EB" w:rsidRPr="0004365A">
        <w:rPr>
          <w:rFonts w:ascii="Cambria" w:eastAsia="Calibri" w:hAnsi="Cambria" w:cs="Adobe Devanagari"/>
          <w:sz w:val="24"/>
          <w:szCs w:val="24"/>
        </w:rPr>
        <w:t>004</w:t>
      </w:r>
      <w:r w:rsidR="0006605E" w:rsidRPr="0004365A">
        <w:rPr>
          <w:rFonts w:ascii="Cambria" w:eastAsia="Calibri" w:hAnsi="Cambria" w:cs="Adobe Devanagari"/>
          <w:sz w:val="24"/>
          <w:szCs w:val="24"/>
        </w:rPr>
        <w:t xml:space="preserve">; </w:t>
      </w:r>
      <w:r w:rsidR="00FC0E98" w:rsidRPr="0004365A">
        <w:rPr>
          <w:rFonts w:ascii="Cambria" w:eastAsia="Calibri" w:hAnsi="Cambria" w:cs="Adobe Devanagari"/>
          <w:sz w:val="24"/>
          <w:szCs w:val="24"/>
        </w:rPr>
        <w:t>Hollenbeck and Zinkhan 2006</w:t>
      </w:r>
      <w:r w:rsidR="001A3ED6" w:rsidRPr="0004365A">
        <w:rPr>
          <w:rFonts w:ascii="Cambria" w:eastAsia="Calibri" w:hAnsi="Cambria" w:cs="Adobe Devanagari"/>
          <w:sz w:val="24"/>
          <w:szCs w:val="24"/>
        </w:rPr>
        <w:t xml:space="preserve">). </w:t>
      </w:r>
      <w:r w:rsidR="00CA13A3" w:rsidRPr="0004365A">
        <w:rPr>
          <w:rFonts w:ascii="Cambria" w:eastAsia="Calibri" w:hAnsi="Cambria" w:cs="Adobe Devanagari"/>
          <w:sz w:val="24"/>
          <w:szCs w:val="24"/>
        </w:rPr>
        <w:t xml:space="preserve">This thesis focuses on the impact of general consumers’ positive and negative opinion </w:t>
      </w:r>
      <w:r w:rsidR="00883E6B" w:rsidRPr="0004365A">
        <w:rPr>
          <w:rFonts w:ascii="Cambria" w:eastAsia="Calibri" w:hAnsi="Cambria" w:cs="Adobe Devanagari"/>
          <w:sz w:val="24"/>
          <w:szCs w:val="24"/>
        </w:rPr>
        <w:t xml:space="preserve">about brand’s </w:t>
      </w:r>
      <w:r w:rsidR="00DA0997" w:rsidRPr="0004365A">
        <w:rPr>
          <w:rFonts w:ascii="Cambria" w:eastAsia="Calibri" w:hAnsi="Cambria" w:cs="Adobe Devanagari"/>
          <w:sz w:val="24"/>
          <w:szCs w:val="24"/>
        </w:rPr>
        <w:t xml:space="preserve">ad with </w:t>
      </w:r>
      <w:r w:rsidR="00E363FB" w:rsidRPr="0004365A">
        <w:rPr>
          <w:rFonts w:ascii="Cambria" w:eastAsia="Calibri" w:hAnsi="Cambria" w:cs="Adobe Devanagari"/>
          <w:sz w:val="24"/>
          <w:szCs w:val="24"/>
        </w:rPr>
        <w:t>sustainability</w:t>
      </w:r>
      <w:r w:rsidR="00DA0997" w:rsidRPr="0004365A">
        <w:rPr>
          <w:rFonts w:ascii="Cambria" w:eastAsia="Calibri" w:hAnsi="Cambria" w:cs="Adobe Devanagari"/>
          <w:sz w:val="24"/>
          <w:szCs w:val="24"/>
        </w:rPr>
        <w:t xml:space="preserve"> message</w:t>
      </w:r>
      <w:r w:rsidR="00DA0997" w:rsidRPr="0004365A">
        <w:rPr>
          <w:rFonts w:ascii="Cambria" w:eastAsia="Calibri" w:hAnsi="Cambria" w:cs="Times New Roman"/>
          <w:sz w:val="24"/>
          <w:szCs w:val="24"/>
        </w:rPr>
        <w:t xml:space="preserve"> </w:t>
      </w:r>
      <w:r w:rsidR="00CA13A3" w:rsidRPr="00530906">
        <w:rPr>
          <w:rFonts w:ascii="Cambria" w:eastAsia="Calibri" w:hAnsi="Cambria" w:cs="Adobe Devanagari"/>
          <w:sz w:val="24"/>
          <w:szCs w:val="24"/>
        </w:rPr>
        <w:t>rather than their a</w:t>
      </w:r>
      <w:r w:rsidR="00883E6B" w:rsidRPr="00530906">
        <w:rPr>
          <w:rFonts w:ascii="Cambria" w:eastAsia="Calibri" w:hAnsi="Cambria" w:cs="Adobe Devanagari"/>
          <w:sz w:val="24"/>
          <w:szCs w:val="24"/>
        </w:rPr>
        <w:t xml:space="preserve">ctions directed to change the brand’s </w:t>
      </w:r>
      <w:r w:rsidR="00883E6B" w:rsidRPr="00530906">
        <w:rPr>
          <w:rFonts w:ascii="Cambria" w:eastAsia="Calibri" w:hAnsi="Cambria" w:cs="Adobe Devanagari"/>
          <w:sz w:val="24"/>
          <w:szCs w:val="24"/>
        </w:rPr>
        <w:lastRenderedPageBreak/>
        <w:t>practice.</w:t>
      </w:r>
      <w:r w:rsidR="00976167" w:rsidRPr="00530906">
        <w:rPr>
          <w:rFonts w:ascii="Cambria" w:eastAsia="Calibri" w:hAnsi="Cambria" w:cs="Adobe Devanagari"/>
          <w:sz w:val="24"/>
          <w:szCs w:val="24"/>
        </w:rPr>
        <w:t xml:space="preserve"> Hence</w:t>
      </w:r>
      <w:r w:rsidR="0030569D">
        <w:rPr>
          <w:rFonts w:ascii="Cambria" w:eastAsia="Calibri" w:hAnsi="Cambria" w:cs="Adobe Devanagari"/>
          <w:sz w:val="24"/>
          <w:szCs w:val="24"/>
        </w:rPr>
        <w:t>,</w:t>
      </w:r>
      <w:r w:rsidR="00976167" w:rsidRPr="00530906">
        <w:rPr>
          <w:rFonts w:ascii="Cambria" w:eastAsia="Calibri" w:hAnsi="Cambria" w:cs="Adobe Devanagari"/>
          <w:sz w:val="24"/>
          <w:szCs w:val="24"/>
        </w:rPr>
        <w:t xml:space="preserve"> ‘consumer activism’ and ‘political consumerism’ are not in the scope of this research.</w:t>
      </w:r>
      <w:r w:rsidR="00146A7A" w:rsidRPr="00530906">
        <w:rPr>
          <w:rFonts w:ascii="Cambria" w:eastAsia="Calibri" w:hAnsi="Cambria" w:cs="Adobe Devanagari"/>
          <w:sz w:val="24"/>
          <w:szCs w:val="24"/>
        </w:rPr>
        <w:t xml:space="preserve"> Sustainability is hard to achieve, because the consumption pattern of the modern society is not sustainable (Thøgersen and Schrader 2012; Leary et al 2014; Kilbourne and Pickett 2008; WBCSD 2018)</w:t>
      </w:r>
      <w:r w:rsidR="00146A7A" w:rsidRPr="00530906">
        <w:rPr>
          <w:rFonts w:ascii="Cambria" w:eastAsia="Calibri" w:hAnsi="Cambria" w:cs="Times New Roman"/>
          <w:sz w:val="24"/>
          <w:szCs w:val="24"/>
        </w:rPr>
        <w:t>.</w:t>
      </w:r>
    </w:p>
    <w:p w14:paraId="4A0A5A28" w14:textId="5E42BC9D" w:rsidR="00FB3CD9" w:rsidRPr="00530906" w:rsidRDefault="00FB3CD9" w:rsidP="00FB3CD9">
      <w:pPr>
        <w:pStyle w:val="Heading3"/>
        <w:rPr>
          <w:rFonts w:eastAsia="Calibri"/>
        </w:rPr>
      </w:pPr>
      <w:bookmarkStart w:id="21" w:name="_Toc115726218"/>
      <w:r w:rsidRPr="00530906">
        <w:rPr>
          <w:rFonts w:eastAsia="Calibri"/>
        </w:rPr>
        <w:t>2.</w:t>
      </w:r>
      <w:r w:rsidR="00C034C0" w:rsidRPr="00530906">
        <w:rPr>
          <w:rFonts w:eastAsia="Calibri"/>
        </w:rPr>
        <w:t>2</w:t>
      </w:r>
      <w:r w:rsidRPr="00530906">
        <w:rPr>
          <w:rFonts w:eastAsia="Calibri"/>
        </w:rPr>
        <w:t>.1 Sustainable behaviour intention</w:t>
      </w:r>
      <w:bookmarkEnd w:id="21"/>
      <w:r w:rsidRPr="00530906">
        <w:rPr>
          <w:rFonts w:eastAsia="Calibri"/>
        </w:rPr>
        <w:t xml:space="preserve"> </w:t>
      </w:r>
    </w:p>
    <w:p w14:paraId="5D677EB2" w14:textId="2EBD0857" w:rsidR="00290C65" w:rsidRPr="00530906" w:rsidRDefault="00071A23" w:rsidP="00290C65">
      <w:pPr>
        <w:spacing w:after="200" w:line="360" w:lineRule="auto"/>
        <w:jc w:val="both"/>
        <w:rPr>
          <w:rFonts w:ascii="Cambria" w:eastAsia="Calibri" w:hAnsi="Cambria" w:cs="Adobe Devanagari"/>
          <w:sz w:val="24"/>
          <w:szCs w:val="24"/>
        </w:rPr>
      </w:pPr>
      <w:r w:rsidRPr="00530906">
        <w:rPr>
          <w:rFonts w:ascii="Cambria" w:eastAsia="Calibri" w:hAnsi="Cambria" w:cs="Times New Roman"/>
          <w:sz w:val="24"/>
          <w:szCs w:val="24"/>
        </w:rPr>
        <w:t>D</w:t>
      </w:r>
      <w:r w:rsidR="003D542A" w:rsidRPr="00530906">
        <w:rPr>
          <w:rFonts w:ascii="Cambria" w:eastAsia="Calibri" w:hAnsi="Cambria" w:cs="Times New Roman"/>
          <w:sz w:val="24"/>
          <w:szCs w:val="24"/>
        </w:rPr>
        <w:t xml:space="preserve">espite </w:t>
      </w:r>
      <w:r w:rsidR="00441C3F" w:rsidRPr="00530906">
        <w:rPr>
          <w:rFonts w:ascii="Cambria" w:eastAsia="Calibri" w:hAnsi="Cambria" w:cs="Times New Roman"/>
          <w:sz w:val="24"/>
          <w:szCs w:val="24"/>
        </w:rPr>
        <w:t>o</w:t>
      </w:r>
      <w:r w:rsidR="003A08CD" w:rsidRPr="00530906">
        <w:rPr>
          <w:rFonts w:ascii="Cambria" w:eastAsia="Calibri" w:hAnsi="Cambria" w:cs="Times New Roman"/>
          <w:sz w:val="24"/>
          <w:szCs w:val="24"/>
        </w:rPr>
        <w:t>f</w:t>
      </w:r>
      <w:r w:rsidR="00441C3F" w:rsidRPr="00530906">
        <w:rPr>
          <w:rFonts w:ascii="Cambria" w:eastAsia="Calibri" w:hAnsi="Cambria" w:cs="Times New Roman"/>
          <w:sz w:val="24"/>
          <w:szCs w:val="24"/>
        </w:rPr>
        <w:t xml:space="preserve"> pro-sustainable</w:t>
      </w:r>
      <w:r w:rsidR="003D542A" w:rsidRPr="00530906">
        <w:rPr>
          <w:rFonts w:ascii="Cambria" w:eastAsia="Calibri" w:hAnsi="Cambria" w:cs="Times New Roman"/>
          <w:sz w:val="24"/>
          <w:szCs w:val="24"/>
        </w:rPr>
        <w:t xml:space="preserve"> intent being an antecedent of the corresponding behaviour, that may not</w:t>
      </w:r>
      <w:r w:rsidR="00284EF9" w:rsidRPr="00530906">
        <w:rPr>
          <w:rFonts w:ascii="Cambria" w:eastAsia="Calibri" w:hAnsi="Cambria" w:cs="Times New Roman"/>
          <w:sz w:val="24"/>
          <w:szCs w:val="24"/>
        </w:rPr>
        <w:t xml:space="preserve"> necessarily</w:t>
      </w:r>
      <w:r w:rsidR="003D542A" w:rsidRPr="00530906">
        <w:rPr>
          <w:rFonts w:ascii="Cambria" w:eastAsia="Calibri" w:hAnsi="Cambria" w:cs="Times New Roman"/>
          <w:sz w:val="24"/>
          <w:szCs w:val="24"/>
        </w:rPr>
        <w:t xml:space="preserve"> result into having any impact on consumers’ intention to adopt sustainable behaviour (Stern 2000</w:t>
      </w:r>
      <w:r w:rsidR="00284EF9" w:rsidRPr="00530906">
        <w:rPr>
          <w:rFonts w:ascii="Cambria" w:eastAsia="Calibri" w:hAnsi="Cambria" w:cs="Times New Roman"/>
          <w:sz w:val="24"/>
          <w:szCs w:val="24"/>
        </w:rPr>
        <w:t>; Kilbourne et 2002</w:t>
      </w:r>
      <w:r w:rsidR="003D542A" w:rsidRPr="00530906">
        <w:rPr>
          <w:rFonts w:ascii="Cambria" w:eastAsia="Calibri" w:hAnsi="Cambria" w:cs="Times New Roman"/>
          <w:sz w:val="24"/>
          <w:szCs w:val="24"/>
        </w:rPr>
        <w:t>).</w:t>
      </w:r>
      <w:r w:rsidR="003A08CD" w:rsidRPr="00530906">
        <w:rPr>
          <w:rFonts w:ascii="Cambria" w:eastAsia="Calibri" w:hAnsi="Cambria" w:cs="Times New Roman"/>
          <w:sz w:val="24"/>
          <w:szCs w:val="24"/>
        </w:rPr>
        <w:t xml:space="preserve"> </w:t>
      </w:r>
      <w:r w:rsidR="00290C65" w:rsidRPr="00530906">
        <w:rPr>
          <w:rFonts w:ascii="Cambria" w:eastAsia="Calibri" w:hAnsi="Cambria" w:cs="Times New Roman"/>
          <w:sz w:val="24"/>
          <w:szCs w:val="24"/>
        </w:rPr>
        <w:t>Buying product</w:t>
      </w:r>
      <w:r w:rsidR="00C97856" w:rsidRPr="00530906">
        <w:rPr>
          <w:rFonts w:ascii="Cambria" w:eastAsia="Calibri" w:hAnsi="Cambria" w:cs="Times New Roman"/>
          <w:sz w:val="24"/>
          <w:szCs w:val="24"/>
        </w:rPr>
        <w:t>s with sustainable dimensions associated with it</w:t>
      </w:r>
      <w:r w:rsidR="00290C65" w:rsidRPr="00530906">
        <w:rPr>
          <w:rFonts w:ascii="Cambria" w:eastAsia="Calibri" w:hAnsi="Cambria" w:cs="Times New Roman"/>
          <w:sz w:val="24"/>
          <w:szCs w:val="24"/>
        </w:rPr>
        <w:t xml:space="preserve"> is a part of sustainable behaviour (Frank and Brock 2018). </w:t>
      </w:r>
      <w:r w:rsidR="00C97856" w:rsidRPr="00530906">
        <w:rPr>
          <w:rFonts w:ascii="Cambria" w:eastAsia="Calibri" w:hAnsi="Cambria" w:cs="Times New Roman"/>
          <w:sz w:val="24"/>
          <w:szCs w:val="24"/>
        </w:rPr>
        <w:t>Point to be noted that, these products may</w:t>
      </w:r>
      <w:r w:rsidR="00B327FE" w:rsidRPr="00530906">
        <w:rPr>
          <w:rFonts w:ascii="Cambria" w:eastAsia="Calibri" w:hAnsi="Cambria" w:cs="Times New Roman"/>
          <w:sz w:val="24"/>
          <w:szCs w:val="24"/>
        </w:rPr>
        <w:t xml:space="preserve"> or may not</w:t>
      </w:r>
      <w:r w:rsidR="00C97856" w:rsidRPr="00530906">
        <w:rPr>
          <w:rFonts w:ascii="Cambria" w:eastAsia="Calibri" w:hAnsi="Cambria" w:cs="Times New Roman"/>
          <w:sz w:val="24"/>
          <w:szCs w:val="24"/>
        </w:rPr>
        <w:t xml:space="preserve"> be sustainable itself</w:t>
      </w:r>
      <w:r w:rsidR="00492501" w:rsidRPr="00530906">
        <w:rPr>
          <w:rFonts w:ascii="Cambria" w:eastAsia="Calibri" w:hAnsi="Cambria" w:cs="Times New Roman"/>
          <w:sz w:val="24"/>
          <w:szCs w:val="24"/>
        </w:rPr>
        <w:t>, but have been produced and can be consumed in a sustainable</w:t>
      </w:r>
      <w:r w:rsidR="00A635FA">
        <w:rPr>
          <w:rFonts w:ascii="Cambria" w:eastAsia="Calibri" w:hAnsi="Cambria" w:cs="Times New Roman"/>
          <w:sz w:val="24"/>
          <w:szCs w:val="24"/>
        </w:rPr>
        <w:t xml:space="preserve"> manner</w:t>
      </w:r>
      <w:r w:rsidR="00492501" w:rsidRPr="00530906">
        <w:rPr>
          <w:rFonts w:ascii="Cambria" w:eastAsia="Calibri" w:hAnsi="Cambria" w:cs="Times New Roman"/>
          <w:sz w:val="24"/>
          <w:szCs w:val="24"/>
        </w:rPr>
        <w:t>. Consumers’ demand firm’s production practice to be sustainable. In other words, consumes prefer products those causes less environmental pollution and resource consumption (Lin and Hsu 2015; Egea and de Frtos 2013). For the point of three bottom-line of sustainability, Balderjahn</w:t>
      </w:r>
      <w:r w:rsidR="00290C65" w:rsidRPr="00530906">
        <w:rPr>
          <w:rFonts w:ascii="Cambria" w:eastAsia="Calibri" w:hAnsi="Cambria" w:cs="Adobe Devanagari"/>
          <w:sz w:val="24"/>
          <w:szCs w:val="24"/>
        </w:rPr>
        <w:t xml:space="preserve"> et al (2013) have identified five key ‘environmental’ factors a consumer may consider while buying a product- recycling, packaging, resources and energy, local production (regionally), and climate. On the other hand, consumers associate ‘social’ dimension with a product in terms of human rights, decent working conditions, or fair practices in companies. Lastly, ‘economic’ dimension</w:t>
      </w:r>
      <w:r w:rsidR="00492501" w:rsidRPr="00530906">
        <w:rPr>
          <w:rFonts w:ascii="Cambria" w:eastAsia="Calibri" w:hAnsi="Cambria" w:cs="Adobe Devanagari"/>
          <w:sz w:val="24"/>
          <w:szCs w:val="24"/>
        </w:rPr>
        <w:t xml:space="preserve"> of a product</w:t>
      </w:r>
      <w:r w:rsidR="00290C65" w:rsidRPr="00530906">
        <w:rPr>
          <w:rFonts w:ascii="Cambria" w:eastAsia="Calibri" w:hAnsi="Cambria" w:cs="Adobe Devanagari"/>
          <w:sz w:val="24"/>
          <w:szCs w:val="24"/>
        </w:rPr>
        <w:t xml:space="preserve"> is represented when consumers voluntarily reduce consumption, share </w:t>
      </w:r>
      <w:r w:rsidR="001660DA" w:rsidRPr="00530906">
        <w:rPr>
          <w:rFonts w:ascii="Cambria" w:eastAsia="Calibri" w:hAnsi="Cambria" w:cs="Adobe Devanagari"/>
          <w:sz w:val="24"/>
          <w:szCs w:val="24"/>
        </w:rPr>
        <w:t>resources,</w:t>
      </w:r>
      <w:r w:rsidR="00290C65" w:rsidRPr="00530906">
        <w:rPr>
          <w:rFonts w:ascii="Cambria" w:eastAsia="Calibri" w:hAnsi="Cambria" w:cs="Adobe Devanagari"/>
          <w:sz w:val="24"/>
          <w:szCs w:val="24"/>
        </w:rPr>
        <w:t xml:space="preserve"> and avoid overspending.  </w:t>
      </w:r>
    </w:p>
    <w:p w14:paraId="677E82D9" w14:textId="17B1DFCF" w:rsidR="003A08CD" w:rsidRPr="00530906" w:rsidRDefault="00492501" w:rsidP="003A08CD">
      <w:pPr>
        <w:spacing w:after="200" w:line="360" w:lineRule="auto"/>
        <w:jc w:val="both"/>
        <w:rPr>
          <w:rFonts w:ascii="Cambria" w:eastAsiaTheme="minorEastAsia" w:hAnsi="Cambria"/>
          <w:sz w:val="24"/>
          <w:szCs w:val="24"/>
        </w:rPr>
      </w:pPr>
      <w:r w:rsidRPr="00530906">
        <w:rPr>
          <w:rFonts w:ascii="Cambria" w:eastAsia="Calibri" w:hAnsi="Cambria" w:cs="Times New Roman"/>
          <w:sz w:val="24"/>
          <w:szCs w:val="24"/>
        </w:rPr>
        <w:t>T</w:t>
      </w:r>
      <w:r w:rsidR="00B56DFB" w:rsidRPr="00530906">
        <w:rPr>
          <w:rFonts w:ascii="Cambria" w:eastAsia="Calibri" w:hAnsi="Cambria" w:cs="Times New Roman"/>
          <w:sz w:val="24"/>
          <w:szCs w:val="24"/>
        </w:rPr>
        <w:t>h</w:t>
      </w:r>
      <w:r w:rsidRPr="00530906">
        <w:rPr>
          <w:rFonts w:ascii="Cambria" w:eastAsia="Calibri" w:hAnsi="Cambria" w:cs="Times New Roman"/>
          <w:sz w:val="24"/>
          <w:szCs w:val="24"/>
        </w:rPr>
        <w:t xml:space="preserve">ough consumers </w:t>
      </w:r>
      <w:r w:rsidR="006F6789" w:rsidRPr="00530906">
        <w:rPr>
          <w:rFonts w:ascii="Cambria" w:eastAsia="Calibri" w:hAnsi="Cambria" w:cs="Times New Roman"/>
          <w:sz w:val="24"/>
          <w:szCs w:val="24"/>
        </w:rPr>
        <w:t>have favourable mindset of these type</w:t>
      </w:r>
      <w:r w:rsidR="00BD446B" w:rsidRPr="00530906">
        <w:rPr>
          <w:rFonts w:ascii="Cambria" w:eastAsia="Calibri" w:hAnsi="Cambria" w:cs="Times New Roman"/>
          <w:sz w:val="24"/>
          <w:szCs w:val="24"/>
        </w:rPr>
        <w:t>s</w:t>
      </w:r>
      <w:r w:rsidR="006F6789" w:rsidRPr="00530906">
        <w:rPr>
          <w:rFonts w:ascii="Cambria" w:eastAsia="Calibri" w:hAnsi="Cambria" w:cs="Times New Roman"/>
          <w:sz w:val="24"/>
          <w:szCs w:val="24"/>
        </w:rPr>
        <w:t xml:space="preserve"> of product</w:t>
      </w:r>
      <w:r w:rsidR="00BD446B" w:rsidRPr="00530906">
        <w:rPr>
          <w:rFonts w:ascii="Cambria" w:eastAsia="Calibri" w:hAnsi="Cambria" w:cs="Times New Roman"/>
          <w:sz w:val="24"/>
          <w:szCs w:val="24"/>
        </w:rPr>
        <w:t>s</w:t>
      </w:r>
      <w:r w:rsidR="006F6789" w:rsidRPr="00530906">
        <w:rPr>
          <w:rFonts w:ascii="Cambria" w:eastAsia="Calibri" w:hAnsi="Cambria" w:cs="Times New Roman"/>
          <w:sz w:val="24"/>
          <w:szCs w:val="24"/>
        </w:rPr>
        <w:t xml:space="preserve">, but their purchase intention may not follow. </w:t>
      </w:r>
      <w:r w:rsidR="003A08CD" w:rsidRPr="00530906">
        <w:rPr>
          <w:rFonts w:ascii="Cambria" w:eastAsia="Calibri" w:hAnsi="Cambria" w:cs="Times New Roman"/>
          <w:sz w:val="24"/>
          <w:szCs w:val="24"/>
        </w:rPr>
        <w:t>Research on this topic do not show any consistent result. This is due to the fact that, consumers’ response may be subject to the issues of the study (see, Grimmer and Bingham 2013; Schuhwerk and Lefkoff–Hagius 1995). Moreover, the measurement of intention of sustainable–</w:t>
      </w:r>
      <w:r w:rsidR="00284EF9" w:rsidRPr="00530906">
        <w:rPr>
          <w:rFonts w:ascii="Cambria" w:eastAsia="Calibri" w:hAnsi="Cambria" w:cs="Times New Roman"/>
          <w:sz w:val="24"/>
          <w:szCs w:val="24"/>
        </w:rPr>
        <w:t>behaviour</w:t>
      </w:r>
      <w:r w:rsidR="003A08CD" w:rsidRPr="00530906">
        <w:rPr>
          <w:rFonts w:ascii="Cambria" w:eastAsia="Calibri" w:hAnsi="Cambria" w:cs="Times New Roman"/>
          <w:sz w:val="24"/>
          <w:szCs w:val="24"/>
        </w:rPr>
        <w:t xml:space="preserve"> is self–reported which may be inflated because of social desirability bias. This results into dispersed gap between their response regarding the attitude toward a sustainability and their actual purchase behaviour (Carrington et al 2010; Johnstone and Tan 2015).</w:t>
      </w:r>
    </w:p>
    <w:p w14:paraId="53C72B28" w14:textId="2DCAA65E" w:rsidR="00C83E59" w:rsidRPr="00530906" w:rsidRDefault="00FB3CD9" w:rsidP="008756B1">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Since this study focuses on the antecedents of general consumers’ intention to</w:t>
      </w:r>
      <w:r w:rsidR="00B56DFB" w:rsidRPr="00530906">
        <w:rPr>
          <w:rFonts w:ascii="Cambria" w:eastAsia="Calibri" w:hAnsi="Cambria" w:cs="Times New Roman"/>
          <w:sz w:val="24"/>
          <w:szCs w:val="24"/>
        </w:rPr>
        <w:t xml:space="preserve"> purchase the featured product in sustainability related advertisement and</w:t>
      </w:r>
      <w:r w:rsidRPr="00530906">
        <w:rPr>
          <w:rFonts w:ascii="Cambria" w:eastAsia="Calibri" w:hAnsi="Cambria" w:cs="Times New Roman"/>
          <w:sz w:val="24"/>
          <w:szCs w:val="24"/>
        </w:rPr>
        <w:t xml:space="preserve"> </w:t>
      </w:r>
      <w:r w:rsidR="00884AE3" w:rsidRPr="00530906">
        <w:rPr>
          <w:rFonts w:ascii="Cambria" w:eastAsia="Calibri" w:hAnsi="Cambria" w:cs="Times New Roman"/>
          <w:sz w:val="24"/>
          <w:szCs w:val="24"/>
        </w:rPr>
        <w:t>adopt</w:t>
      </w:r>
      <w:r w:rsidRPr="00530906">
        <w:rPr>
          <w:rFonts w:ascii="Cambria" w:eastAsia="Calibri" w:hAnsi="Cambria" w:cs="Times New Roman"/>
          <w:sz w:val="24"/>
          <w:szCs w:val="24"/>
        </w:rPr>
        <w:t xml:space="preserve"> ‘sustainable behaviour’, a critical literature review was conducted to have an extensive understanding </w:t>
      </w:r>
      <w:r w:rsidRPr="00530906">
        <w:rPr>
          <w:rFonts w:ascii="Cambria" w:eastAsia="Calibri" w:hAnsi="Cambria" w:cs="Times New Roman"/>
          <w:sz w:val="24"/>
          <w:szCs w:val="24"/>
        </w:rPr>
        <w:lastRenderedPageBreak/>
        <w:t xml:space="preserve">of this literature. </w:t>
      </w:r>
      <w:r w:rsidR="00884AE3" w:rsidRPr="00530906">
        <w:rPr>
          <w:rFonts w:ascii="Cambria" w:eastAsia="Calibri" w:hAnsi="Cambria" w:cs="Times New Roman"/>
          <w:sz w:val="24"/>
          <w:szCs w:val="24"/>
        </w:rPr>
        <w:t>Short description of the papers will be found in Appendix</w:t>
      </w:r>
      <w:r w:rsidR="00737E80">
        <w:rPr>
          <w:rFonts w:ascii="Cambria" w:eastAsia="Calibri" w:hAnsi="Cambria" w:cs="Times New Roman"/>
          <w:sz w:val="24"/>
          <w:szCs w:val="24"/>
        </w:rPr>
        <w:t xml:space="preserve"> </w:t>
      </w:r>
      <w:r w:rsidR="00D25787">
        <w:rPr>
          <w:rFonts w:ascii="Cambria" w:eastAsia="Calibri" w:hAnsi="Cambria" w:cs="Times New Roman"/>
          <w:sz w:val="24"/>
          <w:szCs w:val="24"/>
        </w:rPr>
        <w:t>2</w:t>
      </w:r>
      <w:r w:rsidR="00884AE3" w:rsidRPr="00530906">
        <w:rPr>
          <w:rFonts w:ascii="Cambria" w:eastAsia="Calibri" w:hAnsi="Cambria" w:cs="Times New Roman"/>
          <w:sz w:val="24"/>
          <w:szCs w:val="24"/>
        </w:rPr>
        <w:t xml:space="preserve">. </w:t>
      </w:r>
      <w:r w:rsidR="000B1044" w:rsidRPr="00530906">
        <w:rPr>
          <w:rFonts w:ascii="Cambria" w:eastAsia="Calibri" w:hAnsi="Cambria" w:cs="Times New Roman"/>
          <w:sz w:val="24"/>
          <w:szCs w:val="24"/>
        </w:rPr>
        <w:t xml:space="preserve">In appendix </w:t>
      </w:r>
      <w:r w:rsidR="008D1722">
        <w:rPr>
          <w:rFonts w:ascii="Cambria" w:eastAsia="Calibri" w:hAnsi="Cambria" w:cs="Times New Roman"/>
          <w:sz w:val="24"/>
          <w:szCs w:val="24"/>
        </w:rPr>
        <w:t>2</w:t>
      </w:r>
      <w:r w:rsidR="000B1044" w:rsidRPr="00530906">
        <w:rPr>
          <w:rFonts w:ascii="Cambria" w:eastAsia="Calibri" w:hAnsi="Cambria" w:cs="Times New Roman"/>
          <w:sz w:val="24"/>
          <w:szCs w:val="24"/>
        </w:rPr>
        <w:t xml:space="preserve">, the articles are </w:t>
      </w:r>
      <w:r w:rsidR="00CF4C54" w:rsidRPr="00530906">
        <w:rPr>
          <w:rFonts w:ascii="Cambria" w:eastAsia="Calibri" w:hAnsi="Cambria" w:cs="Times New Roman"/>
          <w:sz w:val="24"/>
          <w:szCs w:val="24"/>
        </w:rPr>
        <w:t>accumulated from three perspectives– firstly, articles those focuses on consumers’ perspective to adopt sustainable behaviour, secondly articles those considered both consumers and organisational perspective and lastly, articles those proposed strategies to promote sustainable behaviour</w:t>
      </w:r>
      <w:r w:rsidR="00735489" w:rsidRPr="00530906">
        <w:rPr>
          <w:rFonts w:ascii="Cambria" w:eastAsia="Calibri" w:hAnsi="Cambria" w:cs="Times New Roman"/>
          <w:sz w:val="24"/>
          <w:szCs w:val="24"/>
        </w:rPr>
        <w:t xml:space="preserve"> intention</w:t>
      </w:r>
      <w:r w:rsidR="00CF4C54" w:rsidRPr="00530906">
        <w:rPr>
          <w:rFonts w:ascii="Cambria" w:eastAsia="Calibri" w:hAnsi="Cambria" w:cs="Times New Roman"/>
          <w:sz w:val="24"/>
          <w:szCs w:val="24"/>
        </w:rPr>
        <w:t xml:space="preserve">. </w:t>
      </w:r>
      <w:r w:rsidR="00884AE3" w:rsidRPr="00530906">
        <w:rPr>
          <w:rFonts w:ascii="Cambria" w:eastAsia="Calibri" w:hAnsi="Cambria" w:cs="Times New Roman"/>
          <w:sz w:val="24"/>
          <w:szCs w:val="24"/>
        </w:rPr>
        <w:t xml:space="preserve">The antecedents are derived from those articles are grouped in Appendix </w:t>
      </w:r>
      <w:r w:rsidR="00FC2BBA">
        <w:rPr>
          <w:rFonts w:ascii="Cambria" w:eastAsia="Calibri" w:hAnsi="Cambria" w:cs="Times New Roman"/>
          <w:sz w:val="24"/>
          <w:szCs w:val="24"/>
        </w:rPr>
        <w:t>2</w:t>
      </w:r>
      <w:r w:rsidR="00884AE3" w:rsidRPr="00530906">
        <w:rPr>
          <w:rFonts w:ascii="Cambria" w:eastAsia="Calibri" w:hAnsi="Cambria" w:cs="Times New Roman"/>
          <w:sz w:val="24"/>
          <w:szCs w:val="24"/>
        </w:rPr>
        <w:t xml:space="preserve">.1.  </w:t>
      </w:r>
      <w:r w:rsidR="00A6152F" w:rsidRPr="00530906">
        <w:rPr>
          <w:rFonts w:ascii="Cambria" w:eastAsia="Calibri" w:hAnsi="Cambria" w:cs="Times New Roman"/>
          <w:sz w:val="24"/>
          <w:szCs w:val="24"/>
        </w:rPr>
        <w:t xml:space="preserve">Table </w:t>
      </w:r>
      <w:r w:rsidR="003841D1">
        <w:rPr>
          <w:rFonts w:ascii="Cambria" w:eastAsia="Calibri" w:hAnsi="Cambria" w:cs="Times New Roman"/>
          <w:sz w:val="24"/>
          <w:szCs w:val="24"/>
        </w:rPr>
        <w:t>2</w:t>
      </w:r>
      <w:r w:rsidR="00A6152F" w:rsidRPr="00530906">
        <w:rPr>
          <w:rFonts w:ascii="Cambria" w:eastAsia="Calibri" w:hAnsi="Cambria" w:cs="Times New Roman"/>
          <w:sz w:val="24"/>
          <w:szCs w:val="24"/>
        </w:rPr>
        <w:t xml:space="preserve"> shows the gist of it.</w:t>
      </w:r>
    </w:p>
    <w:p w14:paraId="1ACF8BFA" w14:textId="02549BC0" w:rsidR="00C83E59" w:rsidRPr="00530906" w:rsidRDefault="00C83E59" w:rsidP="00C83E59">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In table </w:t>
      </w:r>
      <w:r w:rsidR="005A3B8B">
        <w:rPr>
          <w:rFonts w:ascii="Cambria" w:eastAsia="Calibri" w:hAnsi="Cambria" w:cs="Times New Roman"/>
          <w:sz w:val="24"/>
          <w:szCs w:val="24"/>
        </w:rPr>
        <w:t>2</w:t>
      </w:r>
      <w:r w:rsidRPr="00530906">
        <w:rPr>
          <w:rFonts w:ascii="Cambria" w:eastAsia="Calibri" w:hAnsi="Cambria" w:cs="Times New Roman"/>
          <w:sz w:val="24"/>
          <w:szCs w:val="24"/>
        </w:rPr>
        <w:t xml:space="preserve">, antecedents are grouped together on the basis of their proximity of their definitions, because similar constructs should have similar effect on sustainable behaviour intention. </w:t>
      </w:r>
    </w:p>
    <w:p w14:paraId="2739C59F" w14:textId="77777777" w:rsidR="00C83E59" w:rsidRPr="00530906" w:rsidRDefault="00C83E59" w:rsidP="00C83E59">
      <w:pPr>
        <w:spacing w:line="360" w:lineRule="auto"/>
        <w:ind w:left="426" w:hanging="426"/>
        <w:jc w:val="both"/>
        <w:rPr>
          <w:rFonts w:ascii="Cambria" w:eastAsia="Calibri" w:hAnsi="Cambria" w:cs="Times New Roman"/>
          <w:sz w:val="24"/>
          <w:szCs w:val="24"/>
        </w:rPr>
      </w:pPr>
      <w:r w:rsidRPr="00530906">
        <w:rPr>
          <w:rFonts w:ascii="Cambria" w:eastAsia="Calibri" w:hAnsi="Cambria" w:cs="Times New Roman"/>
          <w:sz w:val="24"/>
          <w:szCs w:val="24"/>
        </w:rPr>
        <w:t xml:space="preserve">Consumers’ characteristics- this theme incorporates the antecedents of consumers’ innate characteristics those are exclusive to them. </w:t>
      </w:r>
    </w:p>
    <w:p w14:paraId="6E5F2965" w14:textId="15E2E59A" w:rsidR="00C83E59" w:rsidRPr="00530906" w:rsidRDefault="00C83E59" w:rsidP="00C83E59">
      <w:pPr>
        <w:spacing w:line="360" w:lineRule="auto"/>
        <w:ind w:left="426" w:hanging="426"/>
        <w:jc w:val="both"/>
        <w:rPr>
          <w:rFonts w:ascii="Cambria" w:eastAsia="Calibri" w:hAnsi="Cambria" w:cs="Times New Roman"/>
          <w:sz w:val="24"/>
          <w:szCs w:val="24"/>
        </w:rPr>
      </w:pPr>
      <w:r w:rsidRPr="00530906">
        <w:rPr>
          <w:rFonts w:ascii="Cambria" w:eastAsia="Calibri" w:hAnsi="Cambria" w:cs="Times New Roman"/>
          <w:sz w:val="24"/>
          <w:szCs w:val="24"/>
        </w:rPr>
        <w:t xml:space="preserve">Sense of community- The antecedents under this theme represents, how society influence the sustainable </w:t>
      </w:r>
      <w:r w:rsidR="007104B1" w:rsidRPr="00530906">
        <w:rPr>
          <w:rFonts w:ascii="Cambria" w:eastAsia="Calibri" w:hAnsi="Cambria" w:cs="Times New Roman"/>
          <w:sz w:val="24"/>
          <w:szCs w:val="24"/>
        </w:rPr>
        <w:t>behaviour</w:t>
      </w:r>
      <w:r w:rsidRPr="00530906">
        <w:rPr>
          <w:rFonts w:ascii="Cambria" w:eastAsia="Calibri" w:hAnsi="Cambria" w:cs="Times New Roman"/>
          <w:sz w:val="24"/>
          <w:szCs w:val="24"/>
        </w:rPr>
        <w:t xml:space="preserve"> intention.</w:t>
      </w:r>
    </w:p>
    <w:p w14:paraId="53C3F037" w14:textId="77777777" w:rsidR="00C83E59" w:rsidRPr="00530906" w:rsidRDefault="00C83E59" w:rsidP="00C83E59">
      <w:pPr>
        <w:spacing w:line="360" w:lineRule="auto"/>
        <w:ind w:left="426" w:hanging="426"/>
        <w:jc w:val="both"/>
        <w:rPr>
          <w:rFonts w:ascii="Cambria" w:eastAsia="Calibri" w:hAnsi="Cambria" w:cs="Times New Roman"/>
          <w:sz w:val="24"/>
          <w:szCs w:val="24"/>
        </w:rPr>
      </w:pPr>
      <w:r w:rsidRPr="00530906">
        <w:rPr>
          <w:rFonts w:ascii="Cambria" w:eastAsia="Calibri" w:hAnsi="Cambria" w:cs="Times New Roman"/>
          <w:sz w:val="24"/>
          <w:szCs w:val="24"/>
        </w:rPr>
        <w:t xml:space="preserve">Attitude/ mindset- Antecedents related to customers’ perception of the sustainable product, belief on the brand or belief on their own ability are listed under this theme. </w:t>
      </w:r>
    </w:p>
    <w:p w14:paraId="1EE356CF" w14:textId="77777777" w:rsidR="00C83E59" w:rsidRPr="00530906" w:rsidRDefault="00C83E59" w:rsidP="00C83E59">
      <w:pPr>
        <w:spacing w:line="360" w:lineRule="auto"/>
        <w:ind w:left="567" w:hanging="567"/>
        <w:jc w:val="both"/>
        <w:rPr>
          <w:rFonts w:ascii="Cambria" w:eastAsia="Calibri" w:hAnsi="Cambria" w:cs="Times New Roman"/>
          <w:sz w:val="24"/>
          <w:szCs w:val="24"/>
        </w:rPr>
      </w:pPr>
      <w:r w:rsidRPr="00530906">
        <w:rPr>
          <w:rFonts w:ascii="Cambria" w:eastAsia="Calibri" w:hAnsi="Cambria" w:cs="Times New Roman"/>
          <w:sz w:val="24"/>
          <w:szCs w:val="24"/>
        </w:rPr>
        <w:t>Emotional reaction- Internal feelings of the customer, which elicit intention to adopt sustainable behaviour have been included here. Antecedents like guilt, pride are included under this theme</w:t>
      </w:r>
    </w:p>
    <w:p w14:paraId="1285FB19" w14:textId="59100E80" w:rsidR="00C83E59" w:rsidRPr="00530906" w:rsidRDefault="00C83E59" w:rsidP="00C83E59">
      <w:pPr>
        <w:spacing w:line="360" w:lineRule="auto"/>
        <w:ind w:left="567" w:hanging="567"/>
        <w:jc w:val="both"/>
        <w:rPr>
          <w:rFonts w:ascii="Cambria" w:eastAsia="Calibri" w:hAnsi="Cambria" w:cs="Times New Roman"/>
          <w:sz w:val="24"/>
          <w:szCs w:val="24"/>
        </w:rPr>
      </w:pPr>
      <w:r w:rsidRPr="00530906">
        <w:rPr>
          <w:rFonts w:ascii="Cambria" w:eastAsia="Calibri" w:hAnsi="Cambria" w:cs="Times New Roman"/>
          <w:sz w:val="24"/>
          <w:szCs w:val="24"/>
        </w:rPr>
        <w:t>Personal relevancy/ involvement: antecedents those denotes personal relevance associated with that products’</w:t>
      </w:r>
      <w:r w:rsidR="00F879A4" w:rsidRPr="00530906">
        <w:rPr>
          <w:rFonts w:ascii="Cambria" w:eastAsia="Calibri" w:hAnsi="Cambria" w:cs="Times New Roman"/>
          <w:sz w:val="24"/>
          <w:szCs w:val="24"/>
        </w:rPr>
        <w:t xml:space="preserve"> </w:t>
      </w:r>
      <w:r w:rsidRPr="00530906">
        <w:rPr>
          <w:rFonts w:ascii="Cambria" w:eastAsia="Calibri" w:hAnsi="Cambria" w:cs="Times New Roman"/>
          <w:sz w:val="24"/>
          <w:szCs w:val="24"/>
        </w:rPr>
        <w:t>attributes, the attributes of the product (price, quality, dimension etc), and value (cost of acquiring and benefit derived) are grouped in this theme</w:t>
      </w:r>
    </w:p>
    <w:p w14:paraId="38FEB4E4" w14:textId="0C2E28A6" w:rsidR="00C83E59" w:rsidRPr="00530906" w:rsidRDefault="00C83E59" w:rsidP="00C83E59">
      <w:pPr>
        <w:spacing w:line="360" w:lineRule="auto"/>
        <w:ind w:left="567" w:hanging="567"/>
        <w:jc w:val="both"/>
        <w:rPr>
          <w:rFonts w:ascii="Cambria" w:eastAsia="Calibri" w:hAnsi="Cambria" w:cs="Times New Roman"/>
          <w:sz w:val="24"/>
          <w:szCs w:val="24"/>
        </w:rPr>
      </w:pPr>
      <w:r w:rsidRPr="00530906">
        <w:rPr>
          <w:rFonts w:ascii="Cambria" w:eastAsia="Calibri" w:hAnsi="Cambria" w:cs="Times New Roman"/>
          <w:sz w:val="24"/>
          <w:szCs w:val="24"/>
        </w:rPr>
        <w:t xml:space="preserve">Intention: the intention or the motivation to purchase of </w:t>
      </w:r>
      <w:r w:rsidR="00F879A4" w:rsidRPr="00530906">
        <w:rPr>
          <w:rFonts w:ascii="Cambria" w:eastAsia="Calibri" w:hAnsi="Cambria" w:cs="Times New Roman"/>
          <w:sz w:val="24"/>
          <w:szCs w:val="24"/>
        </w:rPr>
        <w:t xml:space="preserve">the </w:t>
      </w:r>
      <w:r w:rsidRPr="00530906">
        <w:rPr>
          <w:rFonts w:ascii="Cambria" w:eastAsia="Calibri" w:hAnsi="Cambria" w:cs="Times New Roman"/>
          <w:sz w:val="24"/>
          <w:szCs w:val="24"/>
        </w:rPr>
        <w:t>product or to adopt sustainable behaviour has been themed separately as a consequential theme inspired by other antecedents. In this thesis, intention to adopt sustainable behaviour has been taken as the dependent variable.</w:t>
      </w:r>
    </w:p>
    <w:p w14:paraId="281B6FE0" w14:textId="1C9D25FD" w:rsidR="000A6810" w:rsidRPr="00530906" w:rsidRDefault="000A6810" w:rsidP="008756B1">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br w:type="page"/>
      </w:r>
    </w:p>
    <w:p w14:paraId="50FA37D8" w14:textId="77777777" w:rsidR="00695F03" w:rsidRPr="00530906" w:rsidRDefault="00695F03" w:rsidP="00BB3BC1">
      <w:pPr>
        <w:spacing w:after="0" w:line="240" w:lineRule="auto"/>
        <w:jc w:val="both"/>
        <w:rPr>
          <w:rFonts w:ascii="Calibri" w:eastAsia="Times New Roman" w:hAnsi="Calibri" w:cs="Calibri"/>
          <w:b/>
          <w:bCs/>
          <w:color w:val="FF0000"/>
          <w:sz w:val="24"/>
          <w:szCs w:val="24"/>
          <w:lang w:eastAsia="en-GB"/>
        </w:rPr>
        <w:sectPr w:rsidR="00695F03" w:rsidRPr="00530906" w:rsidSect="00695F03">
          <w:footerReference w:type="default" r:id="rId20"/>
          <w:pgSz w:w="11906" w:h="16838"/>
          <w:pgMar w:top="1440" w:right="1440" w:bottom="1440" w:left="1440" w:header="709" w:footer="709" w:gutter="0"/>
          <w:cols w:space="708"/>
          <w:docGrid w:linePitch="360"/>
        </w:sectPr>
      </w:pPr>
    </w:p>
    <w:p w14:paraId="6D0943B2" w14:textId="77C849C8" w:rsidR="00CB3154" w:rsidRPr="00530906" w:rsidRDefault="00CB3154">
      <w:r w:rsidRPr="00530906">
        <w:lastRenderedPageBreak/>
        <w:t xml:space="preserve">Table </w:t>
      </w:r>
      <w:r w:rsidR="00165DAC">
        <w:t>2</w:t>
      </w:r>
      <w:r w:rsidRPr="00530906">
        <w:t>: The antecedents of sustainable behaviour intention</w:t>
      </w:r>
    </w:p>
    <w:tbl>
      <w:tblPr>
        <w:tblW w:w="13792" w:type="dxa"/>
        <w:tblLayout w:type="fixed"/>
        <w:tblLook w:val="04A0" w:firstRow="1" w:lastRow="0" w:firstColumn="1" w:lastColumn="0" w:noHBand="0" w:noVBand="1"/>
      </w:tblPr>
      <w:tblGrid>
        <w:gridCol w:w="2542"/>
        <w:gridCol w:w="709"/>
        <w:gridCol w:w="567"/>
        <w:gridCol w:w="425"/>
        <w:gridCol w:w="709"/>
        <w:gridCol w:w="425"/>
        <w:gridCol w:w="709"/>
        <w:gridCol w:w="1417"/>
        <w:gridCol w:w="425"/>
        <w:gridCol w:w="993"/>
        <w:gridCol w:w="425"/>
        <w:gridCol w:w="1276"/>
        <w:gridCol w:w="992"/>
        <w:gridCol w:w="426"/>
        <w:gridCol w:w="566"/>
        <w:gridCol w:w="1134"/>
        <w:gridCol w:w="52"/>
      </w:tblGrid>
      <w:tr w:rsidR="00695F03" w:rsidRPr="00530906" w14:paraId="36F561C7" w14:textId="77777777" w:rsidTr="008756B1">
        <w:trPr>
          <w:gridAfter w:val="1"/>
          <w:wAfter w:w="52" w:type="dxa"/>
          <w:cantSplit/>
          <w:trHeight w:val="983"/>
        </w:trPr>
        <w:tc>
          <w:tcPr>
            <w:tcW w:w="2542" w:type="dxa"/>
            <w:tcBorders>
              <w:top w:val="single" w:sz="4" w:space="0" w:color="auto"/>
              <w:left w:val="single" w:sz="8" w:space="0" w:color="auto"/>
              <w:bottom w:val="single" w:sz="4" w:space="0" w:color="auto"/>
              <w:right w:val="double" w:sz="4" w:space="0" w:color="auto"/>
            </w:tcBorders>
            <w:shd w:val="clear" w:color="auto" w:fill="A8D08D" w:themeFill="accent6" w:themeFillTint="99"/>
            <w:noWrap/>
          </w:tcPr>
          <w:p w14:paraId="51F83F12" w14:textId="32BBE33C" w:rsidR="004C77EF" w:rsidRPr="00530906" w:rsidRDefault="004C77EF">
            <w:pPr>
              <w:spacing w:after="0" w:line="240" w:lineRule="auto"/>
              <w:jc w:val="both"/>
              <w:rPr>
                <w:rFonts w:ascii="Calibri" w:eastAsia="Times New Roman" w:hAnsi="Calibri" w:cs="Calibri"/>
                <w:b/>
                <w:bCs/>
                <w:color w:val="FF0000"/>
                <w:sz w:val="24"/>
                <w:szCs w:val="24"/>
                <w:lang w:eastAsia="en-GB"/>
              </w:rPr>
            </w:pPr>
          </w:p>
        </w:tc>
        <w:tc>
          <w:tcPr>
            <w:tcW w:w="3544" w:type="dxa"/>
            <w:gridSpan w:val="6"/>
            <w:tcBorders>
              <w:top w:val="single" w:sz="4" w:space="0" w:color="auto"/>
              <w:left w:val="double" w:sz="4" w:space="0" w:color="auto"/>
              <w:bottom w:val="single" w:sz="4" w:space="0" w:color="auto"/>
              <w:right w:val="double" w:sz="4" w:space="0" w:color="auto"/>
            </w:tcBorders>
            <w:shd w:val="clear" w:color="auto" w:fill="A8D08D" w:themeFill="accent6" w:themeFillTint="99"/>
            <w:noWrap/>
          </w:tcPr>
          <w:p w14:paraId="030DFF83" w14:textId="5B2A80A6" w:rsidR="004C77EF" w:rsidRPr="00530906" w:rsidRDefault="00735489">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w:t>
            </w:r>
            <w:r w:rsidR="004C77EF" w:rsidRPr="00530906">
              <w:rPr>
                <w:rFonts w:ascii="Calibri" w:eastAsia="Times New Roman" w:hAnsi="Calibri" w:cs="Calibri"/>
                <w:color w:val="000000"/>
                <w:sz w:val="24"/>
                <w:szCs w:val="24"/>
                <w:lang w:eastAsia="en-GB"/>
              </w:rPr>
              <w:t>onsumers' characteristics</w:t>
            </w:r>
          </w:p>
        </w:tc>
        <w:tc>
          <w:tcPr>
            <w:tcW w:w="1417" w:type="dxa"/>
            <w:tcBorders>
              <w:top w:val="single" w:sz="4" w:space="0" w:color="auto"/>
              <w:left w:val="double" w:sz="4" w:space="0" w:color="auto"/>
              <w:bottom w:val="single" w:sz="4" w:space="0" w:color="auto"/>
              <w:right w:val="double" w:sz="4" w:space="0" w:color="auto"/>
            </w:tcBorders>
            <w:shd w:val="clear" w:color="auto" w:fill="A8D08D" w:themeFill="accent6" w:themeFillTint="99"/>
            <w:noWrap/>
          </w:tcPr>
          <w:p w14:paraId="4B0FEA5A" w14:textId="075282D5" w:rsidR="004C77EF" w:rsidRPr="00530906" w:rsidRDefault="00735489">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w:t>
            </w:r>
            <w:r w:rsidR="004C77EF" w:rsidRPr="00530906">
              <w:rPr>
                <w:rFonts w:ascii="Calibri" w:eastAsia="Times New Roman" w:hAnsi="Calibri" w:cs="Calibri"/>
                <w:color w:val="000000"/>
                <w:sz w:val="24"/>
                <w:szCs w:val="24"/>
                <w:lang w:eastAsia="en-GB"/>
              </w:rPr>
              <w:t>ense of community</w:t>
            </w:r>
          </w:p>
        </w:tc>
        <w:tc>
          <w:tcPr>
            <w:tcW w:w="1843" w:type="dxa"/>
            <w:gridSpan w:val="3"/>
            <w:tcBorders>
              <w:top w:val="single" w:sz="4" w:space="0" w:color="auto"/>
              <w:left w:val="double" w:sz="4" w:space="0" w:color="auto"/>
              <w:bottom w:val="single" w:sz="4" w:space="0" w:color="auto"/>
              <w:right w:val="double" w:sz="4" w:space="0" w:color="auto"/>
            </w:tcBorders>
            <w:shd w:val="clear" w:color="auto" w:fill="A8D08D" w:themeFill="accent6" w:themeFillTint="99"/>
            <w:noWrap/>
          </w:tcPr>
          <w:p w14:paraId="31327F20" w14:textId="0E891402" w:rsidR="004C77EF" w:rsidRPr="00530906" w:rsidRDefault="004C77EF">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Attitude/ mindset</w:t>
            </w:r>
          </w:p>
        </w:tc>
        <w:tc>
          <w:tcPr>
            <w:tcW w:w="1276" w:type="dxa"/>
            <w:tcBorders>
              <w:top w:val="single" w:sz="4" w:space="0" w:color="auto"/>
              <w:left w:val="double" w:sz="4" w:space="0" w:color="auto"/>
              <w:bottom w:val="single" w:sz="4" w:space="0" w:color="auto"/>
              <w:right w:val="double" w:sz="4" w:space="0" w:color="auto"/>
            </w:tcBorders>
            <w:shd w:val="clear" w:color="auto" w:fill="A8D08D" w:themeFill="accent6" w:themeFillTint="99"/>
            <w:noWrap/>
          </w:tcPr>
          <w:p w14:paraId="7943B37B" w14:textId="405A0996" w:rsidR="004C77EF" w:rsidRPr="00530906" w:rsidRDefault="00735489">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E</w:t>
            </w:r>
            <w:r w:rsidR="004C77EF" w:rsidRPr="00530906">
              <w:rPr>
                <w:rFonts w:ascii="Calibri" w:eastAsia="Times New Roman" w:hAnsi="Calibri" w:cs="Calibri"/>
                <w:color w:val="000000"/>
                <w:sz w:val="24"/>
                <w:szCs w:val="24"/>
                <w:lang w:eastAsia="en-GB"/>
              </w:rPr>
              <w:t>motional reaction</w:t>
            </w:r>
          </w:p>
        </w:tc>
        <w:tc>
          <w:tcPr>
            <w:tcW w:w="1984" w:type="dxa"/>
            <w:gridSpan w:val="3"/>
            <w:tcBorders>
              <w:top w:val="single" w:sz="4" w:space="0" w:color="auto"/>
              <w:left w:val="double" w:sz="4" w:space="0" w:color="auto"/>
              <w:bottom w:val="single" w:sz="4" w:space="0" w:color="auto"/>
              <w:right w:val="double" w:sz="4" w:space="0" w:color="auto"/>
            </w:tcBorders>
            <w:shd w:val="clear" w:color="auto" w:fill="A8D08D" w:themeFill="accent6" w:themeFillTint="99"/>
            <w:noWrap/>
          </w:tcPr>
          <w:p w14:paraId="5BC024E4" w14:textId="6B3BC95E" w:rsidR="004C77EF" w:rsidRPr="00530906" w:rsidRDefault="00735489">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w:t>
            </w:r>
            <w:r w:rsidR="004C77EF" w:rsidRPr="00530906">
              <w:rPr>
                <w:rFonts w:ascii="Calibri" w:eastAsia="Times New Roman" w:hAnsi="Calibri" w:cs="Calibri"/>
                <w:color w:val="000000"/>
                <w:sz w:val="24"/>
                <w:szCs w:val="24"/>
                <w:lang w:eastAsia="en-GB"/>
              </w:rPr>
              <w:t xml:space="preserve">ersonal </w:t>
            </w:r>
            <w:r w:rsidR="00D703C2" w:rsidRPr="00530906">
              <w:rPr>
                <w:rFonts w:ascii="Calibri" w:eastAsia="Times New Roman" w:hAnsi="Calibri" w:cs="Calibri"/>
                <w:color w:val="000000"/>
                <w:sz w:val="24"/>
                <w:szCs w:val="24"/>
                <w:lang w:eastAsia="en-GB"/>
              </w:rPr>
              <w:t>relevancy</w:t>
            </w:r>
            <w:r w:rsidR="004C77EF" w:rsidRPr="00530906">
              <w:rPr>
                <w:rFonts w:ascii="Calibri" w:eastAsia="Times New Roman" w:hAnsi="Calibri" w:cs="Calibri"/>
                <w:color w:val="000000"/>
                <w:sz w:val="24"/>
                <w:szCs w:val="24"/>
                <w:lang w:eastAsia="en-GB"/>
              </w:rPr>
              <w:t xml:space="preserve">/ </w:t>
            </w:r>
            <w:r w:rsidR="00BD5A0B" w:rsidRPr="00530906">
              <w:rPr>
                <w:rFonts w:ascii="Calibri" w:eastAsia="Times New Roman" w:hAnsi="Calibri" w:cs="Calibri"/>
                <w:color w:val="000000"/>
                <w:sz w:val="24"/>
                <w:szCs w:val="24"/>
                <w:lang w:eastAsia="en-GB"/>
              </w:rPr>
              <w:t>involvement</w:t>
            </w:r>
          </w:p>
        </w:tc>
        <w:tc>
          <w:tcPr>
            <w:tcW w:w="1134" w:type="dxa"/>
            <w:tcBorders>
              <w:top w:val="single" w:sz="4" w:space="0" w:color="auto"/>
              <w:left w:val="double" w:sz="4" w:space="0" w:color="auto"/>
              <w:bottom w:val="single" w:sz="4" w:space="0" w:color="auto"/>
              <w:right w:val="single" w:sz="8" w:space="0" w:color="auto"/>
            </w:tcBorders>
            <w:shd w:val="clear" w:color="auto" w:fill="A8D08D" w:themeFill="accent6" w:themeFillTint="99"/>
            <w:noWrap/>
          </w:tcPr>
          <w:p w14:paraId="75541D4F" w14:textId="4EDD2815" w:rsidR="004C77EF" w:rsidRPr="00530906" w:rsidRDefault="004C77EF">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Intention</w:t>
            </w:r>
          </w:p>
        </w:tc>
      </w:tr>
      <w:tr w:rsidR="004118DF" w:rsidRPr="00530906" w14:paraId="2AAA1C29" w14:textId="77777777" w:rsidTr="008756B1">
        <w:trPr>
          <w:gridAfter w:val="1"/>
          <w:wAfter w:w="52" w:type="dxa"/>
          <w:trHeight w:val="2055"/>
        </w:trPr>
        <w:tc>
          <w:tcPr>
            <w:tcW w:w="2542" w:type="dxa"/>
            <w:tcBorders>
              <w:top w:val="nil"/>
              <w:left w:val="single" w:sz="8" w:space="0" w:color="auto"/>
              <w:bottom w:val="single" w:sz="4" w:space="0" w:color="auto"/>
              <w:right w:val="double" w:sz="4" w:space="0" w:color="auto"/>
            </w:tcBorders>
            <w:shd w:val="clear" w:color="auto" w:fill="E2EFD9" w:themeFill="accent6" w:themeFillTint="33"/>
            <w:noWrap/>
            <w:hideMark/>
          </w:tcPr>
          <w:p w14:paraId="7C235266" w14:textId="4CD0A245" w:rsidR="002E5B75" w:rsidRPr="00530906" w:rsidRDefault="00735489" w:rsidP="008756B1">
            <w:pPr>
              <w:spacing w:after="0" w:line="240" w:lineRule="auto"/>
              <w:jc w:val="both"/>
              <w:rPr>
                <w:rFonts w:ascii="Calibri" w:eastAsia="Times New Roman" w:hAnsi="Calibri" w:cs="Calibri"/>
                <w:b/>
                <w:bCs/>
                <w:color w:val="FF0000"/>
                <w:sz w:val="24"/>
                <w:szCs w:val="24"/>
                <w:lang w:eastAsia="en-GB"/>
              </w:rPr>
            </w:pPr>
            <w:r w:rsidRPr="00530906">
              <w:rPr>
                <w:rFonts w:ascii="Calibri" w:eastAsia="Times New Roman" w:hAnsi="Calibri" w:cs="Calibri"/>
                <w:b/>
                <w:bCs/>
                <w:sz w:val="24"/>
                <w:szCs w:val="24"/>
                <w:lang w:eastAsia="en-GB"/>
              </w:rPr>
              <w:t>Consumers’ perspective</w:t>
            </w:r>
          </w:p>
        </w:tc>
        <w:tc>
          <w:tcPr>
            <w:tcW w:w="709" w:type="dxa"/>
            <w:tcBorders>
              <w:top w:val="nil"/>
              <w:left w:val="double" w:sz="4" w:space="0" w:color="auto"/>
              <w:bottom w:val="single" w:sz="4" w:space="0" w:color="auto"/>
              <w:right w:val="single" w:sz="4" w:space="0" w:color="auto"/>
            </w:tcBorders>
            <w:shd w:val="clear" w:color="auto" w:fill="E2EFD9" w:themeFill="accent6" w:themeFillTint="33"/>
            <w:noWrap/>
            <w:textDirection w:val="btLr"/>
            <w:hideMark/>
          </w:tcPr>
          <w:p w14:paraId="721D05C4" w14:textId="51BA0423" w:rsidR="002E5B75" w:rsidRPr="00530906" w:rsidRDefault="007E1837"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So</w:t>
            </w:r>
            <w:r w:rsidR="002E5B75" w:rsidRPr="00530906">
              <w:rPr>
                <w:rFonts w:ascii="Calibri" w:eastAsia="Times New Roman" w:hAnsi="Calibri" w:cs="Calibri"/>
                <w:color w:val="000000"/>
                <w:sz w:val="24"/>
                <w:szCs w:val="24"/>
                <w:lang w:eastAsia="en-GB"/>
              </w:rPr>
              <w:t>cio demographic variable</w:t>
            </w:r>
          </w:p>
        </w:tc>
        <w:tc>
          <w:tcPr>
            <w:tcW w:w="567" w:type="dxa"/>
            <w:tcBorders>
              <w:top w:val="nil"/>
              <w:left w:val="nil"/>
              <w:bottom w:val="single" w:sz="4" w:space="0" w:color="auto"/>
              <w:right w:val="single" w:sz="4" w:space="0" w:color="auto"/>
            </w:tcBorders>
            <w:shd w:val="clear" w:color="auto" w:fill="E2EFD9" w:themeFill="accent6" w:themeFillTint="33"/>
            <w:noWrap/>
            <w:textDirection w:val="btLr"/>
            <w:hideMark/>
          </w:tcPr>
          <w:p w14:paraId="5E733400" w14:textId="77777777" w:rsidR="002E5B75" w:rsidRPr="00530906" w:rsidRDefault="002E5B75"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Contextual factor</w:t>
            </w:r>
          </w:p>
        </w:tc>
        <w:tc>
          <w:tcPr>
            <w:tcW w:w="425" w:type="dxa"/>
            <w:tcBorders>
              <w:top w:val="nil"/>
              <w:left w:val="nil"/>
              <w:bottom w:val="single" w:sz="4" w:space="0" w:color="auto"/>
              <w:right w:val="single" w:sz="4" w:space="0" w:color="auto"/>
            </w:tcBorders>
            <w:shd w:val="clear" w:color="auto" w:fill="E2EFD9" w:themeFill="accent6" w:themeFillTint="33"/>
            <w:noWrap/>
            <w:textDirection w:val="btLr"/>
            <w:hideMark/>
          </w:tcPr>
          <w:p w14:paraId="049ED153" w14:textId="0C40A9BA"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w:t>
            </w:r>
            <w:r w:rsidR="002E5B75" w:rsidRPr="00530906">
              <w:rPr>
                <w:rFonts w:ascii="Calibri" w:eastAsia="Times New Roman" w:hAnsi="Calibri" w:cs="Calibri"/>
                <w:color w:val="000000"/>
                <w:sz w:val="24"/>
                <w:szCs w:val="24"/>
                <w:lang w:eastAsia="en-GB"/>
              </w:rPr>
              <w:t xml:space="preserve">ersonal </w:t>
            </w:r>
            <w:r w:rsidR="00507F8C" w:rsidRPr="00530906">
              <w:rPr>
                <w:rFonts w:ascii="Calibri" w:eastAsia="Times New Roman" w:hAnsi="Calibri" w:cs="Calibri"/>
                <w:color w:val="000000"/>
                <w:sz w:val="24"/>
                <w:szCs w:val="24"/>
                <w:lang w:eastAsia="en-GB"/>
              </w:rPr>
              <w:t>capabilities</w:t>
            </w:r>
          </w:p>
        </w:tc>
        <w:tc>
          <w:tcPr>
            <w:tcW w:w="709" w:type="dxa"/>
            <w:tcBorders>
              <w:top w:val="nil"/>
              <w:left w:val="nil"/>
              <w:bottom w:val="single" w:sz="4" w:space="0" w:color="auto"/>
              <w:right w:val="single" w:sz="4" w:space="0" w:color="auto"/>
            </w:tcBorders>
            <w:shd w:val="clear" w:color="auto" w:fill="E2EFD9" w:themeFill="accent6" w:themeFillTint="33"/>
            <w:noWrap/>
            <w:textDirection w:val="btLr"/>
            <w:hideMark/>
          </w:tcPr>
          <w:p w14:paraId="5BD11127" w14:textId="7224AAA6"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w:t>
            </w:r>
            <w:r w:rsidR="002E5B75" w:rsidRPr="00530906">
              <w:rPr>
                <w:rFonts w:ascii="Calibri" w:eastAsia="Times New Roman" w:hAnsi="Calibri" w:cs="Calibri"/>
                <w:color w:val="000000"/>
                <w:sz w:val="24"/>
                <w:szCs w:val="24"/>
                <w:lang w:eastAsia="en-GB"/>
              </w:rPr>
              <w:t>ersonal characteristics</w:t>
            </w:r>
          </w:p>
        </w:tc>
        <w:tc>
          <w:tcPr>
            <w:tcW w:w="425" w:type="dxa"/>
            <w:tcBorders>
              <w:top w:val="nil"/>
              <w:left w:val="nil"/>
              <w:bottom w:val="single" w:sz="4" w:space="0" w:color="auto"/>
              <w:right w:val="single" w:sz="4" w:space="0" w:color="auto"/>
            </w:tcBorders>
            <w:shd w:val="clear" w:color="auto" w:fill="E2EFD9" w:themeFill="accent6" w:themeFillTint="33"/>
            <w:noWrap/>
            <w:textDirection w:val="btLr"/>
            <w:hideMark/>
          </w:tcPr>
          <w:p w14:paraId="7E8BE140" w14:textId="1AC205C1"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w:t>
            </w:r>
            <w:r w:rsidR="002E5B75" w:rsidRPr="00530906">
              <w:rPr>
                <w:rFonts w:ascii="Calibri" w:eastAsia="Times New Roman" w:hAnsi="Calibri" w:cs="Calibri"/>
                <w:color w:val="000000"/>
                <w:sz w:val="24"/>
                <w:szCs w:val="24"/>
                <w:lang w:eastAsia="en-GB"/>
              </w:rPr>
              <w:t>revious behaviour</w:t>
            </w:r>
          </w:p>
        </w:tc>
        <w:tc>
          <w:tcPr>
            <w:tcW w:w="709" w:type="dxa"/>
            <w:tcBorders>
              <w:top w:val="nil"/>
              <w:left w:val="nil"/>
              <w:bottom w:val="single" w:sz="4" w:space="0" w:color="auto"/>
              <w:right w:val="double" w:sz="4" w:space="0" w:color="auto"/>
            </w:tcBorders>
            <w:shd w:val="clear" w:color="auto" w:fill="E2EFD9" w:themeFill="accent6" w:themeFillTint="33"/>
            <w:noWrap/>
            <w:textDirection w:val="btLr"/>
            <w:hideMark/>
          </w:tcPr>
          <w:p w14:paraId="574D5D84" w14:textId="261ED1C6"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E</w:t>
            </w:r>
            <w:r w:rsidR="002E5B75" w:rsidRPr="00530906">
              <w:rPr>
                <w:rFonts w:ascii="Calibri" w:eastAsia="Times New Roman" w:hAnsi="Calibri" w:cs="Calibri"/>
                <w:color w:val="000000"/>
                <w:sz w:val="24"/>
                <w:szCs w:val="24"/>
                <w:lang w:eastAsia="en-GB"/>
              </w:rPr>
              <w:t>nvironmental knowledge</w:t>
            </w:r>
          </w:p>
        </w:tc>
        <w:tc>
          <w:tcPr>
            <w:tcW w:w="1417" w:type="dxa"/>
            <w:tcBorders>
              <w:top w:val="nil"/>
              <w:left w:val="double" w:sz="4" w:space="0" w:color="auto"/>
              <w:bottom w:val="single" w:sz="4" w:space="0" w:color="auto"/>
              <w:right w:val="double" w:sz="4" w:space="0" w:color="auto"/>
            </w:tcBorders>
            <w:shd w:val="clear" w:color="auto" w:fill="E2EFD9" w:themeFill="accent6" w:themeFillTint="33"/>
            <w:noWrap/>
            <w:textDirection w:val="btLr"/>
            <w:hideMark/>
          </w:tcPr>
          <w:p w14:paraId="4E09882A" w14:textId="63EB82FE"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N</w:t>
            </w:r>
            <w:r w:rsidR="002E5B75" w:rsidRPr="00530906">
              <w:rPr>
                <w:rFonts w:ascii="Calibri" w:eastAsia="Times New Roman" w:hAnsi="Calibri" w:cs="Calibri"/>
                <w:color w:val="000000"/>
                <w:sz w:val="24"/>
                <w:szCs w:val="24"/>
                <w:lang w:eastAsia="en-GB"/>
              </w:rPr>
              <w:t>orm</w:t>
            </w:r>
          </w:p>
        </w:tc>
        <w:tc>
          <w:tcPr>
            <w:tcW w:w="425" w:type="dxa"/>
            <w:tcBorders>
              <w:top w:val="nil"/>
              <w:left w:val="double" w:sz="4" w:space="0" w:color="auto"/>
              <w:bottom w:val="single" w:sz="4" w:space="0" w:color="auto"/>
              <w:right w:val="single" w:sz="4" w:space="0" w:color="auto"/>
            </w:tcBorders>
            <w:shd w:val="clear" w:color="auto" w:fill="E2EFD9" w:themeFill="accent6" w:themeFillTint="33"/>
            <w:noWrap/>
            <w:textDirection w:val="btLr"/>
            <w:hideMark/>
          </w:tcPr>
          <w:p w14:paraId="5EB98CB8" w14:textId="77777777" w:rsidR="002E5B75" w:rsidRPr="00530906" w:rsidRDefault="002E5B75"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Attitude</w:t>
            </w:r>
          </w:p>
        </w:tc>
        <w:tc>
          <w:tcPr>
            <w:tcW w:w="993" w:type="dxa"/>
            <w:tcBorders>
              <w:top w:val="nil"/>
              <w:left w:val="nil"/>
              <w:bottom w:val="single" w:sz="4" w:space="0" w:color="auto"/>
              <w:right w:val="single" w:sz="4" w:space="0" w:color="auto"/>
            </w:tcBorders>
            <w:shd w:val="clear" w:color="auto" w:fill="E2EFD9" w:themeFill="accent6" w:themeFillTint="33"/>
            <w:noWrap/>
            <w:textDirection w:val="btLr"/>
            <w:hideMark/>
          </w:tcPr>
          <w:p w14:paraId="0F586A67" w14:textId="5C549C86"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w:t>
            </w:r>
            <w:r w:rsidR="002E5B75" w:rsidRPr="00530906">
              <w:rPr>
                <w:rFonts w:ascii="Calibri" w:eastAsia="Times New Roman" w:hAnsi="Calibri" w:cs="Calibri"/>
                <w:color w:val="000000"/>
                <w:sz w:val="24"/>
                <w:szCs w:val="24"/>
                <w:lang w:eastAsia="en-GB"/>
              </w:rPr>
              <w:t>ehavioural control</w:t>
            </w:r>
            <w:r w:rsidR="00A93A64" w:rsidRPr="00530906">
              <w:rPr>
                <w:rFonts w:ascii="Calibri" w:eastAsia="Times New Roman" w:hAnsi="Calibri" w:cs="Calibri"/>
                <w:color w:val="000000"/>
                <w:sz w:val="24"/>
                <w:szCs w:val="24"/>
                <w:lang w:eastAsia="en-GB"/>
              </w:rPr>
              <w:t>/ brand</w:t>
            </w:r>
            <w:r w:rsidR="000A6810" w:rsidRPr="00530906">
              <w:rPr>
                <w:rFonts w:ascii="Calibri" w:eastAsia="Times New Roman" w:hAnsi="Calibri" w:cs="Calibri"/>
                <w:color w:val="000000"/>
                <w:sz w:val="24"/>
                <w:szCs w:val="24"/>
                <w:lang w:eastAsia="en-GB"/>
              </w:rPr>
              <w:t>’</w:t>
            </w:r>
            <w:r w:rsidR="00A93A64" w:rsidRPr="00530906">
              <w:rPr>
                <w:rFonts w:ascii="Calibri" w:eastAsia="Times New Roman" w:hAnsi="Calibri" w:cs="Calibri"/>
                <w:color w:val="000000"/>
                <w:sz w:val="24"/>
                <w:szCs w:val="24"/>
                <w:lang w:eastAsia="en-GB"/>
              </w:rPr>
              <w:t>s performance</w:t>
            </w:r>
          </w:p>
        </w:tc>
        <w:tc>
          <w:tcPr>
            <w:tcW w:w="425" w:type="dxa"/>
            <w:tcBorders>
              <w:top w:val="nil"/>
              <w:left w:val="nil"/>
              <w:bottom w:val="single" w:sz="4" w:space="0" w:color="auto"/>
              <w:right w:val="double" w:sz="4" w:space="0" w:color="auto"/>
            </w:tcBorders>
            <w:shd w:val="clear" w:color="auto" w:fill="E2EFD9" w:themeFill="accent6" w:themeFillTint="33"/>
            <w:noWrap/>
            <w:textDirection w:val="btLr"/>
            <w:hideMark/>
          </w:tcPr>
          <w:p w14:paraId="4DF6B90D" w14:textId="00557F8B" w:rsidR="002E5B75" w:rsidRPr="00530906" w:rsidRDefault="002E5B75"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Belief/ perception</w:t>
            </w:r>
          </w:p>
        </w:tc>
        <w:tc>
          <w:tcPr>
            <w:tcW w:w="1276" w:type="dxa"/>
            <w:tcBorders>
              <w:top w:val="nil"/>
              <w:left w:val="double" w:sz="4" w:space="0" w:color="auto"/>
              <w:bottom w:val="single" w:sz="4" w:space="0" w:color="auto"/>
              <w:right w:val="double" w:sz="4" w:space="0" w:color="auto"/>
            </w:tcBorders>
            <w:shd w:val="clear" w:color="auto" w:fill="E2EFD9" w:themeFill="accent6" w:themeFillTint="33"/>
            <w:noWrap/>
            <w:textDirection w:val="btLr"/>
            <w:hideMark/>
          </w:tcPr>
          <w:p w14:paraId="0D25F414" w14:textId="65A798EB" w:rsidR="002E5B75" w:rsidRPr="00530906" w:rsidRDefault="00507F8C"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Emotion</w:t>
            </w:r>
          </w:p>
        </w:tc>
        <w:tc>
          <w:tcPr>
            <w:tcW w:w="992" w:type="dxa"/>
            <w:tcBorders>
              <w:top w:val="nil"/>
              <w:left w:val="double" w:sz="4" w:space="0" w:color="auto"/>
              <w:bottom w:val="single" w:sz="4" w:space="0" w:color="auto"/>
              <w:right w:val="single" w:sz="4" w:space="0" w:color="auto"/>
            </w:tcBorders>
            <w:shd w:val="clear" w:color="auto" w:fill="E2EFD9" w:themeFill="accent6" w:themeFillTint="33"/>
            <w:noWrap/>
            <w:textDirection w:val="btLr"/>
            <w:hideMark/>
          </w:tcPr>
          <w:p w14:paraId="04115A44" w14:textId="3D4B5169" w:rsidR="002E5B75" w:rsidRPr="00530906" w:rsidRDefault="002E5B75"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Product information/ attribute</w:t>
            </w:r>
            <w:r w:rsidR="00507F8C" w:rsidRPr="00530906">
              <w:rPr>
                <w:rFonts w:ascii="Calibri" w:eastAsia="Times New Roman" w:hAnsi="Calibri" w:cs="Calibri"/>
                <w:color w:val="000000"/>
                <w:sz w:val="24"/>
                <w:szCs w:val="24"/>
                <w:lang w:eastAsia="en-GB"/>
              </w:rPr>
              <w:t>/ brand</w:t>
            </w:r>
          </w:p>
        </w:tc>
        <w:tc>
          <w:tcPr>
            <w:tcW w:w="426" w:type="dxa"/>
            <w:tcBorders>
              <w:top w:val="nil"/>
              <w:left w:val="nil"/>
              <w:bottom w:val="single" w:sz="4" w:space="0" w:color="auto"/>
              <w:right w:val="single" w:sz="4" w:space="0" w:color="auto"/>
            </w:tcBorders>
            <w:shd w:val="clear" w:color="auto" w:fill="E2EFD9" w:themeFill="accent6" w:themeFillTint="33"/>
            <w:noWrap/>
            <w:textDirection w:val="btLr"/>
            <w:hideMark/>
          </w:tcPr>
          <w:p w14:paraId="28C0A29E" w14:textId="366CAACE"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I</w:t>
            </w:r>
            <w:r w:rsidR="002E5B75" w:rsidRPr="00530906">
              <w:rPr>
                <w:rFonts w:ascii="Calibri" w:eastAsia="Times New Roman" w:hAnsi="Calibri" w:cs="Calibri"/>
                <w:color w:val="000000"/>
                <w:sz w:val="24"/>
                <w:szCs w:val="24"/>
                <w:lang w:eastAsia="en-GB"/>
              </w:rPr>
              <w:t>nvolvement</w:t>
            </w:r>
          </w:p>
        </w:tc>
        <w:tc>
          <w:tcPr>
            <w:tcW w:w="566" w:type="dxa"/>
            <w:tcBorders>
              <w:top w:val="nil"/>
              <w:left w:val="nil"/>
              <w:bottom w:val="single" w:sz="4" w:space="0" w:color="auto"/>
              <w:right w:val="double" w:sz="4" w:space="0" w:color="auto"/>
            </w:tcBorders>
            <w:shd w:val="clear" w:color="auto" w:fill="E2EFD9" w:themeFill="accent6" w:themeFillTint="33"/>
            <w:noWrap/>
            <w:textDirection w:val="btLr"/>
            <w:hideMark/>
          </w:tcPr>
          <w:p w14:paraId="012B5EEB" w14:textId="3EF315A3" w:rsidR="002E5B75" w:rsidRPr="00530906" w:rsidRDefault="0079273A"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V</w:t>
            </w:r>
            <w:r w:rsidR="002E5B75" w:rsidRPr="00530906">
              <w:rPr>
                <w:rFonts w:ascii="Calibri" w:eastAsia="Times New Roman" w:hAnsi="Calibri" w:cs="Calibri"/>
                <w:color w:val="000000"/>
                <w:sz w:val="24"/>
                <w:szCs w:val="24"/>
                <w:lang w:eastAsia="en-GB"/>
              </w:rPr>
              <w:t>alue</w:t>
            </w:r>
          </w:p>
        </w:tc>
        <w:tc>
          <w:tcPr>
            <w:tcW w:w="1134" w:type="dxa"/>
            <w:tcBorders>
              <w:top w:val="nil"/>
              <w:left w:val="double" w:sz="4" w:space="0" w:color="auto"/>
              <w:bottom w:val="single" w:sz="4" w:space="0" w:color="auto"/>
              <w:right w:val="single" w:sz="8" w:space="0" w:color="auto"/>
            </w:tcBorders>
            <w:shd w:val="clear" w:color="auto" w:fill="E2EFD9" w:themeFill="accent6" w:themeFillTint="33"/>
            <w:noWrap/>
            <w:textDirection w:val="btLr"/>
            <w:hideMark/>
          </w:tcPr>
          <w:p w14:paraId="77E516D7" w14:textId="77777777" w:rsidR="002E5B75" w:rsidRPr="00530906" w:rsidRDefault="002E5B75" w:rsidP="008756B1">
            <w:pPr>
              <w:spacing w:after="0" w:line="240" w:lineRule="auto"/>
              <w:jc w:val="center"/>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Intention</w:t>
            </w:r>
          </w:p>
        </w:tc>
      </w:tr>
      <w:tr w:rsidR="004118DF" w:rsidRPr="00530906" w14:paraId="558EACAF"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5B071F0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Black et al (1985)</w:t>
            </w:r>
          </w:p>
        </w:tc>
        <w:tc>
          <w:tcPr>
            <w:tcW w:w="709" w:type="dxa"/>
            <w:tcBorders>
              <w:top w:val="nil"/>
              <w:left w:val="double" w:sz="4" w:space="0" w:color="auto"/>
              <w:bottom w:val="single" w:sz="4" w:space="0" w:color="auto"/>
              <w:right w:val="single" w:sz="4" w:space="0" w:color="auto"/>
            </w:tcBorders>
            <w:shd w:val="clear" w:color="auto" w:fill="auto"/>
            <w:noWrap/>
            <w:hideMark/>
          </w:tcPr>
          <w:p w14:paraId="3B3ED4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745D5F8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D2711A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1EDC989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FD7CFA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545DC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42952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005B3C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4721384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07A08F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4B7B5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6B785B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5992828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4A6008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4F6E4D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5234AE9" w14:textId="77777777" w:rsidTr="00BD5A0B">
        <w:trPr>
          <w:gridAfter w:val="1"/>
          <w:wAfter w:w="52" w:type="dxa"/>
          <w:trHeight w:val="315"/>
        </w:trPr>
        <w:tc>
          <w:tcPr>
            <w:tcW w:w="2542" w:type="dxa"/>
            <w:tcBorders>
              <w:top w:val="nil"/>
              <w:left w:val="single" w:sz="8" w:space="0" w:color="auto"/>
              <w:bottom w:val="single" w:sz="4" w:space="0" w:color="auto"/>
              <w:right w:val="double" w:sz="4" w:space="0" w:color="auto"/>
            </w:tcBorders>
            <w:shd w:val="clear" w:color="auto" w:fill="auto"/>
            <w:noWrap/>
            <w:hideMark/>
          </w:tcPr>
          <w:p w14:paraId="5D83A1E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Stern (2000)</w:t>
            </w:r>
          </w:p>
        </w:tc>
        <w:tc>
          <w:tcPr>
            <w:tcW w:w="709" w:type="dxa"/>
            <w:tcBorders>
              <w:top w:val="nil"/>
              <w:left w:val="double" w:sz="4" w:space="0" w:color="auto"/>
              <w:bottom w:val="single" w:sz="4" w:space="0" w:color="auto"/>
              <w:right w:val="single" w:sz="4" w:space="0" w:color="auto"/>
            </w:tcBorders>
            <w:shd w:val="clear" w:color="auto" w:fill="auto"/>
            <w:noWrap/>
            <w:hideMark/>
          </w:tcPr>
          <w:p w14:paraId="1DE7A7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B0794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4CC93A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single" w:sz="4" w:space="0" w:color="auto"/>
            </w:tcBorders>
            <w:shd w:val="clear" w:color="auto" w:fill="auto"/>
            <w:noWrap/>
            <w:hideMark/>
          </w:tcPr>
          <w:p w14:paraId="5EDFD66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C3020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D498F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A1C7F1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72451E3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60A574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467C05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EFA10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A6A46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5A16C4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66F9BA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72B42CB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6D4462B8" w14:textId="77777777" w:rsidTr="00BD5A0B">
        <w:trPr>
          <w:gridAfter w:val="1"/>
          <w:wAfter w:w="52" w:type="dxa"/>
          <w:trHeight w:val="450"/>
        </w:trPr>
        <w:tc>
          <w:tcPr>
            <w:tcW w:w="2542" w:type="dxa"/>
            <w:tcBorders>
              <w:top w:val="nil"/>
              <w:left w:val="single" w:sz="8" w:space="0" w:color="auto"/>
              <w:bottom w:val="single" w:sz="4" w:space="0" w:color="auto"/>
              <w:right w:val="double" w:sz="4" w:space="0" w:color="auto"/>
            </w:tcBorders>
            <w:shd w:val="clear" w:color="auto" w:fill="auto"/>
            <w:noWrap/>
            <w:hideMark/>
          </w:tcPr>
          <w:p w14:paraId="35FD8092"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Heath and Gifford (2002)</w:t>
            </w:r>
          </w:p>
        </w:tc>
        <w:tc>
          <w:tcPr>
            <w:tcW w:w="709" w:type="dxa"/>
            <w:tcBorders>
              <w:top w:val="nil"/>
              <w:left w:val="double" w:sz="4" w:space="0" w:color="auto"/>
              <w:bottom w:val="single" w:sz="4" w:space="0" w:color="auto"/>
              <w:right w:val="single" w:sz="4" w:space="0" w:color="auto"/>
            </w:tcBorders>
            <w:shd w:val="clear" w:color="auto" w:fill="auto"/>
            <w:noWrap/>
            <w:hideMark/>
          </w:tcPr>
          <w:p w14:paraId="593A3628"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93C838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18FD56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5FB6D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999E7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0453C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B234E7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2486E2B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65B416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48D65A9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25E1CB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F8135E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AFCF3E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5266F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6E9F386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C19BE89" w14:textId="77777777" w:rsidTr="00A51FED">
        <w:trPr>
          <w:gridAfter w:val="1"/>
          <w:wAfter w:w="52" w:type="dxa"/>
          <w:trHeight w:val="213"/>
        </w:trPr>
        <w:tc>
          <w:tcPr>
            <w:tcW w:w="2542" w:type="dxa"/>
            <w:tcBorders>
              <w:top w:val="nil"/>
              <w:left w:val="single" w:sz="8" w:space="0" w:color="auto"/>
              <w:bottom w:val="single" w:sz="4" w:space="0" w:color="auto"/>
              <w:right w:val="double" w:sz="4" w:space="0" w:color="auto"/>
            </w:tcBorders>
            <w:shd w:val="clear" w:color="auto" w:fill="auto"/>
            <w:noWrap/>
            <w:hideMark/>
          </w:tcPr>
          <w:p w14:paraId="738C24C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Kilbourne et al (2002)</w:t>
            </w:r>
          </w:p>
        </w:tc>
        <w:tc>
          <w:tcPr>
            <w:tcW w:w="709" w:type="dxa"/>
            <w:tcBorders>
              <w:top w:val="nil"/>
              <w:left w:val="double" w:sz="4" w:space="0" w:color="auto"/>
              <w:bottom w:val="single" w:sz="4" w:space="0" w:color="auto"/>
              <w:right w:val="single" w:sz="4" w:space="0" w:color="auto"/>
            </w:tcBorders>
            <w:shd w:val="clear" w:color="auto" w:fill="auto"/>
            <w:noWrap/>
            <w:hideMark/>
          </w:tcPr>
          <w:p w14:paraId="626CC55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1DB274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4F7E504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BDB19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F5AF7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3FE830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986455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3F1F168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26B0703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9CED8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F599E1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C1286A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4DC4E52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596CD6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552948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B7C8CED"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62AF7B63"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Kilbourne (2004)</w:t>
            </w:r>
          </w:p>
        </w:tc>
        <w:tc>
          <w:tcPr>
            <w:tcW w:w="709" w:type="dxa"/>
            <w:tcBorders>
              <w:top w:val="nil"/>
              <w:left w:val="double" w:sz="4" w:space="0" w:color="auto"/>
              <w:bottom w:val="single" w:sz="4" w:space="0" w:color="auto"/>
              <w:right w:val="single" w:sz="4" w:space="0" w:color="auto"/>
            </w:tcBorders>
            <w:shd w:val="clear" w:color="auto" w:fill="auto"/>
            <w:noWrap/>
            <w:hideMark/>
          </w:tcPr>
          <w:p w14:paraId="011D7B3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630C457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68D2D7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7B95CDE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D0A3B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CAA589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E15F3C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B36A98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B11B63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189567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CC618C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6B22B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C3F25D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D9B3E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7B525E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1025E23"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643730C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Steenhaut and Kenhove (2006)</w:t>
            </w:r>
          </w:p>
        </w:tc>
        <w:tc>
          <w:tcPr>
            <w:tcW w:w="709" w:type="dxa"/>
            <w:tcBorders>
              <w:top w:val="nil"/>
              <w:left w:val="double" w:sz="4" w:space="0" w:color="auto"/>
              <w:bottom w:val="single" w:sz="4" w:space="0" w:color="auto"/>
              <w:right w:val="single" w:sz="4" w:space="0" w:color="auto"/>
            </w:tcBorders>
            <w:shd w:val="clear" w:color="auto" w:fill="auto"/>
            <w:noWrap/>
            <w:hideMark/>
          </w:tcPr>
          <w:p w14:paraId="3457CDA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778C3A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EF6A48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71388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36CF5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6171DD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FE095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5D331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320CACD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B5073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86CC25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0F680AE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575FE9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AB541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6ACDF6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14A67C74"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12E22CA6"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Hirsh and Dolderman (2007)</w:t>
            </w:r>
          </w:p>
        </w:tc>
        <w:tc>
          <w:tcPr>
            <w:tcW w:w="709" w:type="dxa"/>
            <w:tcBorders>
              <w:top w:val="nil"/>
              <w:left w:val="double" w:sz="4" w:space="0" w:color="auto"/>
              <w:bottom w:val="single" w:sz="4" w:space="0" w:color="auto"/>
              <w:right w:val="single" w:sz="4" w:space="0" w:color="auto"/>
            </w:tcBorders>
            <w:shd w:val="clear" w:color="auto" w:fill="auto"/>
            <w:noWrap/>
            <w:hideMark/>
          </w:tcPr>
          <w:p w14:paraId="09D79E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FDBA48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84283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ACB717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79CBAF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6251F3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92AB09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5C521C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56AE1E2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0C8450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E0C8BC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25B760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9CD07B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9AD273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32C6EE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0012876"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520135E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Chan et al (2008)</w:t>
            </w:r>
          </w:p>
        </w:tc>
        <w:tc>
          <w:tcPr>
            <w:tcW w:w="709" w:type="dxa"/>
            <w:tcBorders>
              <w:top w:val="nil"/>
              <w:left w:val="double" w:sz="4" w:space="0" w:color="auto"/>
              <w:bottom w:val="single" w:sz="4" w:space="0" w:color="auto"/>
              <w:right w:val="single" w:sz="4" w:space="0" w:color="auto"/>
            </w:tcBorders>
            <w:shd w:val="clear" w:color="auto" w:fill="auto"/>
            <w:noWrap/>
            <w:hideMark/>
          </w:tcPr>
          <w:p w14:paraId="137E79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5F5B0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D793A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ECB4FC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8BFCF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double" w:sz="4" w:space="0" w:color="auto"/>
            </w:tcBorders>
            <w:shd w:val="clear" w:color="auto" w:fill="auto"/>
            <w:noWrap/>
            <w:hideMark/>
          </w:tcPr>
          <w:p w14:paraId="319664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19279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B50A39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FA01DE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CA94A5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4596CB6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505B3F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6D5CF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3786BB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4DC880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2220694"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677A0C5C" w14:textId="72119CC4"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Vermeir and Verbeke (2008)</w:t>
            </w:r>
          </w:p>
        </w:tc>
        <w:tc>
          <w:tcPr>
            <w:tcW w:w="709" w:type="dxa"/>
            <w:tcBorders>
              <w:top w:val="nil"/>
              <w:left w:val="double" w:sz="4" w:space="0" w:color="auto"/>
              <w:bottom w:val="single" w:sz="4" w:space="0" w:color="auto"/>
              <w:right w:val="single" w:sz="4" w:space="0" w:color="auto"/>
            </w:tcBorders>
            <w:shd w:val="clear" w:color="auto" w:fill="auto"/>
            <w:noWrap/>
            <w:hideMark/>
          </w:tcPr>
          <w:p w14:paraId="503908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37184E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3A81CB6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2063FA1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367D30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BA730F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80E39B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34C8EE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1B64613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74F29D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A91108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A3369B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16AD8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AFC181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643436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EDEBF9A" w14:textId="77777777" w:rsidTr="00BD5A0B">
        <w:trPr>
          <w:gridAfter w:val="1"/>
          <w:wAfter w:w="52" w:type="dxa"/>
          <w:trHeight w:val="330"/>
        </w:trPr>
        <w:tc>
          <w:tcPr>
            <w:tcW w:w="2542" w:type="dxa"/>
            <w:tcBorders>
              <w:top w:val="nil"/>
              <w:left w:val="single" w:sz="8" w:space="0" w:color="auto"/>
              <w:bottom w:val="single" w:sz="4" w:space="0" w:color="auto"/>
              <w:right w:val="double" w:sz="4" w:space="0" w:color="auto"/>
            </w:tcBorders>
            <w:shd w:val="clear" w:color="auto" w:fill="auto"/>
            <w:noWrap/>
            <w:hideMark/>
          </w:tcPr>
          <w:p w14:paraId="2E63280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Jackson and Papathanasopoulou (2008)</w:t>
            </w:r>
          </w:p>
        </w:tc>
        <w:tc>
          <w:tcPr>
            <w:tcW w:w="709" w:type="dxa"/>
            <w:tcBorders>
              <w:top w:val="nil"/>
              <w:left w:val="double" w:sz="4" w:space="0" w:color="auto"/>
              <w:bottom w:val="single" w:sz="4" w:space="0" w:color="auto"/>
              <w:right w:val="single" w:sz="4" w:space="0" w:color="auto"/>
            </w:tcBorders>
            <w:shd w:val="clear" w:color="auto" w:fill="auto"/>
            <w:noWrap/>
            <w:hideMark/>
          </w:tcPr>
          <w:p w14:paraId="2D04046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E29345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DCAAA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30C29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49F1B6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double" w:sz="4" w:space="0" w:color="auto"/>
            </w:tcBorders>
            <w:shd w:val="clear" w:color="auto" w:fill="auto"/>
            <w:noWrap/>
            <w:hideMark/>
          </w:tcPr>
          <w:p w14:paraId="26EC586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409250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DDEC9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6E4F74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8F07A5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C93853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269C49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EA72D7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E87336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03CCB23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6370FF3" w14:textId="77777777" w:rsidTr="00A51FED">
        <w:trPr>
          <w:gridAfter w:val="1"/>
          <w:wAfter w:w="52" w:type="dxa"/>
          <w:trHeight w:val="122"/>
        </w:trPr>
        <w:tc>
          <w:tcPr>
            <w:tcW w:w="2542" w:type="dxa"/>
            <w:tcBorders>
              <w:top w:val="nil"/>
              <w:left w:val="single" w:sz="8" w:space="0" w:color="auto"/>
              <w:bottom w:val="single" w:sz="4" w:space="0" w:color="auto"/>
              <w:right w:val="double" w:sz="4" w:space="0" w:color="auto"/>
            </w:tcBorders>
            <w:shd w:val="clear" w:color="auto" w:fill="auto"/>
            <w:noWrap/>
            <w:hideMark/>
          </w:tcPr>
          <w:p w14:paraId="63CD63B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xml:space="preserve">Carrington et al (2010) </w:t>
            </w:r>
          </w:p>
        </w:tc>
        <w:tc>
          <w:tcPr>
            <w:tcW w:w="709" w:type="dxa"/>
            <w:tcBorders>
              <w:top w:val="nil"/>
              <w:left w:val="double" w:sz="4" w:space="0" w:color="auto"/>
              <w:bottom w:val="single" w:sz="4" w:space="0" w:color="auto"/>
              <w:right w:val="single" w:sz="4" w:space="0" w:color="auto"/>
            </w:tcBorders>
            <w:shd w:val="clear" w:color="auto" w:fill="auto"/>
            <w:noWrap/>
            <w:hideMark/>
          </w:tcPr>
          <w:p w14:paraId="59770CD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73478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42F19CF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A20CB0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7190C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710D9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C7301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30679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A7EBD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6B470D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FF0BE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1C4B2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1F577B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0FE870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F8E6E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14C2637B"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96BA19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lastRenderedPageBreak/>
              <w:t>Lusch et al (2010)</w:t>
            </w:r>
          </w:p>
        </w:tc>
        <w:tc>
          <w:tcPr>
            <w:tcW w:w="709" w:type="dxa"/>
            <w:tcBorders>
              <w:top w:val="nil"/>
              <w:left w:val="double" w:sz="4" w:space="0" w:color="auto"/>
              <w:bottom w:val="single" w:sz="4" w:space="0" w:color="auto"/>
              <w:right w:val="single" w:sz="4" w:space="0" w:color="auto"/>
            </w:tcBorders>
            <w:shd w:val="clear" w:color="auto" w:fill="auto"/>
            <w:noWrap/>
            <w:hideMark/>
          </w:tcPr>
          <w:p w14:paraId="3123D0B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609C2E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F8634D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AA6D7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D99D1E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116951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A6244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6F3AEA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D80D65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2AAFFD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75251B3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B9102F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752B98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247F4C6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42A37B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15B35C35"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006F3496"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Lee et al (2010)</w:t>
            </w:r>
          </w:p>
        </w:tc>
        <w:tc>
          <w:tcPr>
            <w:tcW w:w="709" w:type="dxa"/>
            <w:tcBorders>
              <w:top w:val="nil"/>
              <w:left w:val="double" w:sz="4" w:space="0" w:color="auto"/>
              <w:bottom w:val="single" w:sz="4" w:space="0" w:color="auto"/>
              <w:right w:val="single" w:sz="4" w:space="0" w:color="auto"/>
            </w:tcBorders>
            <w:shd w:val="clear" w:color="auto" w:fill="auto"/>
            <w:noWrap/>
            <w:hideMark/>
          </w:tcPr>
          <w:p w14:paraId="45411C3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6DE4F7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3E6771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B730D8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7DA2CD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7F7DEB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1B27264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47F48D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0BDC66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14AE14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50B1B7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4CD5333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2A19E40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E4D925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40F5185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9DC5F5E"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1CE5233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Bondy and Talwar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1D85A7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2B7DE9B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187B09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32200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A7A54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1F600A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58419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57DCCA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4C41D16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40B890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995A4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1CDDF1E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09950AF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5D1C75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4BD873B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51EB946"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264366DA"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Koller et al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02CD7A8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1FE29C3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39061B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500C7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9F156A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A97365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60D6FD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0C89689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0E7D89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10FB80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5313D2E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3A8F23D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205EC3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E78274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1287F71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030CDE1"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06B66157"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Urien and Kilbourne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1DC0EED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D979CB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C635CC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AEA87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260BB7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405B27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99CED2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4441D9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D481DF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42B219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58DA5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61411C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AFB8C3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F3EC9F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76D5B94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7E5753FD"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6B56ED81"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Soyez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00E2539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5AEAFE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99E68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D2E88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D453D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451E14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43D1F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1800FEA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793653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3429ED6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78687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F0A157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0E664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1B3F08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1F1EDED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7092836A"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73DFD1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Tucker et al (2012)</w:t>
            </w:r>
          </w:p>
        </w:tc>
        <w:tc>
          <w:tcPr>
            <w:tcW w:w="709" w:type="dxa"/>
            <w:tcBorders>
              <w:top w:val="nil"/>
              <w:left w:val="double" w:sz="4" w:space="0" w:color="auto"/>
              <w:bottom w:val="single" w:sz="4" w:space="0" w:color="auto"/>
              <w:right w:val="single" w:sz="4" w:space="0" w:color="auto"/>
            </w:tcBorders>
            <w:shd w:val="clear" w:color="auto" w:fill="auto"/>
            <w:noWrap/>
            <w:hideMark/>
          </w:tcPr>
          <w:p w14:paraId="2023D9B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1A64F4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E1472E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188BCB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5BDA10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double" w:sz="4" w:space="0" w:color="auto"/>
            </w:tcBorders>
            <w:shd w:val="clear" w:color="auto" w:fill="auto"/>
            <w:noWrap/>
            <w:hideMark/>
          </w:tcPr>
          <w:p w14:paraId="66D7B2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BDC70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52CA13C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2D6651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4960C7C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20DC4A3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3E174F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F5204E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6" w:type="dxa"/>
            <w:tcBorders>
              <w:top w:val="nil"/>
              <w:left w:val="nil"/>
              <w:bottom w:val="single" w:sz="4" w:space="0" w:color="auto"/>
              <w:right w:val="double" w:sz="4" w:space="0" w:color="auto"/>
            </w:tcBorders>
            <w:shd w:val="clear" w:color="auto" w:fill="auto"/>
            <w:noWrap/>
            <w:hideMark/>
          </w:tcPr>
          <w:p w14:paraId="28938B4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3F530FD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5C6EE91" w14:textId="77777777" w:rsidTr="00A51FED">
        <w:trPr>
          <w:gridAfter w:val="1"/>
          <w:wAfter w:w="52" w:type="dxa"/>
          <w:trHeight w:val="153"/>
        </w:trPr>
        <w:tc>
          <w:tcPr>
            <w:tcW w:w="2542" w:type="dxa"/>
            <w:tcBorders>
              <w:top w:val="nil"/>
              <w:left w:val="single" w:sz="8" w:space="0" w:color="auto"/>
              <w:bottom w:val="single" w:sz="4" w:space="0" w:color="auto"/>
              <w:right w:val="double" w:sz="4" w:space="0" w:color="auto"/>
            </w:tcBorders>
            <w:shd w:val="clear" w:color="auto" w:fill="auto"/>
            <w:noWrap/>
            <w:hideMark/>
          </w:tcPr>
          <w:p w14:paraId="3FC86614"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Thøgersen et al (2012)</w:t>
            </w:r>
          </w:p>
        </w:tc>
        <w:tc>
          <w:tcPr>
            <w:tcW w:w="709" w:type="dxa"/>
            <w:tcBorders>
              <w:top w:val="nil"/>
              <w:left w:val="double" w:sz="4" w:space="0" w:color="auto"/>
              <w:bottom w:val="single" w:sz="4" w:space="0" w:color="auto"/>
              <w:right w:val="single" w:sz="4" w:space="0" w:color="auto"/>
            </w:tcBorders>
            <w:shd w:val="clear" w:color="auto" w:fill="auto"/>
            <w:noWrap/>
            <w:hideMark/>
          </w:tcPr>
          <w:p w14:paraId="0600EE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6CD3FB4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B5C20E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867CB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105884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C48CF5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04769D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EB440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141F82E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7EDB6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58CA8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02378C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7BDC92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7E0B1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1F9C3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2312932"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BBAF8FA"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Luchs et al (2012)</w:t>
            </w:r>
          </w:p>
        </w:tc>
        <w:tc>
          <w:tcPr>
            <w:tcW w:w="709" w:type="dxa"/>
            <w:tcBorders>
              <w:top w:val="nil"/>
              <w:left w:val="double" w:sz="4" w:space="0" w:color="auto"/>
              <w:bottom w:val="single" w:sz="4" w:space="0" w:color="auto"/>
              <w:right w:val="single" w:sz="4" w:space="0" w:color="auto"/>
            </w:tcBorders>
            <w:shd w:val="clear" w:color="auto" w:fill="auto"/>
            <w:noWrap/>
            <w:hideMark/>
          </w:tcPr>
          <w:p w14:paraId="4EEE99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3292781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81640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8BE24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17C791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F3EAA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232B63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E85B4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1A73EF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CC6A2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1B59685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500546B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7575FA1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A0960D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64D4C9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6F599907"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43065594"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Egea and de Frutos (2013)</w:t>
            </w:r>
          </w:p>
        </w:tc>
        <w:tc>
          <w:tcPr>
            <w:tcW w:w="709" w:type="dxa"/>
            <w:tcBorders>
              <w:top w:val="nil"/>
              <w:left w:val="double" w:sz="4" w:space="0" w:color="auto"/>
              <w:bottom w:val="single" w:sz="4" w:space="0" w:color="auto"/>
              <w:right w:val="single" w:sz="4" w:space="0" w:color="auto"/>
            </w:tcBorders>
            <w:shd w:val="clear" w:color="auto" w:fill="auto"/>
            <w:noWrap/>
            <w:hideMark/>
          </w:tcPr>
          <w:p w14:paraId="650DF69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63BADBC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28EF72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11AB748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9A2E4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91B00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1BDC0C5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3D247A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1514FBD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10F075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1899FF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6DD83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5B05294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00C6B5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77FDD4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03239D54"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5B509B60"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Phipps et al (2013)</w:t>
            </w:r>
          </w:p>
        </w:tc>
        <w:tc>
          <w:tcPr>
            <w:tcW w:w="709" w:type="dxa"/>
            <w:tcBorders>
              <w:top w:val="nil"/>
              <w:left w:val="double" w:sz="4" w:space="0" w:color="auto"/>
              <w:bottom w:val="single" w:sz="4" w:space="0" w:color="auto"/>
              <w:right w:val="single" w:sz="4" w:space="0" w:color="auto"/>
            </w:tcBorders>
            <w:shd w:val="clear" w:color="auto" w:fill="auto"/>
            <w:noWrap/>
            <w:hideMark/>
          </w:tcPr>
          <w:p w14:paraId="3E6599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AB325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5C0CEE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70CD52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FE96E8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double" w:sz="4" w:space="0" w:color="auto"/>
            </w:tcBorders>
            <w:shd w:val="clear" w:color="auto" w:fill="auto"/>
            <w:noWrap/>
            <w:hideMark/>
          </w:tcPr>
          <w:p w14:paraId="0941BCA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9EF58C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E2E1C7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3A06EE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36F1D1F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761125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AE8171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4C99C4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57E07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0EF25E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5686F70"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08574429"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Cho et al (2013)</w:t>
            </w:r>
          </w:p>
        </w:tc>
        <w:tc>
          <w:tcPr>
            <w:tcW w:w="709" w:type="dxa"/>
            <w:tcBorders>
              <w:top w:val="nil"/>
              <w:left w:val="double" w:sz="4" w:space="0" w:color="auto"/>
              <w:bottom w:val="single" w:sz="4" w:space="0" w:color="auto"/>
              <w:right w:val="single" w:sz="4" w:space="0" w:color="auto"/>
            </w:tcBorders>
            <w:shd w:val="clear" w:color="auto" w:fill="auto"/>
            <w:noWrap/>
            <w:hideMark/>
          </w:tcPr>
          <w:p w14:paraId="16DE858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1B66C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E7E5E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1053A3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097742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D4FAE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4ECC04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999E5D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40137F3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470327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5F1356F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3FC7D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861B8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2800C7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40FEAE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6A9D9EB"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1287C414"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Huang et al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7D79E31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4808FF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C2CB97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7AD4B33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CED52A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7879CC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3895E0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8D1508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410C46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EED307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C6868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C7122E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6B548CE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25AE28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54156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E33E85C"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4D19E1D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Pagiaslis and Krontalis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74FABEC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2762D9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AC0BEF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F6B0F4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934FE5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10D2AD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713143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09FB98C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1420FF4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0ED4F3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B0481F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36FBA9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6FA8C8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90EBC9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0566A77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1FD9583"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3865E09F"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Vaino and Paloneimi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37670D6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778FF0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7DBAF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1D9DF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E4CD95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539DB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27B43B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4867CA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50C790E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30E037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BA701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103E4A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D67DF2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4E8475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E049C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E94ADE1"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385DABD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Johnstone and Tan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7C971EF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C8CCAB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049C3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8E1746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C3ACF7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37359F0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1F21F1F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44C22D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7E250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0362A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28FE6E4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3D95BA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49E08E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DC8940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2E4CCE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609BCE8"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18DF57E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Brooks and Wilson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4B3CC1A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4DD804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08FEE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CAA62B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F9A1C4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63B14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37B1FC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57F4F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01676D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8D9EE1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B8F0BD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9C5449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FE626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B5689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1D7274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99AA3A3"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4EA0F762"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Van Doorn and Verhoef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103F42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65D578D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498A7A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07AD3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309BA2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736F0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61B9825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4CA0C2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6406DF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0C748A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83A802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1752A04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57DB63F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695C5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0AB76B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5E3A8667"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C8463D3"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Lin and Hsu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7DF69E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919162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5272FA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201346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1E94C0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BA8BBA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333930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0C9CC8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5BBA6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3AE305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2571B2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2B87EB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AE2993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21B84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4B065B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00BE05F5" w14:textId="77777777" w:rsidTr="00A51FED">
        <w:trPr>
          <w:gridAfter w:val="1"/>
          <w:wAfter w:w="52" w:type="dxa"/>
          <w:trHeight w:val="230"/>
        </w:trPr>
        <w:tc>
          <w:tcPr>
            <w:tcW w:w="2542" w:type="dxa"/>
            <w:tcBorders>
              <w:top w:val="nil"/>
              <w:left w:val="single" w:sz="8" w:space="0" w:color="auto"/>
              <w:bottom w:val="single" w:sz="4" w:space="0" w:color="auto"/>
              <w:right w:val="double" w:sz="4" w:space="0" w:color="auto"/>
            </w:tcBorders>
            <w:shd w:val="clear" w:color="auto" w:fill="auto"/>
            <w:noWrap/>
            <w:hideMark/>
          </w:tcPr>
          <w:p w14:paraId="0642F95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Minton, et al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5264ED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04E5FEA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666659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215347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2FAA67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34D1D20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072BD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CE317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F009D4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459EF70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7E77848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A2450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6E205C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A9C34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0590028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F6F1C04"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14F746B9"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lastRenderedPageBreak/>
              <w:t>Ertz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6D60DBF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37E3268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04AB7A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D755A7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A1D43C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FBEF9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C87970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38B9A0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444BD7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2C8ABCE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617EB9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597735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E30F5E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275646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33E9124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902D3A3"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34928059"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Wu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7352A7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44EA28E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66308C5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single" w:sz="4" w:space="0" w:color="auto"/>
            </w:tcBorders>
            <w:shd w:val="clear" w:color="auto" w:fill="auto"/>
            <w:noWrap/>
            <w:hideMark/>
          </w:tcPr>
          <w:p w14:paraId="6F84148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914911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50E86D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79584A2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4B22E9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1577143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44FF14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59E8F6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956E2A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5411B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DBE204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1E994E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BD896A9" w14:textId="77777777" w:rsidTr="00A51FED">
        <w:trPr>
          <w:gridAfter w:val="1"/>
          <w:wAfter w:w="52" w:type="dxa"/>
          <w:trHeight w:val="246"/>
        </w:trPr>
        <w:tc>
          <w:tcPr>
            <w:tcW w:w="2542" w:type="dxa"/>
            <w:tcBorders>
              <w:top w:val="nil"/>
              <w:left w:val="single" w:sz="8" w:space="0" w:color="auto"/>
              <w:bottom w:val="single" w:sz="4" w:space="0" w:color="auto"/>
              <w:right w:val="double" w:sz="4" w:space="0" w:color="auto"/>
            </w:tcBorders>
            <w:shd w:val="clear" w:color="auto" w:fill="auto"/>
            <w:noWrap/>
            <w:hideMark/>
          </w:tcPr>
          <w:p w14:paraId="5C7DED01"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Gonçalves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65FA229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80D016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5FB6F0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9DF82F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EAFF74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FAE25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6DF91A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9E2BA0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0A08B2E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AC53A7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B5FBCB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32D6C29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3F50BF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AD860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79F4B53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BC5C67F" w14:textId="77777777" w:rsidTr="00A51FED">
        <w:trPr>
          <w:gridAfter w:val="1"/>
          <w:wAfter w:w="52" w:type="dxa"/>
          <w:trHeight w:val="323"/>
        </w:trPr>
        <w:tc>
          <w:tcPr>
            <w:tcW w:w="2542" w:type="dxa"/>
            <w:tcBorders>
              <w:top w:val="nil"/>
              <w:left w:val="single" w:sz="8" w:space="0" w:color="auto"/>
              <w:bottom w:val="single" w:sz="4" w:space="0" w:color="auto"/>
              <w:right w:val="double" w:sz="4" w:space="0" w:color="auto"/>
            </w:tcBorders>
            <w:shd w:val="clear" w:color="auto" w:fill="auto"/>
            <w:noWrap/>
            <w:hideMark/>
          </w:tcPr>
          <w:p w14:paraId="7F189427"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Grimmer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6CF896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7AAE4D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1218B52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8E9D4A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D9116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21F50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65F0E3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7B05EA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42BA88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49EDDD1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546F00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D740DD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844F4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855B6A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B4E094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0694A3A4" w14:textId="77777777" w:rsidTr="00A51FED">
        <w:trPr>
          <w:gridAfter w:val="1"/>
          <w:wAfter w:w="52" w:type="dxa"/>
          <w:trHeight w:val="259"/>
        </w:trPr>
        <w:tc>
          <w:tcPr>
            <w:tcW w:w="2542" w:type="dxa"/>
            <w:tcBorders>
              <w:top w:val="nil"/>
              <w:left w:val="single" w:sz="8" w:space="0" w:color="auto"/>
              <w:bottom w:val="single" w:sz="4" w:space="0" w:color="auto"/>
              <w:right w:val="double" w:sz="4" w:space="0" w:color="auto"/>
            </w:tcBorders>
            <w:shd w:val="clear" w:color="auto" w:fill="auto"/>
            <w:noWrap/>
            <w:hideMark/>
          </w:tcPr>
          <w:p w14:paraId="4D5CE5B4"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Brough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7FE515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12895E7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AF9765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F3E88A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D0E4C3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88E74A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C1E1D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5A7114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3F3CB3E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6CF26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2411281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13B15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2C5FC3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068D9B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175FD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1EE5D94D" w14:textId="77777777" w:rsidTr="00A51FED">
        <w:trPr>
          <w:gridAfter w:val="1"/>
          <w:wAfter w:w="52" w:type="dxa"/>
          <w:trHeight w:val="337"/>
        </w:trPr>
        <w:tc>
          <w:tcPr>
            <w:tcW w:w="2542" w:type="dxa"/>
            <w:tcBorders>
              <w:top w:val="nil"/>
              <w:left w:val="single" w:sz="8" w:space="0" w:color="auto"/>
              <w:bottom w:val="single" w:sz="4" w:space="0" w:color="auto"/>
              <w:right w:val="double" w:sz="4" w:space="0" w:color="auto"/>
            </w:tcBorders>
            <w:shd w:val="clear" w:color="auto" w:fill="auto"/>
            <w:noWrap/>
            <w:hideMark/>
          </w:tcPr>
          <w:p w14:paraId="0F568BD8"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Chen and Hung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063F98F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0DBF7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1BC472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F03A60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A0506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DE0D40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0533206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156F06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F4728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47FC41B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371A7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A3D594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E96BB2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797AB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2088104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7BD7EA39" w14:textId="77777777" w:rsidTr="00A51FED">
        <w:trPr>
          <w:gridAfter w:val="1"/>
          <w:wAfter w:w="52" w:type="dxa"/>
          <w:trHeight w:val="273"/>
        </w:trPr>
        <w:tc>
          <w:tcPr>
            <w:tcW w:w="2542" w:type="dxa"/>
            <w:tcBorders>
              <w:top w:val="nil"/>
              <w:left w:val="single" w:sz="8" w:space="0" w:color="auto"/>
              <w:bottom w:val="single" w:sz="4" w:space="0" w:color="auto"/>
              <w:right w:val="double" w:sz="4" w:space="0" w:color="auto"/>
            </w:tcBorders>
            <w:shd w:val="clear" w:color="auto" w:fill="auto"/>
            <w:noWrap/>
            <w:hideMark/>
          </w:tcPr>
          <w:p w14:paraId="72CE207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Liobikienė,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68C01F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2D7C49C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427E5A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9A15F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ED8AD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97879B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1DE2C15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F21031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080A8A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2D2EEF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2125C9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1BAA78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0BA479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558C89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A13274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70241FF6"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2541757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Wei et al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5B43E0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6197C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AD4C87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01B65D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61E65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731B0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184BB70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BBA1DD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1E1719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727A7D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75EA0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143F12C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52C1424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6" w:type="dxa"/>
            <w:tcBorders>
              <w:top w:val="nil"/>
              <w:left w:val="nil"/>
              <w:bottom w:val="single" w:sz="4" w:space="0" w:color="auto"/>
              <w:right w:val="double" w:sz="4" w:space="0" w:color="auto"/>
            </w:tcBorders>
            <w:shd w:val="clear" w:color="auto" w:fill="auto"/>
            <w:noWrap/>
            <w:hideMark/>
          </w:tcPr>
          <w:p w14:paraId="5B19592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767E8E4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4025B0A"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34EB242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Antonetti and Manika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3BD74C9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DA1A42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D22621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B1955C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5FDB7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16420D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94C13D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6A2337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479D341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4E565A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1F7969B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0FD99E9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AA522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C16477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DC0AEE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1AA47E90" w14:textId="77777777" w:rsidTr="00A51FED">
        <w:trPr>
          <w:gridAfter w:val="1"/>
          <w:wAfter w:w="52" w:type="dxa"/>
          <w:trHeight w:val="292"/>
        </w:trPr>
        <w:tc>
          <w:tcPr>
            <w:tcW w:w="2542" w:type="dxa"/>
            <w:tcBorders>
              <w:top w:val="nil"/>
              <w:left w:val="single" w:sz="8" w:space="0" w:color="auto"/>
              <w:bottom w:val="single" w:sz="4" w:space="0" w:color="auto"/>
              <w:right w:val="double" w:sz="4" w:space="0" w:color="auto"/>
            </w:tcBorders>
            <w:shd w:val="clear" w:color="auto" w:fill="auto"/>
            <w:noWrap/>
            <w:hideMark/>
          </w:tcPr>
          <w:p w14:paraId="696B4BE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Luchs and Kumar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544C8C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7C6508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E0C70B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2E4CC0E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190F5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12D913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C28BA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18C8F8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86BDEA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D48882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229B11F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320CD8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1CCCB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8B143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6367A7F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9B5859C"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33981223"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Ryoo et al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6BFC888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20F80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7B37C6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7BB781E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9FEA3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8D25A3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8DB89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29409D8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EE8643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45A5F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A0844A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A3E8F6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D1099B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0E5006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C4C646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0166A9F"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53D39926"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Juhl et al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77A71AB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60B915D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787522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D66E6A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FAC4C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FF204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29DD3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BC8AB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C785A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02DD0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8A8BB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C3A6E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58B2322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73B206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4257745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B0EE058" w14:textId="77777777" w:rsidTr="00A51FED">
        <w:trPr>
          <w:gridAfter w:val="1"/>
          <w:wAfter w:w="52" w:type="dxa"/>
          <w:trHeight w:val="377"/>
        </w:trPr>
        <w:tc>
          <w:tcPr>
            <w:tcW w:w="2542" w:type="dxa"/>
            <w:tcBorders>
              <w:top w:val="nil"/>
              <w:left w:val="single" w:sz="8" w:space="0" w:color="auto"/>
              <w:bottom w:val="single" w:sz="4" w:space="0" w:color="auto"/>
              <w:right w:val="double" w:sz="4" w:space="0" w:color="auto"/>
            </w:tcBorders>
            <w:shd w:val="clear" w:color="auto" w:fill="auto"/>
            <w:noWrap/>
            <w:hideMark/>
          </w:tcPr>
          <w:p w14:paraId="670520C3"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Kristensson et al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4AC6D23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87BB87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D5F717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1908E5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1B25F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32F72FB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FEDDC4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327FF4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07A550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01D244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09062B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4CCF5B3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49EC2B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45EB54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405C96B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FDDF745"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44C15F18"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Yadav and Pathak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4969EE5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FEA4D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A9A37A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955AC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6B46DE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2E8A14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17F749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21A871E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5625F1A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08B536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2AE60BD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660655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4B1D4DB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E3C4B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2A202F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5520966F"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163DD4B"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Evers et al (2018)</w:t>
            </w:r>
          </w:p>
        </w:tc>
        <w:tc>
          <w:tcPr>
            <w:tcW w:w="709" w:type="dxa"/>
            <w:tcBorders>
              <w:top w:val="nil"/>
              <w:left w:val="double" w:sz="4" w:space="0" w:color="auto"/>
              <w:bottom w:val="single" w:sz="4" w:space="0" w:color="auto"/>
              <w:right w:val="single" w:sz="4" w:space="0" w:color="auto"/>
            </w:tcBorders>
            <w:shd w:val="clear" w:color="auto" w:fill="auto"/>
            <w:noWrap/>
            <w:hideMark/>
          </w:tcPr>
          <w:p w14:paraId="1F2D6E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CE8656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A87DF7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79949C0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5533143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39C0B2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464AA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4E796E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139531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D8C5E9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D15BF7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66009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5D4D23C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36212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4672C7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2AC3577"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5E3800AE"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Perera et al (2018)</w:t>
            </w:r>
          </w:p>
        </w:tc>
        <w:tc>
          <w:tcPr>
            <w:tcW w:w="709" w:type="dxa"/>
            <w:tcBorders>
              <w:top w:val="nil"/>
              <w:left w:val="double" w:sz="4" w:space="0" w:color="auto"/>
              <w:bottom w:val="single" w:sz="4" w:space="0" w:color="auto"/>
              <w:right w:val="single" w:sz="4" w:space="0" w:color="auto"/>
            </w:tcBorders>
            <w:shd w:val="clear" w:color="auto" w:fill="auto"/>
            <w:noWrap/>
            <w:hideMark/>
          </w:tcPr>
          <w:p w14:paraId="257F03A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4BCF6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04330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1C97A2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003222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E6BE3C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2C0E6D2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407EAFA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724CFB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A416E9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7B3D02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EA731E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F31DD5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705CAB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43DD1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CC338B1" w14:textId="77777777" w:rsidTr="00A51FED">
        <w:trPr>
          <w:gridAfter w:val="1"/>
          <w:wAfter w:w="52" w:type="dxa"/>
          <w:trHeight w:val="101"/>
        </w:trPr>
        <w:tc>
          <w:tcPr>
            <w:tcW w:w="2542" w:type="dxa"/>
            <w:tcBorders>
              <w:top w:val="nil"/>
              <w:left w:val="single" w:sz="8" w:space="0" w:color="auto"/>
              <w:bottom w:val="single" w:sz="4" w:space="0" w:color="auto"/>
              <w:right w:val="double" w:sz="4" w:space="0" w:color="auto"/>
            </w:tcBorders>
            <w:shd w:val="clear" w:color="auto" w:fill="auto"/>
            <w:noWrap/>
            <w:hideMark/>
          </w:tcPr>
          <w:p w14:paraId="438BD612"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Song and Kim (2018)</w:t>
            </w:r>
          </w:p>
        </w:tc>
        <w:tc>
          <w:tcPr>
            <w:tcW w:w="709" w:type="dxa"/>
            <w:tcBorders>
              <w:top w:val="nil"/>
              <w:left w:val="double" w:sz="4" w:space="0" w:color="auto"/>
              <w:bottom w:val="single" w:sz="4" w:space="0" w:color="auto"/>
              <w:right w:val="single" w:sz="4" w:space="0" w:color="auto"/>
            </w:tcBorders>
            <w:shd w:val="clear" w:color="auto" w:fill="auto"/>
            <w:noWrap/>
            <w:hideMark/>
          </w:tcPr>
          <w:p w14:paraId="66A0411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CEDCCF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9DC45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2669E5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45D5BD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33C5A46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041089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9F273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0555148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2C00331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EB4C2D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17A4530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6121CF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FEE1F5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7D36721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3DA4BA2E"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5862A67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Ibrahim and Al–Ajlouni (2018)</w:t>
            </w:r>
          </w:p>
        </w:tc>
        <w:tc>
          <w:tcPr>
            <w:tcW w:w="709" w:type="dxa"/>
            <w:tcBorders>
              <w:top w:val="nil"/>
              <w:left w:val="double" w:sz="4" w:space="0" w:color="auto"/>
              <w:bottom w:val="single" w:sz="4" w:space="0" w:color="auto"/>
              <w:right w:val="single" w:sz="4" w:space="0" w:color="auto"/>
            </w:tcBorders>
            <w:shd w:val="clear" w:color="auto" w:fill="auto"/>
            <w:noWrap/>
            <w:hideMark/>
          </w:tcPr>
          <w:p w14:paraId="5B98AD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B3C16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B4904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B3C95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E2D30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66A71F4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3468FA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3A5F1A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D931E0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3FF4F02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2ADE5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453F1E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37528F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30B1DF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32E2B0C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A03524A"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73874229"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Sharma and Foropon (2019)</w:t>
            </w:r>
          </w:p>
        </w:tc>
        <w:tc>
          <w:tcPr>
            <w:tcW w:w="709" w:type="dxa"/>
            <w:tcBorders>
              <w:top w:val="nil"/>
              <w:left w:val="double" w:sz="4" w:space="0" w:color="auto"/>
              <w:bottom w:val="single" w:sz="4" w:space="0" w:color="auto"/>
              <w:right w:val="single" w:sz="4" w:space="0" w:color="auto"/>
            </w:tcBorders>
            <w:shd w:val="clear" w:color="auto" w:fill="auto"/>
            <w:noWrap/>
            <w:hideMark/>
          </w:tcPr>
          <w:p w14:paraId="27021BB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6EE79B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5C08F2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74119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78585E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586F071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367020A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06A06C1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535FC9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1CD4864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2030922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263069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2C0143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7873B2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9F513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r>
      <w:tr w:rsidR="004118DF" w:rsidRPr="00530906" w14:paraId="350CBB74"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2C78BAC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Rowe et al (2019)</w:t>
            </w:r>
          </w:p>
        </w:tc>
        <w:tc>
          <w:tcPr>
            <w:tcW w:w="709" w:type="dxa"/>
            <w:tcBorders>
              <w:top w:val="nil"/>
              <w:left w:val="double" w:sz="4" w:space="0" w:color="auto"/>
              <w:bottom w:val="single" w:sz="4" w:space="0" w:color="auto"/>
              <w:right w:val="single" w:sz="4" w:space="0" w:color="auto"/>
            </w:tcBorders>
            <w:shd w:val="clear" w:color="auto" w:fill="auto"/>
            <w:noWrap/>
            <w:hideMark/>
          </w:tcPr>
          <w:p w14:paraId="2EA2FCC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3DC727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C30B96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144606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D64F1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485547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A06428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D32309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97E257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770D4B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E9D8C8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2" w:type="dxa"/>
            <w:tcBorders>
              <w:top w:val="nil"/>
              <w:left w:val="double" w:sz="4" w:space="0" w:color="auto"/>
              <w:bottom w:val="single" w:sz="4" w:space="0" w:color="auto"/>
              <w:right w:val="single" w:sz="4" w:space="0" w:color="auto"/>
            </w:tcBorders>
            <w:shd w:val="clear" w:color="auto" w:fill="auto"/>
            <w:noWrap/>
            <w:hideMark/>
          </w:tcPr>
          <w:p w14:paraId="3D260B3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788F87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CB11C5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198FC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F948F9" w:rsidRPr="00530906" w14:paraId="7B3685D3" w14:textId="77777777" w:rsidTr="008756B1">
        <w:trPr>
          <w:trHeight w:val="391"/>
        </w:trPr>
        <w:tc>
          <w:tcPr>
            <w:tcW w:w="13792" w:type="dxa"/>
            <w:gridSpan w:val="17"/>
            <w:tcBorders>
              <w:top w:val="nil"/>
              <w:left w:val="single" w:sz="8" w:space="0" w:color="auto"/>
              <w:bottom w:val="single" w:sz="4" w:space="0" w:color="auto"/>
              <w:right w:val="single" w:sz="8" w:space="0" w:color="auto"/>
            </w:tcBorders>
            <w:shd w:val="clear" w:color="auto" w:fill="E2EFD9" w:themeFill="accent6" w:themeFillTint="33"/>
            <w:noWrap/>
            <w:hideMark/>
          </w:tcPr>
          <w:p w14:paraId="5780973B" w14:textId="3951651B" w:rsidR="00F948F9" w:rsidRPr="00530906" w:rsidRDefault="00F948F9"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b/>
                <w:bCs/>
                <w:sz w:val="24"/>
                <w:szCs w:val="24"/>
                <w:lang w:eastAsia="en-GB"/>
              </w:rPr>
              <w:t>Organisation’s and consumer</w:t>
            </w:r>
            <w:r w:rsidR="00EA5C2F">
              <w:rPr>
                <w:rFonts w:ascii="Calibri" w:eastAsia="Times New Roman" w:hAnsi="Calibri" w:cs="Calibri"/>
                <w:b/>
                <w:bCs/>
                <w:sz w:val="24"/>
                <w:szCs w:val="24"/>
                <w:lang w:eastAsia="en-GB"/>
              </w:rPr>
              <w:t>’</w:t>
            </w:r>
            <w:r w:rsidRPr="00530906">
              <w:rPr>
                <w:rFonts w:ascii="Calibri" w:eastAsia="Times New Roman" w:hAnsi="Calibri" w:cs="Calibri"/>
                <w:b/>
                <w:bCs/>
                <w:sz w:val="24"/>
                <w:szCs w:val="24"/>
                <w:lang w:eastAsia="en-GB"/>
              </w:rPr>
              <w:t xml:space="preserve">s perspective </w:t>
            </w:r>
          </w:p>
        </w:tc>
      </w:tr>
      <w:tr w:rsidR="004118DF" w:rsidRPr="00530906" w14:paraId="7A76B7AF" w14:textId="77777777" w:rsidTr="00A51FED">
        <w:trPr>
          <w:gridAfter w:val="1"/>
          <w:wAfter w:w="52" w:type="dxa"/>
          <w:trHeight w:val="450"/>
        </w:trPr>
        <w:tc>
          <w:tcPr>
            <w:tcW w:w="2542" w:type="dxa"/>
            <w:tcBorders>
              <w:top w:val="nil"/>
              <w:left w:val="single" w:sz="8" w:space="0" w:color="auto"/>
              <w:bottom w:val="single" w:sz="4" w:space="0" w:color="auto"/>
              <w:right w:val="double" w:sz="4" w:space="0" w:color="auto"/>
            </w:tcBorders>
            <w:shd w:val="clear" w:color="auto" w:fill="auto"/>
            <w:noWrap/>
            <w:hideMark/>
          </w:tcPr>
          <w:p w14:paraId="75B8F638"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Schuhwerk and Lefkoff–Haguis (1995)</w:t>
            </w:r>
          </w:p>
        </w:tc>
        <w:tc>
          <w:tcPr>
            <w:tcW w:w="709" w:type="dxa"/>
            <w:tcBorders>
              <w:top w:val="nil"/>
              <w:left w:val="double" w:sz="4" w:space="0" w:color="auto"/>
              <w:bottom w:val="single" w:sz="4" w:space="0" w:color="auto"/>
              <w:right w:val="single" w:sz="4" w:space="0" w:color="auto"/>
            </w:tcBorders>
            <w:shd w:val="clear" w:color="auto" w:fill="auto"/>
            <w:noWrap/>
            <w:hideMark/>
          </w:tcPr>
          <w:p w14:paraId="53CACB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5E3B79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C0783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75F29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8D15E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310092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93B1CB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BCA72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08ECBB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128D3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6567B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ED049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07B06BB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6" w:type="dxa"/>
            <w:tcBorders>
              <w:top w:val="nil"/>
              <w:left w:val="nil"/>
              <w:bottom w:val="single" w:sz="4" w:space="0" w:color="auto"/>
              <w:right w:val="double" w:sz="4" w:space="0" w:color="auto"/>
            </w:tcBorders>
            <w:shd w:val="clear" w:color="auto" w:fill="auto"/>
            <w:noWrap/>
            <w:hideMark/>
          </w:tcPr>
          <w:p w14:paraId="1621909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0B5D3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5795A42" w14:textId="77777777" w:rsidTr="00A51FED">
        <w:trPr>
          <w:gridAfter w:val="1"/>
          <w:wAfter w:w="52" w:type="dxa"/>
          <w:trHeight w:val="290"/>
        </w:trPr>
        <w:tc>
          <w:tcPr>
            <w:tcW w:w="2542" w:type="dxa"/>
            <w:tcBorders>
              <w:top w:val="nil"/>
              <w:left w:val="single" w:sz="8" w:space="0" w:color="auto"/>
              <w:bottom w:val="single" w:sz="4" w:space="0" w:color="auto"/>
              <w:right w:val="double" w:sz="4" w:space="0" w:color="auto"/>
            </w:tcBorders>
            <w:shd w:val="clear" w:color="auto" w:fill="auto"/>
            <w:noWrap/>
            <w:hideMark/>
          </w:tcPr>
          <w:p w14:paraId="3771A890"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Schlegelmilch (1996)</w:t>
            </w:r>
          </w:p>
        </w:tc>
        <w:tc>
          <w:tcPr>
            <w:tcW w:w="709" w:type="dxa"/>
            <w:tcBorders>
              <w:top w:val="nil"/>
              <w:left w:val="double" w:sz="4" w:space="0" w:color="auto"/>
              <w:bottom w:val="single" w:sz="4" w:space="0" w:color="auto"/>
              <w:right w:val="single" w:sz="4" w:space="0" w:color="auto"/>
            </w:tcBorders>
            <w:shd w:val="clear" w:color="auto" w:fill="auto"/>
            <w:noWrap/>
            <w:hideMark/>
          </w:tcPr>
          <w:p w14:paraId="1E5C7D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D35FB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B0F2A6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FDBD50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F87DB7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9FC068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7492506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C23CC4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7460644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0F4099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D21451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0637B2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2377BF0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3E7B30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2ACAE9D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FDDD98E" w14:textId="77777777" w:rsidTr="00BD5A0B">
        <w:trPr>
          <w:gridAfter w:val="1"/>
          <w:wAfter w:w="52" w:type="dxa"/>
          <w:trHeight w:val="375"/>
        </w:trPr>
        <w:tc>
          <w:tcPr>
            <w:tcW w:w="2542" w:type="dxa"/>
            <w:tcBorders>
              <w:top w:val="nil"/>
              <w:left w:val="single" w:sz="8" w:space="0" w:color="auto"/>
              <w:bottom w:val="single" w:sz="4" w:space="0" w:color="auto"/>
              <w:right w:val="double" w:sz="4" w:space="0" w:color="auto"/>
            </w:tcBorders>
            <w:shd w:val="clear" w:color="auto" w:fill="auto"/>
            <w:noWrap/>
            <w:hideMark/>
          </w:tcPr>
          <w:p w14:paraId="5B887390"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lastRenderedPageBreak/>
              <w:t>Montororios et al (2008)</w:t>
            </w:r>
          </w:p>
        </w:tc>
        <w:tc>
          <w:tcPr>
            <w:tcW w:w="709" w:type="dxa"/>
            <w:tcBorders>
              <w:top w:val="nil"/>
              <w:left w:val="double" w:sz="4" w:space="0" w:color="auto"/>
              <w:bottom w:val="single" w:sz="4" w:space="0" w:color="auto"/>
              <w:right w:val="single" w:sz="4" w:space="0" w:color="auto"/>
            </w:tcBorders>
            <w:shd w:val="clear" w:color="auto" w:fill="auto"/>
            <w:noWrap/>
            <w:hideMark/>
          </w:tcPr>
          <w:p w14:paraId="1CC630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A31538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15D5CD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5BEBFE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1D5C68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12F1F2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7CB3F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1B4116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4" w:space="0" w:color="auto"/>
              <w:right w:val="single" w:sz="4" w:space="0" w:color="auto"/>
            </w:tcBorders>
            <w:shd w:val="clear" w:color="auto" w:fill="auto"/>
            <w:noWrap/>
            <w:hideMark/>
          </w:tcPr>
          <w:p w14:paraId="2B08BA1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8D8F4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063634E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8973B8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CD2C4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CCF90D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1F35A5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F30D515"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3CEFF287"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Choi and Ng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5C380B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6D30FF2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BB8E93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4FD699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6CB8CC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9E4A0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2FBE76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4E9E97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3CAD20F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double" w:sz="4" w:space="0" w:color="auto"/>
            </w:tcBorders>
            <w:shd w:val="clear" w:color="auto" w:fill="auto"/>
            <w:noWrap/>
            <w:hideMark/>
          </w:tcPr>
          <w:p w14:paraId="58D57A5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0C25B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B30C0D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6861C1E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957B8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054124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39A18CDA" w14:textId="77777777" w:rsidTr="003004C4">
        <w:trPr>
          <w:gridAfter w:val="1"/>
          <w:wAfter w:w="52" w:type="dxa"/>
          <w:trHeight w:val="308"/>
        </w:trPr>
        <w:tc>
          <w:tcPr>
            <w:tcW w:w="2542" w:type="dxa"/>
            <w:tcBorders>
              <w:top w:val="nil"/>
              <w:left w:val="single" w:sz="8" w:space="0" w:color="auto"/>
              <w:bottom w:val="single" w:sz="4" w:space="0" w:color="auto"/>
              <w:right w:val="double" w:sz="4" w:space="0" w:color="auto"/>
            </w:tcBorders>
            <w:shd w:val="clear" w:color="auto" w:fill="auto"/>
            <w:noWrap/>
            <w:hideMark/>
          </w:tcPr>
          <w:p w14:paraId="7F6B5E71"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Larceneux et al (2012)</w:t>
            </w:r>
          </w:p>
        </w:tc>
        <w:tc>
          <w:tcPr>
            <w:tcW w:w="709" w:type="dxa"/>
            <w:tcBorders>
              <w:top w:val="nil"/>
              <w:left w:val="double" w:sz="4" w:space="0" w:color="auto"/>
              <w:bottom w:val="single" w:sz="4" w:space="0" w:color="auto"/>
              <w:right w:val="single" w:sz="4" w:space="0" w:color="auto"/>
            </w:tcBorders>
            <w:shd w:val="clear" w:color="auto" w:fill="auto"/>
            <w:noWrap/>
            <w:hideMark/>
          </w:tcPr>
          <w:p w14:paraId="551310C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5776B81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082485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211E0B9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8AFA5D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57992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43FC616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4430B1B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1B1EE28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AE4D9C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0882F8B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38B52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32E9CFA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4ED0D0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3BC96E8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13B9756" w14:textId="77777777" w:rsidTr="003004C4">
        <w:trPr>
          <w:gridAfter w:val="1"/>
          <w:wAfter w:w="52" w:type="dxa"/>
          <w:trHeight w:val="528"/>
        </w:trPr>
        <w:tc>
          <w:tcPr>
            <w:tcW w:w="2542" w:type="dxa"/>
            <w:tcBorders>
              <w:top w:val="nil"/>
              <w:left w:val="single" w:sz="8" w:space="0" w:color="auto"/>
              <w:bottom w:val="single" w:sz="4" w:space="0" w:color="auto"/>
              <w:right w:val="double" w:sz="4" w:space="0" w:color="auto"/>
            </w:tcBorders>
            <w:shd w:val="clear" w:color="auto" w:fill="auto"/>
            <w:noWrap/>
            <w:hideMark/>
          </w:tcPr>
          <w:p w14:paraId="05A56B4E"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Lyon, and Montgomery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3612363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3B70CF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5079148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01667A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694146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9DF11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DA2C4C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686534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0DAB7DE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070AB82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148705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130A72D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12E4E65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2658C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3CDCE4A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99148AF" w14:textId="77777777" w:rsidTr="003004C4">
        <w:trPr>
          <w:gridAfter w:val="1"/>
          <w:wAfter w:w="52" w:type="dxa"/>
          <w:trHeight w:val="268"/>
        </w:trPr>
        <w:tc>
          <w:tcPr>
            <w:tcW w:w="2542" w:type="dxa"/>
            <w:tcBorders>
              <w:top w:val="nil"/>
              <w:left w:val="single" w:sz="8" w:space="0" w:color="auto"/>
              <w:bottom w:val="single" w:sz="4" w:space="0" w:color="auto"/>
              <w:right w:val="double" w:sz="4" w:space="0" w:color="auto"/>
            </w:tcBorders>
            <w:shd w:val="clear" w:color="auto" w:fill="auto"/>
            <w:noWrap/>
            <w:hideMark/>
          </w:tcPr>
          <w:p w14:paraId="66295D1C"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Kalamas et al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5BE5F51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567" w:type="dxa"/>
            <w:tcBorders>
              <w:top w:val="nil"/>
              <w:left w:val="nil"/>
              <w:bottom w:val="single" w:sz="4" w:space="0" w:color="auto"/>
              <w:right w:val="single" w:sz="4" w:space="0" w:color="auto"/>
            </w:tcBorders>
            <w:shd w:val="clear" w:color="auto" w:fill="auto"/>
            <w:noWrap/>
            <w:hideMark/>
          </w:tcPr>
          <w:p w14:paraId="1FF7F9E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739D8A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1391CB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70F6C1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5B2F03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CB5845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5AA2865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809CE1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1B34318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3C5DEF5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AB31BB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443B30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2DB2CE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3F9EC8F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BD4EE1D"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659E32F2"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Davari and Strutton (2014)</w:t>
            </w:r>
          </w:p>
        </w:tc>
        <w:tc>
          <w:tcPr>
            <w:tcW w:w="709" w:type="dxa"/>
            <w:tcBorders>
              <w:top w:val="nil"/>
              <w:left w:val="double" w:sz="4" w:space="0" w:color="auto"/>
              <w:bottom w:val="single" w:sz="4" w:space="0" w:color="auto"/>
              <w:right w:val="single" w:sz="4" w:space="0" w:color="auto"/>
            </w:tcBorders>
            <w:shd w:val="clear" w:color="auto" w:fill="auto"/>
            <w:noWrap/>
            <w:hideMark/>
          </w:tcPr>
          <w:p w14:paraId="011551C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9EFB77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C5DCDC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5AB710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D1C81E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9B012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2BABAD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509F6E2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0F528F8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D596DC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AD58AE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0D3E22C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23C8C68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874A5D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E0A4A6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2653C0DF"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42BFBE2E"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Line et al (2016)</w:t>
            </w:r>
          </w:p>
        </w:tc>
        <w:tc>
          <w:tcPr>
            <w:tcW w:w="709" w:type="dxa"/>
            <w:tcBorders>
              <w:top w:val="nil"/>
              <w:left w:val="double" w:sz="4" w:space="0" w:color="auto"/>
              <w:bottom w:val="single" w:sz="4" w:space="0" w:color="auto"/>
              <w:right w:val="single" w:sz="4" w:space="0" w:color="auto"/>
            </w:tcBorders>
            <w:shd w:val="clear" w:color="auto" w:fill="auto"/>
            <w:noWrap/>
            <w:hideMark/>
          </w:tcPr>
          <w:p w14:paraId="50EFB6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748FE6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6655B07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06035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05EF63A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4BCEE69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B703C4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BC53D3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8C972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434D4D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07983A1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5F9F2B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10E0B58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7A03F6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79AE147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87C4A6F" w14:textId="77777777" w:rsidTr="003004C4">
        <w:trPr>
          <w:gridAfter w:val="1"/>
          <w:wAfter w:w="52" w:type="dxa"/>
          <w:trHeight w:val="613"/>
        </w:trPr>
        <w:tc>
          <w:tcPr>
            <w:tcW w:w="2542" w:type="dxa"/>
            <w:tcBorders>
              <w:top w:val="nil"/>
              <w:left w:val="single" w:sz="8" w:space="0" w:color="auto"/>
              <w:bottom w:val="single" w:sz="4" w:space="0" w:color="auto"/>
              <w:right w:val="double" w:sz="4" w:space="0" w:color="auto"/>
            </w:tcBorders>
            <w:shd w:val="clear" w:color="auto" w:fill="auto"/>
            <w:noWrap/>
            <w:hideMark/>
          </w:tcPr>
          <w:p w14:paraId="761AE1EE"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Herédia–Colaço and do Vale (2018)</w:t>
            </w:r>
          </w:p>
        </w:tc>
        <w:tc>
          <w:tcPr>
            <w:tcW w:w="709" w:type="dxa"/>
            <w:tcBorders>
              <w:top w:val="nil"/>
              <w:left w:val="double" w:sz="4" w:space="0" w:color="auto"/>
              <w:bottom w:val="single" w:sz="4" w:space="0" w:color="auto"/>
              <w:right w:val="single" w:sz="4" w:space="0" w:color="auto"/>
            </w:tcBorders>
            <w:shd w:val="clear" w:color="auto" w:fill="auto"/>
            <w:noWrap/>
            <w:hideMark/>
          </w:tcPr>
          <w:p w14:paraId="005A6D2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8198C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742A55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2CEFF1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A1DA7A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0EB6247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CA0A3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39BE4AC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447F3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74751B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3615D42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E79E39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251D13D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678FD07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133C39A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F948F9" w:rsidRPr="00530906" w14:paraId="60291F10" w14:textId="77777777" w:rsidTr="008756B1">
        <w:trPr>
          <w:trHeight w:val="255"/>
        </w:trPr>
        <w:tc>
          <w:tcPr>
            <w:tcW w:w="13792" w:type="dxa"/>
            <w:gridSpan w:val="17"/>
            <w:tcBorders>
              <w:top w:val="nil"/>
              <w:left w:val="single" w:sz="8" w:space="0" w:color="auto"/>
              <w:bottom w:val="single" w:sz="4" w:space="0" w:color="auto"/>
              <w:right w:val="single" w:sz="8" w:space="0" w:color="auto"/>
            </w:tcBorders>
            <w:shd w:val="clear" w:color="auto" w:fill="E2EFD9" w:themeFill="accent6" w:themeFillTint="33"/>
            <w:noWrap/>
            <w:hideMark/>
          </w:tcPr>
          <w:p w14:paraId="418681AA" w14:textId="298106AD" w:rsidR="00F948F9" w:rsidRPr="00530906" w:rsidRDefault="00F948F9"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b/>
                <w:bCs/>
                <w:color w:val="000000"/>
                <w:sz w:val="24"/>
                <w:szCs w:val="24"/>
                <w:lang w:eastAsia="en-GB"/>
              </w:rPr>
              <w:t>Proposing strategy</w:t>
            </w:r>
          </w:p>
        </w:tc>
      </w:tr>
      <w:tr w:rsidR="004118DF" w:rsidRPr="00530906" w14:paraId="6E46B433" w14:textId="77777777" w:rsidTr="00BD5A0B">
        <w:trPr>
          <w:gridAfter w:val="1"/>
          <w:wAfter w:w="52" w:type="dxa"/>
          <w:trHeight w:val="480"/>
        </w:trPr>
        <w:tc>
          <w:tcPr>
            <w:tcW w:w="2542" w:type="dxa"/>
            <w:tcBorders>
              <w:top w:val="nil"/>
              <w:left w:val="single" w:sz="8" w:space="0" w:color="auto"/>
              <w:bottom w:val="single" w:sz="4" w:space="0" w:color="auto"/>
              <w:right w:val="double" w:sz="4" w:space="0" w:color="auto"/>
            </w:tcBorders>
            <w:shd w:val="clear" w:color="auto" w:fill="auto"/>
            <w:noWrap/>
            <w:hideMark/>
          </w:tcPr>
          <w:p w14:paraId="24998D8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Buenstorf, and Cordes (2008)</w:t>
            </w:r>
          </w:p>
        </w:tc>
        <w:tc>
          <w:tcPr>
            <w:tcW w:w="709" w:type="dxa"/>
            <w:tcBorders>
              <w:top w:val="nil"/>
              <w:left w:val="double" w:sz="4" w:space="0" w:color="auto"/>
              <w:bottom w:val="single" w:sz="4" w:space="0" w:color="auto"/>
              <w:right w:val="single" w:sz="4" w:space="0" w:color="auto"/>
            </w:tcBorders>
            <w:shd w:val="clear" w:color="auto" w:fill="auto"/>
            <w:noWrap/>
            <w:hideMark/>
          </w:tcPr>
          <w:p w14:paraId="31D6DF9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1B4C67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D1DAE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56B3268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31DA730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47C50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503A5FF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6A80002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4B92192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EDBD03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11CFF9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2A327F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7842379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F5B0FC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134" w:type="dxa"/>
            <w:tcBorders>
              <w:top w:val="nil"/>
              <w:left w:val="double" w:sz="4" w:space="0" w:color="auto"/>
              <w:bottom w:val="single" w:sz="4" w:space="0" w:color="auto"/>
              <w:right w:val="single" w:sz="8" w:space="0" w:color="auto"/>
            </w:tcBorders>
            <w:shd w:val="clear" w:color="auto" w:fill="auto"/>
            <w:noWrap/>
            <w:hideMark/>
          </w:tcPr>
          <w:p w14:paraId="0379AF4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65D708DF"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297BEE35"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White et al (2011)</w:t>
            </w:r>
          </w:p>
        </w:tc>
        <w:tc>
          <w:tcPr>
            <w:tcW w:w="709" w:type="dxa"/>
            <w:tcBorders>
              <w:top w:val="nil"/>
              <w:left w:val="double" w:sz="4" w:space="0" w:color="auto"/>
              <w:bottom w:val="single" w:sz="4" w:space="0" w:color="auto"/>
              <w:right w:val="single" w:sz="4" w:space="0" w:color="auto"/>
            </w:tcBorders>
            <w:shd w:val="clear" w:color="auto" w:fill="auto"/>
            <w:noWrap/>
            <w:hideMark/>
          </w:tcPr>
          <w:p w14:paraId="126E2D7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27D2E94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614C015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BDD2BF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EEBB09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2E35EB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07B63B2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7506F28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2692C57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67AF18E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35B8D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2A61349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6E2B36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0AE089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2FED8F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5EDA5C41"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057C3E3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Rettie et al (2012)</w:t>
            </w:r>
          </w:p>
        </w:tc>
        <w:tc>
          <w:tcPr>
            <w:tcW w:w="709" w:type="dxa"/>
            <w:tcBorders>
              <w:top w:val="nil"/>
              <w:left w:val="double" w:sz="4" w:space="0" w:color="auto"/>
              <w:bottom w:val="single" w:sz="4" w:space="0" w:color="auto"/>
              <w:right w:val="single" w:sz="4" w:space="0" w:color="auto"/>
            </w:tcBorders>
            <w:shd w:val="clear" w:color="auto" w:fill="auto"/>
            <w:noWrap/>
            <w:hideMark/>
          </w:tcPr>
          <w:p w14:paraId="0A6C5AD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79E6ACA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217B1A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0AC3D04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51A351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2974AD5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7C2BD77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38F52A9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3070F97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7920278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199F85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AD9947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3820CE0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D8BC81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5688F2E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E7E7FD9"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7A12247E"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Axsen et al (2013)</w:t>
            </w:r>
          </w:p>
        </w:tc>
        <w:tc>
          <w:tcPr>
            <w:tcW w:w="709" w:type="dxa"/>
            <w:tcBorders>
              <w:top w:val="nil"/>
              <w:left w:val="double" w:sz="4" w:space="0" w:color="auto"/>
              <w:bottom w:val="single" w:sz="4" w:space="0" w:color="auto"/>
              <w:right w:val="single" w:sz="4" w:space="0" w:color="auto"/>
            </w:tcBorders>
            <w:shd w:val="clear" w:color="auto" w:fill="auto"/>
            <w:noWrap/>
            <w:hideMark/>
          </w:tcPr>
          <w:p w14:paraId="250EF1C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495E50C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24EF62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6A46380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nil"/>
              <w:bottom w:val="single" w:sz="4" w:space="0" w:color="auto"/>
              <w:right w:val="single" w:sz="4" w:space="0" w:color="auto"/>
            </w:tcBorders>
            <w:shd w:val="clear" w:color="auto" w:fill="auto"/>
            <w:noWrap/>
            <w:hideMark/>
          </w:tcPr>
          <w:p w14:paraId="22DFE95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4" w:space="0" w:color="auto"/>
              <w:right w:val="double" w:sz="4" w:space="0" w:color="auto"/>
            </w:tcBorders>
            <w:shd w:val="clear" w:color="auto" w:fill="auto"/>
            <w:noWrap/>
            <w:hideMark/>
          </w:tcPr>
          <w:p w14:paraId="03077A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417" w:type="dxa"/>
            <w:tcBorders>
              <w:top w:val="nil"/>
              <w:left w:val="double" w:sz="4" w:space="0" w:color="auto"/>
              <w:bottom w:val="single" w:sz="4" w:space="0" w:color="auto"/>
              <w:right w:val="double" w:sz="4" w:space="0" w:color="auto"/>
            </w:tcBorders>
            <w:shd w:val="clear" w:color="auto" w:fill="auto"/>
            <w:noWrap/>
            <w:hideMark/>
          </w:tcPr>
          <w:p w14:paraId="50E267E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18B96D6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1CA5E5E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237183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1276" w:type="dxa"/>
            <w:tcBorders>
              <w:top w:val="nil"/>
              <w:left w:val="double" w:sz="4" w:space="0" w:color="auto"/>
              <w:bottom w:val="single" w:sz="4" w:space="0" w:color="auto"/>
              <w:right w:val="double" w:sz="4" w:space="0" w:color="auto"/>
            </w:tcBorders>
            <w:shd w:val="clear" w:color="auto" w:fill="auto"/>
            <w:noWrap/>
            <w:hideMark/>
          </w:tcPr>
          <w:p w14:paraId="54C3CCF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769A0BF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6" w:type="dxa"/>
            <w:tcBorders>
              <w:top w:val="nil"/>
              <w:left w:val="nil"/>
              <w:bottom w:val="single" w:sz="4" w:space="0" w:color="auto"/>
              <w:right w:val="single" w:sz="4" w:space="0" w:color="auto"/>
            </w:tcBorders>
            <w:shd w:val="clear" w:color="auto" w:fill="auto"/>
            <w:noWrap/>
            <w:hideMark/>
          </w:tcPr>
          <w:p w14:paraId="0ECA21C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7B7FA74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B41985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0E605524" w14:textId="77777777" w:rsidTr="00BD5A0B">
        <w:trPr>
          <w:gridAfter w:val="1"/>
          <w:wAfter w:w="52" w:type="dxa"/>
          <w:trHeight w:val="345"/>
        </w:trPr>
        <w:tc>
          <w:tcPr>
            <w:tcW w:w="2542" w:type="dxa"/>
            <w:tcBorders>
              <w:top w:val="nil"/>
              <w:left w:val="single" w:sz="8" w:space="0" w:color="auto"/>
              <w:bottom w:val="single" w:sz="4" w:space="0" w:color="auto"/>
              <w:right w:val="double" w:sz="4" w:space="0" w:color="auto"/>
            </w:tcBorders>
            <w:shd w:val="clear" w:color="auto" w:fill="auto"/>
            <w:noWrap/>
            <w:hideMark/>
          </w:tcPr>
          <w:p w14:paraId="65FB88DD"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Yang et al (2015)</w:t>
            </w:r>
          </w:p>
        </w:tc>
        <w:tc>
          <w:tcPr>
            <w:tcW w:w="709" w:type="dxa"/>
            <w:tcBorders>
              <w:top w:val="nil"/>
              <w:left w:val="double" w:sz="4" w:space="0" w:color="auto"/>
              <w:bottom w:val="single" w:sz="4" w:space="0" w:color="auto"/>
              <w:right w:val="single" w:sz="4" w:space="0" w:color="auto"/>
            </w:tcBorders>
            <w:shd w:val="clear" w:color="auto" w:fill="auto"/>
            <w:noWrap/>
            <w:hideMark/>
          </w:tcPr>
          <w:p w14:paraId="7DBE68B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CC50E6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7EC7377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BA9036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5DF4D22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142ED11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317948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5" w:type="dxa"/>
            <w:tcBorders>
              <w:top w:val="nil"/>
              <w:left w:val="double" w:sz="4" w:space="0" w:color="auto"/>
              <w:bottom w:val="single" w:sz="4" w:space="0" w:color="auto"/>
              <w:right w:val="single" w:sz="4" w:space="0" w:color="auto"/>
            </w:tcBorders>
            <w:shd w:val="clear" w:color="auto" w:fill="auto"/>
            <w:noWrap/>
            <w:hideMark/>
          </w:tcPr>
          <w:p w14:paraId="1AA8E119"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5BD03374"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5D52CBE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4C64F97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58C32BF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52796A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16FC978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734DE53D"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156A256B" w14:textId="77777777" w:rsidTr="00BD5A0B">
        <w:trPr>
          <w:gridAfter w:val="1"/>
          <w:wAfter w:w="52" w:type="dxa"/>
          <w:trHeight w:val="300"/>
        </w:trPr>
        <w:tc>
          <w:tcPr>
            <w:tcW w:w="2542" w:type="dxa"/>
            <w:tcBorders>
              <w:top w:val="nil"/>
              <w:left w:val="single" w:sz="8" w:space="0" w:color="auto"/>
              <w:bottom w:val="single" w:sz="4" w:space="0" w:color="auto"/>
              <w:right w:val="double" w:sz="4" w:space="0" w:color="auto"/>
            </w:tcBorders>
            <w:shd w:val="clear" w:color="auto" w:fill="auto"/>
            <w:noWrap/>
            <w:hideMark/>
          </w:tcPr>
          <w:p w14:paraId="20AF02D9"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Han et al (2017)</w:t>
            </w:r>
          </w:p>
        </w:tc>
        <w:tc>
          <w:tcPr>
            <w:tcW w:w="709" w:type="dxa"/>
            <w:tcBorders>
              <w:top w:val="nil"/>
              <w:left w:val="double" w:sz="4" w:space="0" w:color="auto"/>
              <w:bottom w:val="single" w:sz="4" w:space="0" w:color="auto"/>
              <w:right w:val="single" w:sz="4" w:space="0" w:color="auto"/>
            </w:tcBorders>
            <w:shd w:val="clear" w:color="auto" w:fill="auto"/>
            <w:noWrap/>
            <w:hideMark/>
          </w:tcPr>
          <w:p w14:paraId="750CFE3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4" w:space="0" w:color="auto"/>
              <w:right w:val="single" w:sz="4" w:space="0" w:color="auto"/>
            </w:tcBorders>
            <w:shd w:val="clear" w:color="auto" w:fill="auto"/>
            <w:noWrap/>
            <w:hideMark/>
          </w:tcPr>
          <w:p w14:paraId="0E819DD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1D8FE49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single" w:sz="4" w:space="0" w:color="auto"/>
            </w:tcBorders>
            <w:shd w:val="clear" w:color="auto" w:fill="auto"/>
            <w:noWrap/>
            <w:hideMark/>
          </w:tcPr>
          <w:p w14:paraId="34415F4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single" w:sz="4" w:space="0" w:color="auto"/>
            </w:tcBorders>
            <w:shd w:val="clear" w:color="auto" w:fill="auto"/>
            <w:noWrap/>
            <w:hideMark/>
          </w:tcPr>
          <w:p w14:paraId="4AF017C1"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4" w:space="0" w:color="auto"/>
              <w:right w:val="double" w:sz="4" w:space="0" w:color="auto"/>
            </w:tcBorders>
            <w:shd w:val="clear" w:color="auto" w:fill="auto"/>
            <w:noWrap/>
            <w:hideMark/>
          </w:tcPr>
          <w:p w14:paraId="77CC2A7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4" w:space="0" w:color="auto"/>
              <w:right w:val="double" w:sz="4" w:space="0" w:color="auto"/>
            </w:tcBorders>
            <w:shd w:val="clear" w:color="auto" w:fill="auto"/>
            <w:noWrap/>
            <w:hideMark/>
          </w:tcPr>
          <w:p w14:paraId="6E8611E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4" w:space="0" w:color="auto"/>
              <w:right w:val="single" w:sz="4" w:space="0" w:color="auto"/>
            </w:tcBorders>
            <w:shd w:val="clear" w:color="auto" w:fill="auto"/>
            <w:noWrap/>
            <w:hideMark/>
          </w:tcPr>
          <w:p w14:paraId="286918A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3" w:type="dxa"/>
            <w:tcBorders>
              <w:top w:val="nil"/>
              <w:left w:val="nil"/>
              <w:bottom w:val="single" w:sz="4" w:space="0" w:color="auto"/>
              <w:right w:val="single" w:sz="4" w:space="0" w:color="auto"/>
            </w:tcBorders>
            <w:shd w:val="clear" w:color="auto" w:fill="auto"/>
            <w:noWrap/>
            <w:hideMark/>
          </w:tcPr>
          <w:p w14:paraId="62E32A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4" w:space="0" w:color="auto"/>
              <w:right w:val="double" w:sz="4" w:space="0" w:color="auto"/>
            </w:tcBorders>
            <w:shd w:val="clear" w:color="auto" w:fill="auto"/>
            <w:noWrap/>
            <w:hideMark/>
          </w:tcPr>
          <w:p w14:paraId="3FD18386"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4" w:space="0" w:color="auto"/>
              <w:right w:val="double" w:sz="4" w:space="0" w:color="auto"/>
            </w:tcBorders>
            <w:shd w:val="clear" w:color="auto" w:fill="auto"/>
            <w:noWrap/>
            <w:hideMark/>
          </w:tcPr>
          <w:p w14:paraId="63AF92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4" w:space="0" w:color="auto"/>
              <w:right w:val="single" w:sz="4" w:space="0" w:color="auto"/>
            </w:tcBorders>
            <w:shd w:val="clear" w:color="auto" w:fill="auto"/>
            <w:noWrap/>
            <w:hideMark/>
          </w:tcPr>
          <w:p w14:paraId="6184FB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4" w:space="0" w:color="auto"/>
              <w:right w:val="single" w:sz="4" w:space="0" w:color="auto"/>
            </w:tcBorders>
            <w:shd w:val="clear" w:color="auto" w:fill="auto"/>
            <w:noWrap/>
            <w:hideMark/>
          </w:tcPr>
          <w:p w14:paraId="45A810E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4" w:space="0" w:color="auto"/>
              <w:right w:val="double" w:sz="4" w:space="0" w:color="auto"/>
            </w:tcBorders>
            <w:shd w:val="clear" w:color="auto" w:fill="auto"/>
            <w:noWrap/>
            <w:hideMark/>
          </w:tcPr>
          <w:p w14:paraId="5B9E6143"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4" w:space="0" w:color="auto"/>
              <w:right w:val="single" w:sz="8" w:space="0" w:color="auto"/>
            </w:tcBorders>
            <w:shd w:val="clear" w:color="auto" w:fill="auto"/>
            <w:noWrap/>
            <w:hideMark/>
          </w:tcPr>
          <w:p w14:paraId="6606294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r w:rsidR="004118DF" w:rsidRPr="00530906" w14:paraId="410A16FD" w14:textId="77777777" w:rsidTr="00BD5A0B">
        <w:trPr>
          <w:gridAfter w:val="1"/>
          <w:wAfter w:w="52" w:type="dxa"/>
          <w:trHeight w:val="315"/>
        </w:trPr>
        <w:tc>
          <w:tcPr>
            <w:tcW w:w="2542" w:type="dxa"/>
            <w:tcBorders>
              <w:top w:val="nil"/>
              <w:left w:val="single" w:sz="8" w:space="0" w:color="auto"/>
              <w:bottom w:val="single" w:sz="8" w:space="0" w:color="auto"/>
              <w:right w:val="double" w:sz="4" w:space="0" w:color="auto"/>
            </w:tcBorders>
            <w:shd w:val="clear" w:color="auto" w:fill="auto"/>
            <w:noWrap/>
            <w:hideMark/>
          </w:tcPr>
          <w:p w14:paraId="242A3C2F" w14:textId="77777777" w:rsidR="002E5B75" w:rsidRPr="00530906" w:rsidRDefault="002E5B75">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Han et al (2019)</w:t>
            </w:r>
          </w:p>
        </w:tc>
        <w:tc>
          <w:tcPr>
            <w:tcW w:w="709" w:type="dxa"/>
            <w:tcBorders>
              <w:top w:val="nil"/>
              <w:left w:val="double" w:sz="4" w:space="0" w:color="auto"/>
              <w:bottom w:val="single" w:sz="8" w:space="0" w:color="auto"/>
              <w:right w:val="single" w:sz="4" w:space="0" w:color="auto"/>
            </w:tcBorders>
            <w:shd w:val="clear" w:color="auto" w:fill="auto"/>
            <w:noWrap/>
            <w:hideMark/>
          </w:tcPr>
          <w:p w14:paraId="0353A76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7" w:type="dxa"/>
            <w:tcBorders>
              <w:top w:val="nil"/>
              <w:left w:val="nil"/>
              <w:bottom w:val="single" w:sz="8" w:space="0" w:color="auto"/>
              <w:right w:val="single" w:sz="4" w:space="0" w:color="auto"/>
            </w:tcBorders>
            <w:shd w:val="clear" w:color="auto" w:fill="auto"/>
            <w:noWrap/>
            <w:hideMark/>
          </w:tcPr>
          <w:p w14:paraId="3B49C31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8" w:space="0" w:color="auto"/>
              <w:right w:val="single" w:sz="4" w:space="0" w:color="auto"/>
            </w:tcBorders>
            <w:shd w:val="clear" w:color="auto" w:fill="auto"/>
            <w:noWrap/>
            <w:hideMark/>
          </w:tcPr>
          <w:p w14:paraId="17CEAE7E"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709" w:type="dxa"/>
            <w:tcBorders>
              <w:top w:val="nil"/>
              <w:left w:val="nil"/>
              <w:bottom w:val="single" w:sz="8" w:space="0" w:color="auto"/>
              <w:right w:val="single" w:sz="4" w:space="0" w:color="auto"/>
            </w:tcBorders>
            <w:shd w:val="clear" w:color="auto" w:fill="auto"/>
            <w:noWrap/>
            <w:hideMark/>
          </w:tcPr>
          <w:p w14:paraId="6F08CD6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8" w:space="0" w:color="auto"/>
              <w:right w:val="single" w:sz="4" w:space="0" w:color="auto"/>
            </w:tcBorders>
            <w:shd w:val="clear" w:color="auto" w:fill="auto"/>
            <w:noWrap/>
            <w:hideMark/>
          </w:tcPr>
          <w:p w14:paraId="3FBD842C"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709" w:type="dxa"/>
            <w:tcBorders>
              <w:top w:val="nil"/>
              <w:left w:val="nil"/>
              <w:bottom w:val="single" w:sz="8" w:space="0" w:color="auto"/>
              <w:right w:val="double" w:sz="4" w:space="0" w:color="auto"/>
            </w:tcBorders>
            <w:shd w:val="clear" w:color="auto" w:fill="auto"/>
            <w:noWrap/>
            <w:hideMark/>
          </w:tcPr>
          <w:p w14:paraId="6484610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417" w:type="dxa"/>
            <w:tcBorders>
              <w:top w:val="nil"/>
              <w:left w:val="double" w:sz="4" w:space="0" w:color="auto"/>
              <w:bottom w:val="single" w:sz="8" w:space="0" w:color="auto"/>
              <w:right w:val="double" w:sz="4" w:space="0" w:color="auto"/>
            </w:tcBorders>
            <w:shd w:val="clear" w:color="auto" w:fill="auto"/>
            <w:noWrap/>
            <w:hideMark/>
          </w:tcPr>
          <w:p w14:paraId="458B299A"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double" w:sz="4" w:space="0" w:color="auto"/>
              <w:bottom w:val="single" w:sz="8" w:space="0" w:color="auto"/>
              <w:right w:val="single" w:sz="4" w:space="0" w:color="auto"/>
            </w:tcBorders>
            <w:shd w:val="clear" w:color="auto" w:fill="auto"/>
            <w:noWrap/>
            <w:hideMark/>
          </w:tcPr>
          <w:p w14:paraId="06C7CD8B"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993" w:type="dxa"/>
            <w:tcBorders>
              <w:top w:val="nil"/>
              <w:left w:val="nil"/>
              <w:bottom w:val="single" w:sz="8" w:space="0" w:color="auto"/>
              <w:right w:val="single" w:sz="4" w:space="0" w:color="auto"/>
            </w:tcBorders>
            <w:shd w:val="clear" w:color="auto" w:fill="auto"/>
            <w:noWrap/>
            <w:hideMark/>
          </w:tcPr>
          <w:p w14:paraId="3A2503BF"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425" w:type="dxa"/>
            <w:tcBorders>
              <w:top w:val="nil"/>
              <w:left w:val="nil"/>
              <w:bottom w:val="single" w:sz="8" w:space="0" w:color="auto"/>
              <w:right w:val="double" w:sz="4" w:space="0" w:color="auto"/>
            </w:tcBorders>
            <w:shd w:val="clear" w:color="auto" w:fill="auto"/>
            <w:noWrap/>
            <w:hideMark/>
          </w:tcPr>
          <w:p w14:paraId="390D7D58"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276" w:type="dxa"/>
            <w:tcBorders>
              <w:top w:val="nil"/>
              <w:left w:val="double" w:sz="4" w:space="0" w:color="auto"/>
              <w:bottom w:val="single" w:sz="8" w:space="0" w:color="auto"/>
              <w:right w:val="double" w:sz="4" w:space="0" w:color="auto"/>
            </w:tcBorders>
            <w:shd w:val="clear" w:color="auto" w:fill="auto"/>
            <w:noWrap/>
            <w:hideMark/>
          </w:tcPr>
          <w:p w14:paraId="558E7355"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992" w:type="dxa"/>
            <w:tcBorders>
              <w:top w:val="nil"/>
              <w:left w:val="double" w:sz="4" w:space="0" w:color="auto"/>
              <w:bottom w:val="single" w:sz="8" w:space="0" w:color="auto"/>
              <w:right w:val="single" w:sz="4" w:space="0" w:color="auto"/>
            </w:tcBorders>
            <w:shd w:val="clear" w:color="auto" w:fill="auto"/>
            <w:noWrap/>
            <w:hideMark/>
          </w:tcPr>
          <w:p w14:paraId="54EB5FF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w:t>
            </w:r>
          </w:p>
        </w:tc>
        <w:tc>
          <w:tcPr>
            <w:tcW w:w="426" w:type="dxa"/>
            <w:tcBorders>
              <w:top w:val="nil"/>
              <w:left w:val="nil"/>
              <w:bottom w:val="single" w:sz="8" w:space="0" w:color="auto"/>
              <w:right w:val="single" w:sz="4" w:space="0" w:color="auto"/>
            </w:tcBorders>
            <w:shd w:val="clear" w:color="auto" w:fill="auto"/>
            <w:noWrap/>
            <w:hideMark/>
          </w:tcPr>
          <w:p w14:paraId="64CD69A2"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566" w:type="dxa"/>
            <w:tcBorders>
              <w:top w:val="nil"/>
              <w:left w:val="nil"/>
              <w:bottom w:val="single" w:sz="8" w:space="0" w:color="auto"/>
              <w:right w:val="double" w:sz="4" w:space="0" w:color="auto"/>
            </w:tcBorders>
            <w:shd w:val="clear" w:color="auto" w:fill="auto"/>
            <w:noWrap/>
            <w:hideMark/>
          </w:tcPr>
          <w:p w14:paraId="375A6310"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c>
          <w:tcPr>
            <w:tcW w:w="1134" w:type="dxa"/>
            <w:tcBorders>
              <w:top w:val="nil"/>
              <w:left w:val="double" w:sz="4" w:space="0" w:color="auto"/>
              <w:bottom w:val="single" w:sz="8" w:space="0" w:color="auto"/>
              <w:right w:val="single" w:sz="8" w:space="0" w:color="auto"/>
            </w:tcBorders>
            <w:shd w:val="clear" w:color="auto" w:fill="auto"/>
            <w:noWrap/>
            <w:hideMark/>
          </w:tcPr>
          <w:p w14:paraId="21973647" w14:textId="77777777" w:rsidR="002E5B75" w:rsidRPr="00530906" w:rsidRDefault="002E5B75" w:rsidP="008756B1">
            <w:pPr>
              <w:spacing w:after="0" w:line="240" w:lineRule="auto"/>
              <w:jc w:val="both"/>
              <w:rPr>
                <w:rFonts w:ascii="Calibri" w:eastAsia="Times New Roman" w:hAnsi="Calibri" w:cs="Calibri"/>
                <w:color w:val="000000"/>
                <w:sz w:val="24"/>
                <w:szCs w:val="24"/>
                <w:lang w:eastAsia="en-GB"/>
              </w:rPr>
            </w:pPr>
            <w:r w:rsidRPr="00530906">
              <w:rPr>
                <w:rFonts w:ascii="Calibri" w:eastAsia="Times New Roman" w:hAnsi="Calibri" w:cs="Calibri"/>
                <w:color w:val="000000"/>
                <w:sz w:val="24"/>
                <w:szCs w:val="24"/>
                <w:lang w:eastAsia="en-GB"/>
              </w:rPr>
              <w:t> </w:t>
            </w:r>
          </w:p>
        </w:tc>
      </w:tr>
    </w:tbl>
    <w:p w14:paraId="07FA79FB" w14:textId="77777777" w:rsidR="00695F03" w:rsidRPr="00530906" w:rsidRDefault="00695F03">
      <w:pPr>
        <w:spacing w:line="360" w:lineRule="auto"/>
        <w:jc w:val="both"/>
        <w:rPr>
          <w:rFonts w:ascii="Cambria" w:eastAsia="Calibri" w:hAnsi="Cambria" w:cs="Times New Roman"/>
          <w:sz w:val="24"/>
          <w:szCs w:val="24"/>
        </w:rPr>
        <w:sectPr w:rsidR="00695F03" w:rsidRPr="00530906" w:rsidSect="008756B1">
          <w:pgSz w:w="16838" w:h="11906" w:orient="landscape"/>
          <w:pgMar w:top="1440" w:right="1440" w:bottom="1440" w:left="1440" w:header="709" w:footer="709" w:gutter="0"/>
          <w:cols w:space="708"/>
          <w:docGrid w:linePitch="360"/>
        </w:sectPr>
      </w:pPr>
    </w:p>
    <w:p w14:paraId="6D01FC5F" w14:textId="0803051C" w:rsidR="002D0247" w:rsidRPr="00530906" w:rsidRDefault="00425BF3" w:rsidP="002D0247">
      <w:pPr>
        <w:spacing w:after="200" w:line="360" w:lineRule="auto"/>
        <w:jc w:val="both"/>
        <w:rPr>
          <w:rFonts w:ascii="Cambria" w:eastAsia="Calibri" w:hAnsi="Cambria" w:cs="Times New Roman"/>
          <w:sz w:val="24"/>
          <w:szCs w:val="24"/>
        </w:rPr>
      </w:pPr>
      <w:r w:rsidRPr="00530906">
        <w:rPr>
          <w:rFonts w:ascii="Cambria" w:eastAsia="Calibri" w:hAnsi="Cambria" w:cs="Times New Roman"/>
          <w:sz w:val="24"/>
          <w:szCs w:val="24"/>
        </w:rPr>
        <w:lastRenderedPageBreak/>
        <w:t xml:space="preserve">As seen in table </w:t>
      </w:r>
      <w:r w:rsidR="004F53B2">
        <w:rPr>
          <w:rFonts w:ascii="Cambria" w:eastAsia="Calibri" w:hAnsi="Cambria" w:cs="Times New Roman"/>
          <w:sz w:val="24"/>
          <w:szCs w:val="24"/>
        </w:rPr>
        <w:t>2</w:t>
      </w:r>
      <w:r w:rsidR="00FC5C3F" w:rsidRPr="00530906">
        <w:rPr>
          <w:rFonts w:ascii="Cambria" w:eastAsia="Calibri" w:hAnsi="Cambria" w:cs="Times New Roman"/>
          <w:sz w:val="24"/>
          <w:szCs w:val="24"/>
        </w:rPr>
        <w:t xml:space="preserve">, 38 </w:t>
      </w:r>
      <w:r w:rsidR="004F53B2" w:rsidRPr="00530906">
        <w:rPr>
          <w:rFonts w:ascii="Cambria" w:eastAsia="Calibri" w:hAnsi="Cambria" w:cs="Times New Roman"/>
          <w:sz w:val="24"/>
          <w:szCs w:val="24"/>
        </w:rPr>
        <w:t>articles</w:t>
      </w:r>
      <w:r w:rsidR="00FC5C3F" w:rsidRPr="00530906">
        <w:rPr>
          <w:rFonts w:ascii="Cambria" w:eastAsia="Calibri" w:hAnsi="Cambria" w:cs="Times New Roman"/>
          <w:sz w:val="24"/>
          <w:szCs w:val="24"/>
        </w:rPr>
        <w:t xml:space="preserve"> have considered attitude re</w:t>
      </w:r>
      <w:r w:rsidR="004F53B2">
        <w:rPr>
          <w:rFonts w:ascii="Cambria" w:eastAsia="Calibri" w:hAnsi="Cambria" w:cs="Times New Roman"/>
          <w:sz w:val="24"/>
          <w:szCs w:val="24"/>
        </w:rPr>
        <w:t>l</w:t>
      </w:r>
      <w:r w:rsidR="00FC5C3F" w:rsidRPr="00530906">
        <w:rPr>
          <w:rFonts w:ascii="Cambria" w:eastAsia="Calibri" w:hAnsi="Cambria" w:cs="Times New Roman"/>
          <w:sz w:val="24"/>
          <w:szCs w:val="24"/>
        </w:rPr>
        <w:t>a</w:t>
      </w:r>
      <w:r w:rsidR="004F53B2">
        <w:rPr>
          <w:rFonts w:ascii="Cambria" w:eastAsia="Calibri" w:hAnsi="Cambria" w:cs="Times New Roman"/>
          <w:sz w:val="24"/>
          <w:szCs w:val="24"/>
        </w:rPr>
        <w:t>t</w:t>
      </w:r>
      <w:r w:rsidR="00FC5C3F" w:rsidRPr="00530906">
        <w:rPr>
          <w:rFonts w:ascii="Cambria" w:eastAsia="Calibri" w:hAnsi="Cambria" w:cs="Times New Roman"/>
          <w:sz w:val="24"/>
          <w:szCs w:val="24"/>
        </w:rPr>
        <w:t xml:space="preserve">ed constructs as the antecedents of the </w:t>
      </w:r>
      <w:r w:rsidR="004F53B2" w:rsidRPr="00530906">
        <w:rPr>
          <w:rFonts w:ascii="Cambria" w:eastAsia="Calibri" w:hAnsi="Cambria" w:cs="Times New Roman"/>
          <w:sz w:val="24"/>
          <w:szCs w:val="24"/>
        </w:rPr>
        <w:t>sustainable</w:t>
      </w:r>
      <w:r w:rsidR="00FC5C3F" w:rsidRPr="00530906">
        <w:rPr>
          <w:rFonts w:ascii="Cambria" w:eastAsia="Calibri" w:hAnsi="Cambria" w:cs="Times New Roman"/>
          <w:sz w:val="24"/>
          <w:szCs w:val="24"/>
        </w:rPr>
        <w:t xml:space="preserve"> behaviour. This denotes the importance of this construct in developing consumers’ sustainable purchase behaviour.</w:t>
      </w:r>
      <w:r w:rsidR="002D0247" w:rsidRPr="00530906">
        <w:rPr>
          <w:rFonts w:ascii="Cambria" w:eastAsia="Calibri" w:hAnsi="Cambria" w:cs="Times New Roman"/>
          <w:sz w:val="24"/>
          <w:szCs w:val="24"/>
        </w:rPr>
        <w:t xml:space="preserve"> </w:t>
      </w:r>
      <w:r w:rsidR="002D0247" w:rsidRPr="00530906">
        <w:rPr>
          <w:rFonts w:ascii="Cambria" w:eastAsia="Calibri" w:hAnsi="Cambria" w:cs="Adobe Devanagari"/>
          <w:sz w:val="24"/>
          <w:szCs w:val="24"/>
        </w:rPr>
        <w:t xml:space="preserve">It is also clear from the literature review that (Appendix </w:t>
      </w:r>
      <w:r w:rsidR="00472A58">
        <w:rPr>
          <w:rFonts w:ascii="Cambria" w:eastAsia="Calibri" w:hAnsi="Cambria" w:cs="Adobe Devanagari"/>
          <w:sz w:val="24"/>
          <w:szCs w:val="24"/>
        </w:rPr>
        <w:t>2</w:t>
      </w:r>
      <w:r w:rsidR="002D0247" w:rsidRPr="00530906">
        <w:rPr>
          <w:rFonts w:ascii="Cambria" w:eastAsia="Calibri" w:hAnsi="Cambria" w:cs="Adobe Devanagari"/>
          <w:sz w:val="24"/>
          <w:szCs w:val="24"/>
        </w:rPr>
        <w:t>) that, contextual factors are largely understudied</w:t>
      </w:r>
      <w:r w:rsidR="00363A16" w:rsidRPr="00530906">
        <w:rPr>
          <w:rFonts w:ascii="Cambria" w:eastAsia="Calibri" w:hAnsi="Cambria" w:cs="Adobe Devanagari"/>
          <w:sz w:val="24"/>
          <w:szCs w:val="24"/>
        </w:rPr>
        <w:t>. S</w:t>
      </w:r>
      <w:r w:rsidR="002D0247" w:rsidRPr="00530906">
        <w:rPr>
          <w:rFonts w:ascii="Cambria" w:eastAsia="Calibri" w:hAnsi="Cambria" w:cs="Times New Roman"/>
          <w:sz w:val="24"/>
          <w:szCs w:val="24"/>
        </w:rPr>
        <w:t xml:space="preserve">ituational and contextual factors </w:t>
      </w:r>
      <w:r w:rsidR="00363A16" w:rsidRPr="00530906">
        <w:rPr>
          <w:rFonts w:ascii="Cambria" w:eastAsia="Calibri" w:hAnsi="Cambria" w:cs="Times New Roman"/>
          <w:sz w:val="24"/>
          <w:szCs w:val="24"/>
        </w:rPr>
        <w:t xml:space="preserve">like- </w:t>
      </w:r>
      <w:r w:rsidR="002D0247" w:rsidRPr="00530906">
        <w:rPr>
          <w:rFonts w:ascii="Cambria" w:eastAsia="Calibri" w:hAnsi="Cambria" w:cs="Times New Roman"/>
          <w:sz w:val="24"/>
          <w:szCs w:val="24"/>
        </w:rPr>
        <w:t>interpersonal influences, government regulations, availability of recycling facilities, quality of public transport, pricing etc</w:t>
      </w:r>
      <w:r w:rsidR="00363A16" w:rsidRPr="00530906">
        <w:rPr>
          <w:rFonts w:ascii="Cambria" w:eastAsia="Calibri" w:hAnsi="Cambria" w:cs="Times New Roman"/>
          <w:sz w:val="24"/>
          <w:szCs w:val="24"/>
        </w:rPr>
        <w:t>.</w:t>
      </w:r>
      <w:r w:rsidR="002D0247" w:rsidRPr="00530906">
        <w:rPr>
          <w:rFonts w:ascii="Cambria" w:eastAsia="Calibri" w:hAnsi="Cambria" w:cs="Times New Roman"/>
          <w:sz w:val="24"/>
          <w:szCs w:val="24"/>
        </w:rPr>
        <w:t xml:space="preserve"> have </w:t>
      </w:r>
      <w:r w:rsidR="006A03EC" w:rsidRPr="00530906">
        <w:rPr>
          <w:rFonts w:ascii="Cambria" w:eastAsia="Calibri" w:hAnsi="Cambria" w:cs="Times New Roman"/>
          <w:sz w:val="24"/>
          <w:szCs w:val="24"/>
        </w:rPr>
        <w:t xml:space="preserve">been considered in the studies </w:t>
      </w:r>
      <w:r w:rsidR="002D0247" w:rsidRPr="00530906">
        <w:rPr>
          <w:rFonts w:ascii="Cambria" w:eastAsia="Calibri" w:hAnsi="Cambria" w:cs="Times New Roman"/>
          <w:sz w:val="24"/>
          <w:szCs w:val="24"/>
        </w:rPr>
        <w:t>(Ertz et al 2016</w:t>
      </w:r>
      <w:r w:rsidR="006A03EC" w:rsidRPr="00530906">
        <w:rPr>
          <w:rFonts w:ascii="Cambria" w:eastAsia="Calibri" w:hAnsi="Cambria" w:cs="Times New Roman"/>
          <w:sz w:val="24"/>
          <w:szCs w:val="24"/>
        </w:rPr>
        <w:t>; Kilbourne 2004</w:t>
      </w:r>
      <w:r w:rsidR="002D0247" w:rsidRPr="00530906">
        <w:rPr>
          <w:rFonts w:ascii="Cambria" w:eastAsia="Calibri" w:hAnsi="Cambria" w:cs="Times New Roman"/>
          <w:sz w:val="24"/>
          <w:szCs w:val="24"/>
        </w:rPr>
        <w:t>)</w:t>
      </w:r>
      <w:r w:rsidR="002F7252" w:rsidRPr="00530906">
        <w:rPr>
          <w:rFonts w:ascii="Cambria" w:eastAsia="Calibri" w:hAnsi="Cambria" w:cs="Times New Roman"/>
          <w:sz w:val="24"/>
          <w:szCs w:val="24"/>
        </w:rPr>
        <w:t xml:space="preserve"> are normally beyond organisations’ control expect media</w:t>
      </w:r>
      <w:r w:rsidR="002D0247" w:rsidRPr="00530906">
        <w:rPr>
          <w:rFonts w:ascii="Cambria" w:eastAsia="Calibri" w:hAnsi="Cambria" w:cs="Times New Roman"/>
          <w:sz w:val="24"/>
          <w:szCs w:val="24"/>
        </w:rPr>
        <w:t xml:space="preserve">. </w:t>
      </w:r>
      <w:r w:rsidR="00FB01CA" w:rsidRPr="00530906">
        <w:rPr>
          <w:rFonts w:ascii="Cambria" w:eastAsia="Calibri" w:hAnsi="Cambria" w:cs="Times New Roman"/>
          <w:sz w:val="24"/>
          <w:szCs w:val="24"/>
        </w:rPr>
        <w:t>Media</w:t>
      </w:r>
      <w:r w:rsidR="002F7252" w:rsidRPr="00530906">
        <w:rPr>
          <w:rFonts w:ascii="Cambria" w:eastAsia="Calibri" w:hAnsi="Cambria" w:cs="Times New Roman"/>
          <w:sz w:val="24"/>
          <w:szCs w:val="24"/>
        </w:rPr>
        <w:t xml:space="preserve"> as a context, has been</w:t>
      </w:r>
      <w:r w:rsidR="00FB01CA" w:rsidRPr="00530906">
        <w:rPr>
          <w:rFonts w:ascii="Cambria" w:eastAsia="Calibri" w:hAnsi="Cambria" w:cs="Times New Roman"/>
          <w:sz w:val="24"/>
          <w:szCs w:val="24"/>
        </w:rPr>
        <w:t xml:space="preserve"> studied o</w:t>
      </w:r>
      <w:r w:rsidR="002D0247" w:rsidRPr="00530906">
        <w:rPr>
          <w:rFonts w:ascii="Cambria" w:eastAsia="Calibri" w:hAnsi="Cambria" w:cs="Times New Roman"/>
          <w:sz w:val="24"/>
          <w:szCs w:val="24"/>
        </w:rPr>
        <w:t>nly</w:t>
      </w:r>
      <w:r w:rsidR="00FB01CA" w:rsidRPr="00530906">
        <w:rPr>
          <w:rFonts w:ascii="Cambria" w:eastAsia="Calibri" w:hAnsi="Cambria" w:cs="Times New Roman"/>
          <w:sz w:val="24"/>
          <w:szCs w:val="24"/>
        </w:rPr>
        <w:t xml:space="preserve"> by</w:t>
      </w:r>
      <w:r w:rsidR="002D0247" w:rsidRPr="00530906">
        <w:rPr>
          <w:rFonts w:ascii="Cambria" w:eastAsia="Calibri" w:hAnsi="Cambria" w:cs="Times New Roman"/>
          <w:sz w:val="24"/>
          <w:szCs w:val="24"/>
        </w:rPr>
        <w:t xml:space="preserve"> Lin and Hsu (2015) and Lyon and Montgomery (2014)</w:t>
      </w:r>
      <w:r w:rsidR="00FB01CA" w:rsidRPr="00530906">
        <w:rPr>
          <w:rFonts w:ascii="Cambria" w:eastAsia="Calibri" w:hAnsi="Cambria" w:cs="Times New Roman"/>
          <w:sz w:val="24"/>
          <w:szCs w:val="24"/>
        </w:rPr>
        <w:t xml:space="preserve">.  </w:t>
      </w:r>
      <w:r w:rsidR="00937940" w:rsidRPr="00530906">
        <w:rPr>
          <w:rFonts w:ascii="Cambria" w:eastAsia="Calibri" w:hAnsi="Cambria" w:cs="Times New Roman"/>
          <w:sz w:val="24"/>
          <w:szCs w:val="24"/>
        </w:rPr>
        <w:t>They</w:t>
      </w:r>
      <w:r w:rsidR="00FB01CA" w:rsidRPr="00530906">
        <w:rPr>
          <w:rFonts w:ascii="Cambria" w:eastAsia="Calibri" w:hAnsi="Cambria" w:cs="Times New Roman"/>
          <w:sz w:val="24"/>
          <w:szCs w:val="24"/>
        </w:rPr>
        <w:t xml:space="preserve"> </w:t>
      </w:r>
      <w:r w:rsidR="00937940" w:rsidRPr="00530906">
        <w:rPr>
          <w:rFonts w:ascii="Cambria" w:eastAsia="Calibri" w:hAnsi="Cambria" w:cs="Times New Roman"/>
          <w:sz w:val="24"/>
          <w:szCs w:val="24"/>
        </w:rPr>
        <w:t xml:space="preserve">have </w:t>
      </w:r>
      <w:r w:rsidR="002D0247" w:rsidRPr="00530906">
        <w:rPr>
          <w:rFonts w:ascii="Cambria" w:eastAsia="Calibri" w:hAnsi="Cambria" w:cs="Times New Roman"/>
          <w:sz w:val="24"/>
          <w:szCs w:val="24"/>
        </w:rPr>
        <w:t xml:space="preserve">considered public media </w:t>
      </w:r>
      <w:r w:rsidR="00937940" w:rsidRPr="00530906">
        <w:rPr>
          <w:rFonts w:ascii="Cambria" w:eastAsia="Calibri" w:hAnsi="Cambria" w:cs="Times New Roman"/>
          <w:sz w:val="24"/>
          <w:szCs w:val="24"/>
        </w:rPr>
        <w:t xml:space="preserve">(Lin and Hsu 2015) </w:t>
      </w:r>
      <w:r w:rsidR="002D0247" w:rsidRPr="00530906">
        <w:rPr>
          <w:rFonts w:ascii="Cambria" w:eastAsia="Calibri" w:hAnsi="Cambria" w:cs="Times New Roman"/>
          <w:sz w:val="24"/>
          <w:szCs w:val="24"/>
        </w:rPr>
        <w:t xml:space="preserve">and social media </w:t>
      </w:r>
      <w:r w:rsidR="00937940" w:rsidRPr="00530906">
        <w:rPr>
          <w:rFonts w:ascii="Cambria" w:eastAsia="Calibri" w:hAnsi="Cambria" w:cs="Times New Roman"/>
          <w:sz w:val="24"/>
          <w:szCs w:val="24"/>
        </w:rPr>
        <w:t>(Lyon and Montgomery 2014)</w:t>
      </w:r>
      <w:r w:rsidR="002D0247" w:rsidRPr="00530906">
        <w:rPr>
          <w:rFonts w:ascii="Cambria" w:eastAsia="Calibri" w:hAnsi="Cambria" w:cs="Times New Roman"/>
          <w:sz w:val="24"/>
          <w:szCs w:val="24"/>
        </w:rPr>
        <w:t xml:space="preserve"> as the context of their study. However, in their attempt to understand consumers’ action in social media over organisations practice, Lyon, and Montgomery (2014) have confined their study on highly involved activists with only negative opinion about the company, whose objective is to change the questionable practice of the organisations. </w:t>
      </w:r>
      <w:r w:rsidR="008E78A2" w:rsidRPr="00530906">
        <w:rPr>
          <w:rFonts w:ascii="Cambria" w:eastAsia="Calibri" w:hAnsi="Cambria" w:cs="Times New Roman"/>
          <w:sz w:val="24"/>
          <w:szCs w:val="24"/>
        </w:rPr>
        <w:t xml:space="preserve">Since consumers’ perception of sustainability related attribute of the product affect their intention of sustainable purchase behaviour (Davari and Strutton 2014; Juhl et al 2017), </w:t>
      </w:r>
      <w:r w:rsidR="0096219D" w:rsidRPr="00530906">
        <w:rPr>
          <w:rFonts w:ascii="Cambria" w:eastAsia="Calibri" w:hAnsi="Cambria" w:cs="Times New Roman"/>
          <w:sz w:val="24"/>
          <w:szCs w:val="24"/>
        </w:rPr>
        <w:t xml:space="preserve">Table </w:t>
      </w:r>
      <w:r w:rsidR="007E4280">
        <w:rPr>
          <w:rFonts w:ascii="Cambria" w:eastAsia="Calibri" w:hAnsi="Cambria" w:cs="Times New Roman"/>
          <w:sz w:val="24"/>
          <w:szCs w:val="24"/>
        </w:rPr>
        <w:t>2</w:t>
      </w:r>
      <w:r w:rsidR="0096219D" w:rsidRPr="00530906">
        <w:rPr>
          <w:rFonts w:ascii="Cambria" w:eastAsia="Calibri" w:hAnsi="Cambria" w:cs="Times New Roman"/>
          <w:sz w:val="24"/>
          <w:szCs w:val="24"/>
        </w:rPr>
        <w:t xml:space="preserve"> shows the requirement for the study regarding the differentiating effect of general consumers’ both positive and negative opinion in social media context on other consumers’ sustainable behaviour intention.</w:t>
      </w:r>
    </w:p>
    <w:p w14:paraId="4B1724E9" w14:textId="52FCE2FE" w:rsidR="00EB44A2" w:rsidRPr="00530906" w:rsidRDefault="002F7252" w:rsidP="008E78A2">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37 </w:t>
      </w:r>
      <w:r w:rsidR="007E4280" w:rsidRPr="00530906">
        <w:rPr>
          <w:rFonts w:ascii="Cambria" w:eastAsia="Calibri" w:hAnsi="Cambria" w:cs="Times New Roman"/>
          <w:sz w:val="24"/>
          <w:szCs w:val="24"/>
        </w:rPr>
        <w:t>articles</w:t>
      </w:r>
      <w:r w:rsidRPr="00530906">
        <w:rPr>
          <w:rFonts w:ascii="Cambria" w:eastAsia="Calibri" w:hAnsi="Cambria" w:cs="Times New Roman"/>
          <w:sz w:val="24"/>
          <w:szCs w:val="24"/>
        </w:rPr>
        <w:t xml:space="preserve"> have encompassed the product related construct, which shows the importance </w:t>
      </w:r>
      <w:r w:rsidR="007104B1" w:rsidRPr="00530906">
        <w:rPr>
          <w:rFonts w:ascii="Cambria" w:eastAsia="Calibri" w:hAnsi="Cambria" w:cs="Times New Roman"/>
          <w:sz w:val="24"/>
          <w:szCs w:val="24"/>
        </w:rPr>
        <w:t>of relevancy</w:t>
      </w:r>
      <w:r w:rsidRPr="00530906">
        <w:rPr>
          <w:rFonts w:ascii="Cambria" w:eastAsia="Calibri" w:hAnsi="Cambria" w:cs="Times New Roman"/>
          <w:sz w:val="24"/>
          <w:szCs w:val="24"/>
        </w:rPr>
        <w:t xml:space="preserve"> of the product with the consumers </w:t>
      </w:r>
      <w:r w:rsidR="00937940" w:rsidRPr="00530906">
        <w:rPr>
          <w:rFonts w:ascii="Cambria" w:eastAsia="Calibri" w:hAnsi="Cambria" w:cs="Times New Roman"/>
          <w:sz w:val="24"/>
          <w:szCs w:val="24"/>
        </w:rPr>
        <w:t xml:space="preserve">(involvement) </w:t>
      </w:r>
      <w:r w:rsidRPr="00530906">
        <w:rPr>
          <w:rFonts w:ascii="Cambria" w:eastAsia="Calibri" w:hAnsi="Cambria" w:cs="Times New Roman"/>
          <w:sz w:val="24"/>
          <w:szCs w:val="24"/>
        </w:rPr>
        <w:t xml:space="preserve">while purchasing them.  </w:t>
      </w:r>
      <w:r w:rsidR="00937940" w:rsidRPr="00530906">
        <w:rPr>
          <w:rFonts w:ascii="Cambria" w:eastAsia="Calibri" w:hAnsi="Cambria" w:cs="Times New Roman"/>
          <w:sz w:val="24"/>
          <w:szCs w:val="24"/>
        </w:rPr>
        <w:t xml:space="preserve">36 articles included </w:t>
      </w:r>
      <w:r w:rsidR="00425BF3" w:rsidRPr="00530906">
        <w:rPr>
          <w:rFonts w:ascii="Cambria" w:eastAsia="Calibri" w:hAnsi="Cambria" w:cs="Times New Roman"/>
          <w:sz w:val="24"/>
          <w:szCs w:val="24"/>
        </w:rPr>
        <w:t xml:space="preserve">constructs related to customer as a person. </w:t>
      </w:r>
      <w:r w:rsidR="00E04122" w:rsidRPr="00530906">
        <w:rPr>
          <w:rFonts w:ascii="Cambria" w:eastAsia="Calibri" w:hAnsi="Cambria" w:cs="Times New Roman"/>
          <w:sz w:val="24"/>
          <w:szCs w:val="24"/>
        </w:rPr>
        <w:t xml:space="preserve">However, </w:t>
      </w:r>
      <w:r w:rsidR="00937940" w:rsidRPr="00530906">
        <w:rPr>
          <w:rFonts w:ascii="Cambria" w:eastAsia="Calibri" w:hAnsi="Cambria" w:cs="Times New Roman"/>
          <w:sz w:val="24"/>
          <w:szCs w:val="24"/>
        </w:rPr>
        <w:t xml:space="preserve">consumers’ personal factors </w:t>
      </w:r>
      <w:r w:rsidR="00E04122" w:rsidRPr="00530906">
        <w:rPr>
          <w:rFonts w:ascii="Cambria" w:eastAsia="Calibri" w:hAnsi="Cambria" w:cs="Times New Roman"/>
          <w:sz w:val="24"/>
          <w:szCs w:val="24"/>
        </w:rPr>
        <w:t xml:space="preserve">are also the constructs those </w:t>
      </w:r>
      <w:r w:rsidR="008756B1" w:rsidRPr="00530906">
        <w:rPr>
          <w:rFonts w:ascii="Cambria" w:eastAsia="Calibri" w:hAnsi="Cambria" w:cs="Times New Roman"/>
          <w:sz w:val="24"/>
          <w:szCs w:val="24"/>
        </w:rPr>
        <w:t>are</w:t>
      </w:r>
      <w:r w:rsidR="00E04122" w:rsidRPr="00530906">
        <w:rPr>
          <w:rFonts w:ascii="Cambria" w:eastAsia="Calibri" w:hAnsi="Cambria" w:cs="Times New Roman"/>
          <w:sz w:val="24"/>
          <w:szCs w:val="24"/>
        </w:rPr>
        <w:t xml:space="preserve"> embedded in a consumer and cannot be controlled by the company</w:t>
      </w:r>
      <w:r w:rsidR="00937940" w:rsidRPr="00530906">
        <w:rPr>
          <w:rFonts w:ascii="Cambria" w:eastAsia="Calibri" w:hAnsi="Cambria" w:cs="Times New Roman"/>
          <w:sz w:val="24"/>
          <w:szCs w:val="24"/>
        </w:rPr>
        <w:t xml:space="preserve">. Other than these, constructs related to </w:t>
      </w:r>
      <w:r w:rsidR="00556C29" w:rsidRPr="00530906">
        <w:rPr>
          <w:rFonts w:ascii="Cambria" w:eastAsia="Calibri" w:hAnsi="Cambria" w:cs="Times New Roman"/>
          <w:sz w:val="24"/>
          <w:szCs w:val="24"/>
        </w:rPr>
        <w:t>emotion</w:t>
      </w:r>
      <w:r w:rsidR="00937940" w:rsidRPr="00530906">
        <w:rPr>
          <w:rFonts w:ascii="Cambria" w:eastAsia="Calibri" w:hAnsi="Cambria" w:cs="Times New Roman"/>
          <w:sz w:val="24"/>
          <w:szCs w:val="24"/>
        </w:rPr>
        <w:t xml:space="preserve"> and</w:t>
      </w:r>
      <w:r w:rsidR="00556C29" w:rsidRPr="00530906">
        <w:rPr>
          <w:rFonts w:ascii="Cambria" w:eastAsia="Calibri" w:hAnsi="Cambria" w:cs="Times New Roman"/>
          <w:sz w:val="24"/>
          <w:szCs w:val="24"/>
        </w:rPr>
        <w:t xml:space="preserve"> </w:t>
      </w:r>
      <w:r w:rsidR="00937940" w:rsidRPr="00530906">
        <w:rPr>
          <w:rFonts w:ascii="Cambria" w:eastAsia="Calibri" w:hAnsi="Cambria" w:cs="Times New Roman"/>
          <w:sz w:val="24"/>
          <w:szCs w:val="24"/>
        </w:rPr>
        <w:t>consumers’ sense of community</w:t>
      </w:r>
      <w:r w:rsidR="00556C29" w:rsidRPr="00530906">
        <w:rPr>
          <w:rFonts w:ascii="Cambria" w:eastAsia="Calibri" w:hAnsi="Cambria" w:cs="Times New Roman"/>
          <w:sz w:val="24"/>
          <w:szCs w:val="24"/>
        </w:rPr>
        <w:t xml:space="preserve"> </w:t>
      </w:r>
      <w:r w:rsidR="009C3ABE" w:rsidRPr="00530906">
        <w:rPr>
          <w:rFonts w:ascii="Cambria" w:eastAsia="Calibri" w:hAnsi="Cambria" w:cs="Times New Roman"/>
          <w:sz w:val="24"/>
          <w:szCs w:val="24"/>
        </w:rPr>
        <w:t>have distinct impact on their intention to adopt sustainable behaviour.</w:t>
      </w:r>
      <w:r w:rsidR="008E78A2" w:rsidRPr="00530906">
        <w:rPr>
          <w:rFonts w:ascii="Cambria" w:eastAsia="Calibri" w:hAnsi="Cambria" w:cs="Times New Roman"/>
          <w:sz w:val="24"/>
          <w:szCs w:val="24"/>
        </w:rPr>
        <w:t xml:space="preserve"> </w:t>
      </w:r>
      <w:r w:rsidR="00244123" w:rsidRPr="00530906">
        <w:rPr>
          <w:rFonts w:ascii="Cambria" w:eastAsia="Calibri" w:hAnsi="Cambria" w:cs="Times New Roman"/>
          <w:sz w:val="24"/>
          <w:szCs w:val="24"/>
        </w:rPr>
        <w:t xml:space="preserve">The categories of antecedents in Table </w:t>
      </w:r>
      <w:r w:rsidR="00283B01">
        <w:rPr>
          <w:rFonts w:ascii="Cambria" w:eastAsia="Calibri" w:hAnsi="Cambria" w:cs="Times New Roman"/>
          <w:sz w:val="24"/>
          <w:szCs w:val="24"/>
        </w:rPr>
        <w:t>2</w:t>
      </w:r>
      <w:r w:rsidR="00244123" w:rsidRPr="00530906">
        <w:rPr>
          <w:rFonts w:ascii="Cambria" w:eastAsia="Calibri" w:hAnsi="Cambria" w:cs="Times New Roman"/>
          <w:sz w:val="24"/>
          <w:szCs w:val="24"/>
        </w:rPr>
        <w:t xml:space="preserve"> also gives a direction of which construct</w:t>
      </w:r>
      <w:r w:rsidR="00172F23" w:rsidRPr="00530906">
        <w:rPr>
          <w:rFonts w:ascii="Cambria" w:eastAsia="Calibri" w:hAnsi="Cambria" w:cs="Times New Roman"/>
          <w:sz w:val="24"/>
          <w:szCs w:val="24"/>
        </w:rPr>
        <w:t>s</w:t>
      </w:r>
      <w:r w:rsidR="00244123" w:rsidRPr="00530906">
        <w:rPr>
          <w:rFonts w:ascii="Cambria" w:eastAsia="Calibri" w:hAnsi="Cambria" w:cs="Times New Roman"/>
          <w:sz w:val="24"/>
          <w:szCs w:val="24"/>
        </w:rPr>
        <w:t xml:space="preserve"> </w:t>
      </w:r>
      <w:r w:rsidR="00974A30" w:rsidRPr="00530906">
        <w:rPr>
          <w:rFonts w:ascii="Cambria" w:eastAsia="Calibri" w:hAnsi="Cambria" w:cs="Times New Roman"/>
          <w:sz w:val="24"/>
          <w:szCs w:val="24"/>
        </w:rPr>
        <w:t>should be</w:t>
      </w:r>
      <w:r w:rsidR="00244123" w:rsidRPr="00530906">
        <w:rPr>
          <w:rFonts w:ascii="Cambria" w:eastAsia="Calibri" w:hAnsi="Cambria" w:cs="Times New Roman"/>
          <w:sz w:val="24"/>
          <w:szCs w:val="24"/>
        </w:rPr>
        <w:t xml:space="preserve"> include</w:t>
      </w:r>
      <w:r w:rsidR="00974A30" w:rsidRPr="00530906">
        <w:rPr>
          <w:rFonts w:ascii="Cambria" w:eastAsia="Calibri" w:hAnsi="Cambria" w:cs="Times New Roman"/>
          <w:sz w:val="24"/>
          <w:szCs w:val="24"/>
        </w:rPr>
        <w:t>d</w:t>
      </w:r>
      <w:r w:rsidR="00244123" w:rsidRPr="00530906">
        <w:rPr>
          <w:rFonts w:ascii="Cambria" w:eastAsia="Calibri" w:hAnsi="Cambria" w:cs="Times New Roman"/>
          <w:sz w:val="24"/>
          <w:szCs w:val="24"/>
        </w:rPr>
        <w:t xml:space="preserve"> in the conceptual framework. </w:t>
      </w:r>
    </w:p>
    <w:p w14:paraId="55F21AF4" w14:textId="4AFC65FC" w:rsidR="00BD446B" w:rsidRPr="00530906" w:rsidRDefault="00BD446B" w:rsidP="00BD446B">
      <w:pPr>
        <w:spacing w:line="360" w:lineRule="auto"/>
        <w:jc w:val="both"/>
        <w:rPr>
          <w:rFonts w:ascii="Cambria" w:eastAsia="Calibri" w:hAnsi="Cambria" w:cs="Adobe Devanagari"/>
          <w:sz w:val="24"/>
          <w:szCs w:val="24"/>
        </w:rPr>
      </w:pPr>
      <w:r w:rsidRPr="00530906">
        <w:rPr>
          <w:rFonts w:ascii="Cambria" w:eastAsia="Calibri" w:hAnsi="Cambria" w:cs="Times New Roman"/>
          <w:sz w:val="24"/>
          <w:szCs w:val="24"/>
        </w:rPr>
        <w:t xml:space="preserve">In practice, consumers’ reluctancy to follow their pro-sustainable attitude in terms of sustainable </w:t>
      </w:r>
      <w:r w:rsidR="008E78A2" w:rsidRPr="00530906">
        <w:rPr>
          <w:rFonts w:ascii="Cambria" w:eastAsia="Calibri" w:hAnsi="Cambria" w:cs="Times New Roman"/>
          <w:sz w:val="24"/>
          <w:szCs w:val="24"/>
        </w:rPr>
        <w:t xml:space="preserve">purchase </w:t>
      </w:r>
      <w:r w:rsidRPr="00530906">
        <w:rPr>
          <w:rFonts w:ascii="Cambria" w:eastAsia="Calibri" w:hAnsi="Cambria" w:cs="Times New Roman"/>
          <w:sz w:val="24"/>
          <w:szCs w:val="24"/>
        </w:rPr>
        <w:t>behaviour can be attributed to number of reasons. Firstly, consumers perceive that environment–friendly (</w:t>
      </w:r>
      <w:r w:rsidR="007371FD" w:rsidRPr="00530906">
        <w:rPr>
          <w:rFonts w:ascii="Cambria" w:eastAsia="Calibri" w:hAnsi="Cambria" w:cs="Times New Roman"/>
          <w:sz w:val="24"/>
          <w:szCs w:val="24"/>
        </w:rPr>
        <w:t>i.e.,</w:t>
      </w:r>
      <w:r w:rsidRPr="00530906">
        <w:rPr>
          <w:rFonts w:ascii="Cambria" w:eastAsia="Calibri" w:hAnsi="Cambria" w:cs="Times New Roman"/>
          <w:sz w:val="24"/>
          <w:szCs w:val="24"/>
        </w:rPr>
        <w:t xml:space="preserve"> sustainable) products </w:t>
      </w:r>
      <w:r w:rsidR="008E78A2" w:rsidRPr="00530906">
        <w:rPr>
          <w:rFonts w:ascii="Cambria" w:eastAsia="Calibri" w:hAnsi="Cambria" w:cs="Times New Roman"/>
          <w:sz w:val="24"/>
          <w:szCs w:val="24"/>
        </w:rPr>
        <w:t>to be</w:t>
      </w:r>
      <w:r w:rsidRPr="00530906">
        <w:rPr>
          <w:rFonts w:ascii="Cambria" w:eastAsia="Calibri" w:hAnsi="Cambria" w:cs="Times New Roman"/>
          <w:sz w:val="24"/>
          <w:szCs w:val="24"/>
        </w:rPr>
        <w:t xml:space="preserve"> expensive (Davari and Strutton 2014; Roberts 1996; Johnstone and Tan 2015; Juhl et al </w:t>
      </w:r>
      <w:r w:rsidRPr="00530906">
        <w:rPr>
          <w:rFonts w:ascii="Cambria" w:eastAsia="Calibri" w:hAnsi="Cambria" w:cs="Times New Roman"/>
          <w:sz w:val="24"/>
          <w:szCs w:val="24"/>
        </w:rPr>
        <w:lastRenderedPageBreak/>
        <w:t xml:space="preserve">2017; Yang et al 2015). This effect of additional cost can be mitigated if companies can communicate and justify the added value of environmentally friendly purchase (Grimmer and Bingham 2013). Consumers may be motivated to adopt </w:t>
      </w:r>
      <w:r w:rsidR="007104B1" w:rsidRPr="00530906">
        <w:rPr>
          <w:rFonts w:ascii="Cambria" w:eastAsia="Calibri" w:hAnsi="Cambria" w:cs="Times New Roman"/>
          <w:sz w:val="24"/>
          <w:szCs w:val="24"/>
        </w:rPr>
        <w:t>high-cost</w:t>
      </w:r>
      <w:r w:rsidRPr="00530906">
        <w:rPr>
          <w:rFonts w:ascii="Cambria" w:eastAsia="Calibri" w:hAnsi="Cambria" w:cs="Times New Roman"/>
          <w:sz w:val="24"/>
          <w:szCs w:val="24"/>
        </w:rPr>
        <w:t xml:space="preserve"> environment friendly consumption if it signals social value and status. </w:t>
      </w:r>
      <w:r w:rsidRPr="00530906">
        <w:rPr>
          <w:rFonts w:ascii="Cambria" w:eastAsia="Calibri" w:hAnsi="Cambria" w:cs="Adobe Devanagari"/>
          <w:sz w:val="24"/>
          <w:szCs w:val="24"/>
        </w:rPr>
        <w:t xml:space="preserve">51% consumers are willing to pay high price for </w:t>
      </w:r>
      <w:r w:rsidR="00C647DF" w:rsidRPr="00530906">
        <w:rPr>
          <w:rFonts w:ascii="Cambria" w:eastAsia="Times New Roman" w:hAnsi="Cambria" w:cs="Times New Roman"/>
          <w:sz w:val="24"/>
          <w:szCs w:val="24"/>
        </w:rPr>
        <w:t>products with sustainability association</w:t>
      </w:r>
      <w:r w:rsidR="00C647DF" w:rsidRPr="00530906">
        <w:rPr>
          <w:rFonts w:ascii="Cambria" w:eastAsia="Calibri" w:hAnsi="Cambria" w:cs="Adobe Devanagari"/>
          <w:sz w:val="24"/>
          <w:szCs w:val="24"/>
        </w:rPr>
        <w:t xml:space="preserve"> </w:t>
      </w:r>
      <w:r w:rsidRPr="00530906">
        <w:rPr>
          <w:rFonts w:ascii="Cambria" w:eastAsia="Calibri" w:hAnsi="Cambria" w:cs="Adobe Devanagari"/>
          <w:sz w:val="24"/>
          <w:szCs w:val="24"/>
        </w:rPr>
        <w:t xml:space="preserve">(Herédia–Colaço and Vale 2018). Plus </w:t>
      </w:r>
      <w:r w:rsidRPr="00530906">
        <w:rPr>
          <w:rFonts w:ascii="Cambria" w:eastAsia="Calibri" w:hAnsi="Cambria" w:cs="Times New Roman"/>
          <w:sz w:val="24"/>
          <w:szCs w:val="24"/>
        </w:rPr>
        <w:t xml:space="preserve">66% of consumers surveyed across 60 countries are willing to pay higher prices for goods when bought from environmentally conscious companies (www.weforum.org, 2018). Admittedly, if the retailers reduce the price of the products with sustainable dimensions, it may signal as of lower quality and lose credibility. Market dictates that, the price of these products should be up to a point that is higher than the products without sustainable dimensions to ensure confidence of the consumers, but low enough to be demanded by major portion of consumers (Ngobo 2011; </w:t>
      </w:r>
      <w:r w:rsidRPr="00530906">
        <w:rPr>
          <w:rFonts w:ascii="Cambria" w:eastAsiaTheme="minorEastAsia" w:hAnsi="Cambria" w:cs="Times New Roman"/>
          <w:sz w:val="24"/>
          <w:szCs w:val="24"/>
        </w:rPr>
        <w:t>Van Doorn and Verhoef 2015</w:t>
      </w:r>
      <w:r w:rsidRPr="00530906">
        <w:rPr>
          <w:rFonts w:ascii="Cambria" w:eastAsia="Calibri" w:hAnsi="Cambria" w:cs="Times New Roman"/>
          <w:sz w:val="24"/>
          <w:szCs w:val="24"/>
        </w:rPr>
        <w:t>).</w:t>
      </w:r>
      <w:r w:rsidRPr="00530906">
        <w:rPr>
          <w:rFonts w:ascii="Cambria" w:eastAsia="Calibri" w:hAnsi="Cambria" w:cs="Adobe Devanagari"/>
          <w:sz w:val="24"/>
          <w:szCs w:val="24"/>
        </w:rPr>
        <w:t xml:space="preserve"> </w:t>
      </w:r>
      <w:r w:rsidR="00067BBE" w:rsidRPr="00530906">
        <w:rPr>
          <w:rFonts w:ascii="Cambria" w:eastAsia="Calibri" w:hAnsi="Cambria" w:cs="Times New Roman"/>
          <w:sz w:val="24"/>
          <w:szCs w:val="24"/>
        </w:rPr>
        <w:t>However, monetary barriers of the consumers were proved not to be significantly related with green behaviour (in this case sustainable behaviour) (Tanner and Kast 2003; Choi and Ng 2011; Davari and Strutton 2014;</w:t>
      </w:r>
      <w:r w:rsidR="00067BBE" w:rsidRPr="00530906">
        <w:rPr>
          <w:rFonts w:ascii="Cambria" w:eastAsiaTheme="minorEastAsia" w:hAnsi="Cambria"/>
          <w:sz w:val="24"/>
          <w:szCs w:val="24"/>
        </w:rPr>
        <w:t xml:space="preserve"> Lusch et al 2010</w:t>
      </w:r>
      <w:r w:rsidR="00067BBE" w:rsidRPr="00530906">
        <w:rPr>
          <w:rFonts w:ascii="Cambria" w:eastAsia="Calibri" w:hAnsi="Cambria" w:cs="Times New Roman"/>
          <w:sz w:val="24"/>
          <w:szCs w:val="24"/>
        </w:rPr>
        <w:t>).</w:t>
      </w:r>
    </w:p>
    <w:p w14:paraId="73F3FFDD" w14:textId="21A7919D" w:rsidR="00BD446B" w:rsidRPr="00530906" w:rsidRDefault="00067BBE" w:rsidP="00BD446B">
      <w:pPr>
        <w:spacing w:line="360" w:lineRule="auto"/>
        <w:jc w:val="both"/>
        <w:rPr>
          <w:rFonts w:ascii="Cambria" w:eastAsia="Calibri" w:hAnsi="Cambria" w:cs="Adobe Devanagari"/>
          <w:sz w:val="24"/>
          <w:szCs w:val="24"/>
        </w:rPr>
      </w:pPr>
      <w:r w:rsidRPr="00530906">
        <w:rPr>
          <w:rFonts w:ascii="Cambria" w:eastAsia="Calibri" w:hAnsi="Cambria" w:cs="Times New Roman"/>
          <w:sz w:val="24"/>
          <w:szCs w:val="24"/>
        </w:rPr>
        <w:t>Secondly,</w:t>
      </w:r>
      <w:r w:rsidR="00BD446B" w:rsidRPr="00530906">
        <w:rPr>
          <w:rFonts w:ascii="Cambria" w:eastAsia="Calibri" w:hAnsi="Cambria" w:cs="Times New Roman"/>
          <w:sz w:val="24"/>
          <w:szCs w:val="24"/>
        </w:rPr>
        <w:t xml:space="preserve"> </w:t>
      </w:r>
      <w:r w:rsidR="0016233D" w:rsidRPr="00530906">
        <w:rPr>
          <w:rFonts w:ascii="Cambria" w:eastAsia="Calibri" w:hAnsi="Cambria" w:cs="Times New Roman"/>
          <w:sz w:val="24"/>
          <w:szCs w:val="24"/>
        </w:rPr>
        <w:t xml:space="preserve">the reason </w:t>
      </w:r>
      <w:r w:rsidR="00BD446B" w:rsidRPr="00530906">
        <w:rPr>
          <w:rFonts w:ascii="Cambria" w:eastAsia="Calibri" w:hAnsi="Cambria" w:cs="Times New Roman"/>
          <w:sz w:val="24"/>
          <w:szCs w:val="24"/>
        </w:rPr>
        <w:t xml:space="preserve">for consumers not </w:t>
      </w:r>
      <w:r w:rsidR="00535FDA" w:rsidRPr="00530906">
        <w:rPr>
          <w:rFonts w:ascii="Cambria" w:eastAsia="Calibri" w:hAnsi="Cambria" w:cs="Times New Roman"/>
          <w:sz w:val="24"/>
          <w:szCs w:val="24"/>
        </w:rPr>
        <w:t xml:space="preserve">to </w:t>
      </w:r>
      <w:r w:rsidR="00BD446B" w:rsidRPr="00530906">
        <w:rPr>
          <w:rFonts w:ascii="Cambria" w:eastAsia="Calibri" w:hAnsi="Cambria" w:cs="Times New Roman"/>
          <w:sz w:val="24"/>
          <w:szCs w:val="24"/>
        </w:rPr>
        <w:t>choos</w:t>
      </w:r>
      <w:r w:rsidR="00535FDA" w:rsidRPr="00530906">
        <w:rPr>
          <w:rFonts w:ascii="Cambria" w:eastAsia="Calibri" w:hAnsi="Cambria" w:cs="Times New Roman"/>
          <w:sz w:val="24"/>
          <w:szCs w:val="24"/>
        </w:rPr>
        <w:t>e</w:t>
      </w:r>
      <w:r w:rsidR="00BD446B" w:rsidRPr="00530906">
        <w:rPr>
          <w:rFonts w:ascii="Cambria" w:eastAsia="Calibri" w:hAnsi="Cambria" w:cs="Times New Roman"/>
          <w:sz w:val="24"/>
          <w:szCs w:val="24"/>
        </w:rPr>
        <w:t xml:space="preserve"> products</w:t>
      </w:r>
      <w:r w:rsidR="0016233D" w:rsidRPr="00530906">
        <w:rPr>
          <w:rFonts w:ascii="Cambria" w:eastAsia="Calibri" w:hAnsi="Cambria" w:cs="Times New Roman"/>
          <w:sz w:val="24"/>
          <w:szCs w:val="24"/>
        </w:rPr>
        <w:t xml:space="preserve"> with sustainable attributes</w:t>
      </w:r>
      <w:r w:rsidR="00BD446B" w:rsidRPr="00530906">
        <w:rPr>
          <w:rFonts w:ascii="Cambria" w:eastAsia="Calibri" w:hAnsi="Cambria" w:cs="Times New Roman"/>
          <w:sz w:val="24"/>
          <w:szCs w:val="24"/>
        </w:rPr>
        <w:t xml:space="preserve"> is, they are still associated with sacrificing consumption or non–hedonic experience in consumers’ mind </w:t>
      </w:r>
      <w:r w:rsidR="00BD446B" w:rsidRPr="00530906">
        <w:rPr>
          <w:rFonts w:ascii="Cambria" w:eastAsia="Calibri" w:hAnsi="Cambria" w:cs="Adobe Devanagari"/>
          <w:sz w:val="24"/>
          <w:szCs w:val="24"/>
        </w:rPr>
        <w:t>(Herédia–Colaço and</w:t>
      </w:r>
      <w:r w:rsidR="00BD446B" w:rsidRPr="00530906">
        <w:rPr>
          <w:rFonts w:ascii="Cambria" w:eastAsiaTheme="minorEastAsia" w:hAnsi="Cambria" w:cs="Adobe Devanagari"/>
          <w:sz w:val="24"/>
          <w:szCs w:val="24"/>
        </w:rPr>
        <w:t xml:space="preserve"> de</w:t>
      </w:r>
      <w:r w:rsidR="00BD446B" w:rsidRPr="00530906">
        <w:rPr>
          <w:rFonts w:ascii="Cambria" w:eastAsia="Calibri" w:hAnsi="Cambria" w:cs="Adobe Devanagari"/>
          <w:sz w:val="24"/>
          <w:szCs w:val="24"/>
        </w:rPr>
        <w:t xml:space="preserve"> Vale 2018). In </w:t>
      </w:r>
      <w:r w:rsidR="007104B1" w:rsidRPr="00530906">
        <w:rPr>
          <w:rFonts w:ascii="Cambria" w:eastAsia="Calibri" w:hAnsi="Cambria" w:cs="Adobe Devanagari"/>
          <w:sz w:val="24"/>
          <w:szCs w:val="24"/>
        </w:rPr>
        <w:t>fact,</w:t>
      </w:r>
      <w:r w:rsidR="00BD446B" w:rsidRPr="00530906">
        <w:rPr>
          <w:rFonts w:ascii="Cambria" w:eastAsia="Calibri" w:hAnsi="Cambria" w:cs="Adobe Devanagari"/>
          <w:sz w:val="24"/>
          <w:szCs w:val="24"/>
        </w:rPr>
        <w:t xml:space="preserve"> s</w:t>
      </w:r>
      <w:r w:rsidR="00BD446B" w:rsidRPr="00530906">
        <w:rPr>
          <w:rFonts w:ascii="Cambria" w:eastAsia="Calibri" w:hAnsi="Cambria" w:cs="Times New Roman"/>
          <w:sz w:val="24"/>
          <w:szCs w:val="24"/>
        </w:rPr>
        <w:t xml:space="preserve">ustainable products are perceived to be underperforming (Lim 2016). </w:t>
      </w:r>
      <w:r w:rsidR="00FE04F5" w:rsidRPr="00530906">
        <w:rPr>
          <w:rFonts w:ascii="Cambria" w:eastAsia="Calibri" w:hAnsi="Cambria" w:cs="Adobe Devanagari"/>
          <w:sz w:val="24"/>
          <w:szCs w:val="24"/>
        </w:rPr>
        <w:t xml:space="preserve">Consumers are less likely to sacrifice utilitarian value for sustainability value than sacrificing hedonic value. But if either value (hedonic or utilitarian) is important to the consumers, they are unlikely to choose those products (Luchs and Kumar 2017). They will demand minimum level of functionality threshold to be guaranteed to choose those products (Luchs et al 2012). In other words, the extent to which the consumers will prefer a product with sustainable attribute depends on their valued benefit along with the product category. </w:t>
      </w:r>
      <w:r w:rsidR="00BD446B" w:rsidRPr="00530906">
        <w:rPr>
          <w:rFonts w:ascii="Cambria" w:eastAsia="Calibri" w:hAnsi="Cambria" w:cs="Times New Roman"/>
          <w:sz w:val="24"/>
          <w:szCs w:val="24"/>
        </w:rPr>
        <w:t xml:space="preserve">For example, environment friendly detergents are not supposed to use optical brightener additives, which will be perceived as poor performing detergent compared to conventional detergents. </w:t>
      </w:r>
      <w:r w:rsidR="00FE04F5" w:rsidRPr="00530906">
        <w:rPr>
          <w:rFonts w:ascii="Cambria" w:eastAsia="Calibri" w:hAnsi="Cambria" w:cs="Times New Roman"/>
          <w:sz w:val="24"/>
          <w:szCs w:val="24"/>
        </w:rPr>
        <w:t xml:space="preserve">In this case, </w:t>
      </w:r>
      <w:r w:rsidR="00BD446B" w:rsidRPr="00530906">
        <w:rPr>
          <w:rFonts w:ascii="Cambria" w:eastAsia="Calibri" w:hAnsi="Cambria" w:cs="Adobe Devanagari"/>
          <w:sz w:val="24"/>
          <w:szCs w:val="24"/>
        </w:rPr>
        <w:t xml:space="preserve">cleaning appliances are chosen for their strength of cleaning; consumers will not prefer a sustainable cleaning product, since </w:t>
      </w:r>
      <w:r w:rsidR="00FE04F5" w:rsidRPr="00530906">
        <w:rPr>
          <w:rFonts w:ascii="Cambria" w:eastAsia="Calibri" w:hAnsi="Cambria" w:cs="Adobe Devanagari"/>
          <w:sz w:val="24"/>
          <w:szCs w:val="24"/>
        </w:rPr>
        <w:t>generally, sustain</w:t>
      </w:r>
      <w:r w:rsidR="0063747C" w:rsidRPr="00530906">
        <w:rPr>
          <w:rFonts w:ascii="Cambria" w:eastAsia="Calibri" w:hAnsi="Cambria" w:cs="Adobe Devanagari"/>
          <w:sz w:val="24"/>
          <w:szCs w:val="24"/>
        </w:rPr>
        <w:t>ability related</w:t>
      </w:r>
      <w:r w:rsidR="00FE04F5" w:rsidRPr="00530906">
        <w:rPr>
          <w:rFonts w:ascii="Cambria" w:eastAsia="Calibri" w:hAnsi="Cambria" w:cs="Adobe Devanagari"/>
          <w:sz w:val="24"/>
          <w:szCs w:val="24"/>
        </w:rPr>
        <w:t xml:space="preserve"> </w:t>
      </w:r>
      <w:r w:rsidR="00BD446B" w:rsidRPr="00530906">
        <w:rPr>
          <w:rFonts w:ascii="Cambria" w:eastAsia="Calibri" w:hAnsi="Cambria" w:cs="Adobe Devanagari"/>
          <w:sz w:val="24"/>
          <w:szCs w:val="24"/>
        </w:rPr>
        <w:t>products</w:t>
      </w:r>
      <w:r w:rsidR="0063747C" w:rsidRPr="00530906">
        <w:rPr>
          <w:rFonts w:ascii="Cambria" w:eastAsia="Calibri" w:hAnsi="Cambria" w:cs="Adobe Devanagari"/>
          <w:sz w:val="24"/>
          <w:szCs w:val="24"/>
        </w:rPr>
        <w:t xml:space="preserve"> are</w:t>
      </w:r>
      <w:r w:rsidR="00BD446B" w:rsidRPr="00530906">
        <w:rPr>
          <w:rFonts w:ascii="Cambria" w:eastAsia="Calibri" w:hAnsi="Cambria" w:cs="Adobe Devanagari"/>
          <w:sz w:val="24"/>
          <w:szCs w:val="24"/>
        </w:rPr>
        <w:t xml:space="preserve"> perceived </w:t>
      </w:r>
      <w:r w:rsidR="0063747C" w:rsidRPr="00530906">
        <w:rPr>
          <w:rFonts w:ascii="Cambria" w:eastAsia="Calibri" w:hAnsi="Cambria" w:cs="Adobe Devanagari"/>
          <w:sz w:val="24"/>
          <w:szCs w:val="24"/>
        </w:rPr>
        <w:t xml:space="preserve">of having </w:t>
      </w:r>
      <w:r w:rsidR="00BD446B" w:rsidRPr="00530906">
        <w:rPr>
          <w:rFonts w:ascii="Cambria" w:eastAsia="Calibri" w:hAnsi="Cambria" w:cs="Adobe Devanagari"/>
          <w:sz w:val="24"/>
          <w:szCs w:val="24"/>
        </w:rPr>
        <w:t xml:space="preserve">association with ‘gentleness’. Thus, added information about the sustainable cleaning product’s ‘strength’ is required for consumers to prefer them </w:t>
      </w:r>
      <w:bookmarkStart w:id="22" w:name="_Hlk97501736"/>
      <w:r w:rsidR="00BD446B" w:rsidRPr="00530906">
        <w:rPr>
          <w:rFonts w:ascii="Cambria" w:eastAsia="Calibri" w:hAnsi="Cambria" w:cs="Adobe Devanagari"/>
          <w:sz w:val="24"/>
          <w:szCs w:val="24"/>
        </w:rPr>
        <w:t xml:space="preserve">(Luchs et al 2010). </w:t>
      </w:r>
      <w:bookmarkEnd w:id="22"/>
      <w:r w:rsidR="0063747C" w:rsidRPr="00530906">
        <w:rPr>
          <w:rFonts w:ascii="Cambria" w:eastAsia="Calibri" w:hAnsi="Cambria" w:cs="Adobe Devanagari"/>
          <w:sz w:val="24"/>
          <w:szCs w:val="24"/>
        </w:rPr>
        <w:t xml:space="preserve">In this case, </w:t>
      </w:r>
      <w:r w:rsidR="00FE3B64" w:rsidRPr="00530906">
        <w:rPr>
          <w:rFonts w:ascii="Cambria" w:eastAsia="Calibri" w:hAnsi="Cambria" w:cs="Adobe Devanagari"/>
          <w:sz w:val="24"/>
          <w:szCs w:val="24"/>
        </w:rPr>
        <w:t>added</w:t>
      </w:r>
      <w:r w:rsidR="00BD446B" w:rsidRPr="00530906">
        <w:rPr>
          <w:rFonts w:ascii="Cambria" w:eastAsia="Calibri" w:hAnsi="Cambria" w:cs="Adobe Devanagari"/>
          <w:sz w:val="24"/>
          <w:szCs w:val="24"/>
        </w:rPr>
        <w:t xml:space="preserve"> aesthetics of</w:t>
      </w:r>
      <w:r w:rsidR="0063747C" w:rsidRPr="00530906">
        <w:rPr>
          <w:rFonts w:ascii="Cambria" w:eastAsia="Calibri" w:hAnsi="Cambria" w:cs="Adobe Devanagari"/>
          <w:sz w:val="24"/>
          <w:szCs w:val="24"/>
        </w:rPr>
        <w:t xml:space="preserve"> these</w:t>
      </w:r>
      <w:r w:rsidR="00BD446B" w:rsidRPr="00530906">
        <w:rPr>
          <w:rFonts w:ascii="Cambria" w:eastAsia="Calibri" w:hAnsi="Cambria" w:cs="Adobe Devanagari"/>
          <w:sz w:val="24"/>
          <w:szCs w:val="24"/>
        </w:rPr>
        <w:t xml:space="preserve"> product</w:t>
      </w:r>
      <w:r w:rsidR="0063747C" w:rsidRPr="00530906">
        <w:rPr>
          <w:rFonts w:ascii="Cambria" w:eastAsia="Calibri" w:hAnsi="Cambria" w:cs="Adobe Devanagari"/>
          <w:sz w:val="24"/>
          <w:szCs w:val="24"/>
        </w:rPr>
        <w:t>s</w:t>
      </w:r>
      <w:r w:rsidR="00BD446B" w:rsidRPr="00530906">
        <w:rPr>
          <w:rFonts w:ascii="Cambria" w:eastAsia="Calibri" w:hAnsi="Cambria" w:cs="Adobe Devanagari"/>
          <w:sz w:val="24"/>
          <w:szCs w:val="24"/>
        </w:rPr>
        <w:t xml:space="preserve"> can </w:t>
      </w:r>
      <w:r w:rsidR="00BD446B" w:rsidRPr="00530906">
        <w:rPr>
          <w:rFonts w:ascii="Cambria" w:eastAsia="Calibri" w:hAnsi="Cambria" w:cs="Adobe Devanagari"/>
          <w:sz w:val="24"/>
          <w:szCs w:val="24"/>
        </w:rPr>
        <w:lastRenderedPageBreak/>
        <w:t xml:space="preserve">mitigate the lack of confidence on them (Luchs et al 2012). </w:t>
      </w:r>
      <w:r w:rsidR="00600A39" w:rsidRPr="00530906">
        <w:rPr>
          <w:rFonts w:ascii="Cambria" w:eastAsia="Calibri" w:hAnsi="Cambria" w:cs="Adobe Devanagari"/>
          <w:sz w:val="24"/>
          <w:szCs w:val="24"/>
        </w:rPr>
        <w:t>This indicates the fact that</w:t>
      </w:r>
      <w:r w:rsidR="00BD446B" w:rsidRPr="00530906">
        <w:rPr>
          <w:rFonts w:ascii="Cambria" w:eastAsia="Calibri" w:hAnsi="Cambria" w:cs="Adobe Devanagari"/>
          <w:sz w:val="24"/>
          <w:szCs w:val="24"/>
        </w:rPr>
        <w:t xml:space="preserve">, both hedonic and utilitarian benefit can be met with aesthetic product design and assuring information about sustainability products’ functionality. </w:t>
      </w:r>
    </w:p>
    <w:p w14:paraId="72ABC2D5" w14:textId="30028816" w:rsidR="00BD446B" w:rsidRPr="00530906" w:rsidRDefault="00600A39" w:rsidP="00BD446B">
      <w:pPr>
        <w:spacing w:line="360" w:lineRule="auto"/>
        <w:jc w:val="both"/>
        <w:rPr>
          <w:rFonts w:ascii="Cambria" w:eastAsia="Calibri" w:hAnsi="Cambria" w:cs="Adobe Devanagari"/>
          <w:sz w:val="24"/>
          <w:szCs w:val="24"/>
        </w:rPr>
      </w:pPr>
      <w:r w:rsidRPr="00530906">
        <w:rPr>
          <w:rFonts w:ascii="Cambria" w:eastAsia="Calibri" w:hAnsi="Cambria" w:cs="Times New Roman"/>
          <w:sz w:val="24"/>
          <w:szCs w:val="24"/>
        </w:rPr>
        <w:t xml:space="preserve">This brings to the third reason for consumers to not choosing products with sustainable attributes. </w:t>
      </w:r>
      <w:r w:rsidR="00FE04F5" w:rsidRPr="00530906">
        <w:rPr>
          <w:rFonts w:ascii="Cambria" w:eastAsia="Calibri" w:hAnsi="Cambria" w:cs="Times New Roman"/>
          <w:sz w:val="24"/>
          <w:szCs w:val="24"/>
        </w:rPr>
        <w:t xml:space="preserve">The problem resides in companies’ lack of initiative to educate the consumers regarding the product (Peattie and Crane 2005; Davari and Strutton 2014). Consumers may be concerned about sustainability, but due to lack of product specific knowledge they do not purchase </w:t>
      </w:r>
      <w:r w:rsidR="00CF764E" w:rsidRPr="00530906">
        <w:rPr>
          <w:rFonts w:ascii="Cambria" w:eastAsia="Calibri" w:hAnsi="Cambria" w:cs="Times New Roman"/>
          <w:sz w:val="24"/>
          <w:szCs w:val="24"/>
        </w:rPr>
        <w:t xml:space="preserve">the </w:t>
      </w:r>
      <w:r w:rsidR="00FE04F5" w:rsidRPr="00530906">
        <w:rPr>
          <w:rFonts w:ascii="Cambria" w:eastAsia="Calibri" w:hAnsi="Cambria" w:cs="Times New Roman"/>
          <w:sz w:val="24"/>
          <w:szCs w:val="24"/>
        </w:rPr>
        <w:t>products</w:t>
      </w:r>
      <w:r w:rsidR="00CF764E" w:rsidRPr="00530906">
        <w:rPr>
          <w:rFonts w:ascii="Cambria" w:eastAsia="Calibri" w:hAnsi="Cambria" w:cs="Times New Roman"/>
          <w:sz w:val="24"/>
          <w:szCs w:val="24"/>
        </w:rPr>
        <w:t xml:space="preserve"> with sustainable qualities</w:t>
      </w:r>
      <w:r w:rsidR="00FE04F5" w:rsidRPr="00530906">
        <w:rPr>
          <w:rFonts w:ascii="Cambria" w:eastAsia="Calibri" w:hAnsi="Cambria" w:cs="Times New Roman"/>
          <w:sz w:val="24"/>
          <w:szCs w:val="24"/>
        </w:rPr>
        <w:t xml:space="preserve"> (Pagiaslis and Krontalis 2014). </w:t>
      </w:r>
      <w:r w:rsidR="00BD446B" w:rsidRPr="00530906">
        <w:rPr>
          <w:rFonts w:ascii="Cambria" w:eastAsia="Calibri" w:hAnsi="Cambria" w:cs="Times New Roman"/>
          <w:sz w:val="24"/>
          <w:szCs w:val="24"/>
        </w:rPr>
        <w:t xml:space="preserve">Research shows that, innovative product design and effective communication can instil greater brand attitude for their sustainability related initiative (Olsen et al 2014). “Informational interventions should be considered to educate consumers, so that they can accurately identify which products are environmentally friendly and which are not” (Tanner and Kast 2003, p. 895). However, very detailed technical information or confusing information have failed to increase sales of </w:t>
      </w:r>
      <w:r w:rsidR="00CF764E" w:rsidRPr="00530906">
        <w:rPr>
          <w:rFonts w:ascii="Cambria" w:eastAsia="Calibri" w:hAnsi="Cambria" w:cs="Times New Roman"/>
          <w:sz w:val="24"/>
          <w:szCs w:val="24"/>
        </w:rPr>
        <w:t xml:space="preserve">those </w:t>
      </w:r>
      <w:r w:rsidR="00BD446B" w:rsidRPr="00530906">
        <w:rPr>
          <w:rFonts w:ascii="Cambria" w:eastAsia="Calibri" w:hAnsi="Cambria" w:cs="Times New Roman"/>
          <w:sz w:val="24"/>
          <w:szCs w:val="24"/>
        </w:rPr>
        <w:t xml:space="preserve">products (Johnstone and Tan 2015). So, it is important that the people are educated in a right manner regarding the brand. In order to achieve the objective of increased sales, the consumers should be properly communicated, and the added value should be properly conveyed (Grimmer and Bingham, 2013). </w:t>
      </w:r>
    </w:p>
    <w:p w14:paraId="411CDBF6" w14:textId="017B12B0" w:rsidR="00E338A4" w:rsidRPr="00530906" w:rsidRDefault="00CF764E" w:rsidP="00E338A4">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Fourth</w:t>
      </w:r>
      <w:r w:rsidR="00E338A4" w:rsidRPr="00530906">
        <w:rPr>
          <w:rFonts w:ascii="Cambria" w:eastAsia="Calibri" w:hAnsi="Cambria" w:cs="Times New Roman"/>
          <w:sz w:val="24"/>
          <w:szCs w:val="24"/>
        </w:rPr>
        <w:t xml:space="preserve"> reason for consumers’ purchase behaviour not to follow their concern for environment, is – rather than understanding that sustainable behaviour may take various form, consumers think it is a dichotomous choice of going either be committed to full green of nothing (Johnstone and Tan 2015; Peattie and Crane 2005). </w:t>
      </w:r>
      <w:r w:rsidR="00274439" w:rsidRPr="00530906">
        <w:rPr>
          <w:rFonts w:ascii="Cambria" w:eastAsia="Calibri" w:hAnsi="Cambria" w:cs="Times New Roman"/>
          <w:sz w:val="24"/>
          <w:szCs w:val="24"/>
        </w:rPr>
        <w:t>On the top that, t</w:t>
      </w:r>
      <w:r w:rsidR="00274439" w:rsidRPr="00530906">
        <w:rPr>
          <w:rFonts w:ascii="Cambria" w:eastAsia="Calibri" w:hAnsi="Cambria" w:cs="Adobe Devanagari"/>
          <w:sz w:val="24"/>
          <w:szCs w:val="24"/>
        </w:rPr>
        <w:t xml:space="preserve">here is still room for confusion regarding terms related to choosing these products, especially when it is synonymous to minimising consumption (Kemper and Ballantine 2019; Lim 2017; </w:t>
      </w:r>
      <w:r w:rsidR="00274439" w:rsidRPr="00530906">
        <w:rPr>
          <w:rFonts w:ascii="Cambria" w:eastAsia="Calibri" w:hAnsi="Cambria" w:cs="Times New Roman"/>
          <w:sz w:val="24"/>
          <w:szCs w:val="24"/>
        </w:rPr>
        <w:t>Banbury et al 2012</w:t>
      </w:r>
      <w:r w:rsidR="00274439" w:rsidRPr="00530906">
        <w:rPr>
          <w:rFonts w:ascii="Cambria" w:eastAsia="Calibri" w:hAnsi="Cambria" w:cs="Adobe Devanagari"/>
          <w:sz w:val="24"/>
          <w:szCs w:val="24"/>
        </w:rPr>
        <w:t xml:space="preserve">).  </w:t>
      </w:r>
      <w:r w:rsidR="00E338A4" w:rsidRPr="00530906">
        <w:rPr>
          <w:rFonts w:ascii="Cambria" w:eastAsia="Calibri" w:hAnsi="Cambria" w:cs="Adobe Devanagari"/>
          <w:sz w:val="24"/>
          <w:szCs w:val="24"/>
        </w:rPr>
        <w:t xml:space="preserve">Though products, like– organic foods, are deemed to be healthier, safer, and local economy supportive. Yet, added information regarding sustainability do not influence the demand much if the brand equity is high (Larceneux et al 2012). </w:t>
      </w:r>
      <w:r w:rsidR="00E338A4" w:rsidRPr="00530906">
        <w:rPr>
          <w:rFonts w:ascii="Cambria" w:eastAsia="Calibri" w:hAnsi="Cambria" w:cs="Times New Roman"/>
          <w:sz w:val="24"/>
          <w:szCs w:val="24"/>
        </w:rPr>
        <w:t>Strong ethical claim associated with a sophisticated product, which is consumed mainly for enjoyment, impairs that product’s evaluation. But ethical claim with the simple product, enhances the evaluation. This phenomenon occurs because consumer</w:t>
      </w:r>
      <w:r w:rsidR="000D6CDF" w:rsidRPr="00530906">
        <w:rPr>
          <w:rFonts w:ascii="Cambria" w:eastAsia="Calibri" w:hAnsi="Cambria" w:cs="Times New Roman"/>
          <w:sz w:val="24"/>
          <w:szCs w:val="24"/>
        </w:rPr>
        <w:t>s</w:t>
      </w:r>
      <w:r w:rsidR="00E338A4" w:rsidRPr="00530906">
        <w:rPr>
          <w:rFonts w:ascii="Cambria" w:eastAsia="Calibri" w:hAnsi="Cambria" w:cs="Times New Roman"/>
          <w:sz w:val="24"/>
          <w:szCs w:val="24"/>
        </w:rPr>
        <w:t xml:space="preserve"> perceive sustaina</w:t>
      </w:r>
      <w:r w:rsidR="000F0A3E" w:rsidRPr="00530906">
        <w:rPr>
          <w:rFonts w:ascii="Cambria" w:eastAsia="Calibri" w:hAnsi="Cambria" w:cs="Times New Roman"/>
          <w:sz w:val="24"/>
          <w:szCs w:val="24"/>
        </w:rPr>
        <w:t xml:space="preserve">bility related </w:t>
      </w:r>
      <w:r w:rsidR="00E338A4" w:rsidRPr="00530906">
        <w:rPr>
          <w:rFonts w:ascii="Cambria" w:eastAsia="Calibri" w:hAnsi="Cambria" w:cs="Times New Roman"/>
          <w:sz w:val="24"/>
          <w:szCs w:val="24"/>
        </w:rPr>
        <w:t>product</w:t>
      </w:r>
      <w:r w:rsidR="000F0A3E" w:rsidRPr="00530906">
        <w:rPr>
          <w:rFonts w:ascii="Cambria" w:eastAsia="Calibri" w:hAnsi="Cambria" w:cs="Times New Roman"/>
          <w:sz w:val="24"/>
          <w:szCs w:val="24"/>
        </w:rPr>
        <w:t>s</w:t>
      </w:r>
      <w:r w:rsidR="00E338A4" w:rsidRPr="00530906">
        <w:rPr>
          <w:rFonts w:ascii="Cambria" w:eastAsia="Calibri" w:hAnsi="Cambria" w:cs="Times New Roman"/>
          <w:sz w:val="24"/>
          <w:szCs w:val="24"/>
        </w:rPr>
        <w:t xml:space="preserve"> not to be effective, hence cannot be associated with sophisticated products </w:t>
      </w:r>
      <w:r w:rsidR="00E338A4" w:rsidRPr="00530906">
        <w:rPr>
          <w:rFonts w:ascii="Cambria" w:eastAsia="Calibri" w:hAnsi="Cambria" w:cs="Adobe Devanagari"/>
          <w:sz w:val="24"/>
          <w:szCs w:val="24"/>
        </w:rPr>
        <w:t>(Herédia–Colaço and Vale 2018</w:t>
      </w:r>
      <w:r w:rsidR="00E338A4" w:rsidRPr="00530906">
        <w:rPr>
          <w:rFonts w:ascii="Cambria" w:eastAsia="Calibri" w:hAnsi="Cambria" w:cs="Times New Roman"/>
          <w:sz w:val="24"/>
          <w:szCs w:val="24"/>
        </w:rPr>
        <w:t>).</w:t>
      </w:r>
      <w:r w:rsidR="004571D0" w:rsidRPr="00530906">
        <w:rPr>
          <w:rFonts w:ascii="Cambria" w:eastAsia="Calibri" w:hAnsi="Cambria" w:cs="Times New Roman"/>
          <w:sz w:val="24"/>
          <w:szCs w:val="24"/>
        </w:rPr>
        <w:t xml:space="preserve"> It signifies that,</w:t>
      </w:r>
      <w:r w:rsidR="00274439" w:rsidRPr="00530906">
        <w:rPr>
          <w:rFonts w:ascii="Cambria" w:eastAsia="Calibri" w:hAnsi="Cambria" w:cs="Adobe Devanagari"/>
          <w:sz w:val="24"/>
          <w:szCs w:val="24"/>
        </w:rPr>
        <w:t xml:space="preserve"> </w:t>
      </w:r>
      <w:r w:rsidR="00274439" w:rsidRPr="00530906">
        <w:rPr>
          <w:rFonts w:ascii="Cambria" w:eastAsia="Calibri" w:hAnsi="Cambria" w:cs="Adobe Devanagari"/>
          <w:sz w:val="24"/>
          <w:szCs w:val="24"/>
        </w:rPr>
        <w:lastRenderedPageBreak/>
        <w:t>there is confusion in conveying consumers the information about sustainab</w:t>
      </w:r>
      <w:r w:rsidR="004571D0" w:rsidRPr="00530906">
        <w:rPr>
          <w:rFonts w:ascii="Cambria" w:eastAsia="Calibri" w:hAnsi="Cambria" w:cs="Adobe Devanagari"/>
          <w:sz w:val="24"/>
          <w:szCs w:val="24"/>
        </w:rPr>
        <w:t xml:space="preserve">ility related </w:t>
      </w:r>
      <w:r w:rsidR="00274439" w:rsidRPr="00530906">
        <w:rPr>
          <w:rFonts w:ascii="Cambria" w:eastAsia="Calibri" w:hAnsi="Cambria" w:cs="Adobe Devanagari"/>
          <w:sz w:val="24"/>
          <w:szCs w:val="24"/>
        </w:rPr>
        <w:t xml:space="preserve">products. </w:t>
      </w:r>
      <w:r w:rsidR="00274439" w:rsidRPr="00530906">
        <w:rPr>
          <w:rFonts w:ascii="Cambria" w:eastAsia="Calibri" w:hAnsi="Cambria" w:cs="Times New Roman"/>
          <w:sz w:val="24"/>
          <w:szCs w:val="24"/>
        </w:rPr>
        <w:t>At this point, marketers have failed to communicate the socio ecological value as effectively as the traditional benefits and values, which leave the mainstream consumers in dark about the feature of sustainab</w:t>
      </w:r>
      <w:r w:rsidR="004571D0" w:rsidRPr="00530906">
        <w:rPr>
          <w:rFonts w:ascii="Cambria" w:eastAsia="Calibri" w:hAnsi="Cambria" w:cs="Times New Roman"/>
          <w:sz w:val="24"/>
          <w:szCs w:val="24"/>
        </w:rPr>
        <w:t xml:space="preserve">ility related </w:t>
      </w:r>
      <w:r w:rsidR="00274439" w:rsidRPr="00530906">
        <w:rPr>
          <w:rFonts w:ascii="Cambria" w:eastAsia="Calibri" w:hAnsi="Cambria" w:cs="Times New Roman"/>
          <w:sz w:val="24"/>
          <w:szCs w:val="24"/>
        </w:rPr>
        <w:t xml:space="preserve">products and left with the perception that sustainable purchase requires sacrifice, inconvenience, higher cost, lower performance without added benefits (Lim 2016; </w:t>
      </w:r>
      <w:r w:rsidR="00274439" w:rsidRPr="00530906">
        <w:rPr>
          <w:rFonts w:ascii="Cambria" w:eastAsia="Calibri" w:hAnsi="Cambria" w:cs="Adobe Devanagari"/>
          <w:sz w:val="24"/>
          <w:szCs w:val="24"/>
        </w:rPr>
        <w:t xml:space="preserve">Herédia–Colaço and Vale 2018; </w:t>
      </w:r>
      <w:r w:rsidR="00274439" w:rsidRPr="00530906">
        <w:rPr>
          <w:rFonts w:ascii="Cambria" w:eastAsia="Calibri" w:hAnsi="Cambria" w:cs="Times New Roman"/>
          <w:sz w:val="24"/>
          <w:szCs w:val="24"/>
        </w:rPr>
        <w:t>Johnstone and Tan 2015).</w:t>
      </w:r>
      <w:r w:rsidR="00DF2F84" w:rsidRPr="00530906">
        <w:rPr>
          <w:rFonts w:ascii="Cambria" w:eastAsia="Calibri" w:hAnsi="Cambria" w:cs="Adobe Devanagari"/>
          <w:sz w:val="24"/>
          <w:szCs w:val="24"/>
        </w:rPr>
        <w:t xml:space="preserve"> </w:t>
      </w:r>
    </w:p>
    <w:p w14:paraId="63B59625" w14:textId="3D7C9E4B" w:rsidR="009D0BD6" w:rsidRPr="00530906" w:rsidRDefault="00FE3B64" w:rsidP="009D0BD6">
      <w:pPr>
        <w:spacing w:after="200" w:line="360" w:lineRule="auto"/>
        <w:jc w:val="both"/>
        <w:rPr>
          <w:rFonts w:ascii="Cambria" w:eastAsia="Calibri" w:hAnsi="Cambria" w:cs="Times New Roman"/>
          <w:sz w:val="24"/>
          <w:szCs w:val="24"/>
        </w:rPr>
      </w:pPr>
      <w:r w:rsidRPr="00530906">
        <w:rPr>
          <w:rFonts w:ascii="Cambria" w:eastAsia="Calibri" w:hAnsi="Cambria" w:cs="Times New Roman"/>
          <w:sz w:val="24"/>
          <w:szCs w:val="24"/>
        </w:rPr>
        <w:t>Nevertheless,</w:t>
      </w:r>
      <w:r w:rsidR="000D6CDF" w:rsidRPr="00530906">
        <w:rPr>
          <w:rFonts w:ascii="Cambria" w:eastAsia="Calibri" w:hAnsi="Cambria" w:cs="Times New Roman"/>
          <w:sz w:val="24"/>
          <w:szCs w:val="24"/>
        </w:rPr>
        <w:t xml:space="preserve"> i</w:t>
      </w:r>
      <w:r w:rsidR="00E338A4" w:rsidRPr="00530906">
        <w:rPr>
          <w:rFonts w:ascii="Cambria" w:eastAsia="Calibri" w:hAnsi="Cambria" w:cs="Times New Roman"/>
          <w:sz w:val="24"/>
          <w:szCs w:val="24"/>
        </w:rPr>
        <w:t xml:space="preserve">t is evident that, with the increasing awareness of the sustainability, the symbolic meaning of the sustainable–consumption may change too </w:t>
      </w:r>
      <w:r w:rsidR="00E338A4" w:rsidRPr="00530906">
        <w:rPr>
          <w:rFonts w:ascii="Cambria" w:eastAsia="Calibri" w:hAnsi="Cambria" w:cs="Adobe Devanagari"/>
          <w:sz w:val="24"/>
          <w:szCs w:val="24"/>
        </w:rPr>
        <w:t xml:space="preserve">(Brooks and Wilson 2015). Belz and Peatties (2012) also suggested </w:t>
      </w:r>
      <w:r w:rsidR="00F8706E">
        <w:rPr>
          <w:rFonts w:ascii="Cambria" w:eastAsia="Calibri" w:hAnsi="Cambria" w:cs="Adobe Devanagari"/>
          <w:sz w:val="24"/>
          <w:szCs w:val="24"/>
        </w:rPr>
        <w:t xml:space="preserve">for </w:t>
      </w:r>
      <w:r w:rsidR="00E338A4" w:rsidRPr="00530906">
        <w:rPr>
          <w:rFonts w:ascii="Cambria" w:eastAsia="Calibri" w:hAnsi="Cambria" w:cs="Adobe Devanagari"/>
          <w:sz w:val="24"/>
          <w:szCs w:val="24"/>
        </w:rPr>
        <w:t>transformation of values to promote products</w:t>
      </w:r>
      <w:r w:rsidR="001F35CB" w:rsidRPr="00530906">
        <w:rPr>
          <w:rFonts w:ascii="Cambria" w:eastAsia="Calibri" w:hAnsi="Cambria" w:cs="Adobe Devanagari"/>
          <w:sz w:val="24"/>
          <w:szCs w:val="24"/>
        </w:rPr>
        <w:t xml:space="preserve"> with sustainability related attributes</w:t>
      </w:r>
      <w:r w:rsidR="00E338A4" w:rsidRPr="00530906">
        <w:rPr>
          <w:rFonts w:ascii="Cambria" w:eastAsia="Calibri" w:hAnsi="Cambria" w:cs="Adobe Devanagari"/>
          <w:sz w:val="24"/>
          <w:szCs w:val="24"/>
        </w:rPr>
        <w:t xml:space="preserve">.  </w:t>
      </w:r>
      <w:r w:rsidR="00E338A4" w:rsidRPr="00530906">
        <w:rPr>
          <w:rFonts w:ascii="Cambria" w:eastAsia="Calibri" w:hAnsi="Cambria" w:cs="Times New Roman"/>
          <w:sz w:val="24"/>
          <w:szCs w:val="24"/>
        </w:rPr>
        <w:t>In a nutshell, consumers need to be informed about the</w:t>
      </w:r>
      <w:r w:rsidR="001F35CB" w:rsidRPr="00530906">
        <w:rPr>
          <w:rFonts w:ascii="Cambria" w:eastAsia="Calibri" w:hAnsi="Cambria" w:cs="Times New Roman"/>
          <w:sz w:val="24"/>
          <w:szCs w:val="24"/>
        </w:rPr>
        <w:t>se</w:t>
      </w:r>
      <w:r w:rsidR="00E338A4" w:rsidRPr="00530906">
        <w:rPr>
          <w:rFonts w:ascii="Cambria" w:eastAsia="Calibri" w:hAnsi="Cambria" w:cs="Times New Roman"/>
          <w:sz w:val="24"/>
          <w:szCs w:val="24"/>
        </w:rPr>
        <w:t xml:space="preserve"> product</w:t>
      </w:r>
      <w:r w:rsidR="00274439" w:rsidRPr="00530906">
        <w:rPr>
          <w:rFonts w:ascii="Cambria" w:eastAsia="Calibri" w:hAnsi="Cambria" w:cs="Times New Roman"/>
          <w:sz w:val="24"/>
          <w:szCs w:val="24"/>
        </w:rPr>
        <w:t xml:space="preserve">s </w:t>
      </w:r>
      <w:r w:rsidR="00E338A4" w:rsidRPr="00530906">
        <w:rPr>
          <w:rFonts w:ascii="Cambria" w:eastAsia="Calibri" w:hAnsi="Cambria" w:cs="Times New Roman"/>
          <w:sz w:val="24"/>
          <w:szCs w:val="24"/>
        </w:rPr>
        <w:t xml:space="preserve">and the meaning of sustainable behaviour in a proper manner, which they can believe and </w:t>
      </w:r>
      <w:r w:rsidRPr="00530906">
        <w:rPr>
          <w:rFonts w:ascii="Cambria" w:eastAsia="Calibri" w:hAnsi="Cambria" w:cs="Times New Roman"/>
          <w:sz w:val="24"/>
          <w:szCs w:val="24"/>
        </w:rPr>
        <w:t>understand</w:t>
      </w:r>
      <w:r>
        <w:rPr>
          <w:rFonts w:ascii="Cambria" w:eastAsia="Calibri" w:hAnsi="Cambria" w:cs="Times New Roman"/>
          <w:sz w:val="24"/>
          <w:szCs w:val="24"/>
        </w:rPr>
        <w:t xml:space="preserve"> </w:t>
      </w:r>
      <w:r w:rsidRPr="00530906">
        <w:rPr>
          <w:rFonts w:ascii="Cambria" w:eastAsia="Calibri" w:hAnsi="Cambria" w:cs="Adobe Devanagari"/>
          <w:sz w:val="24"/>
          <w:szCs w:val="24"/>
        </w:rPr>
        <w:t>(Schaltegger</w:t>
      </w:r>
      <w:r w:rsidR="008B4A84" w:rsidRPr="00530906">
        <w:rPr>
          <w:rFonts w:ascii="Cambria" w:eastAsia="Calibri" w:hAnsi="Cambria" w:cs="Adobe Devanagari"/>
          <w:sz w:val="24"/>
          <w:szCs w:val="24"/>
        </w:rPr>
        <w:t xml:space="preserve"> and Wagner 2011)</w:t>
      </w:r>
      <w:r w:rsidR="00E338A4" w:rsidRPr="00530906">
        <w:rPr>
          <w:rFonts w:ascii="Cambria" w:eastAsia="Calibri" w:hAnsi="Cambria" w:cs="Times New Roman"/>
          <w:sz w:val="24"/>
          <w:szCs w:val="24"/>
        </w:rPr>
        <w:t xml:space="preserve">. </w:t>
      </w:r>
      <w:r w:rsidR="008B4A84" w:rsidRPr="00530906">
        <w:rPr>
          <w:rFonts w:ascii="Cambria" w:eastAsia="Calibri" w:hAnsi="Cambria" w:cs="Times New Roman"/>
          <w:sz w:val="24"/>
          <w:szCs w:val="24"/>
        </w:rPr>
        <w:t xml:space="preserve">Research on battery–electric–vehicle shows that consumers may prefer these products if the value of it is conveyed properly (Axsen et al 2013). </w:t>
      </w:r>
      <w:r w:rsidR="00730C0D" w:rsidRPr="00530906">
        <w:rPr>
          <w:rFonts w:ascii="Cambria" w:eastAsia="Calibri" w:hAnsi="Cambria" w:cs="Adobe Devanagari"/>
          <w:sz w:val="24"/>
          <w:szCs w:val="24"/>
        </w:rPr>
        <w:t>Pirus hybrid car managed to achieve a substantial portion of market share through radically innovative design (Schaltegger and Wagner 2011), which also signalled social status (Brooks and Wilson 2015). Due to these hidden symbolic attributes, sustainab</w:t>
      </w:r>
      <w:r w:rsidR="008B4A84" w:rsidRPr="00530906">
        <w:rPr>
          <w:rFonts w:ascii="Cambria" w:eastAsia="Calibri" w:hAnsi="Cambria" w:cs="Adobe Devanagari"/>
          <w:sz w:val="24"/>
          <w:szCs w:val="24"/>
        </w:rPr>
        <w:t xml:space="preserve">ility </w:t>
      </w:r>
      <w:r w:rsidR="00730C0D" w:rsidRPr="00530906">
        <w:rPr>
          <w:rFonts w:ascii="Cambria" w:eastAsia="Calibri" w:hAnsi="Cambria" w:cs="Adobe Devanagari"/>
          <w:sz w:val="24"/>
          <w:szCs w:val="24"/>
        </w:rPr>
        <w:t>products are often deemed as novelty products (Axsen et al 2013).</w:t>
      </w:r>
    </w:p>
    <w:p w14:paraId="156B8CA6" w14:textId="07E03F4C" w:rsidR="00FD343B" w:rsidRPr="00530906" w:rsidRDefault="00FD343B" w:rsidP="00FD343B">
      <w:pPr>
        <w:spacing w:after="200" w:line="360" w:lineRule="auto"/>
        <w:jc w:val="both"/>
        <w:rPr>
          <w:rFonts w:ascii="Cambria" w:eastAsiaTheme="minorEastAsia" w:hAnsi="Cambria"/>
          <w:sz w:val="24"/>
          <w:szCs w:val="24"/>
        </w:rPr>
      </w:pPr>
      <w:r w:rsidRPr="00530906">
        <w:rPr>
          <w:rFonts w:ascii="Cambria" w:eastAsia="Calibri" w:hAnsi="Cambria" w:cs="Times New Roman"/>
          <w:sz w:val="24"/>
          <w:szCs w:val="24"/>
        </w:rPr>
        <w:t>This brings to the fifth reason for consumers to no choosing the products with sustainable attributes. Societal norms and practices greatly influence the sustainable behaviour of consumers (Caprar and Neville 2012; Banbury et al 2012; Pickett–Baker and Ozaki 2008; Black et al 1985; Chan et al 2008). Form individual and household perspective, people’s choice about living arrangement, workplace, commuting options and other consumption decisions revolves around society and devolution of societal norms (Jackson and Papathanasopoulou 2008). People usually adopt sustainable–behaviour to be socially fit (</w:t>
      </w:r>
      <w:r w:rsidRPr="00530906">
        <w:rPr>
          <w:rFonts w:ascii="Cambria" w:eastAsiaTheme="minorEastAsia" w:hAnsi="Cambria"/>
          <w:sz w:val="24"/>
          <w:szCs w:val="24"/>
        </w:rPr>
        <w:t xml:space="preserve">Aagerup and Nilsson 2016). </w:t>
      </w:r>
      <w:r w:rsidRPr="00530906">
        <w:rPr>
          <w:rFonts w:ascii="Cambria" w:eastAsia="Calibri" w:hAnsi="Cambria" w:cs="Adobe Devanagari"/>
          <w:sz w:val="24"/>
          <w:szCs w:val="24"/>
        </w:rPr>
        <w:t>Consumptions increases due to consumers’ increasing social and psychological need to demonstrate ‘luxury consumption’ and economic mobility (Jackson and Papathanasopoulou 2008). Since consumption is associated with pleasure and psychological wellbeing (Craig 2019)</w:t>
      </w:r>
      <w:r w:rsidRPr="00530906">
        <w:rPr>
          <w:rFonts w:ascii="Cambria" w:eastAsia="Calibri" w:hAnsi="Cambria" w:cs="Times New Roman"/>
          <w:sz w:val="24"/>
          <w:szCs w:val="24"/>
        </w:rPr>
        <w:t>, consumption–intensive behaviour indicates high social status (Brook and Wilson 2015).</w:t>
      </w:r>
    </w:p>
    <w:p w14:paraId="21EA09AB" w14:textId="39735CF1" w:rsidR="009D0BD6" w:rsidRPr="00530906" w:rsidRDefault="00FD343B" w:rsidP="009D0BD6">
      <w:pPr>
        <w:spacing w:after="200" w:line="360" w:lineRule="auto"/>
        <w:jc w:val="both"/>
        <w:rPr>
          <w:rFonts w:ascii="Cambria" w:eastAsia="Calibri" w:hAnsi="Cambria" w:cs="Times New Roman"/>
          <w:sz w:val="24"/>
          <w:szCs w:val="24"/>
        </w:rPr>
      </w:pPr>
      <w:r w:rsidRPr="00530906">
        <w:rPr>
          <w:rFonts w:ascii="Cambria" w:eastAsia="Calibri" w:hAnsi="Cambria" w:cs="Times New Roman"/>
          <w:sz w:val="24"/>
          <w:szCs w:val="24"/>
        </w:rPr>
        <w:lastRenderedPageBreak/>
        <w:t>Lastly</w:t>
      </w:r>
      <w:r w:rsidR="00067BBE" w:rsidRPr="00530906">
        <w:rPr>
          <w:rFonts w:ascii="Cambria" w:eastAsia="Calibri" w:hAnsi="Cambria" w:cs="Times New Roman"/>
          <w:sz w:val="24"/>
          <w:szCs w:val="24"/>
        </w:rPr>
        <w:t>, it is hard to change consumption pattern (Lin and Hsu 2014; Chan et al 2008; Johnstone and Tan 2015; Thøgersen et al 2012)</w:t>
      </w:r>
      <w:r w:rsidR="008A10C0" w:rsidRPr="00530906">
        <w:rPr>
          <w:rFonts w:ascii="Cambria" w:eastAsia="Calibri" w:hAnsi="Cambria" w:cs="Times New Roman"/>
          <w:sz w:val="24"/>
          <w:szCs w:val="24"/>
        </w:rPr>
        <w:t xml:space="preserve"> </w:t>
      </w:r>
      <w:r w:rsidR="00FE3B64" w:rsidRPr="00530906">
        <w:rPr>
          <w:rFonts w:ascii="Cambria" w:eastAsia="Calibri" w:hAnsi="Cambria" w:cs="Times New Roman"/>
          <w:sz w:val="24"/>
          <w:szCs w:val="24"/>
        </w:rPr>
        <w:t>because</w:t>
      </w:r>
      <w:r w:rsidR="008A10C0" w:rsidRPr="00530906">
        <w:rPr>
          <w:rFonts w:ascii="Cambria" w:eastAsia="Calibri" w:hAnsi="Cambria" w:cs="Times New Roman"/>
          <w:sz w:val="24"/>
          <w:szCs w:val="24"/>
        </w:rPr>
        <w:t xml:space="preserve"> this type of change requires substantial effort and resource (Black et al 1985; Tanner and Kast 2003; Juhl et al 2017). </w:t>
      </w:r>
      <w:r w:rsidR="00067BBE" w:rsidRPr="00530906">
        <w:rPr>
          <w:rFonts w:ascii="Cambria" w:eastAsia="Calibri" w:hAnsi="Cambria" w:cs="Times New Roman"/>
          <w:sz w:val="24"/>
          <w:szCs w:val="24"/>
        </w:rPr>
        <w:t xml:space="preserve">Consumers may not be inclined to change the consumption pattern because, changing consumption pattern will cause deviation from the convenience associated with prevailing practice (Chan et al 2008). </w:t>
      </w:r>
      <w:r w:rsidR="009D0BD6" w:rsidRPr="00530906">
        <w:rPr>
          <w:rFonts w:ascii="Cambria" w:eastAsia="Calibri" w:hAnsi="Cambria" w:cs="Times New Roman"/>
          <w:sz w:val="24"/>
          <w:szCs w:val="24"/>
        </w:rPr>
        <w:t xml:space="preserve">The </w:t>
      </w:r>
      <w:r w:rsidR="009D0BD6" w:rsidRPr="00530906">
        <w:rPr>
          <w:rFonts w:ascii="Cambria" w:eastAsia="Calibri" w:hAnsi="Cambria" w:cs="Adobe Devanagari"/>
          <w:sz w:val="24"/>
          <w:szCs w:val="24"/>
        </w:rPr>
        <w:t xml:space="preserve">effort and time to acquire </w:t>
      </w:r>
      <w:r w:rsidR="008A10C0" w:rsidRPr="00530906">
        <w:rPr>
          <w:rFonts w:ascii="Cambria" w:eastAsia="Calibri" w:hAnsi="Cambria" w:cs="Adobe Devanagari"/>
          <w:sz w:val="24"/>
          <w:szCs w:val="24"/>
        </w:rPr>
        <w:t>the products with sustainable attributed,</w:t>
      </w:r>
      <w:r w:rsidR="009D0BD6" w:rsidRPr="00530906">
        <w:rPr>
          <w:rFonts w:ascii="Cambria" w:eastAsia="Calibri" w:hAnsi="Cambria" w:cs="Adobe Devanagari"/>
          <w:sz w:val="24"/>
          <w:szCs w:val="24"/>
        </w:rPr>
        <w:t xml:space="preserve"> </w:t>
      </w:r>
      <w:r w:rsidR="008A10C0" w:rsidRPr="00530906">
        <w:rPr>
          <w:rFonts w:ascii="Cambria" w:eastAsia="Calibri" w:hAnsi="Cambria" w:cs="Adobe Devanagari"/>
          <w:sz w:val="24"/>
          <w:szCs w:val="24"/>
        </w:rPr>
        <w:t xml:space="preserve">cost associated to </w:t>
      </w:r>
      <w:r w:rsidR="009D0BD6" w:rsidRPr="00530906">
        <w:rPr>
          <w:rFonts w:ascii="Cambria" w:eastAsia="Calibri" w:hAnsi="Cambria" w:cs="Adobe Devanagari"/>
          <w:sz w:val="24"/>
          <w:szCs w:val="24"/>
        </w:rPr>
        <w:t>evaluat</w:t>
      </w:r>
      <w:r w:rsidR="008A10C0" w:rsidRPr="00530906">
        <w:rPr>
          <w:rFonts w:ascii="Cambria" w:eastAsia="Calibri" w:hAnsi="Cambria" w:cs="Adobe Devanagari"/>
          <w:sz w:val="24"/>
          <w:szCs w:val="24"/>
        </w:rPr>
        <w:t>e them</w:t>
      </w:r>
      <w:r w:rsidR="009D0BD6" w:rsidRPr="00530906">
        <w:rPr>
          <w:rFonts w:ascii="Cambria" w:eastAsia="Calibri" w:hAnsi="Cambria" w:cs="Adobe Devanagari"/>
          <w:sz w:val="24"/>
          <w:szCs w:val="24"/>
        </w:rPr>
        <w:t>, and</w:t>
      </w:r>
      <w:r w:rsidR="008A10C0" w:rsidRPr="00530906">
        <w:rPr>
          <w:rFonts w:ascii="Cambria" w:eastAsia="Calibri" w:hAnsi="Cambria" w:cs="Adobe Devanagari"/>
          <w:sz w:val="24"/>
          <w:szCs w:val="24"/>
        </w:rPr>
        <w:t xml:space="preserve"> risk </w:t>
      </w:r>
      <w:r w:rsidR="00FE3B64" w:rsidRPr="00530906">
        <w:rPr>
          <w:rFonts w:ascii="Cambria" w:eastAsia="Calibri" w:hAnsi="Cambria" w:cs="Adobe Devanagari"/>
          <w:sz w:val="24"/>
          <w:szCs w:val="24"/>
        </w:rPr>
        <w:t>associated</w:t>
      </w:r>
      <w:r w:rsidR="008A10C0" w:rsidRPr="00530906">
        <w:rPr>
          <w:rFonts w:ascii="Cambria" w:eastAsia="Calibri" w:hAnsi="Cambria" w:cs="Adobe Devanagari"/>
          <w:sz w:val="24"/>
          <w:szCs w:val="24"/>
        </w:rPr>
        <w:t xml:space="preserve"> with their</w:t>
      </w:r>
      <w:r w:rsidR="009D0BD6" w:rsidRPr="00530906">
        <w:rPr>
          <w:rFonts w:ascii="Cambria" w:eastAsia="Calibri" w:hAnsi="Cambria" w:cs="Adobe Devanagari"/>
          <w:sz w:val="24"/>
          <w:szCs w:val="24"/>
        </w:rPr>
        <w:t xml:space="preserve"> performance decrease their value. But the value for those products increases if the consumers are convinced </w:t>
      </w:r>
      <w:r w:rsidR="002421F9" w:rsidRPr="00530906">
        <w:rPr>
          <w:rFonts w:ascii="Cambria" w:eastAsia="Calibri" w:hAnsi="Cambria" w:cs="Adobe Devanagari"/>
          <w:sz w:val="24"/>
          <w:szCs w:val="24"/>
        </w:rPr>
        <w:t xml:space="preserve">about the </w:t>
      </w:r>
      <w:r w:rsidR="009D0BD6" w:rsidRPr="00530906">
        <w:rPr>
          <w:rFonts w:ascii="Cambria" w:eastAsia="Calibri" w:hAnsi="Cambria" w:cs="Adobe Devanagari"/>
          <w:sz w:val="24"/>
          <w:szCs w:val="24"/>
        </w:rPr>
        <w:t>enhance</w:t>
      </w:r>
      <w:r w:rsidR="002421F9" w:rsidRPr="00530906">
        <w:rPr>
          <w:rFonts w:ascii="Cambria" w:eastAsia="Calibri" w:hAnsi="Cambria" w:cs="Adobe Devanagari"/>
          <w:sz w:val="24"/>
          <w:szCs w:val="24"/>
        </w:rPr>
        <w:t>ment of</w:t>
      </w:r>
      <w:r w:rsidR="009D0BD6" w:rsidRPr="00530906">
        <w:rPr>
          <w:rFonts w:ascii="Cambria" w:eastAsia="Calibri" w:hAnsi="Cambria" w:cs="Adobe Devanagari"/>
          <w:sz w:val="24"/>
          <w:szCs w:val="24"/>
        </w:rPr>
        <w:t xml:space="preserve"> the economic value, social value, hedonic </w:t>
      </w:r>
      <w:r w:rsidR="007371FD" w:rsidRPr="00530906">
        <w:rPr>
          <w:rFonts w:ascii="Cambria" w:eastAsia="Calibri" w:hAnsi="Cambria" w:cs="Adobe Devanagari"/>
          <w:sz w:val="24"/>
          <w:szCs w:val="24"/>
        </w:rPr>
        <w:t>value,</w:t>
      </w:r>
      <w:r w:rsidR="009D0BD6" w:rsidRPr="00530906">
        <w:rPr>
          <w:rFonts w:ascii="Cambria" w:eastAsia="Calibri" w:hAnsi="Cambria" w:cs="Adobe Devanagari"/>
          <w:sz w:val="24"/>
          <w:szCs w:val="24"/>
        </w:rPr>
        <w:t xml:space="preserve"> and altruistic value (Papista and Krystallis 2013).</w:t>
      </w:r>
    </w:p>
    <w:p w14:paraId="27FBF22B" w14:textId="2E1E9FF4" w:rsidR="0014013B" w:rsidRPr="009F02A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One of the main causes of environmental degradation is per capita consumption. The solution for this problem should be alternative behavioural pattern </w:t>
      </w:r>
      <w:r w:rsidR="00011DEA" w:rsidRPr="00530906">
        <w:rPr>
          <w:rFonts w:ascii="Cambria" w:eastAsia="Calibri" w:hAnsi="Cambria" w:cs="Times New Roman"/>
          <w:sz w:val="24"/>
          <w:szCs w:val="24"/>
        </w:rPr>
        <w:t>towards</w:t>
      </w:r>
      <w:r w:rsidRPr="00530906">
        <w:rPr>
          <w:rFonts w:ascii="Cambria" w:eastAsia="Calibri" w:hAnsi="Cambria" w:cs="Times New Roman"/>
          <w:sz w:val="24"/>
          <w:szCs w:val="24"/>
        </w:rPr>
        <w:t xml:space="preserve"> sustainable development (Tanner and Kast, 2003) and changing mind–set of the consumers (Lim 2017). Regarding a means of changing mindset, it has been suggested that “a sustainability mindset considers and internalizes the sustainability agenda by developing a sense of care for nature, self, and community, and translating this sense of care into environmental, </w:t>
      </w:r>
      <w:r w:rsidRPr="009F02A6">
        <w:rPr>
          <w:rFonts w:ascii="Cambria" w:eastAsia="Calibri" w:hAnsi="Cambria" w:cs="Times New Roman"/>
          <w:sz w:val="24"/>
          <w:szCs w:val="24"/>
        </w:rPr>
        <w:t xml:space="preserve">ethical, and social responsibilities. These inner beliefs and felt responsibilities, in turn, govern consumers' attitudes and behaviours with regard to consumption practices” (Lim 2017 p. 76). </w:t>
      </w:r>
      <w:r w:rsidR="0014013B" w:rsidRPr="009F02A6">
        <w:rPr>
          <w:rFonts w:ascii="Cambria" w:eastAsia="Calibri" w:hAnsi="Cambria" w:cs="Times New Roman"/>
          <w:sz w:val="24"/>
          <w:szCs w:val="24"/>
        </w:rPr>
        <w:t>T</w:t>
      </w:r>
      <w:r w:rsidR="0014013B" w:rsidRPr="009F02A6">
        <w:rPr>
          <w:rFonts w:ascii="Cambria" w:eastAsia="Calibri" w:hAnsi="Cambria" w:cs="Adobe Devanagari"/>
          <w:sz w:val="24"/>
          <w:szCs w:val="24"/>
        </w:rPr>
        <w:t>he pressing question for sustainable–behaviour is, how the demand of the general population can be more environmentally and socially sustainable (Middlemiss, 2018) and</w:t>
      </w:r>
      <w:r w:rsidR="0014013B" w:rsidRPr="009F02A6">
        <w:rPr>
          <w:rFonts w:ascii="Cambria" w:eastAsia="Calibri" w:hAnsi="Cambria" w:cs="Times New Roman"/>
          <w:sz w:val="24"/>
          <w:szCs w:val="24"/>
        </w:rPr>
        <w:t xml:space="preserve"> whether consumers can be encouraged to act more sustainable manner, especially society at large (Lim 2017).</w:t>
      </w:r>
      <w:r w:rsidR="0014013B" w:rsidRPr="009F02A6">
        <w:rPr>
          <w:rFonts w:ascii="Cambria" w:hAnsi="Cambria"/>
          <w:sz w:val="24"/>
          <w:szCs w:val="24"/>
        </w:rPr>
        <w:t xml:space="preserve"> </w:t>
      </w:r>
      <w:r w:rsidR="0014013B" w:rsidRPr="009F02A6">
        <w:rPr>
          <w:rFonts w:ascii="Cambria" w:eastAsia="Calibri" w:hAnsi="Cambria" w:cs="Times New Roman"/>
          <w:sz w:val="24"/>
          <w:szCs w:val="24"/>
        </w:rPr>
        <w:t xml:space="preserve">As a means of sustainable marketing communication, </w:t>
      </w:r>
      <w:r w:rsidR="00F76EAD"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F76EAD" w:rsidRPr="009F02A6">
        <w:rPr>
          <w:rFonts w:ascii="Cambria" w:eastAsia="Calibri" w:hAnsi="Cambria" w:cs="Adobe Devanagari"/>
          <w:sz w:val="24"/>
          <w:szCs w:val="24"/>
        </w:rPr>
        <w:t xml:space="preserve"> message</w:t>
      </w:r>
      <w:r w:rsidR="00F76EAD" w:rsidRPr="009F02A6">
        <w:rPr>
          <w:rFonts w:ascii="Cambria" w:eastAsia="Calibri" w:hAnsi="Cambria" w:cs="Times New Roman"/>
          <w:sz w:val="24"/>
          <w:szCs w:val="24"/>
        </w:rPr>
        <w:t xml:space="preserve"> </w:t>
      </w:r>
      <w:r w:rsidR="0014013B" w:rsidRPr="009F02A6">
        <w:rPr>
          <w:rFonts w:ascii="Cambria" w:eastAsia="Calibri" w:hAnsi="Cambria" w:cs="Times New Roman"/>
          <w:sz w:val="24"/>
          <w:szCs w:val="24"/>
        </w:rPr>
        <w:t xml:space="preserve">should be contemplated, because advertisements can shape the consumption–pattern (Pickett–Backer and Ozaki 2008). </w:t>
      </w:r>
    </w:p>
    <w:p w14:paraId="477415EF" w14:textId="078626A1" w:rsidR="00C50A61" w:rsidRPr="00530906" w:rsidRDefault="0014013B">
      <w:pPr>
        <w:spacing w:line="360" w:lineRule="auto"/>
        <w:jc w:val="both"/>
        <w:rPr>
          <w:rFonts w:ascii="Cambria" w:eastAsia="Calibri" w:hAnsi="Cambria" w:cs="Times New Roman"/>
        </w:rPr>
      </w:pPr>
      <w:r w:rsidRPr="00530906">
        <w:rPr>
          <w:rFonts w:ascii="Cambria" w:eastAsia="Calibri" w:hAnsi="Cambria" w:cs="Times New Roman"/>
          <w:sz w:val="24"/>
          <w:szCs w:val="24"/>
        </w:rPr>
        <w:t>T</w:t>
      </w:r>
      <w:r w:rsidR="00C7217E" w:rsidRPr="00530906">
        <w:rPr>
          <w:rFonts w:ascii="Cambria" w:eastAsia="Calibri" w:hAnsi="Cambria" w:cs="Times New Roman"/>
          <w:sz w:val="24"/>
          <w:szCs w:val="24"/>
        </w:rPr>
        <w:t>he sustainability promotion should be a holistic one that encourages to accept and adopt sustainable practice (Peattie and Peattie 2009; Prothero et al 2010</w:t>
      </w:r>
      <w:r w:rsidR="00BE4069" w:rsidRPr="00530906">
        <w:rPr>
          <w:rFonts w:ascii="Cambria" w:eastAsia="Calibri" w:hAnsi="Cambria" w:cs="Times New Roman"/>
          <w:sz w:val="24"/>
          <w:szCs w:val="24"/>
        </w:rPr>
        <w:t>, McDonagh, 1998</w:t>
      </w:r>
      <w:r w:rsidR="00C7217E" w:rsidRPr="00530906">
        <w:rPr>
          <w:rFonts w:ascii="Cambria" w:eastAsia="Calibri" w:hAnsi="Cambria" w:cs="Times New Roman"/>
          <w:sz w:val="24"/>
          <w:szCs w:val="24"/>
        </w:rPr>
        <w:t xml:space="preserve">). Unfortunately, it is still an ongoing struggle (Lim 2016). </w:t>
      </w:r>
      <w:r w:rsidR="00C50A61" w:rsidRPr="00530906">
        <w:rPr>
          <w:rFonts w:ascii="Cambria" w:eastAsia="Calibri" w:hAnsi="Cambria" w:cs="Adobe Devanagari"/>
          <w:sz w:val="24"/>
          <w:szCs w:val="24"/>
        </w:rPr>
        <w:t xml:space="preserve">Point to be noted that, despite of considering consumers as the corner stone of promoting sustainable–behaviour by providing information about sustainable lifestyle, consumers’ perception of the sustainable communication/ information / ad has hardly been taken into account.  </w:t>
      </w:r>
      <w:r w:rsidR="00C50A61" w:rsidRPr="00530906">
        <w:rPr>
          <w:rFonts w:ascii="Cambria" w:eastAsia="Calibri" w:hAnsi="Cambria" w:cs="Times New Roman"/>
          <w:sz w:val="24"/>
          <w:szCs w:val="24"/>
        </w:rPr>
        <w:lastRenderedPageBreak/>
        <w:t>Sustainability might have achieved if consumers have the understanding of the products and their objective (Kilbourne and Mittelstaedth 2012).</w:t>
      </w:r>
      <w:r w:rsidR="00B41005" w:rsidRPr="00530906">
        <w:rPr>
          <w:rFonts w:ascii="Cambria" w:eastAsia="Calibri" w:hAnsi="Cambria" w:cs="Times New Roman"/>
          <w:sz w:val="24"/>
          <w:szCs w:val="24"/>
        </w:rPr>
        <w:t xml:space="preserve"> </w:t>
      </w:r>
    </w:p>
    <w:p w14:paraId="6122E792" w14:textId="310AF6DD" w:rsidR="00C7217E" w:rsidRPr="00530906" w:rsidRDefault="00C7217E" w:rsidP="008756B1">
      <w:pPr>
        <w:pStyle w:val="Heading2"/>
        <w:jc w:val="both"/>
        <w:rPr>
          <w:rFonts w:ascii="Cambria" w:eastAsia="Calibri" w:hAnsi="Cambria"/>
        </w:rPr>
      </w:pPr>
      <w:bookmarkStart w:id="23" w:name="_Toc115726219"/>
      <w:r w:rsidRPr="00530906">
        <w:rPr>
          <w:rFonts w:ascii="Cambria" w:eastAsia="Calibri" w:hAnsi="Cambria"/>
        </w:rPr>
        <w:t>2.3. Sustainability–advertisement:</w:t>
      </w:r>
      <w:bookmarkEnd w:id="23"/>
    </w:p>
    <w:p w14:paraId="2B139CB4" w14:textId="5F6C6F5A" w:rsidR="00331A0D" w:rsidRPr="009F02A6" w:rsidRDefault="00C9652A">
      <w:pPr>
        <w:spacing w:line="360" w:lineRule="auto"/>
        <w:jc w:val="both"/>
        <w:rPr>
          <w:rFonts w:ascii="Cambria" w:eastAsia="Calibri" w:hAnsi="Cambria" w:cs="Times New Roman"/>
          <w:iCs/>
          <w:sz w:val="24"/>
          <w:szCs w:val="24"/>
        </w:rPr>
      </w:pPr>
      <w:r w:rsidRPr="00530906">
        <w:rPr>
          <w:rFonts w:ascii="Cambria" w:hAnsi="Cambria"/>
          <w:noProof/>
          <w:sz w:val="24"/>
          <w:szCs w:val="24"/>
        </w:rPr>
        <mc:AlternateContent>
          <mc:Choice Requires="wpg">
            <w:drawing>
              <wp:anchor distT="0" distB="0" distL="114300" distR="114300" simplePos="0" relativeHeight="251657224" behindDoc="0" locked="0" layoutInCell="1" allowOverlap="1" wp14:anchorId="500F3705" wp14:editId="1A57A4DE">
                <wp:simplePos x="0" y="0"/>
                <wp:positionH relativeFrom="column">
                  <wp:posOffset>3083811</wp:posOffset>
                </wp:positionH>
                <wp:positionV relativeFrom="paragraph">
                  <wp:posOffset>154305</wp:posOffset>
                </wp:positionV>
                <wp:extent cx="2554605" cy="4578985"/>
                <wp:effectExtent l="0" t="0" r="17145" b="12065"/>
                <wp:wrapSquare wrapText="bothSides"/>
                <wp:docPr id="36" name="Group 36"/>
                <wp:cNvGraphicFramePr/>
                <a:graphic xmlns:a="http://schemas.openxmlformats.org/drawingml/2006/main">
                  <a:graphicData uri="http://schemas.microsoft.com/office/word/2010/wordprocessingGroup">
                    <wpg:wgp>
                      <wpg:cNvGrpSpPr/>
                      <wpg:grpSpPr>
                        <a:xfrm>
                          <a:off x="0" y="0"/>
                          <a:ext cx="2554605" cy="4578985"/>
                          <a:chOff x="-36582" y="0"/>
                          <a:chExt cx="2555627" cy="4579547"/>
                        </a:xfrm>
                      </wpg:grpSpPr>
                      <wps:wsp>
                        <wps:cNvPr id="37" name="Text Box 37"/>
                        <wps:cNvSpPr txBox="1">
                          <a:spLocks noChangeArrowheads="1"/>
                        </wps:cNvSpPr>
                        <wps:spPr bwMode="auto">
                          <a:xfrm>
                            <a:off x="-36582" y="3957247"/>
                            <a:ext cx="2548890" cy="622300"/>
                          </a:xfrm>
                          <a:prstGeom prst="rect">
                            <a:avLst/>
                          </a:prstGeom>
                          <a:solidFill>
                            <a:srgbClr val="FFFFFF"/>
                          </a:solidFill>
                          <a:ln w="9525">
                            <a:solidFill>
                              <a:srgbClr val="000000"/>
                            </a:solidFill>
                            <a:miter lim="800000"/>
                            <a:headEnd/>
                            <a:tailEnd/>
                          </a:ln>
                        </wps:spPr>
                        <wps:txbx>
                          <w:txbxContent>
                            <w:p w14:paraId="147C7FB2" w14:textId="77777777" w:rsidR="00D34F1C" w:rsidRPr="007A0DC1" w:rsidRDefault="00D34F1C" w:rsidP="00C7217E">
                              <w:r>
                                <w:t xml:space="preserve">Fig 6: </w:t>
                              </w:r>
                              <w:r w:rsidRPr="007A0DC1">
                                <w:t xml:space="preserve">Athleta is promoting itself as a fair trade fashion brand, which denotes its commitment to social development </w:t>
                              </w:r>
                            </w:p>
                            <w:p w14:paraId="073B9DE5" w14:textId="77777777" w:rsidR="00D34F1C" w:rsidRDefault="00D34F1C" w:rsidP="00C7217E"/>
                          </w:txbxContent>
                        </wps:txbx>
                        <wps:bodyPr rot="0" vert="horz" wrap="square" lIns="91440" tIns="45720" rIns="91440" bIns="45720" anchor="t" anchorCtr="0" upright="1">
                          <a:noAutofit/>
                        </wps:bodyPr>
                      </wps:wsp>
                      <pic:pic xmlns:pic="http://schemas.openxmlformats.org/drawingml/2006/picture">
                        <pic:nvPicPr>
                          <pic:cNvPr id="38" name="Picture 38" descr="do+good,+buy+something.png"/>
                          <pic:cNvPicPr/>
                        </pic:nvPicPr>
                        <pic:blipFill>
                          <a:blip r:embed="rId21"/>
                          <a:srcRect l="27923" r="29298"/>
                          <a:stretch>
                            <a:fillRect/>
                          </a:stretch>
                        </pic:blipFill>
                        <pic:spPr>
                          <a:xfrm>
                            <a:off x="0" y="0"/>
                            <a:ext cx="2519045" cy="3971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F3705" id="Group 36" o:spid="_x0000_s1061" style="position:absolute;left:0;text-align:left;margin-left:242.8pt;margin-top:12.15pt;width:201.15pt;height:360.55pt;z-index:251657224;mso-width-relative:margin;mso-height-relative:margin" coordorigin="-365" coordsize="25556,45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">
                <v:shape id="Text Box 37" o:spid="_x0000_s1062" type="#_x0000_t202" style="position:absolute;left:-365;top:39572;width:25488;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47C7FB2" w14:textId="77777777" w:rsidR="00D34F1C" w:rsidRPr="007A0DC1" w:rsidRDefault="00D34F1C" w:rsidP="00C7217E">
                        <w:r>
                          <w:t xml:space="preserve">Fig 6: </w:t>
                        </w:r>
                        <w:proofErr w:type="spellStart"/>
                        <w:r w:rsidRPr="007A0DC1">
                          <w:t>Athleta</w:t>
                        </w:r>
                        <w:proofErr w:type="spellEnd"/>
                        <w:r w:rsidRPr="007A0DC1">
                          <w:t xml:space="preserve"> is promoting itself as a fair trade fashion brand, which denotes its commitment to social development </w:t>
                        </w:r>
                      </w:p>
                      <w:p w14:paraId="073B9DE5" w14:textId="77777777" w:rsidR="00D34F1C" w:rsidRDefault="00D34F1C" w:rsidP="00C7217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63" type="#_x0000_t75" alt="do+good,+buy+something.png" style="position:absolute;width:25190;height:3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">
                  <v:imagedata r:id="rId22" o:title="do+good,+buy+something" cropleft="18300f" cropright="19201f"/>
                </v:shape>
                <w10:wrap type="square"/>
              </v:group>
            </w:pict>
          </mc:Fallback>
        </mc:AlternateContent>
      </w:r>
      <w:r w:rsidR="00331A0D" w:rsidRPr="00530906">
        <w:rPr>
          <w:rFonts w:ascii="Cambria" w:eastAsia="Calibri" w:hAnsi="Cambria" w:cs="Times New Roman"/>
          <w:iCs/>
          <w:sz w:val="24"/>
          <w:szCs w:val="24"/>
        </w:rPr>
        <w:t>“</w:t>
      </w:r>
      <w:r w:rsidR="009F1B4A" w:rsidRPr="00530906">
        <w:rPr>
          <w:rFonts w:ascii="Cambria" w:eastAsia="Calibri" w:hAnsi="Cambria" w:cs="Times New Roman"/>
          <w:iCs/>
          <w:sz w:val="24"/>
          <w:szCs w:val="24"/>
        </w:rPr>
        <w:t>….</w:t>
      </w:r>
      <w:r w:rsidR="00331A0D" w:rsidRPr="002A7072">
        <w:rPr>
          <w:rFonts w:ascii="Cambria" w:eastAsia="Calibri" w:hAnsi="Cambria" w:cs="Times New Roman"/>
          <w:i/>
          <w:sz w:val="24"/>
          <w:szCs w:val="24"/>
        </w:rPr>
        <w:t>sustainability advertising can be described as applying advertising messages promoting sustainable goods or services and/or informing stakeholders about the firm’s social, environmental or economic sustainability efforts</w:t>
      </w:r>
      <w:r w:rsidR="00331A0D" w:rsidRPr="00530906">
        <w:rPr>
          <w:rFonts w:ascii="Cambria" w:eastAsia="Calibri" w:hAnsi="Cambria" w:cs="Times New Roman"/>
          <w:iCs/>
          <w:sz w:val="24"/>
          <w:szCs w:val="24"/>
        </w:rPr>
        <w:t>” (Sander et al 2021 p: 431)</w:t>
      </w:r>
      <w:r w:rsidR="009F1B4A" w:rsidRPr="00530906">
        <w:rPr>
          <w:rFonts w:ascii="Cambria" w:eastAsia="Calibri" w:hAnsi="Cambria" w:cs="Times New Roman"/>
          <w:iCs/>
          <w:sz w:val="24"/>
          <w:szCs w:val="24"/>
        </w:rPr>
        <w:t xml:space="preserve">. </w:t>
      </w:r>
      <w:r w:rsidR="009F1B4A" w:rsidRPr="00530906">
        <w:rPr>
          <w:rFonts w:ascii="Cambria" w:eastAsia="Calibri" w:hAnsi="Cambria" w:cs="Times New Roman"/>
          <w:sz w:val="24"/>
          <w:szCs w:val="24"/>
        </w:rPr>
        <w:t>In simpler terms, this refers to the advertising messages promoting sustainable goods or services (Minton et al 2012; Craig 2019). But sustainability ad</w:t>
      </w:r>
      <w:r w:rsidR="009F1B4A" w:rsidRPr="00530906">
        <w:rPr>
          <w:rFonts w:ascii="Cambria" w:eastAsia="Calibri" w:hAnsi="Cambria" w:cs="Times New Roman"/>
          <w:iCs/>
          <w:sz w:val="24"/>
          <w:szCs w:val="24"/>
        </w:rPr>
        <w:t xml:space="preserve"> not only focus on the product or service but also the entire life </w:t>
      </w:r>
      <w:r w:rsidR="009F1B4A" w:rsidRPr="009F02A6">
        <w:rPr>
          <w:rFonts w:ascii="Cambria" w:eastAsia="Calibri" w:hAnsi="Cambria" w:cs="Times New Roman"/>
          <w:iCs/>
          <w:sz w:val="24"/>
          <w:szCs w:val="24"/>
        </w:rPr>
        <w:t>cycle of the product</w:t>
      </w:r>
      <w:r w:rsidRPr="009F02A6">
        <w:rPr>
          <w:rFonts w:ascii="Cambria" w:eastAsia="Calibri" w:hAnsi="Cambria" w:cs="Times New Roman"/>
          <w:iCs/>
          <w:sz w:val="24"/>
          <w:szCs w:val="24"/>
        </w:rPr>
        <w:t xml:space="preserve"> and service</w:t>
      </w:r>
      <w:r w:rsidR="009F1B4A" w:rsidRPr="009F02A6">
        <w:rPr>
          <w:rFonts w:ascii="Cambria" w:eastAsia="Calibri" w:hAnsi="Cambria" w:cs="Times New Roman"/>
          <w:iCs/>
          <w:sz w:val="24"/>
          <w:szCs w:val="24"/>
        </w:rPr>
        <w:t xml:space="preserve"> (Belz and Peattie 2012)</w:t>
      </w:r>
      <w:r w:rsidR="00022FB8" w:rsidRPr="009F02A6">
        <w:rPr>
          <w:rFonts w:ascii="Cambria" w:eastAsia="Calibri" w:hAnsi="Cambria" w:cs="Times New Roman"/>
          <w:iCs/>
          <w:sz w:val="24"/>
          <w:szCs w:val="24"/>
        </w:rPr>
        <w:t xml:space="preserve">. </w:t>
      </w:r>
      <w:r w:rsidR="00471765" w:rsidRPr="009F02A6">
        <w:rPr>
          <w:rFonts w:ascii="Cambria" w:eastAsia="Calibri" w:hAnsi="Cambria" w:cs="Times New Roman"/>
          <w:iCs/>
          <w:sz w:val="24"/>
          <w:szCs w:val="24"/>
        </w:rPr>
        <w:t xml:space="preserve">This thesis addresses </w:t>
      </w:r>
      <w:r w:rsidR="009A1D30" w:rsidRPr="009F02A6">
        <w:rPr>
          <w:rFonts w:ascii="Cambria" w:eastAsia="Calibri" w:hAnsi="Cambria" w:cs="Times New Roman"/>
          <w:iCs/>
          <w:sz w:val="24"/>
          <w:szCs w:val="24"/>
        </w:rPr>
        <w:t>‘</w:t>
      </w:r>
      <w:r w:rsidR="00471765" w:rsidRPr="009F02A6">
        <w:rPr>
          <w:rFonts w:ascii="Cambria" w:eastAsia="Calibri" w:hAnsi="Cambria" w:cs="Times New Roman"/>
          <w:iCs/>
          <w:sz w:val="24"/>
          <w:szCs w:val="24"/>
        </w:rPr>
        <w:t>sustainability ad</w:t>
      </w:r>
      <w:r w:rsidR="009A1D30" w:rsidRPr="009F02A6">
        <w:rPr>
          <w:rFonts w:ascii="Cambria" w:eastAsia="Calibri" w:hAnsi="Cambria" w:cs="Times New Roman"/>
          <w:iCs/>
          <w:sz w:val="24"/>
          <w:szCs w:val="24"/>
        </w:rPr>
        <w:t>’</w:t>
      </w:r>
      <w:r w:rsidR="00471765" w:rsidRPr="009F02A6">
        <w:rPr>
          <w:rFonts w:ascii="Cambria" w:eastAsia="Calibri" w:hAnsi="Cambria" w:cs="Times New Roman"/>
          <w:iCs/>
          <w:sz w:val="24"/>
          <w:szCs w:val="24"/>
        </w:rPr>
        <w:t xml:space="preserve"> as </w:t>
      </w:r>
      <w:r w:rsidR="00471765" w:rsidRPr="009F02A6">
        <w:rPr>
          <w:rFonts w:ascii="Cambria" w:eastAsia="Times New Roman" w:hAnsi="Cambria" w:cs="Times New Roman"/>
          <w:noProof/>
          <w:sz w:val="24"/>
          <w:szCs w:val="24"/>
        </w:rPr>
        <w:t>ad with sustainbility message</w:t>
      </w:r>
      <w:r w:rsidR="00F21FD2" w:rsidRPr="009F02A6">
        <w:rPr>
          <w:rFonts w:ascii="Cambria" w:eastAsia="Times New Roman" w:hAnsi="Cambria" w:cs="Times New Roman"/>
          <w:noProof/>
          <w:sz w:val="24"/>
          <w:szCs w:val="24"/>
        </w:rPr>
        <w:t>, i</w:t>
      </w:r>
      <w:r w:rsidR="00C261A8" w:rsidRPr="009F02A6">
        <w:rPr>
          <w:rFonts w:ascii="Cambria" w:eastAsia="Calibri" w:hAnsi="Cambria" w:cs="Times New Roman"/>
          <w:iCs/>
          <w:sz w:val="24"/>
          <w:szCs w:val="24"/>
        </w:rPr>
        <w:t xml:space="preserve">n order to be represent a </w:t>
      </w:r>
      <w:r w:rsidR="00295DC2" w:rsidRPr="009F02A6">
        <w:rPr>
          <w:rFonts w:ascii="Cambria" w:eastAsia="Calibri" w:hAnsi="Cambria" w:cs="Times New Roman"/>
          <w:iCs/>
          <w:sz w:val="24"/>
          <w:szCs w:val="24"/>
        </w:rPr>
        <w:t>broader scope</w:t>
      </w:r>
      <w:r w:rsidR="00EE70D9" w:rsidRPr="009F02A6">
        <w:rPr>
          <w:rFonts w:ascii="Cambria" w:eastAsia="Calibri" w:hAnsi="Cambria" w:cs="Times New Roman"/>
          <w:iCs/>
          <w:sz w:val="24"/>
          <w:szCs w:val="24"/>
        </w:rPr>
        <w:t xml:space="preserve">, which encompasses </w:t>
      </w:r>
      <w:r w:rsidR="00FE3B64" w:rsidRPr="009F02A6">
        <w:rPr>
          <w:rFonts w:ascii="Cambria" w:eastAsia="Calibri" w:hAnsi="Cambria" w:cs="Times New Roman"/>
          <w:iCs/>
          <w:sz w:val="24"/>
          <w:szCs w:val="24"/>
        </w:rPr>
        <w:t>companies’</w:t>
      </w:r>
      <w:r w:rsidR="00362500" w:rsidRPr="009F02A6">
        <w:rPr>
          <w:rFonts w:ascii="Cambria" w:eastAsia="Calibri" w:hAnsi="Cambria" w:cs="Times New Roman"/>
          <w:iCs/>
          <w:sz w:val="24"/>
          <w:szCs w:val="24"/>
        </w:rPr>
        <w:t xml:space="preserve"> sustainability related initiatives, ad for sustainab</w:t>
      </w:r>
      <w:r w:rsidR="002D51E1" w:rsidRPr="009F02A6">
        <w:rPr>
          <w:rFonts w:ascii="Cambria" w:eastAsia="Calibri" w:hAnsi="Cambria" w:cs="Times New Roman"/>
          <w:iCs/>
          <w:sz w:val="24"/>
          <w:szCs w:val="24"/>
        </w:rPr>
        <w:t>le</w:t>
      </w:r>
      <w:r w:rsidR="00362500" w:rsidRPr="009F02A6">
        <w:rPr>
          <w:rFonts w:ascii="Cambria" w:eastAsia="Calibri" w:hAnsi="Cambria" w:cs="Times New Roman"/>
          <w:iCs/>
          <w:sz w:val="24"/>
          <w:szCs w:val="24"/>
        </w:rPr>
        <w:t xml:space="preserve"> product/service </w:t>
      </w:r>
      <w:r w:rsidR="009043C3" w:rsidRPr="009F02A6">
        <w:rPr>
          <w:rFonts w:ascii="Cambria" w:eastAsia="Calibri" w:hAnsi="Cambria" w:cs="Times New Roman"/>
          <w:iCs/>
          <w:sz w:val="24"/>
          <w:szCs w:val="24"/>
        </w:rPr>
        <w:t xml:space="preserve">or other sustainability related message </w:t>
      </w:r>
      <w:r w:rsidR="002932AC" w:rsidRPr="009F02A6">
        <w:rPr>
          <w:rFonts w:ascii="Cambria" w:eastAsia="Calibri" w:hAnsi="Cambria" w:cs="Times New Roman"/>
          <w:iCs/>
          <w:sz w:val="24"/>
          <w:szCs w:val="24"/>
        </w:rPr>
        <w:t>associated with the life cycle of the product/ service</w:t>
      </w:r>
      <w:r w:rsidR="00DD15CF" w:rsidRPr="009F02A6">
        <w:rPr>
          <w:rFonts w:ascii="Cambria" w:eastAsia="Calibri" w:hAnsi="Cambria" w:cs="Times New Roman"/>
          <w:iCs/>
          <w:sz w:val="24"/>
          <w:szCs w:val="24"/>
        </w:rPr>
        <w:t>.</w:t>
      </w:r>
      <w:r w:rsidR="002966AE" w:rsidRPr="009F02A6">
        <w:rPr>
          <w:rFonts w:ascii="Cambria" w:eastAsia="Times New Roman" w:hAnsi="Cambria" w:cs="Times New Roman"/>
          <w:noProof/>
          <w:sz w:val="24"/>
          <w:szCs w:val="24"/>
        </w:rPr>
        <w:t xml:space="preserve"> </w:t>
      </w:r>
    </w:p>
    <w:p w14:paraId="03FB8CBD" w14:textId="51EB2540" w:rsidR="00D621A4" w:rsidRPr="00530906" w:rsidRDefault="00942DD8">
      <w:pPr>
        <w:spacing w:line="360" w:lineRule="auto"/>
        <w:jc w:val="both"/>
        <w:rPr>
          <w:rFonts w:ascii="Cambria" w:eastAsia="Calibri" w:hAnsi="Cambria" w:cs="Times New Roman"/>
          <w:sz w:val="24"/>
          <w:szCs w:val="24"/>
        </w:rPr>
      </w:pPr>
      <w:r w:rsidRPr="009F02A6">
        <w:rPr>
          <w:rFonts w:ascii="Cambria" w:eastAsia="Calibri" w:hAnsi="Cambria" w:cs="Times New Roman"/>
          <w:iCs/>
          <w:sz w:val="24"/>
          <w:szCs w:val="24"/>
        </w:rPr>
        <w:t xml:space="preserve">In sustainability literature, </w:t>
      </w:r>
      <w:r w:rsidR="00CC66D1" w:rsidRPr="009F02A6">
        <w:rPr>
          <w:rFonts w:ascii="Cambria" w:eastAsia="Calibri" w:hAnsi="Cambria" w:cs="Times New Roman"/>
          <w:iCs/>
          <w:sz w:val="24"/>
          <w:szCs w:val="24"/>
        </w:rPr>
        <w:t xml:space="preserve">mostly </w:t>
      </w:r>
      <w:r w:rsidRPr="00530906">
        <w:rPr>
          <w:rFonts w:ascii="Cambria" w:eastAsia="Calibri" w:hAnsi="Cambria" w:cs="Times New Roman"/>
          <w:iCs/>
          <w:sz w:val="24"/>
          <w:szCs w:val="24"/>
        </w:rPr>
        <w:t xml:space="preserve">‘green advertisement’ has been denoted as sustainability advertisement </w:t>
      </w:r>
      <w:r w:rsidR="00D12B61" w:rsidRPr="00530906">
        <w:rPr>
          <w:rFonts w:ascii="Cambria" w:eastAsia="Calibri" w:hAnsi="Cambria" w:cs="Times New Roman"/>
          <w:iCs/>
          <w:sz w:val="24"/>
          <w:szCs w:val="24"/>
        </w:rPr>
        <w:t xml:space="preserve">(see Yang et al </w:t>
      </w:r>
      <w:r w:rsidR="00EB36DA" w:rsidRPr="00530906">
        <w:rPr>
          <w:rFonts w:ascii="Cambria" w:eastAsia="Calibri" w:hAnsi="Cambria" w:cs="Times New Roman"/>
          <w:iCs/>
          <w:sz w:val="24"/>
          <w:szCs w:val="24"/>
        </w:rPr>
        <w:t>2015; Bickart and Ruth 2012</w:t>
      </w:r>
      <w:r w:rsidR="00D12B61" w:rsidRPr="00530906">
        <w:rPr>
          <w:rFonts w:ascii="Cambria" w:eastAsia="Calibri" w:hAnsi="Cambria" w:cs="Times New Roman"/>
          <w:iCs/>
          <w:sz w:val="24"/>
          <w:szCs w:val="24"/>
        </w:rPr>
        <w:t xml:space="preserve">). </w:t>
      </w:r>
      <w:r w:rsidR="00B94190" w:rsidRPr="00530906">
        <w:rPr>
          <w:rFonts w:ascii="Cambria" w:eastAsia="Calibri" w:hAnsi="Cambria" w:cs="Times New Roman"/>
          <w:sz w:val="24"/>
          <w:szCs w:val="24"/>
        </w:rPr>
        <w:t xml:space="preserve">Schuhwerk and Lefkoff–Hagius (1995) </w:t>
      </w:r>
      <w:r w:rsidR="00637E81" w:rsidRPr="00530906">
        <w:rPr>
          <w:rFonts w:ascii="Cambria" w:eastAsia="Calibri" w:hAnsi="Cambria" w:cs="Times New Roman"/>
          <w:sz w:val="24"/>
          <w:szCs w:val="24"/>
        </w:rPr>
        <w:t xml:space="preserve">have </w:t>
      </w:r>
      <w:r w:rsidR="00B94190" w:rsidRPr="00530906">
        <w:rPr>
          <w:rFonts w:ascii="Cambria" w:eastAsia="Calibri" w:hAnsi="Cambria" w:cs="Times New Roman"/>
          <w:sz w:val="24"/>
          <w:szCs w:val="24"/>
        </w:rPr>
        <w:t xml:space="preserve">differentiated green and non–green ad in a way that the former emphasises on environmental attribute and the later emphasises on other aspects despite of having environmental information in the ad. </w:t>
      </w:r>
      <w:r w:rsidR="00CC66D1" w:rsidRPr="00530906">
        <w:rPr>
          <w:rFonts w:ascii="Cambria" w:eastAsia="Calibri" w:hAnsi="Cambria" w:cs="Times New Roman"/>
          <w:sz w:val="24"/>
          <w:szCs w:val="24"/>
        </w:rPr>
        <w:t>The term ‘sustainability–advertising’ has been used synonymously with other terms like ‘green advertising’, ‘environmental advertising’ or ‘eco–friendly advertising’ (Han et al 2019).</w:t>
      </w:r>
      <w:r w:rsidR="00B441E7" w:rsidRPr="00530906">
        <w:rPr>
          <w:rFonts w:ascii="Cambria" w:eastAsia="Calibri" w:hAnsi="Cambria" w:cs="Times New Roman"/>
          <w:sz w:val="24"/>
          <w:szCs w:val="24"/>
        </w:rPr>
        <w:t xml:space="preserve"> All of these terms focus on only the environmental dimension of sustainability and ignored social and economic dimensions.</w:t>
      </w:r>
      <w:r w:rsidR="00CC66D1" w:rsidRPr="00530906">
        <w:rPr>
          <w:rFonts w:ascii="Cambria" w:eastAsia="Calibri" w:hAnsi="Cambria" w:cs="Times New Roman"/>
          <w:sz w:val="24"/>
          <w:szCs w:val="24"/>
        </w:rPr>
        <w:t xml:space="preserve"> Though Han et al (2019)</w:t>
      </w:r>
      <w:r w:rsidR="00BE4069" w:rsidRPr="00530906">
        <w:rPr>
          <w:rFonts w:ascii="Cambria" w:eastAsia="Calibri" w:hAnsi="Cambria" w:cs="Times New Roman"/>
          <w:sz w:val="24"/>
          <w:szCs w:val="24"/>
        </w:rPr>
        <w:t xml:space="preserve"> and </w:t>
      </w:r>
      <w:r w:rsidR="00516B0D" w:rsidRPr="00530906">
        <w:rPr>
          <w:rFonts w:ascii="Cambria" w:eastAsia="Calibri" w:hAnsi="Cambria" w:cs="Times New Roman"/>
          <w:sz w:val="24"/>
          <w:szCs w:val="24"/>
        </w:rPr>
        <w:t>McDonagh (</w:t>
      </w:r>
      <w:r w:rsidR="00BE4069" w:rsidRPr="00530906">
        <w:rPr>
          <w:rFonts w:ascii="Cambria" w:eastAsia="Calibri" w:hAnsi="Cambria" w:cs="Times New Roman"/>
          <w:sz w:val="24"/>
          <w:szCs w:val="24"/>
        </w:rPr>
        <w:t>1998)</w:t>
      </w:r>
      <w:r w:rsidR="00CC66D1" w:rsidRPr="00530906">
        <w:rPr>
          <w:rFonts w:ascii="Cambria" w:eastAsia="Calibri" w:hAnsi="Cambria" w:cs="Times New Roman"/>
          <w:sz w:val="24"/>
          <w:szCs w:val="24"/>
        </w:rPr>
        <w:t xml:space="preserve"> has</w:t>
      </w:r>
      <w:r w:rsidR="00B441E7" w:rsidRPr="00530906">
        <w:rPr>
          <w:rFonts w:ascii="Cambria" w:eastAsia="Calibri" w:hAnsi="Cambria" w:cs="Times New Roman"/>
          <w:sz w:val="24"/>
          <w:szCs w:val="24"/>
        </w:rPr>
        <w:t xml:space="preserve"> addressed it as </w:t>
      </w:r>
      <w:r w:rsidR="00CC66D1" w:rsidRPr="00530906">
        <w:rPr>
          <w:rFonts w:ascii="Cambria" w:eastAsia="Calibri" w:hAnsi="Cambria" w:cs="Times New Roman"/>
          <w:sz w:val="24"/>
          <w:szCs w:val="24"/>
        </w:rPr>
        <w:t>‘sustainability advertisement’</w:t>
      </w:r>
      <w:r w:rsidR="00BE4069" w:rsidRPr="00530906">
        <w:rPr>
          <w:rFonts w:ascii="Cambria" w:eastAsia="Calibri" w:hAnsi="Cambria" w:cs="Times New Roman"/>
          <w:sz w:val="24"/>
          <w:szCs w:val="24"/>
        </w:rPr>
        <w:t xml:space="preserve"> and ‘sustainable communication’ respectively</w:t>
      </w:r>
      <w:r w:rsidR="00B441E7" w:rsidRPr="00530906">
        <w:rPr>
          <w:rFonts w:ascii="Cambria" w:eastAsia="Calibri" w:hAnsi="Cambria" w:cs="Times New Roman"/>
          <w:sz w:val="24"/>
          <w:szCs w:val="24"/>
        </w:rPr>
        <w:t xml:space="preserve">, even they focused on only environmental dimension. </w:t>
      </w:r>
      <w:r w:rsidR="00CC66D1" w:rsidRPr="00530906">
        <w:rPr>
          <w:rFonts w:ascii="Cambria" w:eastAsia="Calibri" w:hAnsi="Cambria" w:cs="Times New Roman"/>
          <w:sz w:val="24"/>
          <w:szCs w:val="24"/>
        </w:rPr>
        <w:t xml:space="preserve"> </w:t>
      </w:r>
    </w:p>
    <w:p w14:paraId="131AC713" w14:textId="65AED2FE" w:rsidR="00C7217E" w:rsidRPr="00530906" w:rsidRDefault="0092331D">
      <w:pPr>
        <w:spacing w:line="360" w:lineRule="auto"/>
        <w:jc w:val="both"/>
        <w:rPr>
          <w:rFonts w:ascii="Cambria" w:eastAsia="Calibri" w:hAnsi="Cambria" w:cs="Times New Roman"/>
          <w:sz w:val="24"/>
          <w:szCs w:val="24"/>
        </w:rPr>
      </w:pPr>
      <w:r w:rsidRPr="00530906">
        <w:rPr>
          <w:rFonts w:ascii="Cambria" w:eastAsia="Calibri" w:hAnsi="Cambria" w:cs="Times New Roman"/>
          <w:noProof/>
          <w:sz w:val="24"/>
          <w:szCs w:val="24"/>
        </w:rPr>
        <mc:AlternateContent>
          <mc:Choice Requires="wpg">
            <w:drawing>
              <wp:anchor distT="0" distB="0" distL="114300" distR="114300" simplePos="0" relativeHeight="251657223" behindDoc="0" locked="0" layoutInCell="1" allowOverlap="1" wp14:anchorId="14B89E70" wp14:editId="2F5C9C76">
                <wp:simplePos x="0" y="0"/>
                <wp:positionH relativeFrom="margin">
                  <wp:posOffset>-17491</wp:posOffset>
                </wp:positionH>
                <wp:positionV relativeFrom="paragraph">
                  <wp:posOffset>2684227</wp:posOffset>
                </wp:positionV>
                <wp:extent cx="5646420" cy="3960927"/>
                <wp:effectExtent l="0" t="0" r="11430" b="20955"/>
                <wp:wrapSquare wrapText="bothSides"/>
                <wp:docPr id="39" name="Group 39"/>
                <wp:cNvGraphicFramePr/>
                <a:graphic xmlns:a="http://schemas.openxmlformats.org/drawingml/2006/main">
                  <a:graphicData uri="http://schemas.microsoft.com/office/word/2010/wordprocessingGroup">
                    <wpg:wgp>
                      <wpg:cNvGrpSpPr/>
                      <wpg:grpSpPr>
                        <a:xfrm>
                          <a:off x="0" y="0"/>
                          <a:ext cx="5646420" cy="3960927"/>
                          <a:chOff x="0" y="9729"/>
                          <a:chExt cx="5646666" cy="3961289"/>
                        </a:xfrm>
                      </wpg:grpSpPr>
                      <wps:wsp>
                        <wps:cNvPr id="40" name="Text Box 40"/>
                        <wps:cNvSpPr txBox="1">
                          <a:spLocks noChangeArrowheads="1"/>
                        </wps:cNvSpPr>
                        <wps:spPr bwMode="auto">
                          <a:xfrm>
                            <a:off x="5326" y="3405868"/>
                            <a:ext cx="5641340" cy="565150"/>
                          </a:xfrm>
                          <a:prstGeom prst="rect">
                            <a:avLst/>
                          </a:prstGeom>
                          <a:solidFill>
                            <a:srgbClr val="FFFFFF"/>
                          </a:solidFill>
                          <a:ln w="9525">
                            <a:solidFill>
                              <a:srgbClr val="000000"/>
                            </a:solidFill>
                            <a:miter lim="800000"/>
                            <a:headEnd/>
                            <a:tailEnd/>
                          </a:ln>
                        </wps:spPr>
                        <wps:txbx>
                          <w:txbxContent>
                            <w:p w14:paraId="476DC31B" w14:textId="01B68F61" w:rsidR="00D34F1C" w:rsidRPr="00B516CE" w:rsidRDefault="00D34F1C" w:rsidP="00C7217E">
                              <w:pPr>
                                <w:spacing w:line="360" w:lineRule="auto"/>
                                <w:jc w:val="both"/>
                                <w:rPr>
                                  <w:rFonts w:ascii="Cambria" w:eastAsia="Calibri" w:hAnsi="Cambria"/>
                                </w:rPr>
                              </w:pPr>
                              <w:r>
                                <w:rPr>
                                  <w:rFonts w:ascii="Cambria" w:eastAsia="Calibri" w:hAnsi="Cambria" w:cs="Times New Roman"/>
                                </w:rPr>
                                <w:t xml:space="preserve">Fig 7: </w:t>
                              </w:r>
                              <w:r>
                                <w:rPr>
                                  <w:rFonts w:ascii="Cambria" w:eastAsia="Calibri" w:hAnsi="Cambria"/>
                                </w:rPr>
                                <w:t>People tree</w:t>
                              </w:r>
                              <w:r w:rsidRPr="00B516CE">
                                <w:rPr>
                                  <w:rFonts w:ascii="Cambria" w:eastAsia="Calibri" w:hAnsi="Cambria"/>
                                </w:rPr>
                                <w:t xml:space="preserve"> promotes its commitment to the societal  and environment development through fair trade and use of environment friendly material respectively </w:t>
                              </w:r>
                            </w:p>
                            <w:p w14:paraId="58E2C3B1" w14:textId="77777777" w:rsidR="00D34F1C" w:rsidRDefault="00D34F1C" w:rsidP="00C7217E"/>
                          </w:txbxContent>
                        </wps:txbx>
                        <wps:bodyPr rot="0" vert="horz" wrap="square" lIns="91440" tIns="45720" rIns="91440" bIns="45720" anchor="t" anchorCtr="0" upright="1">
                          <a:noAutofit/>
                        </wps:bodyPr>
                      </wps:wsp>
                      <pic:pic xmlns:pic="http://schemas.openxmlformats.org/drawingml/2006/picture">
                        <pic:nvPicPr>
                          <pic:cNvPr id="41" name="Picture 2" descr="SimpleThings1.jpg"/>
                          <pic:cNvPicPr/>
                        </pic:nvPicPr>
                        <pic:blipFill>
                          <a:blip r:embed="rId23"/>
                          <a:stretch>
                            <a:fillRect/>
                          </a:stretch>
                        </pic:blipFill>
                        <pic:spPr>
                          <a:xfrm>
                            <a:off x="0" y="9729"/>
                            <a:ext cx="5381625" cy="3307080"/>
                          </a:xfrm>
                          <a:prstGeom prst="rect">
                            <a:avLst/>
                          </a:prstGeom>
                        </pic:spPr>
                      </pic:pic>
                    </wpg:wgp>
                  </a:graphicData>
                </a:graphic>
                <wp14:sizeRelV relativeFrom="margin">
                  <wp14:pctHeight>0</wp14:pctHeight>
                </wp14:sizeRelV>
              </wp:anchor>
            </w:drawing>
          </mc:Choice>
          <mc:Fallback>
            <w:pict>
              <v:group w14:anchorId="14B89E70" id="Group 39" o:spid="_x0000_s1064" style="position:absolute;left:0;text-align:left;margin-left:-1.4pt;margin-top:211.35pt;width:444.6pt;height:311.9pt;z-index:251657223;mso-position-horizontal-relative:margin;mso-height-relative:margin" coordorigin=",97" coordsize="56466,39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IB&#10;AQEBAQIBAQECAgICAgQDAgICAgUEBAMEBgUGBgYFBgYGBwkIBgcJBwYGCAsICQoKCgoKBggLDAsK&#10;DAkKCgr/2wBDAQICAgICAgUDAwUKBwYHCgoKCgoKCgoKCgoKCgoKCgoKCgoKCgoKCgoKCgoKCgoK&#10;CgoKCgoKCgoKCgoKCgoKCgr/wAARCAGQ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">
                <v:shape id="Text Box 40" o:spid="_x0000_s1065" type="#_x0000_t202" style="position:absolute;left:53;top:34058;width:56413;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476DC31B" w14:textId="01B68F61" w:rsidR="00D34F1C" w:rsidRPr="00B516CE" w:rsidRDefault="00D34F1C" w:rsidP="00C7217E">
                        <w:pPr>
                          <w:spacing w:line="360" w:lineRule="auto"/>
                          <w:jc w:val="both"/>
                          <w:rPr>
                            <w:rFonts w:ascii="Cambria" w:eastAsia="Calibri" w:hAnsi="Cambria"/>
                          </w:rPr>
                        </w:pPr>
                        <w:r>
                          <w:rPr>
                            <w:rFonts w:ascii="Cambria" w:eastAsia="Calibri" w:hAnsi="Cambria" w:cs="Times New Roman"/>
                          </w:rPr>
                          <w:t xml:space="preserve">Fig 7: </w:t>
                        </w:r>
                        <w:r>
                          <w:rPr>
                            <w:rFonts w:ascii="Cambria" w:eastAsia="Calibri" w:hAnsi="Cambria"/>
                          </w:rPr>
                          <w:t>People tree</w:t>
                        </w:r>
                        <w:r w:rsidRPr="00B516CE">
                          <w:rPr>
                            <w:rFonts w:ascii="Cambria" w:eastAsia="Calibri" w:hAnsi="Cambria"/>
                          </w:rPr>
                          <w:t xml:space="preserve"> promotes its commitment to the societal  and environment development through fair trade and use of environment friendly material respectively </w:t>
                        </w:r>
                      </w:p>
                      <w:p w14:paraId="58E2C3B1" w14:textId="77777777" w:rsidR="00D34F1C" w:rsidRDefault="00D34F1C" w:rsidP="00C7217E"/>
                    </w:txbxContent>
                  </v:textbox>
                </v:shape>
                <v:shape id="Picture 2" o:spid="_x0000_s1066" type="#_x0000_t75" alt="SimpleThings1.jpg" style="position:absolute;top:97;width:53816;height:3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">
                  <v:imagedata r:id="rId24" o:title="SimpleThings1"/>
                </v:shape>
                <w10:wrap type="square" anchorx="margin"/>
              </v:group>
            </w:pict>
          </mc:Fallback>
        </mc:AlternateContent>
      </w:r>
      <w:r w:rsidR="00D621A4" w:rsidRPr="00530906">
        <w:rPr>
          <w:rFonts w:ascii="Cambria" w:eastAsia="Calibri" w:hAnsi="Cambria" w:cs="Times New Roman"/>
          <w:sz w:val="24"/>
          <w:szCs w:val="24"/>
        </w:rPr>
        <w:t xml:space="preserve">One thing to be clarified is, </w:t>
      </w:r>
      <w:r w:rsidR="00C7217E" w:rsidRPr="00530906">
        <w:rPr>
          <w:rFonts w:ascii="Cambria" w:eastAsia="Calibri" w:hAnsi="Cambria" w:cs="Times New Roman"/>
          <w:sz w:val="24"/>
          <w:szCs w:val="24"/>
        </w:rPr>
        <w:t>promotion of ‘corporate green image’ is not same as ‘green advertisement’</w:t>
      </w:r>
      <w:r w:rsidR="00C9652A" w:rsidRPr="00530906">
        <w:rPr>
          <w:rFonts w:ascii="Cambria" w:eastAsia="Calibri" w:hAnsi="Cambria" w:cs="Times New Roman"/>
          <w:sz w:val="24"/>
          <w:szCs w:val="24"/>
        </w:rPr>
        <w:t xml:space="preserve"> </w:t>
      </w:r>
      <w:r w:rsidR="007C26CF" w:rsidRPr="00530906">
        <w:rPr>
          <w:rFonts w:ascii="Cambria" w:eastAsia="Calibri" w:hAnsi="Cambria" w:cs="Times New Roman"/>
          <w:sz w:val="24"/>
          <w:szCs w:val="24"/>
        </w:rPr>
        <w:t>o</w:t>
      </w:r>
      <w:r w:rsidR="00350817" w:rsidRPr="00530906">
        <w:rPr>
          <w:rFonts w:ascii="Cambria" w:eastAsia="Calibri" w:hAnsi="Cambria" w:cs="Times New Roman"/>
          <w:sz w:val="24"/>
          <w:szCs w:val="24"/>
        </w:rPr>
        <w:t>r</w:t>
      </w:r>
      <w:r w:rsidR="007C26CF" w:rsidRPr="00530906">
        <w:rPr>
          <w:rFonts w:ascii="Cambria" w:eastAsia="Calibri" w:hAnsi="Cambria" w:cs="Times New Roman"/>
          <w:sz w:val="24"/>
          <w:szCs w:val="24"/>
        </w:rPr>
        <w:t xml:space="preserve"> </w:t>
      </w:r>
      <w:r w:rsidR="00C9652A" w:rsidRPr="00530906">
        <w:rPr>
          <w:rFonts w:ascii="Cambria" w:eastAsia="Calibri" w:hAnsi="Cambria" w:cs="Times New Roman"/>
          <w:sz w:val="24"/>
          <w:szCs w:val="24"/>
        </w:rPr>
        <w:t>sustainability ad</w:t>
      </w:r>
      <w:r w:rsidR="00350817" w:rsidRPr="00530906">
        <w:rPr>
          <w:rFonts w:ascii="Cambria" w:eastAsia="Calibri" w:hAnsi="Cambria" w:cs="Times New Roman"/>
          <w:sz w:val="24"/>
          <w:szCs w:val="24"/>
        </w:rPr>
        <w:t xml:space="preserve"> in general</w:t>
      </w:r>
      <w:r w:rsidR="00C7217E" w:rsidRPr="00530906">
        <w:rPr>
          <w:rFonts w:ascii="Cambria" w:eastAsia="Calibri" w:hAnsi="Cambria" w:cs="Times New Roman"/>
          <w:sz w:val="24"/>
          <w:szCs w:val="24"/>
        </w:rPr>
        <w:t xml:space="preserve">. </w:t>
      </w:r>
      <w:r w:rsidR="00387D73" w:rsidRPr="00530906">
        <w:rPr>
          <w:rFonts w:ascii="Cambria" w:eastAsia="Calibri" w:hAnsi="Cambria" w:cs="Times New Roman"/>
          <w:sz w:val="24"/>
          <w:szCs w:val="24"/>
        </w:rPr>
        <w:t>Green ad</w:t>
      </w:r>
      <w:r w:rsidR="009B4FC0" w:rsidRPr="00530906">
        <w:rPr>
          <w:rFonts w:ascii="Cambria" w:eastAsia="Calibri" w:hAnsi="Cambria" w:cs="Times New Roman"/>
          <w:sz w:val="24"/>
          <w:szCs w:val="24"/>
        </w:rPr>
        <w:t xml:space="preserve"> </w:t>
      </w:r>
      <w:r w:rsidR="00C7217E" w:rsidRPr="00530906">
        <w:rPr>
          <w:rFonts w:ascii="Cambria" w:eastAsia="Calibri" w:hAnsi="Cambria" w:cs="Times New Roman"/>
          <w:sz w:val="24"/>
          <w:szCs w:val="24"/>
        </w:rPr>
        <w:t>focus</w:t>
      </w:r>
      <w:r w:rsidR="00684E1F" w:rsidRPr="00530906">
        <w:rPr>
          <w:rFonts w:ascii="Cambria" w:eastAsia="Calibri" w:hAnsi="Cambria" w:cs="Times New Roman"/>
          <w:sz w:val="24"/>
          <w:szCs w:val="24"/>
        </w:rPr>
        <w:t xml:space="preserve">es </w:t>
      </w:r>
      <w:r w:rsidR="00350817" w:rsidRPr="00530906">
        <w:rPr>
          <w:rFonts w:ascii="Cambria" w:eastAsia="Calibri" w:hAnsi="Cambria" w:cs="Times New Roman"/>
          <w:sz w:val="24"/>
          <w:szCs w:val="24"/>
        </w:rPr>
        <w:t>o</w:t>
      </w:r>
      <w:r w:rsidR="00684E1F" w:rsidRPr="00530906">
        <w:rPr>
          <w:rFonts w:ascii="Cambria" w:eastAsia="Calibri" w:hAnsi="Cambria" w:cs="Times New Roman"/>
          <w:sz w:val="24"/>
          <w:szCs w:val="24"/>
        </w:rPr>
        <w:t>n</w:t>
      </w:r>
      <w:r w:rsidR="00C7217E" w:rsidRPr="00530906">
        <w:rPr>
          <w:rFonts w:ascii="Cambria" w:eastAsia="Calibri" w:hAnsi="Cambria" w:cs="Times New Roman"/>
          <w:sz w:val="24"/>
          <w:szCs w:val="24"/>
        </w:rPr>
        <w:t xml:space="preserve"> environmental need and concern about consumers instead of promoting companies with sustainability association. </w:t>
      </w:r>
      <w:r w:rsidR="00D621A4" w:rsidRPr="00530906">
        <w:rPr>
          <w:rFonts w:ascii="Cambria" w:eastAsia="Calibri" w:hAnsi="Cambria" w:cs="Times New Roman"/>
          <w:sz w:val="24"/>
          <w:szCs w:val="24"/>
        </w:rPr>
        <w:t xml:space="preserve">Ads for promoting corporate green image </w:t>
      </w:r>
      <w:r w:rsidR="00C7217E" w:rsidRPr="00530906">
        <w:rPr>
          <w:rFonts w:ascii="Cambria" w:eastAsia="Calibri" w:hAnsi="Cambria" w:cs="Times New Roman"/>
          <w:sz w:val="24"/>
          <w:szCs w:val="24"/>
        </w:rPr>
        <w:t xml:space="preserve">promote an awareness of environmental issue and may/ may not suggest behaviour to correct or minimise these issues. They may have the objective of profit generation or may be a non–profit initiative. While promoting the products, these promotions explicitly link sustainability with the product or experience (Fig 6 and Fig 7) (Craig 2019). </w:t>
      </w:r>
      <w:r w:rsidR="0024376A" w:rsidRPr="00530906">
        <w:rPr>
          <w:rFonts w:ascii="Cambria" w:eastAsia="Calibri" w:hAnsi="Cambria" w:cs="Times New Roman"/>
          <w:sz w:val="24"/>
          <w:szCs w:val="24"/>
        </w:rPr>
        <w:t xml:space="preserve">This notion can be extended to other dimensions </w:t>
      </w:r>
      <w:r w:rsidR="00E656AF" w:rsidRPr="00530906">
        <w:rPr>
          <w:rFonts w:ascii="Cambria" w:eastAsia="Calibri" w:hAnsi="Cambria" w:cs="Times New Roman"/>
          <w:sz w:val="24"/>
          <w:szCs w:val="24"/>
        </w:rPr>
        <w:t>of sustainability (</w:t>
      </w:r>
      <w:r w:rsidR="007371FD" w:rsidRPr="00530906">
        <w:rPr>
          <w:rFonts w:ascii="Cambria" w:eastAsia="Calibri" w:hAnsi="Cambria" w:cs="Times New Roman"/>
          <w:sz w:val="24"/>
          <w:szCs w:val="24"/>
        </w:rPr>
        <w:t>i.e.,</w:t>
      </w:r>
      <w:r w:rsidR="00E656AF" w:rsidRPr="00530906">
        <w:rPr>
          <w:rFonts w:ascii="Cambria" w:eastAsia="Calibri" w:hAnsi="Cambria" w:cs="Times New Roman"/>
          <w:sz w:val="24"/>
          <w:szCs w:val="24"/>
        </w:rPr>
        <w:t xml:space="preserve"> social and economic)</w:t>
      </w:r>
    </w:p>
    <w:p w14:paraId="2059410F" w14:textId="203D41E9" w:rsidR="00DB638C" w:rsidRPr="00530906" w:rsidRDefault="00DB638C">
      <w:pPr>
        <w:spacing w:line="360" w:lineRule="auto"/>
        <w:jc w:val="both"/>
        <w:rPr>
          <w:rFonts w:ascii="Cambria" w:eastAsia="Calibri" w:hAnsi="Cambria" w:cs="Times New Roman"/>
          <w:sz w:val="24"/>
          <w:szCs w:val="24"/>
        </w:rPr>
      </w:pPr>
    </w:p>
    <w:p w14:paraId="7DF02518" w14:textId="286E2344"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Nevertheless, poorly communicated marketing message, unnecessary detailed information</w:t>
      </w:r>
      <w:r w:rsidR="00DB638C" w:rsidRPr="00530906">
        <w:rPr>
          <w:rFonts w:ascii="Cambria" w:eastAsia="Calibri" w:hAnsi="Cambria" w:cs="Times New Roman"/>
          <w:sz w:val="24"/>
          <w:szCs w:val="24"/>
        </w:rPr>
        <w:t>,</w:t>
      </w:r>
      <w:r w:rsidRPr="00530906">
        <w:rPr>
          <w:rFonts w:ascii="Cambria" w:eastAsia="Calibri" w:hAnsi="Cambria" w:cs="Times New Roman"/>
          <w:sz w:val="24"/>
          <w:szCs w:val="24"/>
        </w:rPr>
        <w:t xml:space="preserve"> or confusing information have proved to hinder the adaptation of</w:t>
      </w:r>
      <w:r w:rsidR="008850CF" w:rsidRPr="00530906">
        <w:rPr>
          <w:rFonts w:ascii="Cambria" w:eastAsia="Calibri" w:hAnsi="Cambria" w:cs="Times New Roman"/>
          <w:sz w:val="24"/>
          <w:szCs w:val="24"/>
        </w:rPr>
        <w:t xml:space="preserve"> products with sustainable attributes</w:t>
      </w:r>
      <w:r w:rsidR="00DB638C" w:rsidRPr="00530906">
        <w:rPr>
          <w:rFonts w:ascii="Cambria" w:eastAsia="Calibri" w:hAnsi="Cambria" w:cs="Times New Roman"/>
          <w:sz w:val="24"/>
          <w:szCs w:val="24"/>
        </w:rPr>
        <w:t xml:space="preserve"> </w:t>
      </w:r>
      <w:r w:rsidRPr="00530906">
        <w:rPr>
          <w:rFonts w:ascii="Cambria" w:eastAsia="Calibri" w:hAnsi="Cambria" w:cs="Times New Roman"/>
          <w:sz w:val="24"/>
          <w:szCs w:val="24"/>
        </w:rPr>
        <w:t>(Johnstone and Tan 2015). This statement can be reflected in the study where ‘abstract appeal’ of sustainab</w:t>
      </w:r>
      <w:r w:rsidR="00050B55" w:rsidRPr="00530906">
        <w:rPr>
          <w:rFonts w:ascii="Cambria" w:eastAsia="Calibri" w:hAnsi="Cambria" w:cs="Times New Roman"/>
          <w:sz w:val="24"/>
          <w:szCs w:val="24"/>
        </w:rPr>
        <w:t>ility</w:t>
      </w:r>
      <w:r w:rsidRPr="00530906">
        <w:rPr>
          <w:rFonts w:ascii="Cambria" w:eastAsia="Calibri" w:hAnsi="Cambria" w:cs="Times New Roman"/>
          <w:sz w:val="24"/>
          <w:szCs w:val="24"/>
        </w:rPr>
        <w:t xml:space="preserve"> advertisement</w:t>
      </w:r>
      <w:r w:rsidR="00DB638C" w:rsidRPr="00530906">
        <w:rPr>
          <w:rFonts w:ascii="Cambria" w:eastAsia="Calibri" w:hAnsi="Cambria" w:cs="Times New Roman"/>
          <w:sz w:val="24"/>
          <w:szCs w:val="24"/>
        </w:rPr>
        <w:t>, which</w:t>
      </w:r>
      <w:r w:rsidRPr="00530906">
        <w:rPr>
          <w:rFonts w:ascii="Cambria" w:eastAsia="Calibri" w:hAnsi="Cambria" w:cs="Times New Roman"/>
          <w:sz w:val="24"/>
          <w:szCs w:val="24"/>
        </w:rPr>
        <w:t xml:space="preserve"> proved </w:t>
      </w:r>
      <w:r w:rsidR="00DB638C" w:rsidRPr="00530906">
        <w:rPr>
          <w:rFonts w:ascii="Cambria" w:eastAsia="Calibri" w:hAnsi="Cambria" w:cs="Times New Roman"/>
          <w:sz w:val="24"/>
          <w:szCs w:val="24"/>
        </w:rPr>
        <w:t>that sustainability ads are</w:t>
      </w:r>
      <w:r w:rsidRPr="00530906">
        <w:rPr>
          <w:rFonts w:ascii="Cambria" w:eastAsia="Calibri" w:hAnsi="Cambria" w:cs="Times New Roman"/>
          <w:sz w:val="24"/>
          <w:szCs w:val="24"/>
        </w:rPr>
        <w:t xml:space="preserve"> more effective than ‘concrete appeal’</w:t>
      </w:r>
      <w:r w:rsidR="00CE6C31" w:rsidRPr="00530906">
        <w:rPr>
          <w:rFonts w:ascii="Cambria" w:eastAsia="Calibri" w:hAnsi="Cambria" w:cs="Times New Roman"/>
          <w:sz w:val="24"/>
          <w:szCs w:val="24"/>
        </w:rPr>
        <w:t xml:space="preserve">. In this </w:t>
      </w:r>
      <w:r w:rsidR="00516B0D" w:rsidRPr="00530906">
        <w:rPr>
          <w:rFonts w:ascii="Cambria" w:eastAsia="Calibri" w:hAnsi="Cambria" w:cs="Times New Roman"/>
          <w:sz w:val="24"/>
          <w:szCs w:val="24"/>
        </w:rPr>
        <w:t>study, ‘</w:t>
      </w:r>
      <w:r w:rsidRPr="00530906">
        <w:rPr>
          <w:rFonts w:ascii="Cambria" w:eastAsia="Calibri" w:hAnsi="Cambria" w:cs="Times New Roman"/>
          <w:sz w:val="24"/>
          <w:szCs w:val="24"/>
        </w:rPr>
        <w:t xml:space="preserve">concrete appeal’ is positioned as an ad with detail information (example: 18% reduction of Carbon dioxide </w:t>
      </w:r>
      <w:r w:rsidR="007371FD" w:rsidRPr="00530906">
        <w:rPr>
          <w:rFonts w:ascii="Cambria" w:eastAsia="Calibri" w:hAnsi="Cambria" w:cs="Times New Roman"/>
          <w:sz w:val="24"/>
          <w:szCs w:val="24"/>
        </w:rPr>
        <w:t>emission) and</w:t>
      </w:r>
      <w:r w:rsidRPr="00530906">
        <w:rPr>
          <w:rFonts w:ascii="Cambria" w:eastAsia="Calibri" w:hAnsi="Cambria" w:cs="Times New Roman"/>
          <w:sz w:val="24"/>
          <w:szCs w:val="24"/>
        </w:rPr>
        <w:t xml:space="preserve"> ‘abstract appeal’ is positioned as an ad with unspecific subjective wordings (example– eco–friendly, non–toxic) (Yang et al 2015). In addition to that, the motivational impact of </w:t>
      </w:r>
      <w:r w:rsidR="00702F38" w:rsidRPr="00530906">
        <w:rPr>
          <w:rFonts w:ascii="Cambria" w:eastAsia="Calibri" w:hAnsi="Cambria" w:cs="Times New Roman"/>
          <w:sz w:val="24"/>
          <w:szCs w:val="24"/>
        </w:rPr>
        <w:t>self-efficacy</w:t>
      </w:r>
      <w:r w:rsidRPr="00530906">
        <w:rPr>
          <w:rFonts w:ascii="Cambria" w:eastAsia="Calibri" w:hAnsi="Cambria" w:cs="Times New Roman"/>
          <w:sz w:val="24"/>
          <w:szCs w:val="24"/>
        </w:rPr>
        <w:t xml:space="preserve"> on sustainable behaviour is also significant (Thøgersen and Schrader 2012; Song and Kim 2018). This claim is reflected in the study of feasibility appeal (how to achieve sustainability) and desirability appeal (why to adopt sustainable behaviour), where feasibility appeal has </w:t>
      </w:r>
      <w:r w:rsidR="00EA6FE7" w:rsidRPr="00530906">
        <w:rPr>
          <w:rFonts w:ascii="Cambria" w:eastAsia="Calibri" w:hAnsi="Cambria" w:cs="Times New Roman"/>
          <w:sz w:val="24"/>
          <w:szCs w:val="24"/>
        </w:rPr>
        <w:t xml:space="preserve">been </w:t>
      </w:r>
      <w:r w:rsidRPr="00530906">
        <w:rPr>
          <w:rFonts w:ascii="Cambria" w:eastAsia="Calibri" w:hAnsi="Cambria" w:cs="Times New Roman"/>
          <w:sz w:val="24"/>
          <w:szCs w:val="24"/>
        </w:rPr>
        <w:t xml:space="preserve">proved to </w:t>
      </w:r>
      <w:r w:rsidR="00EA6FE7" w:rsidRPr="00530906">
        <w:rPr>
          <w:rFonts w:ascii="Cambria" w:eastAsia="Calibri" w:hAnsi="Cambria" w:cs="Times New Roman"/>
          <w:sz w:val="24"/>
          <w:szCs w:val="24"/>
        </w:rPr>
        <w:t xml:space="preserve">be </w:t>
      </w:r>
      <w:r w:rsidRPr="00530906">
        <w:rPr>
          <w:rFonts w:ascii="Cambria" w:eastAsia="Calibri" w:hAnsi="Cambria" w:cs="Times New Roman"/>
          <w:sz w:val="24"/>
          <w:szCs w:val="24"/>
        </w:rPr>
        <w:t xml:space="preserve">more influential to promote </w:t>
      </w:r>
      <w:r w:rsidR="00C647DF" w:rsidRPr="00530906">
        <w:rPr>
          <w:rFonts w:ascii="Cambria" w:eastAsia="Times New Roman" w:hAnsi="Cambria" w:cs="Times New Roman"/>
          <w:sz w:val="24"/>
          <w:szCs w:val="24"/>
        </w:rPr>
        <w:t>products with sustainability association</w:t>
      </w:r>
      <w:r w:rsidR="00C647DF" w:rsidRPr="00530906">
        <w:rPr>
          <w:rFonts w:ascii="Cambria" w:eastAsia="Calibri" w:hAnsi="Cambria" w:cs="Times New Roman"/>
          <w:sz w:val="24"/>
          <w:szCs w:val="24"/>
        </w:rPr>
        <w:t xml:space="preserve"> </w:t>
      </w:r>
      <w:r w:rsidRPr="00530906">
        <w:rPr>
          <w:rFonts w:ascii="Cambria" w:eastAsia="Calibri" w:hAnsi="Cambria" w:cs="Times New Roman"/>
          <w:sz w:val="24"/>
          <w:szCs w:val="24"/>
        </w:rPr>
        <w:t xml:space="preserve">(Han et al 2019). </w:t>
      </w:r>
    </w:p>
    <w:p w14:paraId="0C241218" w14:textId="43792226" w:rsidR="006802D5" w:rsidRPr="009F02A6" w:rsidRDefault="00C7217E">
      <w:pPr>
        <w:spacing w:line="360" w:lineRule="auto"/>
        <w:jc w:val="both"/>
        <w:rPr>
          <w:rFonts w:ascii="Cambria" w:eastAsia="Calibri" w:hAnsi="Cambria" w:cs="Times New Roman"/>
          <w:sz w:val="24"/>
          <w:szCs w:val="24"/>
        </w:rPr>
      </w:pPr>
      <w:bookmarkStart w:id="24" w:name="_Hlk69751276"/>
      <w:r w:rsidRPr="00530906">
        <w:rPr>
          <w:rFonts w:ascii="Cambria" w:eastAsia="Calibri" w:hAnsi="Cambria" w:cs="Times New Roman"/>
          <w:sz w:val="24"/>
          <w:szCs w:val="24"/>
        </w:rPr>
        <w:t>Reborts (1996</w:t>
      </w:r>
      <w:bookmarkEnd w:id="24"/>
      <w:r w:rsidRPr="00530906">
        <w:rPr>
          <w:rFonts w:ascii="Cambria" w:eastAsia="Calibri" w:hAnsi="Cambria" w:cs="Times New Roman"/>
          <w:sz w:val="24"/>
          <w:szCs w:val="24"/>
        </w:rPr>
        <w:t>) has suggested that in order to motivate consumers to choose ecological product</w:t>
      </w:r>
      <w:r w:rsidR="00D621A4" w:rsidRPr="00530906">
        <w:rPr>
          <w:rFonts w:ascii="Cambria" w:eastAsia="Calibri" w:hAnsi="Cambria" w:cs="Times New Roman"/>
          <w:sz w:val="24"/>
          <w:szCs w:val="24"/>
        </w:rPr>
        <w:t xml:space="preserve"> (in </w:t>
      </w:r>
      <w:r w:rsidR="00D621A4" w:rsidRPr="009F02A6">
        <w:rPr>
          <w:rFonts w:ascii="Cambria" w:eastAsia="Calibri" w:hAnsi="Cambria" w:cs="Times New Roman"/>
          <w:sz w:val="24"/>
          <w:szCs w:val="24"/>
        </w:rPr>
        <w:t xml:space="preserve">this case </w:t>
      </w:r>
      <w:r w:rsidR="00702F38" w:rsidRPr="009F02A6">
        <w:rPr>
          <w:rFonts w:ascii="Cambria" w:eastAsia="Calibri" w:hAnsi="Cambria" w:cs="Times New Roman"/>
          <w:sz w:val="24"/>
          <w:szCs w:val="24"/>
        </w:rPr>
        <w:t>sustainable</w:t>
      </w:r>
      <w:r w:rsidR="00D621A4" w:rsidRPr="009F02A6">
        <w:rPr>
          <w:rFonts w:ascii="Cambria" w:eastAsia="Calibri" w:hAnsi="Cambria" w:cs="Times New Roman"/>
          <w:sz w:val="24"/>
          <w:szCs w:val="24"/>
        </w:rPr>
        <w:t xml:space="preserve"> product)</w:t>
      </w:r>
      <w:r w:rsidRPr="009F02A6">
        <w:rPr>
          <w:rFonts w:ascii="Cambria" w:eastAsia="Calibri" w:hAnsi="Cambria" w:cs="Times New Roman"/>
          <w:sz w:val="24"/>
          <w:szCs w:val="24"/>
        </w:rPr>
        <w:t>, the advertisers should focus on</w:t>
      </w:r>
      <w:r w:rsidR="006A572F" w:rsidRPr="009F02A6">
        <w:rPr>
          <w:rFonts w:ascii="Cambria" w:eastAsia="Calibri" w:hAnsi="Cambria" w:cs="Times New Roman"/>
          <w:sz w:val="24"/>
          <w:szCs w:val="24"/>
        </w:rPr>
        <w:t xml:space="preserve"> conveying</w:t>
      </w:r>
      <w:r w:rsidRPr="009F02A6">
        <w:rPr>
          <w:rFonts w:ascii="Cambria" w:eastAsia="Calibri" w:hAnsi="Cambria" w:cs="Times New Roman"/>
          <w:sz w:val="24"/>
          <w:szCs w:val="24"/>
        </w:rPr>
        <w:t xml:space="preserve"> how their choice are being effective, rather than promoting only the environmental issue. The clear information of the attainable action can be helpful to promote sustainable consumption behaviour and reduce customers’ dissonance of choosing sustainable alternative over attributes and price (Thøgersen and Schrader 2012). In addition to that, people do not prefer to be confronted with negative environmental consequences of their behaviour </w:t>
      </w:r>
      <w:r w:rsidR="00DE6315" w:rsidRPr="009F02A6">
        <w:rPr>
          <w:rFonts w:ascii="Cambria" w:eastAsia="Calibri" w:hAnsi="Cambria" w:cs="Times New Roman"/>
          <w:sz w:val="24"/>
          <w:szCs w:val="24"/>
        </w:rPr>
        <w:t>so that they can</w:t>
      </w:r>
      <w:r w:rsidRPr="009F02A6">
        <w:rPr>
          <w:rFonts w:ascii="Cambria" w:eastAsia="Calibri" w:hAnsi="Cambria" w:cs="Times New Roman"/>
          <w:sz w:val="24"/>
          <w:szCs w:val="24"/>
        </w:rPr>
        <w:t xml:space="preserve"> preserve their self–image (Kilbourne and Pickett 2008).  Rather, action–related knowledge is found to be more effective to inspire environmental behaviour than factual knowledge. </w:t>
      </w:r>
      <w:r w:rsidR="00397B29" w:rsidRPr="009F02A6">
        <w:rPr>
          <w:rFonts w:ascii="Cambria" w:eastAsia="Calibri" w:hAnsi="Cambria" w:cs="Times New Roman"/>
          <w:sz w:val="24"/>
          <w:szCs w:val="24"/>
        </w:rPr>
        <w:t>So,</w:t>
      </w:r>
      <w:r w:rsidRPr="009F02A6">
        <w:rPr>
          <w:rFonts w:ascii="Cambria" w:eastAsia="Calibri" w:hAnsi="Cambria" w:cs="Times New Roman"/>
          <w:sz w:val="24"/>
          <w:szCs w:val="24"/>
        </w:rPr>
        <w:t xml:space="preserve"> the authors have suggested to promote the obtainable action rather than just to foster pro–environmental beliefs </w:t>
      </w:r>
      <w:bookmarkStart w:id="25" w:name="_Hlk69751113"/>
      <w:r w:rsidRPr="009F02A6">
        <w:rPr>
          <w:rFonts w:ascii="Cambria" w:eastAsia="Calibri" w:hAnsi="Cambria" w:cs="Times New Roman"/>
          <w:sz w:val="24"/>
          <w:szCs w:val="24"/>
        </w:rPr>
        <w:t xml:space="preserve">(Tanner and Kast 2003). </w:t>
      </w:r>
      <w:bookmarkEnd w:id="25"/>
      <w:r w:rsidRPr="009F02A6">
        <w:rPr>
          <w:rFonts w:ascii="Cambria" w:eastAsia="Calibri" w:hAnsi="Cambria" w:cs="Times New Roman"/>
          <w:sz w:val="24"/>
          <w:szCs w:val="24"/>
        </w:rPr>
        <w:t xml:space="preserve">“…… action is only of value for sustainability when positive impact can be proven” </w:t>
      </w:r>
      <w:r w:rsidRPr="009F02A6">
        <w:rPr>
          <w:rFonts w:ascii="Cambria" w:eastAsia="Calibri" w:hAnsi="Cambria" w:cs="Adobe Devanagari"/>
          <w:sz w:val="24"/>
          <w:szCs w:val="24"/>
        </w:rPr>
        <w:t>(</w:t>
      </w:r>
      <w:bookmarkStart w:id="26" w:name="_Hlk69751175"/>
      <w:r w:rsidRPr="009F02A6">
        <w:rPr>
          <w:rFonts w:ascii="Cambria" w:eastAsia="Calibri" w:hAnsi="Cambria" w:cs="Adobe Devanagari"/>
          <w:sz w:val="24"/>
          <w:szCs w:val="24"/>
        </w:rPr>
        <w:t xml:space="preserve">Thøgersen and Schrader, 2012, p. 2). </w:t>
      </w:r>
      <w:r w:rsidRPr="009F02A6">
        <w:rPr>
          <w:rFonts w:ascii="Cambria" w:eastAsia="Calibri" w:hAnsi="Cambria" w:cs="Times New Roman"/>
          <w:sz w:val="24"/>
          <w:szCs w:val="24"/>
        </w:rPr>
        <w:t>Similarly, Smith (1998) and Eagea and De Frutos (2013</w:t>
      </w:r>
      <w:bookmarkEnd w:id="26"/>
      <w:r w:rsidRPr="009F02A6">
        <w:rPr>
          <w:rFonts w:ascii="Cambria" w:eastAsia="Calibri" w:hAnsi="Cambria" w:cs="Times New Roman"/>
          <w:sz w:val="24"/>
          <w:szCs w:val="24"/>
        </w:rPr>
        <w:t>) have also argued that in order to bridge the gap between</w:t>
      </w:r>
      <w:r w:rsidR="00702F38" w:rsidRPr="009F02A6">
        <w:rPr>
          <w:rFonts w:ascii="Cambria" w:eastAsia="Calibri" w:hAnsi="Cambria" w:cs="Times New Roman"/>
          <w:sz w:val="24"/>
          <w:szCs w:val="24"/>
        </w:rPr>
        <w:t xml:space="preserve"> concern for </w:t>
      </w:r>
      <w:r w:rsidRPr="009F02A6">
        <w:rPr>
          <w:rFonts w:ascii="Cambria" w:eastAsia="Calibri" w:hAnsi="Cambria" w:cs="Times New Roman"/>
          <w:sz w:val="24"/>
          <w:szCs w:val="24"/>
        </w:rPr>
        <w:t>environment</w:t>
      </w:r>
      <w:r w:rsidR="00702F38" w:rsidRPr="009F02A6">
        <w:rPr>
          <w:rFonts w:ascii="Cambria" w:eastAsia="Calibri" w:hAnsi="Cambria" w:cs="Times New Roman"/>
          <w:sz w:val="24"/>
          <w:szCs w:val="24"/>
        </w:rPr>
        <w:t xml:space="preserve"> of the consumers and their purchase behaviour</w:t>
      </w:r>
      <w:r w:rsidRPr="009F02A6">
        <w:rPr>
          <w:rFonts w:ascii="Cambria" w:eastAsia="Calibri" w:hAnsi="Cambria" w:cs="Times New Roman"/>
          <w:sz w:val="24"/>
          <w:szCs w:val="24"/>
        </w:rPr>
        <w:t>, the ‘action marketing’ should motivate the concerned consumers to moderately change their behaviour and adopt a sustainable behaviour which makes them feel that their action was effective for the environment. Though promotion is the most important to promote product</w:t>
      </w:r>
      <w:r w:rsidR="008D6FBA" w:rsidRPr="009F02A6">
        <w:rPr>
          <w:rFonts w:ascii="Cambria" w:eastAsia="Calibri" w:hAnsi="Cambria" w:cs="Times New Roman"/>
          <w:sz w:val="24"/>
          <w:szCs w:val="24"/>
        </w:rPr>
        <w:t>s</w:t>
      </w:r>
      <w:r w:rsidRPr="009F02A6">
        <w:rPr>
          <w:rFonts w:ascii="Cambria" w:eastAsia="Calibri" w:hAnsi="Cambria" w:cs="Times New Roman"/>
          <w:sz w:val="24"/>
          <w:szCs w:val="24"/>
        </w:rPr>
        <w:t>, marketers have failed to be effective to build brand equity</w:t>
      </w:r>
      <w:r w:rsidR="008D6FBA" w:rsidRPr="009F02A6">
        <w:rPr>
          <w:rFonts w:ascii="Cambria" w:eastAsia="Calibri" w:hAnsi="Cambria" w:cs="Times New Roman"/>
          <w:sz w:val="24"/>
          <w:szCs w:val="24"/>
        </w:rPr>
        <w:t xml:space="preserve"> for the ones with sustainability</w:t>
      </w:r>
      <w:r w:rsidRPr="009F02A6">
        <w:rPr>
          <w:rFonts w:ascii="Cambria" w:eastAsia="Calibri" w:hAnsi="Cambria" w:cs="Times New Roman"/>
          <w:sz w:val="24"/>
          <w:szCs w:val="24"/>
        </w:rPr>
        <w:t xml:space="preserve"> (Davari and Strutton 2014).</w:t>
      </w:r>
      <w:r w:rsidR="004A493D" w:rsidRPr="009F02A6">
        <w:rPr>
          <w:rFonts w:ascii="Cambria" w:eastAsia="Calibri" w:hAnsi="Cambria" w:cs="Times New Roman"/>
          <w:sz w:val="24"/>
          <w:szCs w:val="24"/>
        </w:rPr>
        <w:t xml:space="preserve"> This</w:t>
      </w:r>
      <w:r w:rsidR="00E04C0E" w:rsidRPr="009F02A6">
        <w:rPr>
          <w:rFonts w:ascii="Cambria" w:eastAsia="Calibri" w:hAnsi="Cambria" w:cs="Times New Roman"/>
          <w:sz w:val="24"/>
          <w:szCs w:val="24"/>
        </w:rPr>
        <w:t xml:space="preserve"> idea can be extended any </w:t>
      </w:r>
      <w:r w:rsidR="00E04C0E"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E04C0E" w:rsidRPr="009F02A6">
        <w:rPr>
          <w:rFonts w:ascii="Cambria" w:eastAsia="Calibri" w:hAnsi="Cambria" w:cs="Adobe Devanagari"/>
          <w:sz w:val="24"/>
          <w:szCs w:val="24"/>
        </w:rPr>
        <w:t xml:space="preserve"> message</w:t>
      </w:r>
      <w:r w:rsidR="00A41385" w:rsidRPr="009F02A6">
        <w:rPr>
          <w:rFonts w:ascii="Cambria" w:eastAsia="Calibri" w:hAnsi="Cambria" w:cs="Adobe Devanagari"/>
          <w:sz w:val="24"/>
          <w:szCs w:val="24"/>
        </w:rPr>
        <w:t>.</w:t>
      </w:r>
      <w:r w:rsidR="004A493D" w:rsidRPr="009F02A6">
        <w:rPr>
          <w:rFonts w:ascii="Cambria" w:eastAsia="Calibri" w:hAnsi="Cambria" w:cs="Times New Roman"/>
          <w:sz w:val="24"/>
          <w:szCs w:val="24"/>
        </w:rPr>
        <w:t xml:space="preserve"> </w:t>
      </w:r>
    </w:p>
    <w:p w14:paraId="47BF69BB" w14:textId="3E2520AE" w:rsidR="00C7217E" w:rsidRPr="009F02A6" w:rsidRDefault="00EC7999">
      <w:pPr>
        <w:spacing w:after="200" w:line="360" w:lineRule="auto"/>
        <w:jc w:val="both"/>
        <w:rPr>
          <w:rFonts w:ascii="Cambria" w:eastAsia="Calibri" w:hAnsi="Cambria" w:cs="Times New Roman"/>
          <w:sz w:val="24"/>
          <w:szCs w:val="24"/>
        </w:rPr>
      </w:pPr>
      <w:r w:rsidRPr="009F02A6">
        <w:rPr>
          <w:rFonts w:ascii="Cambria" w:eastAsia="Calibri" w:hAnsi="Cambria" w:cs="Adobe Devanagari"/>
          <w:sz w:val="24"/>
          <w:szCs w:val="24"/>
        </w:rPr>
        <w:t xml:space="preserve">There are a number of </w:t>
      </w:r>
      <w:r w:rsidR="00C04740" w:rsidRPr="009F02A6">
        <w:rPr>
          <w:rFonts w:ascii="Cambria" w:eastAsia="Calibri" w:hAnsi="Cambria" w:cs="Adobe Devanagari"/>
          <w:sz w:val="24"/>
          <w:szCs w:val="24"/>
        </w:rPr>
        <w:t>problems</w:t>
      </w:r>
      <w:r w:rsidRPr="009F02A6">
        <w:rPr>
          <w:rFonts w:ascii="Cambria" w:eastAsia="Calibri" w:hAnsi="Cambria" w:cs="Adobe Devanagari"/>
          <w:sz w:val="24"/>
          <w:szCs w:val="24"/>
        </w:rPr>
        <w:t xml:space="preserve"> associated while </w:t>
      </w:r>
      <w:r w:rsidR="00200493"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200493" w:rsidRPr="009F02A6">
        <w:rPr>
          <w:rFonts w:ascii="Cambria" w:eastAsia="Calibri" w:hAnsi="Cambria" w:cs="Adobe Devanagari"/>
          <w:sz w:val="24"/>
          <w:szCs w:val="24"/>
        </w:rPr>
        <w:t xml:space="preserve"> message</w:t>
      </w:r>
      <w:r w:rsidRPr="009F02A6">
        <w:rPr>
          <w:rFonts w:ascii="Cambria" w:eastAsia="Calibri" w:hAnsi="Cambria" w:cs="Adobe Devanagari"/>
          <w:sz w:val="24"/>
          <w:szCs w:val="24"/>
        </w:rPr>
        <w:t xml:space="preserve">. </w:t>
      </w:r>
      <w:r w:rsidR="00516B0D" w:rsidRPr="009F02A6">
        <w:rPr>
          <w:rFonts w:ascii="Cambria" w:eastAsia="Calibri" w:hAnsi="Cambria" w:cs="Adobe Devanagari"/>
          <w:sz w:val="24"/>
          <w:szCs w:val="24"/>
        </w:rPr>
        <w:t>Firstly, if</w:t>
      </w:r>
      <w:r w:rsidR="00A71ACE" w:rsidRPr="009F02A6">
        <w:rPr>
          <w:rFonts w:ascii="Cambria" w:eastAsia="Calibri" w:hAnsi="Cambria" w:cs="Adobe Devanagari"/>
          <w:sz w:val="24"/>
          <w:szCs w:val="24"/>
        </w:rPr>
        <w:t xml:space="preserve"> the ad is promoting a sustainable product, </w:t>
      </w:r>
      <w:r w:rsidRPr="009F02A6">
        <w:rPr>
          <w:rFonts w:ascii="Cambria" w:eastAsia="Calibri" w:hAnsi="Cambria" w:cs="Adobe Devanagari"/>
          <w:sz w:val="24"/>
          <w:szCs w:val="24"/>
        </w:rPr>
        <w:t xml:space="preserve">it is associated with non–enjoyable experience and hinders its acceptance from the point of consumerism, although </w:t>
      </w:r>
      <w:r w:rsidR="00C7217E" w:rsidRPr="009F02A6">
        <w:rPr>
          <w:rFonts w:ascii="Cambria" w:eastAsia="Calibri" w:hAnsi="Cambria" w:cs="Adobe Devanagari"/>
          <w:sz w:val="24"/>
          <w:szCs w:val="24"/>
        </w:rPr>
        <w:t xml:space="preserve">51% consumers are willing to pay high price for </w:t>
      </w:r>
      <w:r w:rsidR="00C647DF" w:rsidRPr="009F02A6">
        <w:rPr>
          <w:rFonts w:ascii="Cambria" w:eastAsia="Times New Roman" w:hAnsi="Cambria" w:cs="Times New Roman"/>
          <w:sz w:val="24"/>
          <w:szCs w:val="24"/>
        </w:rPr>
        <w:t>products with sustainability association</w:t>
      </w:r>
      <w:r w:rsidR="00C7217E" w:rsidRPr="009F02A6">
        <w:rPr>
          <w:rFonts w:ascii="Cambria" w:eastAsia="Calibri" w:hAnsi="Cambria" w:cs="Adobe Devanagari"/>
          <w:sz w:val="24"/>
          <w:szCs w:val="24"/>
        </w:rPr>
        <w:t xml:space="preserve"> (Herédia–Colaço and Vale 2018; Brooks and Wilson 2015). This happens because, in many instances consumption </w:t>
      </w:r>
      <w:r w:rsidR="003342D0" w:rsidRPr="009F02A6">
        <w:rPr>
          <w:rFonts w:ascii="Cambria" w:eastAsia="Calibri" w:hAnsi="Cambria" w:cs="Adobe Devanagari"/>
          <w:sz w:val="24"/>
          <w:szCs w:val="24"/>
        </w:rPr>
        <w:t xml:space="preserve">of these products </w:t>
      </w:r>
      <w:r w:rsidR="00C7217E" w:rsidRPr="009F02A6">
        <w:rPr>
          <w:rFonts w:ascii="Cambria" w:eastAsia="Calibri" w:hAnsi="Cambria" w:cs="Adobe Devanagari"/>
          <w:sz w:val="24"/>
          <w:szCs w:val="24"/>
        </w:rPr>
        <w:t xml:space="preserve">refers to sacrificing consumption or buying only fair trade or organic products (Banbury et al 2012, Phipps et al 2013, Liobikienė, et al 2016; Eagea and De Frutos 2013; Valor and Carrero 2014). </w:t>
      </w:r>
      <w:r w:rsidRPr="009F02A6">
        <w:rPr>
          <w:rFonts w:ascii="Cambria" w:eastAsia="Calibri" w:hAnsi="Cambria" w:cs="Adobe Devanagari"/>
          <w:sz w:val="24"/>
          <w:szCs w:val="24"/>
        </w:rPr>
        <w:t xml:space="preserve">Secondly, </w:t>
      </w:r>
      <w:r w:rsidR="00252958" w:rsidRPr="009F02A6">
        <w:rPr>
          <w:rFonts w:ascii="Cambria" w:eastAsia="Calibri" w:hAnsi="Cambria" w:cs="Adobe Devanagari"/>
          <w:sz w:val="24"/>
          <w:szCs w:val="24"/>
        </w:rPr>
        <w:t>Consumers may perceive</w:t>
      </w:r>
      <w:r w:rsidR="00C7217E" w:rsidRPr="009F02A6">
        <w:rPr>
          <w:rFonts w:ascii="Cambria" w:eastAsia="Calibri" w:hAnsi="Cambria" w:cs="Adobe Devanagari"/>
          <w:sz w:val="24"/>
          <w:szCs w:val="24"/>
        </w:rPr>
        <w:t xml:space="preserve"> that choosing </w:t>
      </w:r>
      <w:r w:rsidR="00AA0608" w:rsidRPr="009F02A6">
        <w:rPr>
          <w:rFonts w:ascii="Cambria" w:eastAsia="Calibri" w:hAnsi="Cambria" w:cs="Adobe Devanagari"/>
          <w:sz w:val="24"/>
          <w:szCs w:val="24"/>
        </w:rPr>
        <w:t>sustainable products,</w:t>
      </w:r>
      <w:r w:rsidR="00C7217E" w:rsidRPr="009F02A6">
        <w:rPr>
          <w:rFonts w:ascii="Cambria" w:eastAsia="Calibri" w:hAnsi="Cambria" w:cs="Adobe Devanagari"/>
          <w:sz w:val="24"/>
          <w:szCs w:val="24"/>
        </w:rPr>
        <w:t xml:space="preserve"> is synonymous to consuming less like a lower status person</w:t>
      </w:r>
      <w:r w:rsidR="00252958" w:rsidRPr="009F02A6">
        <w:rPr>
          <w:rFonts w:ascii="Cambria" w:eastAsia="Calibri" w:hAnsi="Cambria" w:cs="Adobe Devanagari"/>
          <w:sz w:val="24"/>
          <w:szCs w:val="24"/>
        </w:rPr>
        <w:t>. This notion can be deviated,</w:t>
      </w:r>
      <w:r w:rsidR="00C7217E" w:rsidRPr="009F02A6">
        <w:rPr>
          <w:rFonts w:ascii="Cambria" w:eastAsia="Calibri" w:hAnsi="Cambria" w:cs="Adobe Devanagari"/>
          <w:sz w:val="24"/>
          <w:szCs w:val="24"/>
        </w:rPr>
        <w:t xml:space="preserve"> if the information signals that the choice is intentional. </w:t>
      </w:r>
      <w:r w:rsidR="00A2693D" w:rsidRPr="009F02A6">
        <w:rPr>
          <w:rFonts w:ascii="Cambria" w:eastAsia="Calibri" w:hAnsi="Cambria" w:cs="Adobe Devanagari"/>
          <w:sz w:val="24"/>
          <w:szCs w:val="24"/>
        </w:rPr>
        <w:t>In this instance,</w:t>
      </w:r>
      <w:r w:rsidR="00C7217E" w:rsidRPr="009F02A6">
        <w:rPr>
          <w:rFonts w:ascii="Cambria" w:eastAsia="Calibri" w:hAnsi="Cambria" w:cs="Adobe Devanagari"/>
          <w:sz w:val="24"/>
          <w:szCs w:val="24"/>
        </w:rPr>
        <w:t xml:space="preserve"> it may signal pro</w:t>
      </w:r>
      <w:r w:rsidR="005F4A1C" w:rsidRPr="009F02A6">
        <w:rPr>
          <w:rFonts w:ascii="Cambria" w:eastAsia="Calibri" w:hAnsi="Cambria" w:cs="Adobe Devanagari"/>
          <w:sz w:val="24"/>
          <w:szCs w:val="24"/>
        </w:rPr>
        <w:t>–</w:t>
      </w:r>
      <w:r w:rsidR="00C7217E" w:rsidRPr="009F02A6">
        <w:rPr>
          <w:rFonts w:ascii="Cambria" w:eastAsia="Calibri" w:hAnsi="Cambria" w:cs="Adobe Devanagari"/>
          <w:sz w:val="24"/>
          <w:szCs w:val="24"/>
        </w:rPr>
        <w:t>social mentality and higher status (Brooks and Wilson, 2015)</w:t>
      </w:r>
      <w:r w:rsidR="00C7217E" w:rsidRPr="009F02A6">
        <w:rPr>
          <w:rFonts w:ascii="Cambria" w:eastAsiaTheme="minorEastAsia" w:hAnsi="Cambria"/>
          <w:sz w:val="24"/>
          <w:szCs w:val="24"/>
        </w:rPr>
        <w:t xml:space="preserve">. </w:t>
      </w:r>
      <w:r w:rsidR="006F6FC4" w:rsidRPr="009F02A6">
        <w:rPr>
          <w:rFonts w:ascii="Cambria" w:eastAsia="Calibri" w:hAnsi="Cambria" w:cs="Adobe Devanagari"/>
          <w:sz w:val="24"/>
          <w:szCs w:val="24"/>
        </w:rPr>
        <w:t xml:space="preserve">As a solution to these problems symbolic meaning of the products associated with sustainability needs to be changed.  </w:t>
      </w:r>
      <w:r w:rsidR="00C7217E" w:rsidRPr="009F02A6">
        <w:rPr>
          <w:rFonts w:ascii="Cambria" w:eastAsiaTheme="minorEastAsia" w:hAnsi="Cambria"/>
          <w:sz w:val="24"/>
          <w:szCs w:val="24"/>
        </w:rPr>
        <w:t xml:space="preserve">In this matter, </w:t>
      </w:r>
      <w:r w:rsidR="006B689D" w:rsidRPr="009F02A6">
        <w:rPr>
          <w:rFonts w:ascii="Cambria" w:eastAsia="Calibri" w:hAnsi="Cambria" w:cs="Adobe Devanagari"/>
          <w:sz w:val="24"/>
          <w:szCs w:val="24"/>
        </w:rPr>
        <w:t xml:space="preserve">ads with </w:t>
      </w:r>
      <w:r w:rsidR="00E363FB" w:rsidRPr="009F02A6">
        <w:rPr>
          <w:rFonts w:ascii="Cambria" w:eastAsia="Calibri" w:hAnsi="Cambria" w:cs="Adobe Devanagari"/>
          <w:sz w:val="24"/>
          <w:szCs w:val="24"/>
        </w:rPr>
        <w:t>sustainability</w:t>
      </w:r>
      <w:r w:rsidR="006B689D" w:rsidRPr="009F02A6">
        <w:rPr>
          <w:rFonts w:ascii="Cambria" w:eastAsia="Calibri" w:hAnsi="Cambria" w:cs="Adobe Devanagari"/>
          <w:sz w:val="24"/>
          <w:szCs w:val="24"/>
        </w:rPr>
        <w:t xml:space="preserve"> message</w:t>
      </w:r>
      <w:r w:rsidR="006B689D" w:rsidRPr="009F02A6">
        <w:rPr>
          <w:rFonts w:ascii="Cambria" w:eastAsiaTheme="minorEastAsia" w:hAnsi="Cambria"/>
          <w:sz w:val="24"/>
          <w:szCs w:val="24"/>
        </w:rPr>
        <w:t xml:space="preserve"> </w:t>
      </w:r>
      <w:r w:rsidR="007371FD" w:rsidRPr="009F02A6">
        <w:rPr>
          <w:rFonts w:ascii="Cambria" w:eastAsiaTheme="minorEastAsia" w:hAnsi="Cambria"/>
          <w:sz w:val="24"/>
          <w:szCs w:val="24"/>
        </w:rPr>
        <w:t>are</w:t>
      </w:r>
      <w:r w:rsidR="00C7217E" w:rsidRPr="009F02A6">
        <w:rPr>
          <w:rFonts w:ascii="Cambria" w:eastAsiaTheme="minorEastAsia" w:hAnsi="Cambria"/>
          <w:sz w:val="24"/>
          <w:szCs w:val="24"/>
        </w:rPr>
        <w:t xml:space="preserve"> </w:t>
      </w:r>
      <w:r w:rsidR="00C7217E" w:rsidRPr="009F02A6">
        <w:rPr>
          <w:rFonts w:ascii="Cambria" w:eastAsia="Calibri" w:hAnsi="Cambria" w:cs="Adobe Devanagari"/>
          <w:sz w:val="24"/>
          <w:szCs w:val="24"/>
        </w:rPr>
        <w:t xml:space="preserve">important not only for </w:t>
      </w:r>
      <w:r w:rsidR="00D621A4" w:rsidRPr="009F02A6">
        <w:rPr>
          <w:rFonts w:ascii="Cambria" w:eastAsia="Calibri" w:hAnsi="Cambria" w:cs="Adobe Devanagari"/>
          <w:sz w:val="24"/>
          <w:szCs w:val="24"/>
        </w:rPr>
        <w:t>promoting the product</w:t>
      </w:r>
      <w:r w:rsidR="00C7217E" w:rsidRPr="009F02A6">
        <w:rPr>
          <w:rFonts w:ascii="Cambria" w:eastAsia="Calibri" w:hAnsi="Cambria" w:cs="Adobe Devanagari"/>
          <w:sz w:val="24"/>
          <w:szCs w:val="24"/>
        </w:rPr>
        <w:t>, but also for establishing meaning and symbolic value for those commodities (Craig 2019)</w:t>
      </w:r>
      <w:r w:rsidR="008D28C9" w:rsidRPr="009F02A6">
        <w:rPr>
          <w:rFonts w:ascii="Cambria" w:eastAsia="Calibri" w:hAnsi="Cambria" w:cs="Adobe Devanagari"/>
          <w:sz w:val="24"/>
          <w:szCs w:val="24"/>
        </w:rPr>
        <w:t xml:space="preserve">. </w:t>
      </w:r>
      <w:r w:rsidR="00A41385" w:rsidRPr="009F02A6">
        <w:rPr>
          <w:rFonts w:ascii="Cambria" w:eastAsia="Calibri" w:hAnsi="Cambria" w:cs="Adobe Devanagari"/>
          <w:sz w:val="24"/>
          <w:szCs w:val="24"/>
        </w:rPr>
        <w:t>A</w:t>
      </w:r>
      <w:r w:rsidR="007D622E" w:rsidRPr="009F02A6">
        <w:rPr>
          <w:rFonts w:ascii="Cambria" w:eastAsia="Calibri" w:hAnsi="Cambria" w:cs="Adobe Devanagari"/>
          <w:sz w:val="24"/>
          <w:szCs w:val="24"/>
        </w:rPr>
        <w:t xml:space="preserve">ds with </w:t>
      </w:r>
      <w:r w:rsidR="00E363FB" w:rsidRPr="009F02A6">
        <w:rPr>
          <w:rFonts w:ascii="Cambria" w:eastAsia="Calibri" w:hAnsi="Cambria" w:cs="Adobe Devanagari"/>
          <w:sz w:val="24"/>
          <w:szCs w:val="24"/>
        </w:rPr>
        <w:t>sustainability</w:t>
      </w:r>
      <w:r w:rsidR="007D622E" w:rsidRPr="009F02A6">
        <w:rPr>
          <w:rFonts w:ascii="Cambria" w:eastAsia="Calibri" w:hAnsi="Cambria" w:cs="Adobe Devanagari"/>
          <w:sz w:val="24"/>
          <w:szCs w:val="24"/>
        </w:rPr>
        <w:t xml:space="preserve"> message </w:t>
      </w:r>
      <w:r w:rsidR="008D28C9" w:rsidRPr="009F02A6">
        <w:rPr>
          <w:rFonts w:ascii="Cambria" w:eastAsia="Calibri" w:hAnsi="Cambria" w:cs="Adobe Devanagari"/>
          <w:sz w:val="24"/>
          <w:szCs w:val="24"/>
        </w:rPr>
        <w:t>should be able to</w:t>
      </w:r>
      <w:r w:rsidR="00C7217E" w:rsidRPr="009F02A6">
        <w:rPr>
          <w:rFonts w:ascii="Cambria" w:eastAsia="Calibri" w:hAnsi="Cambria" w:cs="Adobe Devanagari"/>
          <w:sz w:val="24"/>
          <w:szCs w:val="24"/>
        </w:rPr>
        <w:t xml:space="preserve"> convey that, </w:t>
      </w:r>
      <w:r w:rsidR="00D621A4" w:rsidRPr="009F02A6">
        <w:rPr>
          <w:rFonts w:ascii="Cambria" w:eastAsia="Calibri" w:hAnsi="Cambria" w:cs="Adobe Devanagari"/>
          <w:sz w:val="24"/>
          <w:szCs w:val="24"/>
        </w:rPr>
        <w:t>choosing sustainable products</w:t>
      </w:r>
      <w:r w:rsidR="00C7217E" w:rsidRPr="009F02A6">
        <w:rPr>
          <w:rFonts w:ascii="Cambria" w:eastAsia="Calibri" w:hAnsi="Cambria" w:cs="Adobe Devanagari"/>
          <w:sz w:val="24"/>
          <w:szCs w:val="24"/>
        </w:rPr>
        <w:t xml:space="preserve"> does not represent </w:t>
      </w:r>
      <w:r w:rsidR="008D28C9" w:rsidRPr="009F02A6">
        <w:rPr>
          <w:rFonts w:ascii="Cambria" w:eastAsia="Calibri" w:hAnsi="Cambria" w:cs="Adobe Devanagari"/>
          <w:sz w:val="24"/>
          <w:szCs w:val="24"/>
        </w:rPr>
        <w:t>‘</w:t>
      </w:r>
      <w:r w:rsidR="00C7217E" w:rsidRPr="009F02A6">
        <w:rPr>
          <w:rFonts w:ascii="Cambria" w:eastAsia="Calibri" w:hAnsi="Cambria" w:cs="Adobe Devanagari"/>
          <w:sz w:val="24"/>
          <w:szCs w:val="24"/>
        </w:rPr>
        <w:t>consuming less’, rather it is about consuming differently and efficiently in a way that improve the quality of life (Sedlacko et al 2014). Consumers need to be informed about the array of their sustainable choice</w:t>
      </w:r>
      <w:r w:rsidR="006F6FC4" w:rsidRPr="009F02A6">
        <w:rPr>
          <w:rFonts w:ascii="Cambria" w:eastAsia="Calibri" w:hAnsi="Cambria" w:cs="Adobe Devanagari"/>
          <w:sz w:val="24"/>
          <w:szCs w:val="24"/>
        </w:rPr>
        <w:t>s.</w:t>
      </w:r>
    </w:p>
    <w:p w14:paraId="45701D37" w14:textId="69BAB8EA" w:rsidR="00510B75" w:rsidRPr="009F02A6" w:rsidRDefault="00E52E32" w:rsidP="00510B75">
      <w:pPr>
        <w:spacing w:line="360" w:lineRule="auto"/>
        <w:jc w:val="both"/>
        <w:rPr>
          <w:rFonts w:ascii="Cambria" w:eastAsia="Calibri" w:hAnsi="Cambria" w:cs="Times New Roman"/>
          <w:sz w:val="24"/>
          <w:szCs w:val="24"/>
        </w:rPr>
      </w:pPr>
      <w:r w:rsidRPr="009F02A6">
        <w:rPr>
          <w:rFonts w:ascii="Cambria" w:eastAsia="Calibri" w:hAnsi="Cambria" w:cs="Adobe Devanagari"/>
          <w:sz w:val="24"/>
          <w:szCs w:val="24"/>
        </w:rPr>
        <w:t xml:space="preserve">Today’s business </w:t>
      </w:r>
      <w:r w:rsidR="007045EA" w:rsidRPr="009F02A6">
        <w:rPr>
          <w:rFonts w:ascii="Cambria" w:eastAsia="Calibri" w:hAnsi="Cambria" w:cs="Adobe Devanagari"/>
          <w:sz w:val="24"/>
          <w:szCs w:val="24"/>
        </w:rPr>
        <w:t xml:space="preserve">organisations have </w:t>
      </w:r>
      <w:r w:rsidRPr="009F02A6">
        <w:rPr>
          <w:rFonts w:ascii="Cambria" w:eastAsia="Calibri" w:hAnsi="Cambria" w:cs="Adobe Devanagari"/>
          <w:sz w:val="24"/>
          <w:szCs w:val="24"/>
        </w:rPr>
        <w:t>success</w:t>
      </w:r>
      <w:r w:rsidR="007045EA" w:rsidRPr="009F02A6">
        <w:rPr>
          <w:rFonts w:ascii="Cambria" w:eastAsia="Calibri" w:hAnsi="Cambria" w:cs="Adobe Devanagari"/>
          <w:sz w:val="24"/>
          <w:szCs w:val="24"/>
        </w:rPr>
        <w:t>fully</w:t>
      </w:r>
      <w:r w:rsidRPr="009F02A6">
        <w:rPr>
          <w:rFonts w:ascii="Cambria" w:eastAsia="Calibri" w:hAnsi="Cambria" w:cs="Adobe Devanagari"/>
          <w:sz w:val="24"/>
          <w:szCs w:val="24"/>
        </w:rPr>
        <w:t xml:space="preserve"> of commodify</w:t>
      </w:r>
      <w:r w:rsidR="007045EA" w:rsidRPr="009F02A6">
        <w:rPr>
          <w:rFonts w:ascii="Cambria" w:eastAsia="Calibri" w:hAnsi="Cambria" w:cs="Adobe Devanagari"/>
          <w:sz w:val="24"/>
          <w:szCs w:val="24"/>
        </w:rPr>
        <w:t xml:space="preserve"> </w:t>
      </w:r>
      <w:r w:rsidRPr="009F02A6">
        <w:rPr>
          <w:rFonts w:ascii="Cambria" w:eastAsia="Calibri" w:hAnsi="Cambria" w:cs="Adobe Devanagari"/>
          <w:sz w:val="24"/>
          <w:szCs w:val="24"/>
        </w:rPr>
        <w:t xml:space="preserve">the environment (Prothero et. al. 2010). </w:t>
      </w:r>
      <w:r w:rsidR="00510B75" w:rsidRPr="009F02A6">
        <w:rPr>
          <w:rFonts w:ascii="Cambria" w:eastAsia="Calibri" w:hAnsi="Cambria" w:cs="Times New Roman"/>
          <w:sz w:val="24"/>
          <w:szCs w:val="24"/>
        </w:rPr>
        <w:t>Similar to today’s market situation for product</w:t>
      </w:r>
      <w:r w:rsidR="00553EC1" w:rsidRPr="009F02A6">
        <w:rPr>
          <w:rFonts w:ascii="Cambria" w:eastAsia="Calibri" w:hAnsi="Cambria" w:cs="Times New Roman"/>
          <w:sz w:val="24"/>
          <w:szCs w:val="24"/>
        </w:rPr>
        <w:t>s with sustainability agenda</w:t>
      </w:r>
      <w:r w:rsidR="00510B75" w:rsidRPr="009F02A6">
        <w:rPr>
          <w:rFonts w:ascii="Cambria" w:eastAsia="Calibri" w:hAnsi="Cambria" w:cs="Times New Roman"/>
          <w:sz w:val="24"/>
          <w:szCs w:val="24"/>
        </w:rPr>
        <w:t>, in 1990, it was thought that the ‘green tide’ is going to change the marketing practice (Peattie and Crane 2005, Thøgersen et al 2012) and there will be a dramatic shift towards green consumption (Prothero, 1990). Market responded with change in the product of 92% European multinationals and 85% of them had changed their production system, 11.4% increase in green product introduction of all household products between 1989–1990, which grew to 13.4% next year in US, 430% increase in green print ads and 367% increase in green TV ads (Ottman, 1993). But these initiatives failed to obtain results, due to consumers’ consumption behaviour did not match with their attitude toward sustainable products. On the top of that, consumers become cautious about the sustainability or green claims of the companies. As a result, the dramatic introduction of green products in 1990’s had started to decrease because, companies become wary of ‘greenwashing’ accusation. Specialised producers of green products like ‘Ecover’ or ‘Down to earth’ failed to sustain and specialist green ranges of major companies like ‘Lever brothers’ or ‘Sainsbury’ were discontinued (</w:t>
      </w:r>
      <w:bookmarkStart w:id="27" w:name="_Hlk97061889"/>
      <w:r w:rsidR="00510B75" w:rsidRPr="009F02A6">
        <w:rPr>
          <w:rFonts w:ascii="Cambria" w:eastAsia="Calibri" w:hAnsi="Cambria" w:cs="Times New Roman"/>
          <w:sz w:val="24"/>
          <w:szCs w:val="24"/>
        </w:rPr>
        <w:t>Peattie and Crane 2005; Kilbourne 2004)</w:t>
      </w:r>
      <w:bookmarkEnd w:id="27"/>
      <w:r w:rsidR="00510B75" w:rsidRPr="009F02A6">
        <w:rPr>
          <w:rFonts w:ascii="Cambria" w:eastAsia="Calibri" w:hAnsi="Cambria" w:cs="Times New Roman"/>
          <w:sz w:val="24"/>
          <w:szCs w:val="24"/>
        </w:rPr>
        <w:t xml:space="preserve">. </w:t>
      </w:r>
    </w:p>
    <w:p w14:paraId="791DA1A4" w14:textId="51874B4D" w:rsidR="00510B75" w:rsidRPr="00530906" w:rsidRDefault="00510B75" w:rsidP="00510B75">
      <w:pPr>
        <w:spacing w:line="360" w:lineRule="auto"/>
        <w:jc w:val="both"/>
        <w:rPr>
          <w:rFonts w:ascii="Cambria" w:eastAsia="Calibri" w:hAnsi="Cambria" w:cs="Times New Roman"/>
          <w:sz w:val="24"/>
          <w:szCs w:val="24"/>
        </w:rPr>
      </w:pPr>
      <w:r w:rsidRPr="009F02A6">
        <w:rPr>
          <w:rFonts w:ascii="Cambria" w:eastAsia="Calibri" w:hAnsi="Cambria" w:cs="Times New Roman"/>
          <w:sz w:val="24"/>
          <w:szCs w:val="24"/>
        </w:rPr>
        <w:t xml:space="preserve">The situation has not changed in present days too. Major U.S consumer packaged goods companies like– Coca–Cola, Colgate–Palmolive, </w:t>
      </w:r>
      <w:r w:rsidR="003A39B6" w:rsidRPr="009F02A6">
        <w:rPr>
          <w:rFonts w:ascii="Cambria" w:eastAsia="Calibri" w:hAnsi="Cambria" w:cs="Times New Roman"/>
          <w:sz w:val="24"/>
          <w:szCs w:val="24"/>
        </w:rPr>
        <w:t>General Mills</w:t>
      </w:r>
      <w:r w:rsidRPr="009F02A6">
        <w:rPr>
          <w:rFonts w:ascii="Cambria" w:eastAsia="Calibri" w:hAnsi="Cambria" w:cs="Times New Roman"/>
          <w:sz w:val="24"/>
          <w:szCs w:val="24"/>
        </w:rPr>
        <w:t xml:space="preserve">, Procter &amp; Gamble, Pepsico etc. have taken initiative to promote more environmentally–friendly product packaging (Olsen et al 2014). Product is the only element of green marketing mix that can affect brand equity (Davari and Strutton 2014). Yet, study on British cosmetics companies shows that, they labelled and sold the products claiming to have sustainable attributes, which ware bare minimum or have those attributes because of the very nature of the products. Larger portion of their product lines contain non–sustainable–products with no intention to discontinue those or to change into a </w:t>
      </w:r>
      <w:r w:rsidR="0086649D" w:rsidRPr="009F02A6">
        <w:rPr>
          <w:rFonts w:ascii="Cambria" w:eastAsia="Calibri" w:hAnsi="Cambria" w:cs="Times New Roman"/>
          <w:sz w:val="24"/>
          <w:szCs w:val="24"/>
        </w:rPr>
        <w:t xml:space="preserve">production process which is </w:t>
      </w:r>
      <w:r w:rsidRPr="009F02A6">
        <w:rPr>
          <w:rFonts w:ascii="Cambria" w:eastAsia="Calibri" w:hAnsi="Cambria" w:cs="Times New Roman"/>
          <w:sz w:val="24"/>
          <w:szCs w:val="24"/>
        </w:rPr>
        <w:t xml:space="preserve">sustainable (Prothero and McDonagh, 1992). Green marketing agendas by the marketers were not sufficient to transform to the magnitude that is required for sustainability, because products were only changed by the surface and firms kept doing what they normally do (Prothero and McDonagh 1992; Kilbourne 2010). Companies are reported to add ‘green’ or environment friendly product features so that products have more favourable association </w:t>
      </w:r>
      <w:r w:rsidRPr="00530906">
        <w:rPr>
          <w:rFonts w:ascii="Cambria" w:eastAsia="Calibri" w:hAnsi="Cambria" w:cs="Times New Roman"/>
          <w:sz w:val="24"/>
          <w:szCs w:val="24"/>
        </w:rPr>
        <w:t>(Thøgersen et al 2012; Olsen et al 2014).</w:t>
      </w:r>
      <w:r w:rsidRPr="00530906">
        <w:rPr>
          <w:rFonts w:ascii="Cambria" w:eastAsiaTheme="minorEastAsia" w:hAnsi="Cambria"/>
          <w:sz w:val="24"/>
          <w:szCs w:val="24"/>
        </w:rPr>
        <w:t xml:space="preserve"> </w:t>
      </w:r>
      <w:r w:rsidRPr="00530906">
        <w:rPr>
          <w:rFonts w:ascii="Cambria" w:eastAsia="Calibri" w:hAnsi="Cambria" w:cs="Times New Roman"/>
          <w:sz w:val="24"/>
          <w:szCs w:val="24"/>
        </w:rPr>
        <w:t>This phenomenon is the reflection of Einstein’s saying, “we cannot solve the problems we have created with the same type of thinking we used to create them in the first place” (Kilbourne 2010). “Sustainability is not about doing business as usual but making sweeping and substantive changes” (Kilbourne 2010, p. 109). So, the companies should understand the consumers in terms of the level of price–performance trade–off they are willing to accept and marketing approach they might respond to (Lim 2017).</w:t>
      </w:r>
    </w:p>
    <w:p w14:paraId="72623135" w14:textId="2C09EF9F" w:rsidR="008850CF" w:rsidRPr="00530906" w:rsidRDefault="008850CF" w:rsidP="008850CF">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Consumers tend to be doubtful to the corporate claim on sustainability, which is a problem for promoting products associated with sustainability (Roberts 1996; Keller 2013; Kilbourne 2004). If consumers perceive that the companies are trying to pursue them, they may resist the marketing message (Phillips and McQuarrie 2010).</w:t>
      </w:r>
      <w:r w:rsidR="00425DF0" w:rsidRPr="00530906">
        <w:rPr>
          <w:rFonts w:ascii="Cambria" w:eastAsia="Calibri" w:hAnsi="Cambria" w:cs="Times New Roman"/>
          <w:sz w:val="24"/>
          <w:szCs w:val="24"/>
        </w:rPr>
        <w:t xml:space="preserve"> In the age of web 2.0, mainstream media and brands have lost control over consumers (Habibi et al 2014).</w:t>
      </w:r>
      <w:r w:rsidRPr="00530906">
        <w:rPr>
          <w:rFonts w:ascii="Cambria" w:eastAsia="Calibri" w:hAnsi="Cambria" w:cs="Times New Roman"/>
          <w:sz w:val="24"/>
          <w:szCs w:val="24"/>
        </w:rPr>
        <w:t xml:space="preserve"> It has been reported on several occasions that green advertisement and sustainability program by different brands have faced antagonised responses in social media, when consumers have suspected greenwashing (Fernando et al 2014; Bickart and Ruth 2012). Similar phenomenon has been observed in terms of green marketing in twitter. According to Lyon and Montgomery (2013), if people feel that the company is promoting their environmental association excessively, </w:t>
      </w:r>
      <w:r w:rsidR="00425DF0" w:rsidRPr="00530906">
        <w:rPr>
          <w:rFonts w:ascii="Cambria" w:eastAsia="Calibri" w:hAnsi="Cambria" w:cs="Times New Roman"/>
          <w:sz w:val="24"/>
          <w:szCs w:val="24"/>
        </w:rPr>
        <w:t>consumers</w:t>
      </w:r>
      <w:r w:rsidRPr="00530906">
        <w:rPr>
          <w:rFonts w:ascii="Cambria" w:eastAsia="Calibri" w:hAnsi="Cambria" w:cs="Times New Roman"/>
          <w:sz w:val="24"/>
          <w:szCs w:val="24"/>
        </w:rPr>
        <w:t xml:space="preserve"> may react negatively. More importantly, superficial claims of sustainability may lead </w:t>
      </w:r>
      <w:r w:rsidR="00B40EFA" w:rsidRPr="00530906">
        <w:rPr>
          <w:rFonts w:ascii="Cambria" w:eastAsia="Calibri" w:hAnsi="Cambria" w:cs="Times New Roman"/>
          <w:sz w:val="24"/>
          <w:szCs w:val="24"/>
        </w:rPr>
        <w:t xml:space="preserve">to </w:t>
      </w:r>
      <w:r w:rsidRPr="00530906">
        <w:rPr>
          <w:rFonts w:ascii="Cambria" w:eastAsia="Calibri" w:hAnsi="Cambria" w:cs="Times New Roman"/>
          <w:sz w:val="24"/>
          <w:szCs w:val="24"/>
        </w:rPr>
        <w:t xml:space="preserve">negative brand attitude (Montororios et al 2008). Fernando et al (2014) have found that, environmental campaign, run by energy, </w:t>
      </w:r>
      <w:r w:rsidR="007371FD" w:rsidRPr="00530906">
        <w:rPr>
          <w:rFonts w:ascii="Cambria" w:eastAsia="Calibri" w:hAnsi="Cambria" w:cs="Times New Roman"/>
          <w:sz w:val="24"/>
          <w:szCs w:val="24"/>
        </w:rPr>
        <w:t>oil,</w:t>
      </w:r>
      <w:r w:rsidRPr="00530906">
        <w:rPr>
          <w:rFonts w:ascii="Cambria" w:eastAsia="Calibri" w:hAnsi="Cambria" w:cs="Times New Roman"/>
          <w:sz w:val="24"/>
          <w:szCs w:val="24"/>
        </w:rPr>
        <w:t xml:space="preserve"> and gas companies have less credibility and more susceptibility of criticism of greenwashing (misleading green advertisement) practice. About 95% of the environmental</w:t>
      </w:r>
      <w:r w:rsidR="001B12AD" w:rsidRPr="00530906">
        <w:rPr>
          <w:rFonts w:ascii="Cambria" w:eastAsia="Calibri" w:hAnsi="Cambria" w:cs="Times New Roman"/>
          <w:sz w:val="24"/>
          <w:szCs w:val="24"/>
        </w:rPr>
        <w:t>/ sustainability</w:t>
      </w:r>
      <w:r w:rsidRPr="00530906">
        <w:rPr>
          <w:rFonts w:ascii="Cambria" w:eastAsia="Calibri" w:hAnsi="Cambria" w:cs="Times New Roman"/>
          <w:sz w:val="24"/>
          <w:szCs w:val="24"/>
        </w:rPr>
        <w:t xml:space="preserve"> ad</w:t>
      </w:r>
      <w:r w:rsidR="001B12AD" w:rsidRPr="00530906">
        <w:rPr>
          <w:rFonts w:ascii="Cambria" w:eastAsia="Calibri" w:hAnsi="Cambria" w:cs="Times New Roman"/>
          <w:sz w:val="24"/>
          <w:szCs w:val="24"/>
        </w:rPr>
        <w:t>s</w:t>
      </w:r>
      <w:r w:rsidRPr="00530906">
        <w:rPr>
          <w:rFonts w:ascii="Cambria" w:eastAsia="Calibri" w:hAnsi="Cambria" w:cs="Times New Roman"/>
          <w:sz w:val="24"/>
          <w:szCs w:val="24"/>
        </w:rPr>
        <w:t xml:space="preserve"> are deemed to be contaminated with some misleading information (Craig 2019) and 33% of consumers are willing to verify brands’ sustainability claims by themselves rather than believing on the brands (ethicalhour.co.uk 2021). </w:t>
      </w:r>
    </w:p>
    <w:p w14:paraId="21E79FA6" w14:textId="08BF7635" w:rsidR="008850CF"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Product’s specific wrongdoing or lawsuits may initiate some negative </w:t>
      </w:r>
      <w:r w:rsidR="00E543CD" w:rsidRPr="00530906">
        <w:rPr>
          <w:rFonts w:ascii="Cambria" w:eastAsia="Calibri" w:hAnsi="Cambria" w:cs="Times New Roman"/>
          <w:sz w:val="24"/>
          <w:szCs w:val="24"/>
        </w:rPr>
        <w:t>word of mouth (</w:t>
      </w:r>
      <w:r w:rsidRPr="00530906">
        <w:rPr>
          <w:rFonts w:ascii="Cambria" w:eastAsia="Calibri" w:hAnsi="Cambria" w:cs="Times New Roman"/>
          <w:sz w:val="24"/>
          <w:szCs w:val="24"/>
        </w:rPr>
        <w:t>WOM</w:t>
      </w:r>
      <w:r w:rsidR="00E543CD" w:rsidRPr="00530906">
        <w:rPr>
          <w:rFonts w:ascii="Cambria" w:eastAsia="Calibri" w:hAnsi="Cambria" w:cs="Times New Roman"/>
          <w:sz w:val="24"/>
          <w:szCs w:val="24"/>
        </w:rPr>
        <w:t>)</w:t>
      </w:r>
      <w:r w:rsidRPr="00530906">
        <w:rPr>
          <w:rFonts w:ascii="Cambria" w:eastAsia="Calibri" w:hAnsi="Cambria" w:cs="Times New Roman"/>
          <w:sz w:val="24"/>
          <w:szCs w:val="24"/>
        </w:rPr>
        <w:t xml:space="preserve"> and affect the overall brand attitude and eventually</w:t>
      </w:r>
      <w:r w:rsidR="00FA755D" w:rsidRPr="00530906">
        <w:rPr>
          <w:rFonts w:ascii="Cambria" w:eastAsia="Calibri" w:hAnsi="Cambria" w:cs="Times New Roman"/>
          <w:sz w:val="24"/>
          <w:szCs w:val="24"/>
        </w:rPr>
        <w:t xml:space="preserve"> cause</w:t>
      </w:r>
      <w:r w:rsidRPr="00530906">
        <w:rPr>
          <w:rFonts w:ascii="Cambria" w:eastAsia="Calibri" w:hAnsi="Cambria" w:cs="Times New Roman"/>
          <w:sz w:val="24"/>
          <w:szCs w:val="24"/>
        </w:rPr>
        <w:t xml:space="preserve"> </w:t>
      </w:r>
      <w:r w:rsidR="00FA755D" w:rsidRPr="00530906">
        <w:rPr>
          <w:rFonts w:ascii="Cambria" w:eastAsia="Calibri" w:hAnsi="Cambria" w:cs="Times New Roman"/>
          <w:sz w:val="24"/>
          <w:szCs w:val="24"/>
        </w:rPr>
        <w:t xml:space="preserve">decreasing </w:t>
      </w:r>
      <w:r w:rsidRPr="00530906">
        <w:rPr>
          <w:rFonts w:ascii="Cambria" w:eastAsia="Calibri" w:hAnsi="Cambria" w:cs="Times New Roman"/>
          <w:sz w:val="24"/>
          <w:szCs w:val="24"/>
        </w:rPr>
        <w:t xml:space="preserve">loyalty for the brand.  </w:t>
      </w:r>
      <w:r w:rsidR="007A4702" w:rsidRPr="00530906">
        <w:rPr>
          <w:rFonts w:ascii="Cambria" w:eastAsia="Calibri" w:hAnsi="Cambria" w:cs="Times New Roman"/>
          <w:sz w:val="24"/>
          <w:szCs w:val="24"/>
        </w:rPr>
        <w:t>C</w:t>
      </w:r>
      <w:r w:rsidR="00B96A8E" w:rsidRPr="00530906">
        <w:rPr>
          <w:rFonts w:ascii="Cambria" w:eastAsia="Calibri" w:hAnsi="Cambria" w:cs="Times New Roman"/>
          <w:sz w:val="24"/>
          <w:szCs w:val="24"/>
        </w:rPr>
        <w:t xml:space="preserve">onsumers with sustainability concern tend to </w:t>
      </w:r>
      <w:r w:rsidR="007A4702" w:rsidRPr="00530906">
        <w:rPr>
          <w:rFonts w:ascii="Cambria" w:eastAsia="Calibri" w:hAnsi="Cambria" w:cs="Times New Roman"/>
          <w:sz w:val="24"/>
          <w:szCs w:val="24"/>
        </w:rPr>
        <w:t xml:space="preserve">express their opinion </w:t>
      </w:r>
      <w:r w:rsidR="0048198E" w:rsidRPr="00530906">
        <w:rPr>
          <w:rFonts w:ascii="Cambria" w:eastAsia="Calibri" w:hAnsi="Cambria" w:cs="Times New Roman"/>
          <w:sz w:val="24"/>
          <w:szCs w:val="24"/>
        </w:rPr>
        <w:t xml:space="preserve">in variety of means </w:t>
      </w:r>
      <w:r w:rsidRPr="00530906">
        <w:rPr>
          <w:rFonts w:ascii="Cambria" w:eastAsia="Calibri" w:hAnsi="Cambria" w:cs="Times New Roman"/>
          <w:sz w:val="24"/>
          <w:szCs w:val="24"/>
        </w:rPr>
        <w:t>(</w:t>
      </w:r>
      <w:r w:rsidR="00B96A8E" w:rsidRPr="00530906">
        <w:rPr>
          <w:rFonts w:ascii="Cambria" w:eastAsia="Calibri" w:hAnsi="Cambria" w:cs="Times New Roman"/>
          <w:sz w:val="24"/>
          <w:szCs w:val="24"/>
        </w:rPr>
        <w:t xml:space="preserve">see </w:t>
      </w:r>
      <w:r w:rsidRPr="00530906">
        <w:rPr>
          <w:rFonts w:ascii="Cambria" w:eastAsia="Calibri" w:hAnsi="Cambria" w:cs="Times New Roman"/>
          <w:sz w:val="24"/>
          <w:szCs w:val="24"/>
        </w:rPr>
        <w:t xml:space="preserve">Cho et al 2013). A number of companies were forced to remove their advertising from controversial TV programme or internet content due to consumers’ </w:t>
      </w:r>
      <w:r w:rsidR="004E6ADB" w:rsidRPr="00530906">
        <w:rPr>
          <w:rFonts w:ascii="Cambria" w:eastAsia="Calibri" w:hAnsi="Cambria" w:cs="Times New Roman"/>
          <w:sz w:val="24"/>
          <w:szCs w:val="24"/>
        </w:rPr>
        <w:t xml:space="preserve">opinion </w:t>
      </w:r>
      <w:r w:rsidRPr="00530906">
        <w:rPr>
          <w:rFonts w:ascii="Cambria" w:eastAsia="Calibri" w:hAnsi="Cambria" w:cs="Times New Roman"/>
          <w:sz w:val="24"/>
          <w:szCs w:val="24"/>
        </w:rPr>
        <w:t>(Angus 2018). The right media can elicit trust of the consumers for the brand and eventually motivate them to purchase environment</w:t>
      </w:r>
      <w:r w:rsidR="00FA755D" w:rsidRPr="00530906">
        <w:rPr>
          <w:rFonts w:ascii="Cambria" w:eastAsia="Calibri" w:hAnsi="Cambria" w:cs="Adobe Devanagari"/>
          <w:sz w:val="24"/>
          <w:szCs w:val="24"/>
        </w:rPr>
        <w:t>–</w:t>
      </w:r>
      <w:r w:rsidRPr="00530906">
        <w:rPr>
          <w:rFonts w:ascii="Cambria" w:eastAsia="Calibri" w:hAnsi="Cambria" w:cs="Times New Roman"/>
          <w:sz w:val="24"/>
          <w:szCs w:val="24"/>
        </w:rPr>
        <w:t>friendly product</w:t>
      </w:r>
      <w:r w:rsidR="008F3D1F" w:rsidRPr="00530906">
        <w:rPr>
          <w:rFonts w:ascii="Cambria" w:eastAsia="Calibri" w:hAnsi="Cambria" w:cs="Times New Roman"/>
          <w:sz w:val="24"/>
          <w:szCs w:val="24"/>
        </w:rPr>
        <w:t>, in other words, sustainable products</w:t>
      </w:r>
      <w:r w:rsidRPr="00530906">
        <w:rPr>
          <w:rFonts w:ascii="Cambria" w:eastAsia="Calibri" w:hAnsi="Cambria" w:cs="Times New Roman"/>
          <w:sz w:val="24"/>
          <w:szCs w:val="24"/>
        </w:rPr>
        <w:t xml:space="preserve"> (Davari and Strutton, 2014). </w:t>
      </w:r>
      <w:r w:rsidR="008F3D1F" w:rsidRPr="00530906">
        <w:rPr>
          <w:rFonts w:ascii="Cambria" w:eastAsia="Calibri" w:hAnsi="Cambria" w:cs="Times New Roman"/>
          <w:sz w:val="24"/>
          <w:szCs w:val="24"/>
        </w:rPr>
        <w:t>Especially y</w:t>
      </w:r>
      <w:r w:rsidRPr="00530906">
        <w:rPr>
          <w:rFonts w:ascii="Cambria" w:eastAsia="Calibri" w:hAnsi="Cambria" w:cs="Times New Roman"/>
          <w:sz w:val="24"/>
          <w:szCs w:val="24"/>
        </w:rPr>
        <w:t xml:space="preserve">oung consumers, </w:t>
      </w:r>
      <w:r w:rsidR="008F3D1F" w:rsidRPr="00530906">
        <w:rPr>
          <w:rFonts w:ascii="Cambria" w:eastAsia="Calibri" w:hAnsi="Cambria" w:cs="Times New Roman"/>
          <w:sz w:val="24"/>
          <w:szCs w:val="24"/>
        </w:rPr>
        <w:t xml:space="preserve">like </w:t>
      </w:r>
      <w:r w:rsidRPr="00530906">
        <w:rPr>
          <w:rFonts w:ascii="Cambria" w:eastAsia="Calibri" w:hAnsi="Cambria" w:cs="Times New Roman"/>
          <w:sz w:val="24"/>
          <w:szCs w:val="24"/>
        </w:rPr>
        <w:t xml:space="preserve">generation X and Generation Z, tend to share information online </w:t>
      </w:r>
      <w:r w:rsidR="003617D4" w:rsidRPr="00530906">
        <w:rPr>
          <w:rFonts w:ascii="Cambria" w:eastAsia="Calibri" w:hAnsi="Cambria" w:cs="Times New Roman"/>
          <w:sz w:val="24"/>
          <w:szCs w:val="24"/>
        </w:rPr>
        <w:t>depending on</w:t>
      </w:r>
      <w:r w:rsidRPr="00530906">
        <w:rPr>
          <w:rFonts w:ascii="Cambria" w:eastAsia="Calibri" w:hAnsi="Cambria" w:cs="Times New Roman"/>
          <w:sz w:val="24"/>
          <w:szCs w:val="24"/>
        </w:rPr>
        <w:t xml:space="preserve"> their attachment with a cause (Angus 2018). </w:t>
      </w:r>
      <w:r w:rsidR="008F3D1F" w:rsidRPr="00530906">
        <w:rPr>
          <w:rFonts w:ascii="Cambria" w:eastAsia="Calibri" w:hAnsi="Cambria" w:cs="Times New Roman"/>
          <w:sz w:val="24"/>
          <w:szCs w:val="24"/>
        </w:rPr>
        <w:t>Moreover</w:t>
      </w:r>
      <w:r w:rsidR="000E651F" w:rsidRPr="00530906">
        <w:rPr>
          <w:rFonts w:ascii="Cambria" w:eastAsia="Calibri" w:hAnsi="Cambria" w:cs="Times New Roman"/>
          <w:sz w:val="24"/>
          <w:szCs w:val="24"/>
        </w:rPr>
        <w:t xml:space="preserve">, confirmation form other users of </w:t>
      </w:r>
      <w:r w:rsidRPr="00530906">
        <w:rPr>
          <w:rFonts w:ascii="Cambria" w:eastAsia="Calibri" w:hAnsi="Cambria" w:cs="Times New Roman"/>
          <w:sz w:val="24"/>
          <w:szCs w:val="24"/>
        </w:rPr>
        <w:t>social network help to enhance their self–esteem (Wilcox and Stephen 2012). Social–media has proved to be a convenient option for people to raise awareness, lobby for change and confront brands for malpractice (Angus 2018)</w:t>
      </w:r>
      <w:r w:rsidR="005B4572" w:rsidRPr="00530906">
        <w:rPr>
          <w:rFonts w:ascii="Cambria" w:eastAsia="Calibri" w:hAnsi="Cambria" w:cs="Times New Roman"/>
          <w:sz w:val="24"/>
          <w:szCs w:val="24"/>
        </w:rPr>
        <w:t>.</w:t>
      </w:r>
      <w:r w:rsidRPr="00530906">
        <w:rPr>
          <w:rFonts w:ascii="Cambria" w:eastAsia="Calibri" w:hAnsi="Cambria" w:cs="Times New Roman"/>
          <w:sz w:val="24"/>
          <w:szCs w:val="24"/>
        </w:rPr>
        <w:t xml:space="preserve"> Thus, it may be instrumental to reform the meaning of </w:t>
      </w:r>
      <w:r w:rsidR="00C647DF" w:rsidRPr="00530906">
        <w:rPr>
          <w:rFonts w:ascii="Cambria" w:eastAsia="Times New Roman" w:hAnsi="Cambria" w:cs="Times New Roman"/>
          <w:sz w:val="24"/>
          <w:szCs w:val="24"/>
        </w:rPr>
        <w:t>products with sustainability association</w:t>
      </w:r>
      <w:r w:rsidR="00C647DF" w:rsidRPr="00530906">
        <w:rPr>
          <w:rFonts w:ascii="Cambria" w:eastAsia="Calibri" w:hAnsi="Cambria" w:cs="Times New Roman"/>
          <w:sz w:val="24"/>
          <w:szCs w:val="24"/>
        </w:rPr>
        <w:t xml:space="preserve"> </w:t>
      </w:r>
      <w:r w:rsidRPr="00530906">
        <w:rPr>
          <w:rFonts w:ascii="Cambria" w:eastAsia="Calibri" w:hAnsi="Cambria" w:cs="Times New Roman"/>
          <w:sz w:val="24"/>
          <w:szCs w:val="24"/>
        </w:rPr>
        <w:t>and Sustainable–</w:t>
      </w:r>
      <w:r w:rsidR="00936EDC" w:rsidRPr="00530906">
        <w:rPr>
          <w:rFonts w:ascii="Cambria" w:eastAsia="Calibri" w:hAnsi="Cambria" w:cs="Times New Roman"/>
          <w:sz w:val="24"/>
          <w:szCs w:val="24"/>
        </w:rPr>
        <w:t xml:space="preserve">behaviour </w:t>
      </w:r>
      <w:r w:rsidRPr="00530906">
        <w:rPr>
          <w:rFonts w:ascii="Cambria" w:eastAsia="Calibri" w:hAnsi="Cambria" w:cs="Adobe Devanagari"/>
          <w:sz w:val="24"/>
          <w:szCs w:val="24"/>
        </w:rPr>
        <w:t>(Kemper and Ballantine 2019).</w:t>
      </w:r>
      <w:r w:rsidRPr="00530906">
        <w:rPr>
          <w:rFonts w:ascii="Cambria" w:eastAsia="Calibri" w:hAnsi="Cambria" w:cs="Times New Roman"/>
          <w:sz w:val="24"/>
          <w:szCs w:val="24"/>
        </w:rPr>
        <w:t xml:space="preserve"> Contextual factor like social–media–engagement </w:t>
      </w:r>
      <w:r w:rsidR="008F3D1F" w:rsidRPr="00530906">
        <w:rPr>
          <w:rFonts w:ascii="Cambria" w:eastAsia="Calibri" w:hAnsi="Cambria" w:cs="Times New Roman"/>
          <w:sz w:val="24"/>
          <w:szCs w:val="24"/>
        </w:rPr>
        <w:t xml:space="preserve">with the </w:t>
      </w:r>
      <w:r w:rsidR="00911BE7" w:rsidRPr="00530906">
        <w:rPr>
          <w:rFonts w:ascii="Cambria" w:eastAsia="Calibri" w:hAnsi="Cambria" w:cs="Times New Roman"/>
          <w:sz w:val="24"/>
          <w:szCs w:val="24"/>
        </w:rPr>
        <w:t>the ad with sus</w:t>
      </w:r>
      <w:r w:rsidR="000F26AC" w:rsidRPr="00530906">
        <w:rPr>
          <w:rFonts w:ascii="Cambria" w:eastAsia="Calibri" w:hAnsi="Cambria" w:cs="Times New Roman"/>
          <w:sz w:val="24"/>
          <w:szCs w:val="24"/>
        </w:rPr>
        <w:t>tainability message</w:t>
      </w:r>
      <w:r w:rsidR="008F3D1F" w:rsidRPr="00530906">
        <w:rPr>
          <w:rFonts w:ascii="Cambria" w:eastAsia="Calibri" w:hAnsi="Cambria" w:cs="Times New Roman"/>
          <w:sz w:val="24"/>
          <w:szCs w:val="24"/>
        </w:rPr>
        <w:t xml:space="preserve"> </w:t>
      </w:r>
      <w:r w:rsidRPr="00530906">
        <w:rPr>
          <w:rFonts w:ascii="Cambria" w:eastAsia="Calibri" w:hAnsi="Cambria" w:cs="Times New Roman"/>
          <w:sz w:val="24"/>
          <w:szCs w:val="24"/>
        </w:rPr>
        <w:t>may motivate to adopt sustainable behaviour (</w:t>
      </w:r>
      <w:r w:rsidR="008F3D1F" w:rsidRPr="00530906">
        <w:rPr>
          <w:rFonts w:ascii="Cambria" w:eastAsia="Calibri" w:hAnsi="Cambria" w:cs="Times New Roman"/>
          <w:sz w:val="24"/>
          <w:szCs w:val="24"/>
        </w:rPr>
        <w:t xml:space="preserve">see </w:t>
      </w:r>
      <w:r w:rsidRPr="00530906">
        <w:rPr>
          <w:rFonts w:ascii="Cambria" w:eastAsia="Calibri" w:hAnsi="Cambria" w:cs="Times New Roman"/>
          <w:sz w:val="24"/>
          <w:szCs w:val="24"/>
        </w:rPr>
        <w:t xml:space="preserve">Ertz et al 2016), </w:t>
      </w:r>
      <w:r w:rsidR="007371FD" w:rsidRPr="00530906">
        <w:rPr>
          <w:rFonts w:ascii="Cambria" w:eastAsia="Calibri" w:hAnsi="Cambria" w:cs="Times New Roman"/>
          <w:sz w:val="24"/>
          <w:szCs w:val="24"/>
        </w:rPr>
        <w:t>because</w:t>
      </w:r>
      <w:r w:rsidRPr="00530906">
        <w:rPr>
          <w:rFonts w:ascii="Cambria" w:eastAsia="Calibri" w:hAnsi="Cambria" w:cs="Times New Roman"/>
          <w:sz w:val="24"/>
          <w:szCs w:val="24"/>
        </w:rPr>
        <w:t xml:space="preserve"> the sense of co</w:t>
      </w:r>
      <w:r w:rsidR="00FB5F79" w:rsidRPr="00530906">
        <w:rPr>
          <w:rFonts w:ascii="Cambria" w:eastAsia="Calibri" w:hAnsi="Cambria" w:cs="Times New Roman"/>
          <w:sz w:val="24"/>
          <w:szCs w:val="24"/>
        </w:rPr>
        <w:t>mmunity</w:t>
      </w:r>
      <w:r w:rsidRPr="00530906">
        <w:rPr>
          <w:rFonts w:ascii="Cambria" w:eastAsia="Calibri" w:hAnsi="Cambria" w:cs="Times New Roman"/>
          <w:sz w:val="24"/>
          <w:szCs w:val="24"/>
        </w:rPr>
        <w:t xml:space="preserve"> will promote the congruency with social situation, which may in turn encourage consumers to purchase </w:t>
      </w:r>
      <w:r w:rsidR="00C647DF" w:rsidRPr="00530906">
        <w:rPr>
          <w:rFonts w:ascii="Cambria" w:eastAsia="Calibri" w:hAnsi="Cambria" w:cs="Times New Roman"/>
          <w:sz w:val="24"/>
          <w:szCs w:val="24"/>
        </w:rPr>
        <w:t xml:space="preserve">these </w:t>
      </w:r>
      <w:r w:rsidRPr="00530906">
        <w:rPr>
          <w:rFonts w:ascii="Cambria" w:eastAsia="Calibri" w:hAnsi="Cambria" w:cs="Times New Roman"/>
          <w:sz w:val="24"/>
          <w:szCs w:val="24"/>
        </w:rPr>
        <w:t>products (Yang et al 2015</w:t>
      </w:r>
      <w:r w:rsidR="008F3D1F" w:rsidRPr="00530906">
        <w:rPr>
          <w:rFonts w:ascii="Cambria" w:eastAsia="Calibri" w:hAnsi="Cambria" w:cs="Times New Roman"/>
          <w:sz w:val="24"/>
          <w:szCs w:val="24"/>
        </w:rPr>
        <w:t>; Wilcox and Stephen 2012).</w:t>
      </w:r>
      <w:r w:rsidR="00510B75" w:rsidRPr="00530906">
        <w:rPr>
          <w:rFonts w:ascii="Cambria" w:eastAsia="Calibri" w:hAnsi="Cambria" w:cs="Times New Roman"/>
          <w:sz w:val="24"/>
          <w:szCs w:val="24"/>
        </w:rPr>
        <w:t xml:space="preserve"> </w:t>
      </w:r>
    </w:p>
    <w:p w14:paraId="4DE4912E" w14:textId="6786F997" w:rsidR="008850CF" w:rsidRPr="00B03713" w:rsidRDefault="008850CF">
      <w:pPr>
        <w:spacing w:line="360" w:lineRule="auto"/>
        <w:jc w:val="both"/>
        <w:rPr>
          <w:rFonts w:ascii="Cambria" w:eastAsia="Calibri" w:hAnsi="Cambria" w:cs="Adobe Devanagari"/>
          <w:sz w:val="24"/>
          <w:szCs w:val="24"/>
        </w:rPr>
      </w:pPr>
      <w:r w:rsidRPr="00530906">
        <w:rPr>
          <w:rFonts w:ascii="Cambria" w:eastAsia="Calibri" w:hAnsi="Cambria" w:cs="Times New Roman"/>
          <w:sz w:val="24"/>
          <w:szCs w:val="24"/>
        </w:rPr>
        <w:t>Exposure to the sustainable issues is responsible to increase the concern. It has been seen when, increased media coverage between 1984 and 1988 caused the heightened concern for society and environment (Roberts, 1996). It should be possible for online media too.</w:t>
      </w:r>
      <w:r w:rsidR="00FB095B" w:rsidRPr="00530906">
        <w:rPr>
          <w:rFonts w:ascii="Cambria" w:eastAsia="Calibri" w:hAnsi="Cambria" w:cs="Times New Roman"/>
          <w:sz w:val="24"/>
          <w:szCs w:val="24"/>
        </w:rPr>
        <w:t xml:space="preserve"> Online media like social media can be the answer of the challenge of making general consumers more sustainability con</w:t>
      </w:r>
      <w:r w:rsidR="00802C55" w:rsidRPr="00530906">
        <w:rPr>
          <w:rFonts w:ascii="Cambria" w:eastAsia="Calibri" w:hAnsi="Cambria" w:cs="Times New Roman"/>
          <w:sz w:val="24"/>
          <w:szCs w:val="24"/>
        </w:rPr>
        <w:t>scious</w:t>
      </w:r>
      <w:r w:rsidR="00FB095B" w:rsidRPr="00530906">
        <w:rPr>
          <w:rFonts w:ascii="Cambria" w:eastAsia="Calibri" w:hAnsi="Cambria" w:cs="Times New Roman"/>
          <w:sz w:val="24"/>
          <w:szCs w:val="24"/>
        </w:rPr>
        <w:t xml:space="preserve"> (see </w:t>
      </w:r>
      <w:r w:rsidR="00FB095B" w:rsidRPr="00530906">
        <w:rPr>
          <w:rFonts w:ascii="Cambria" w:eastAsia="Calibri" w:hAnsi="Cambria" w:cs="Adobe Devanagari"/>
          <w:sz w:val="24"/>
          <w:szCs w:val="24"/>
        </w:rPr>
        <w:t>Middlemiss 2018).</w:t>
      </w:r>
      <w:r w:rsidRPr="00530906">
        <w:rPr>
          <w:rFonts w:ascii="Cambria" w:eastAsia="Calibri" w:hAnsi="Cambria" w:cs="Times New Roman"/>
          <w:sz w:val="24"/>
          <w:szCs w:val="24"/>
        </w:rPr>
        <w:t xml:space="preserve"> Evidence shows that environmental groups were successful in educating social–media users about climate change and other </w:t>
      </w:r>
      <w:r w:rsidRPr="00B03713">
        <w:rPr>
          <w:rFonts w:ascii="Cambria" w:eastAsia="Calibri" w:hAnsi="Cambria" w:cs="Times New Roman"/>
          <w:sz w:val="24"/>
          <w:szCs w:val="24"/>
        </w:rPr>
        <w:t>environmental issues (Fernando et al 2014).</w:t>
      </w:r>
      <w:r w:rsidR="003776A8" w:rsidRPr="00B03713">
        <w:rPr>
          <w:rFonts w:ascii="Cambria" w:eastAsia="Calibri" w:hAnsi="Cambria" w:cs="Adobe Devanagari"/>
          <w:sz w:val="24"/>
          <w:szCs w:val="24"/>
        </w:rPr>
        <w:t xml:space="preserve"> </w:t>
      </w:r>
      <w:r w:rsidR="0099413D" w:rsidRPr="00B03713">
        <w:rPr>
          <w:rFonts w:ascii="Cambria" w:eastAsia="Calibri" w:hAnsi="Cambria" w:cs="Times New Roman"/>
          <w:sz w:val="24"/>
          <w:szCs w:val="24"/>
        </w:rPr>
        <w:t xml:space="preserve">It has been observed that internet has not only increased awareness, but also inspired the consumer to pursue greater social responsibility (Angus 2018; McDonagh and Prothero 2014). </w:t>
      </w:r>
      <w:r w:rsidR="003776A8" w:rsidRPr="00B03713">
        <w:rPr>
          <w:rFonts w:ascii="Cambria" w:eastAsia="Calibri" w:hAnsi="Cambria" w:cs="Adobe Devanagari"/>
          <w:sz w:val="24"/>
          <w:szCs w:val="24"/>
        </w:rPr>
        <w:t>Social–media can be used to disseminate the information about the attributes of the sustainab</w:t>
      </w:r>
      <w:r w:rsidR="0099413D" w:rsidRPr="00B03713">
        <w:rPr>
          <w:rFonts w:ascii="Cambria" w:eastAsia="Calibri" w:hAnsi="Cambria" w:cs="Adobe Devanagari"/>
          <w:sz w:val="24"/>
          <w:szCs w:val="24"/>
        </w:rPr>
        <w:t xml:space="preserve">ility associated </w:t>
      </w:r>
      <w:r w:rsidR="003776A8" w:rsidRPr="00B03713">
        <w:rPr>
          <w:rFonts w:ascii="Cambria" w:eastAsia="Calibri" w:hAnsi="Cambria" w:cs="Adobe Devanagari"/>
          <w:sz w:val="24"/>
          <w:szCs w:val="24"/>
        </w:rPr>
        <w:t xml:space="preserve">products and gain acceptance for it </w:t>
      </w:r>
      <w:r w:rsidR="003776A8" w:rsidRPr="00B03713">
        <w:rPr>
          <w:rFonts w:ascii="Cambria" w:eastAsia="Calibri" w:hAnsi="Cambria" w:cs="Times New Roman"/>
          <w:sz w:val="24"/>
          <w:szCs w:val="24"/>
        </w:rPr>
        <w:t xml:space="preserve">(Johnstone and Tan 2015). </w:t>
      </w:r>
      <w:r w:rsidRPr="00B03713">
        <w:rPr>
          <w:rFonts w:ascii="Cambria" w:eastAsia="Calibri" w:hAnsi="Cambria" w:cs="Times New Roman"/>
          <w:sz w:val="24"/>
          <w:szCs w:val="24"/>
        </w:rPr>
        <w:t xml:space="preserve">The more people will be concerned about the environment the more possibility there is to undertake ecologically </w:t>
      </w:r>
      <w:r w:rsidRPr="00B03713">
        <w:rPr>
          <w:rFonts w:ascii="Cambria" w:eastAsia="Calibri" w:hAnsi="Cambria" w:cs="Adobe Devanagari"/>
          <w:sz w:val="24"/>
          <w:szCs w:val="24"/>
        </w:rPr>
        <w:t>conscious behaviour (ECCB) (Roberts, 1996). In other words, the more people will know about sustainability</w:t>
      </w:r>
      <w:r w:rsidR="00EA2732" w:rsidRPr="00B03713">
        <w:rPr>
          <w:rFonts w:ascii="Cambria" w:eastAsia="Calibri" w:hAnsi="Cambria" w:cs="Adobe Devanagari"/>
          <w:sz w:val="24"/>
          <w:szCs w:val="24"/>
        </w:rPr>
        <w:t>,</w:t>
      </w:r>
      <w:r w:rsidRPr="00B03713">
        <w:rPr>
          <w:rFonts w:ascii="Cambria" w:eastAsia="Calibri" w:hAnsi="Cambria" w:cs="Adobe Devanagari"/>
          <w:sz w:val="24"/>
          <w:szCs w:val="24"/>
        </w:rPr>
        <w:t xml:space="preserve"> the possible it is that they will adopt sustainable</w:t>
      </w:r>
      <w:r w:rsidR="006673C4" w:rsidRPr="00B03713">
        <w:rPr>
          <w:rFonts w:ascii="Cambria" w:eastAsia="Calibri" w:hAnsi="Cambria" w:cs="Adobe Devanagari"/>
          <w:sz w:val="24"/>
          <w:szCs w:val="24"/>
        </w:rPr>
        <w:t xml:space="preserve"> purchase</w:t>
      </w:r>
      <w:r w:rsidRPr="00B03713">
        <w:rPr>
          <w:rFonts w:ascii="Cambria" w:eastAsia="Calibri" w:hAnsi="Cambria" w:cs="Adobe Devanagari"/>
          <w:sz w:val="24"/>
          <w:szCs w:val="24"/>
        </w:rPr>
        <w:t xml:space="preserve"> behaviour</w:t>
      </w:r>
      <w:r w:rsidR="0029524B" w:rsidRPr="00B03713">
        <w:rPr>
          <w:rFonts w:ascii="Cambria" w:eastAsia="Calibri" w:hAnsi="Cambria" w:cs="Adobe Devanagari"/>
          <w:sz w:val="24"/>
          <w:szCs w:val="24"/>
        </w:rPr>
        <w:t xml:space="preserve"> </w:t>
      </w:r>
      <w:r w:rsidR="006673C4" w:rsidRPr="00B03713">
        <w:rPr>
          <w:rFonts w:ascii="Cambria" w:eastAsia="Calibri" w:hAnsi="Cambria" w:cs="Adobe Devanagari"/>
          <w:sz w:val="24"/>
          <w:szCs w:val="24"/>
        </w:rPr>
        <w:t>and other types of sustainable behaviour</w:t>
      </w:r>
      <w:r w:rsidR="0029524B" w:rsidRPr="00B03713">
        <w:rPr>
          <w:rFonts w:ascii="Cambria" w:eastAsia="Calibri" w:hAnsi="Cambria" w:cs="Adobe Devanagari"/>
          <w:sz w:val="24"/>
          <w:szCs w:val="24"/>
        </w:rPr>
        <w:t xml:space="preserve">. </w:t>
      </w:r>
      <w:r w:rsidRPr="00B03713">
        <w:rPr>
          <w:rFonts w:ascii="Cambria" w:eastAsia="Calibri" w:hAnsi="Cambria" w:cs="Adobe Devanagari"/>
          <w:sz w:val="24"/>
          <w:szCs w:val="24"/>
        </w:rPr>
        <w:t>But mass media did not prove to be successful promoting sustainability (Lin and Hsu 2015</w:t>
      </w:r>
      <w:r w:rsidR="00801B31" w:rsidRPr="00B03713">
        <w:rPr>
          <w:rFonts w:ascii="Cambria" w:eastAsia="Calibri" w:hAnsi="Cambria" w:cs="Adobe Devanagari"/>
          <w:sz w:val="24"/>
          <w:szCs w:val="24"/>
        </w:rPr>
        <w:t>).</w:t>
      </w:r>
      <w:r w:rsidR="00CC250E" w:rsidRPr="00B03713">
        <w:rPr>
          <w:rFonts w:ascii="Cambria" w:eastAsia="Calibri" w:hAnsi="Cambria" w:cs="Adobe Devanagari"/>
          <w:sz w:val="24"/>
          <w:szCs w:val="24"/>
        </w:rPr>
        <w:t xml:space="preserve"> </w:t>
      </w:r>
    </w:p>
    <w:p w14:paraId="36CD526F" w14:textId="1E7F1E01" w:rsidR="000640FE" w:rsidRPr="00B03713" w:rsidRDefault="00080E73">
      <w:pPr>
        <w:spacing w:line="360" w:lineRule="auto"/>
        <w:jc w:val="both"/>
        <w:rPr>
          <w:rFonts w:ascii="Cambria" w:hAnsi="Cambria"/>
          <w:sz w:val="24"/>
          <w:szCs w:val="24"/>
        </w:rPr>
      </w:pPr>
      <w:r w:rsidRPr="00B03713">
        <w:rPr>
          <w:rFonts w:ascii="Cambria" w:hAnsi="Cambria"/>
          <w:sz w:val="24"/>
          <w:szCs w:val="24"/>
        </w:rPr>
        <w:t xml:space="preserve">As suggested by </w:t>
      </w:r>
      <w:r w:rsidR="0068771C" w:rsidRPr="00B03713">
        <w:rPr>
          <w:rFonts w:ascii="Cambria" w:hAnsi="Cambria"/>
          <w:sz w:val="24"/>
          <w:szCs w:val="24"/>
        </w:rPr>
        <w:t xml:space="preserve">Belz and Peattie </w:t>
      </w:r>
      <w:r w:rsidRPr="00B03713">
        <w:rPr>
          <w:rFonts w:ascii="Cambria" w:hAnsi="Cambria"/>
          <w:sz w:val="24"/>
          <w:szCs w:val="24"/>
        </w:rPr>
        <w:t>(</w:t>
      </w:r>
      <w:r w:rsidR="0068771C" w:rsidRPr="00B03713">
        <w:rPr>
          <w:rFonts w:ascii="Cambria" w:hAnsi="Cambria"/>
          <w:sz w:val="24"/>
          <w:szCs w:val="24"/>
        </w:rPr>
        <w:t>2012</w:t>
      </w:r>
      <w:r w:rsidRPr="00B03713">
        <w:rPr>
          <w:rFonts w:ascii="Cambria" w:hAnsi="Cambria"/>
          <w:sz w:val="24"/>
          <w:szCs w:val="24"/>
        </w:rPr>
        <w:t>)</w:t>
      </w:r>
      <w:r w:rsidR="00953801" w:rsidRPr="00B03713">
        <w:rPr>
          <w:rFonts w:ascii="Cambria" w:hAnsi="Cambria"/>
          <w:sz w:val="24"/>
          <w:szCs w:val="24"/>
        </w:rPr>
        <w:t xml:space="preserve"> sustainability can be promoted </w:t>
      </w:r>
      <w:r w:rsidR="0047610B" w:rsidRPr="00B03713">
        <w:rPr>
          <w:rFonts w:ascii="Cambria" w:hAnsi="Cambria"/>
          <w:sz w:val="24"/>
          <w:szCs w:val="24"/>
        </w:rPr>
        <w:t xml:space="preserve">though </w:t>
      </w:r>
      <w:r w:rsidR="0007779A" w:rsidRPr="00B03713">
        <w:rPr>
          <w:rFonts w:ascii="Cambria" w:hAnsi="Cambria"/>
          <w:sz w:val="24"/>
          <w:szCs w:val="24"/>
        </w:rPr>
        <w:t xml:space="preserve">promotional activity. </w:t>
      </w:r>
      <w:r w:rsidR="002962C1" w:rsidRPr="00B03713">
        <w:rPr>
          <w:rFonts w:ascii="Cambria" w:hAnsi="Cambria"/>
          <w:sz w:val="24"/>
          <w:szCs w:val="24"/>
        </w:rPr>
        <w:t xml:space="preserve">Beak et al </w:t>
      </w:r>
      <w:r w:rsidR="000754E1" w:rsidRPr="00B03713">
        <w:rPr>
          <w:rFonts w:ascii="Cambria" w:hAnsi="Cambria"/>
          <w:sz w:val="24"/>
          <w:szCs w:val="24"/>
        </w:rPr>
        <w:t xml:space="preserve">(2021) showed the success of </w:t>
      </w:r>
      <w:r w:rsidR="00BF10F7" w:rsidRPr="00B03713">
        <w:rPr>
          <w:rFonts w:ascii="Cambria" w:hAnsi="Cambria"/>
          <w:sz w:val="24"/>
          <w:szCs w:val="24"/>
        </w:rPr>
        <w:t>sustainabili</w:t>
      </w:r>
      <w:r w:rsidR="005F58DA" w:rsidRPr="00B03713">
        <w:rPr>
          <w:rFonts w:ascii="Cambria" w:hAnsi="Cambria"/>
          <w:sz w:val="24"/>
          <w:szCs w:val="24"/>
        </w:rPr>
        <w:t xml:space="preserve">ty promotion </w:t>
      </w:r>
      <w:r w:rsidR="00D97BA6" w:rsidRPr="00B03713">
        <w:rPr>
          <w:rFonts w:ascii="Cambria" w:hAnsi="Cambria"/>
          <w:sz w:val="24"/>
          <w:szCs w:val="24"/>
        </w:rPr>
        <w:t xml:space="preserve">over social media </w:t>
      </w:r>
      <w:r w:rsidR="00DE51F2" w:rsidRPr="00B03713">
        <w:rPr>
          <w:rFonts w:ascii="Cambria" w:hAnsi="Cambria"/>
          <w:sz w:val="24"/>
          <w:szCs w:val="24"/>
        </w:rPr>
        <w:t>through the u</w:t>
      </w:r>
      <w:r w:rsidR="00B8793D" w:rsidRPr="00B03713">
        <w:rPr>
          <w:rFonts w:ascii="Cambria" w:hAnsi="Cambria"/>
          <w:sz w:val="24"/>
          <w:szCs w:val="24"/>
        </w:rPr>
        <w:t>se of emoji (picto</w:t>
      </w:r>
      <w:r w:rsidR="002962C1" w:rsidRPr="00B03713">
        <w:rPr>
          <w:rFonts w:ascii="Cambria" w:hAnsi="Cambria"/>
          <w:sz w:val="24"/>
          <w:szCs w:val="24"/>
        </w:rPr>
        <w:t xml:space="preserve">rial </w:t>
      </w:r>
      <w:r w:rsidR="007371FD" w:rsidRPr="00B03713">
        <w:rPr>
          <w:rFonts w:ascii="Cambria" w:hAnsi="Cambria"/>
          <w:sz w:val="24"/>
          <w:szCs w:val="24"/>
        </w:rPr>
        <w:t>depiction</w:t>
      </w:r>
      <w:r w:rsidR="002962C1" w:rsidRPr="00B03713">
        <w:rPr>
          <w:rFonts w:ascii="Cambria" w:hAnsi="Cambria"/>
          <w:sz w:val="24"/>
          <w:szCs w:val="24"/>
        </w:rPr>
        <w:t xml:space="preserve"> of emotion</w:t>
      </w:r>
      <w:r w:rsidR="00B8793D" w:rsidRPr="00B03713">
        <w:rPr>
          <w:rFonts w:ascii="Cambria" w:hAnsi="Cambria"/>
          <w:sz w:val="24"/>
          <w:szCs w:val="24"/>
        </w:rPr>
        <w:t>)</w:t>
      </w:r>
      <w:r w:rsidR="002962C1" w:rsidRPr="00B03713">
        <w:rPr>
          <w:rFonts w:ascii="Cambria" w:hAnsi="Cambria"/>
          <w:sz w:val="24"/>
          <w:szCs w:val="24"/>
        </w:rPr>
        <w:t xml:space="preserve"> and assertive mess</w:t>
      </w:r>
      <w:r w:rsidR="00632FDC" w:rsidRPr="00B03713">
        <w:rPr>
          <w:rFonts w:ascii="Cambria" w:hAnsi="Cambria"/>
          <w:sz w:val="24"/>
          <w:szCs w:val="24"/>
        </w:rPr>
        <w:t>age</w:t>
      </w:r>
      <w:r w:rsidR="00AD0B1A" w:rsidRPr="00B03713">
        <w:rPr>
          <w:rFonts w:ascii="Cambria" w:hAnsi="Cambria"/>
          <w:sz w:val="24"/>
          <w:szCs w:val="24"/>
        </w:rPr>
        <w:t xml:space="preserve"> on </w:t>
      </w:r>
      <w:r w:rsidR="00290634" w:rsidRPr="00B03713">
        <w:rPr>
          <w:rFonts w:ascii="Cambria" w:hAnsi="Cambria"/>
          <w:sz w:val="24"/>
          <w:szCs w:val="24"/>
        </w:rPr>
        <w:t>adopting</w:t>
      </w:r>
      <w:r w:rsidR="00AD0B1A" w:rsidRPr="00B03713">
        <w:rPr>
          <w:rFonts w:ascii="Cambria" w:hAnsi="Cambria"/>
          <w:sz w:val="24"/>
          <w:szCs w:val="24"/>
        </w:rPr>
        <w:t xml:space="preserve"> sustainable behavio</w:t>
      </w:r>
      <w:r w:rsidR="00290634" w:rsidRPr="00B03713">
        <w:rPr>
          <w:rFonts w:ascii="Cambria" w:hAnsi="Cambria"/>
          <w:sz w:val="24"/>
          <w:szCs w:val="24"/>
        </w:rPr>
        <w:t>ur</w:t>
      </w:r>
      <w:r w:rsidR="00E40C74" w:rsidRPr="00B03713">
        <w:rPr>
          <w:rFonts w:ascii="Cambria" w:hAnsi="Cambria"/>
          <w:sz w:val="24"/>
          <w:szCs w:val="24"/>
        </w:rPr>
        <w:t xml:space="preserve">. </w:t>
      </w:r>
      <w:r w:rsidR="00E13625" w:rsidRPr="00B03713">
        <w:rPr>
          <w:rFonts w:ascii="Cambria" w:hAnsi="Cambria"/>
          <w:sz w:val="24"/>
          <w:szCs w:val="24"/>
        </w:rPr>
        <w:t xml:space="preserve">Minton et al (2012) </w:t>
      </w:r>
      <w:r w:rsidR="00D941B6" w:rsidRPr="00B03713">
        <w:rPr>
          <w:rFonts w:ascii="Cambria" w:hAnsi="Cambria"/>
          <w:sz w:val="24"/>
          <w:szCs w:val="24"/>
        </w:rPr>
        <w:t>studied cross cultural difference in social media and it</w:t>
      </w:r>
      <w:r w:rsidR="00890635" w:rsidRPr="00B03713">
        <w:rPr>
          <w:rFonts w:ascii="Cambria" w:hAnsi="Cambria"/>
          <w:sz w:val="24"/>
          <w:szCs w:val="24"/>
        </w:rPr>
        <w:t xml:space="preserve">s impact on </w:t>
      </w:r>
      <w:r w:rsidR="00574189" w:rsidRPr="00B03713">
        <w:rPr>
          <w:rFonts w:ascii="Cambria" w:hAnsi="Cambria"/>
          <w:sz w:val="24"/>
          <w:szCs w:val="24"/>
        </w:rPr>
        <w:t>ad with sustainability message</w:t>
      </w:r>
      <w:r w:rsidR="00602D1A" w:rsidRPr="00B03713">
        <w:rPr>
          <w:rFonts w:ascii="Cambria" w:hAnsi="Cambria"/>
          <w:sz w:val="24"/>
          <w:szCs w:val="24"/>
        </w:rPr>
        <w:t xml:space="preserve">. </w:t>
      </w:r>
      <w:r w:rsidR="006A7270" w:rsidRPr="00B03713">
        <w:rPr>
          <w:rFonts w:ascii="Cambria" w:hAnsi="Cambria"/>
          <w:sz w:val="24"/>
          <w:szCs w:val="24"/>
        </w:rPr>
        <w:t xml:space="preserve">sustainable ad in social media </w:t>
      </w:r>
      <w:r w:rsidR="007F195B" w:rsidRPr="00B03713">
        <w:rPr>
          <w:rFonts w:ascii="Cambria" w:hAnsi="Cambria"/>
          <w:sz w:val="24"/>
          <w:szCs w:val="24"/>
        </w:rPr>
        <w:t xml:space="preserve">is more effective in terms of </w:t>
      </w:r>
      <w:r w:rsidR="000B4246" w:rsidRPr="00B03713">
        <w:rPr>
          <w:rFonts w:ascii="Cambria" w:hAnsi="Cambria"/>
          <w:sz w:val="24"/>
          <w:szCs w:val="24"/>
        </w:rPr>
        <w:t xml:space="preserve">promoting sustainable behaviour in </w:t>
      </w:r>
      <w:r w:rsidR="006A7270" w:rsidRPr="00B03713">
        <w:rPr>
          <w:rFonts w:ascii="Cambria" w:hAnsi="Cambria"/>
          <w:sz w:val="24"/>
          <w:szCs w:val="24"/>
        </w:rPr>
        <w:t>collectivist</w:t>
      </w:r>
      <w:r w:rsidR="000B4246" w:rsidRPr="00B03713">
        <w:rPr>
          <w:rFonts w:ascii="Cambria" w:hAnsi="Cambria"/>
          <w:sz w:val="24"/>
          <w:szCs w:val="24"/>
        </w:rPr>
        <w:t xml:space="preserve"> culture than the individualist culture</w:t>
      </w:r>
      <w:r w:rsidR="009656F0" w:rsidRPr="00B03713">
        <w:rPr>
          <w:rFonts w:ascii="Cambria" w:hAnsi="Cambria"/>
          <w:sz w:val="24"/>
          <w:szCs w:val="24"/>
        </w:rPr>
        <w:t xml:space="preserve">. </w:t>
      </w:r>
    </w:p>
    <w:p w14:paraId="77304E58" w14:textId="30B9BD91" w:rsidR="00CE5AD7" w:rsidRDefault="00577E86">
      <w:pPr>
        <w:spacing w:line="360" w:lineRule="auto"/>
        <w:jc w:val="both"/>
        <w:rPr>
          <w:rFonts w:ascii="Cambria" w:hAnsi="Cambria"/>
          <w:color w:val="538135" w:themeColor="accent6" w:themeShade="BF"/>
          <w:sz w:val="24"/>
          <w:szCs w:val="24"/>
        </w:rPr>
      </w:pPr>
      <w:r w:rsidRPr="00B03713">
        <w:rPr>
          <w:rFonts w:ascii="Cambria" w:hAnsi="Cambria"/>
          <w:sz w:val="24"/>
          <w:szCs w:val="24"/>
        </w:rPr>
        <w:t>Due to t</w:t>
      </w:r>
      <w:r w:rsidR="00CE5AD7" w:rsidRPr="00B03713">
        <w:rPr>
          <w:rFonts w:ascii="Cambria" w:hAnsi="Cambria"/>
          <w:sz w:val="24"/>
          <w:szCs w:val="24"/>
        </w:rPr>
        <w:t xml:space="preserve">he </w:t>
      </w:r>
      <w:r w:rsidR="00E86351" w:rsidRPr="00B03713">
        <w:rPr>
          <w:rFonts w:ascii="Cambria" w:hAnsi="Cambria"/>
          <w:sz w:val="24"/>
          <w:szCs w:val="24"/>
        </w:rPr>
        <w:t>unique interactive</w:t>
      </w:r>
      <w:r w:rsidR="00AA26F4" w:rsidRPr="00B03713">
        <w:rPr>
          <w:rFonts w:ascii="Cambria" w:hAnsi="Cambria"/>
          <w:sz w:val="24"/>
          <w:szCs w:val="24"/>
        </w:rPr>
        <w:t xml:space="preserve"> context</w:t>
      </w:r>
      <w:r w:rsidR="00E86351" w:rsidRPr="00B03713">
        <w:rPr>
          <w:rFonts w:ascii="Cambria" w:hAnsi="Cambria"/>
          <w:sz w:val="24"/>
          <w:szCs w:val="24"/>
        </w:rPr>
        <w:t xml:space="preserve"> </w:t>
      </w:r>
      <w:r w:rsidR="00CE5AD7" w:rsidRPr="00B03713">
        <w:rPr>
          <w:rFonts w:ascii="Cambria" w:hAnsi="Cambria"/>
          <w:sz w:val="24"/>
          <w:szCs w:val="24"/>
        </w:rPr>
        <w:t xml:space="preserve">of </w:t>
      </w:r>
      <w:r w:rsidR="00E86351" w:rsidRPr="00B03713">
        <w:rPr>
          <w:rFonts w:ascii="Cambria" w:hAnsi="Cambria"/>
          <w:sz w:val="24"/>
          <w:szCs w:val="24"/>
        </w:rPr>
        <w:t>social media</w:t>
      </w:r>
      <w:r w:rsidR="00D8212F" w:rsidRPr="00B03713">
        <w:rPr>
          <w:rFonts w:ascii="Cambria" w:hAnsi="Cambria"/>
          <w:sz w:val="24"/>
          <w:szCs w:val="24"/>
        </w:rPr>
        <w:t xml:space="preserve">, </w:t>
      </w:r>
      <w:r w:rsidR="00794A8C" w:rsidRPr="00B03713">
        <w:rPr>
          <w:rFonts w:ascii="Cambria" w:hAnsi="Cambria"/>
          <w:sz w:val="24"/>
          <w:szCs w:val="24"/>
        </w:rPr>
        <w:t xml:space="preserve">the </w:t>
      </w:r>
      <w:r w:rsidR="000C2E21" w:rsidRPr="00B03713">
        <w:rPr>
          <w:rFonts w:ascii="Cambria" w:hAnsi="Cambria"/>
          <w:sz w:val="24"/>
          <w:szCs w:val="24"/>
        </w:rPr>
        <w:t xml:space="preserve">mechanism of how an ad </w:t>
      </w:r>
      <w:r w:rsidR="00E31526" w:rsidRPr="00B03713">
        <w:rPr>
          <w:rFonts w:ascii="Cambria" w:hAnsi="Cambria"/>
          <w:sz w:val="24"/>
          <w:szCs w:val="24"/>
        </w:rPr>
        <w:t>exert</w:t>
      </w:r>
      <w:r w:rsidR="000C2E21" w:rsidRPr="00B03713">
        <w:rPr>
          <w:rFonts w:ascii="Cambria" w:hAnsi="Cambria"/>
          <w:sz w:val="24"/>
          <w:szCs w:val="24"/>
        </w:rPr>
        <w:t xml:space="preserve"> impact on </w:t>
      </w:r>
      <w:r w:rsidR="0040591E" w:rsidRPr="00B03713">
        <w:rPr>
          <w:rFonts w:ascii="Cambria" w:hAnsi="Cambria"/>
          <w:sz w:val="24"/>
          <w:szCs w:val="24"/>
        </w:rPr>
        <w:t xml:space="preserve">audience is different from mass media to social media. </w:t>
      </w:r>
      <w:r w:rsidR="002C3AE4" w:rsidRPr="00B03713">
        <w:rPr>
          <w:rFonts w:ascii="Cambria" w:hAnsi="Cambria"/>
          <w:sz w:val="24"/>
          <w:szCs w:val="24"/>
        </w:rPr>
        <w:t xml:space="preserve">Previous research on social media ad shows that positive emotions </w:t>
      </w:r>
      <w:r w:rsidR="00153DB1" w:rsidRPr="00B03713">
        <w:rPr>
          <w:rFonts w:ascii="Cambria" w:hAnsi="Cambria"/>
          <w:sz w:val="24"/>
          <w:szCs w:val="24"/>
        </w:rPr>
        <w:t xml:space="preserve">of the </w:t>
      </w:r>
      <w:r w:rsidR="00AA26F4" w:rsidRPr="00B03713">
        <w:rPr>
          <w:rFonts w:ascii="Cambria" w:hAnsi="Cambria"/>
          <w:sz w:val="24"/>
          <w:szCs w:val="24"/>
        </w:rPr>
        <w:t xml:space="preserve">social media users </w:t>
      </w:r>
      <w:r w:rsidR="002C3AE4" w:rsidRPr="00B03713">
        <w:rPr>
          <w:rFonts w:ascii="Cambria" w:hAnsi="Cambria"/>
          <w:sz w:val="24"/>
          <w:szCs w:val="24"/>
        </w:rPr>
        <w:t>(Berger and Milkman 2012; Nikolinako and King 2018), emotional tone</w:t>
      </w:r>
      <w:r w:rsidR="00153DB1" w:rsidRPr="00B03713">
        <w:rPr>
          <w:rFonts w:ascii="Cambria" w:hAnsi="Cambria"/>
          <w:sz w:val="24"/>
          <w:szCs w:val="24"/>
        </w:rPr>
        <w:t xml:space="preserve"> of the ad</w:t>
      </w:r>
      <w:r w:rsidR="002C3AE4" w:rsidRPr="00B03713">
        <w:rPr>
          <w:rFonts w:ascii="Cambria" w:hAnsi="Cambria"/>
          <w:sz w:val="24"/>
          <w:szCs w:val="24"/>
        </w:rPr>
        <w:t xml:space="preserve"> (Eckler and Boll 2011), features of the ad (Kulkarni et al 2020; Nisar and Man. 2018; Wei et al 2021), trust on social media ad (Cao et al 2021; Carlson et al 2021; Errmann et al 2019), trust on the source (Schouten et al 2020), consumers’ personality (Kulkarni et al 2020), congruency between the content of the ad and the consumers’ motivation (Carlson et al 2021), and social media platform (Nisar and Man. 2018)  influence eng</w:t>
      </w:r>
      <w:r w:rsidR="009946ED" w:rsidRPr="00B03713">
        <w:rPr>
          <w:rFonts w:ascii="Cambria" w:hAnsi="Cambria"/>
          <w:sz w:val="24"/>
          <w:szCs w:val="24"/>
        </w:rPr>
        <w:t>a</w:t>
      </w:r>
      <w:r w:rsidR="002C3AE4" w:rsidRPr="00B03713">
        <w:rPr>
          <w:rFonts w:ascii="Cambria" w:hAnsi="Cambria"/>
          <w:sz w:val="24"/>
          <w:szCs w:val="24"/>
        </w:rPr>
        <w:t>gement with social media ad and purchase behaviour intention.</w:t>
      </w:r>
      <w:r w:rsidR="00ED719B" w:rsidRPr="00B03713">
        <w:rPr>
          <w:rFonts w:ascii="Cambria" w:hAnsi="Cambria"/>
          <w:sz w:val="24"/>
          <w:szCs w:val="24"/>
        </w:rPr>
        <w:t xml:space="preserve"> The more consumers have social media engagement with the social media ad</w:t>
      </w:r>
      <w:r w:rsidR="007371FD">
        <w:rPr>
          <w:rFonts w:ascii="Cambria" w:hAnsi="Cambria"/>
          <w:sz w:val="24"/>
          <w:szCs w:val="24"/>
        </w:rPr>
        <w:t>,</w:t>
      </w:r>
      <w:r w:rsidR="00ED719B" w:rsidRPr="00B03713">
        <w:rPr>
          <w:rFonts w:ascii="Cambria" w:hAnsi="Cambria"/>
          <w:sz w:val="24"/>
          <w:szCs w:val="24"/>
        </w:rPr>
        <w:t xml:space="preserve"> the higher their brand attitude and purchase intention are (Burton et al 2019; Nisar and Man. 2018; Spotts et al 2014). This should be also true for ad with </w:t>
      </w:r>
      <w:r w:rsidR="007371FD" w:rsidRPr="00B03713">
        <w:rPr>
          <w:rFonts w:ascii="Cambria" w:hAnsi="Cambria"/>
          <w:sz w:val="24"/>
          <w:szCs w:val="24"/>
        </w:rPr>
        <w:t>sustainability</w:t>
      </w:r>
      <w:r w:rsidR="00ED719B" w:rsidRPr="00B03713">
        <w:rPr>
          <w:rFonts w:ascii="Cambria" w:hAnsi="Cambria"/>
          <w:sz w:val="24"/>
          <w:szCs w:val="24"/>
        </w:rPr>
        <w:t xml:space="preserve"> message posted on social media</w:t>
      </w:r>
      <w:r w:rsidR="00ED719B">
        <w:rPr>
          <w:rFonts w:ascii="Cambria" w:hAnsi="Cambria"/>
          <w:color w:val="538135" w:themeColor="accent6" w:themeShade="BF"/>
          <w:sz w:val="24"/>
          <w:szCs w:val="24"/>
        </w:rPr>
        <w:t>.</w:t>
      </w:r>
    </w:p>
    <w:p w14:paraId="14B57099" w14:textId="3C808E07" w:rsidR="0062756C" w:rsidRPr="00530906" w:rsidRDefault="0062756C" w:rsidP="0062756C">
      <w:pPr>
        <w:pStyle w:val="Heading2"/>
        <w:jc w:val="both"/>
        <w:rPr>
          <w:rFonts w:ascii="Cambria" w:eastAsia="Calibri" w:hAnsi="Cambria"/>
        </w:rPr>
      </w:pPr>
      <w:bookmarkStart w:id="28" w:name="_Toc115726220"/>
      <w:r w:rsidRPr="00530906">
        <w:rPr>
          <w:rFonts w:ascii="Cambria" w:eastAsia="Calibri" w:hAnsi="Cambria"/>
        </w:rPr>
        <w:t>2.4.  Social–media–engagement</w:t>
      </w:r>
      <w:bookmarkEnd w:id="28"/>
      <w:r w:rsidRPr="00530906">
        <w:rPr>
          <w:rFonts w:ascii="Cambria" w:eastAsia="Calibri" w:hAnsi="Cambria"/>
        </w:rPr>
        <w:t xml:space="preserve"> </w:t>
      </w:r>
    </w:p>
    <w:p w14:paraId="0FAD57A8" w14:textId="77777777" w:rsidR="0062756C" w:rsidRPr="0053090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Social media emerged as an outcome of web 2.0, which made it possible to have continuous one to one interaction throughout the globe (Habibi et al., 2014). Social–media is defined as </w:t>
      </w:r>
      <w:r w:rsidRPr="00530906">
        <w:rPr>
          <w:rFonts w:ascii="Cambria" w:eastAsia="Calibri" w:hAnsi="Cambria" w:cs="Times New Roman"/>
          <w:i/>
          <w:iCs/>
          <w:sz w:val="24"/>
          <w:szCs w:val="24"/>
        </w:rPr>
        <w:t>“a group of Internets–based applications that build on the ideological and technological foundations of Web 2.0, and allow the creation and exchange of User Generated Content”</w:t>
      </w:r>
      <w:r w:rsidRPr="00530906">
        <w:rPr>
          <w:rFonts w:ascii="Cambria" w:eastAsia="Calibri" w:hAnsi="Cambria" w:cs="Times New Roman"/>
          <w:sz w:val="24"/>
          <w:szCs w:val="24"/>
        </w:rPr>
        <w:t xml:space="preserve"> (Kaplan and Haenlein, 2010, p. 61). </w:t>
      </w:r>
      <w:bookmarkStart w:id="29" w:name="_Toc513031874"/>
      <w:r w:rsidRPr="00530906">
        <w:rPr>
          <w:rFonts w:ascii="Cambria" w:eastAsia="Calibri" w:hAnsi="Cambria" w:cs="Times New Roman"/>
          <w:sz w:val="24"/>
          <w:szCs w:val="24"/>
        </w:rPr>
        <w:t>Some scholars have used social media and social network interchangeably (Gavilanes et al 2018). This denotes that, the term ‘social media’ ranges from blogs, video communities, dating platforms, location–based services, analytics, and monitoring tools, etc. to other media vehicle to publish or disseminate certain contents like– Facebook, Tiktok, Twitter, Instagram, Youtube etc. These platform focuses on the humane aspect and social interaction among the users and enable consumers to be actively engaged with marketing communication process (Chiu et al 2006;</w:t>
      </w:r>
      <w:bookmarkEnd w:id="29"/>
      <w:r w:rsidRPr="00530906">
        <w:rPr>
          <w:rFonts w:ascii="Cambria" w:eastAsia="Calibri" w:hAnsi="Cambria" w:cs="Times New Roman"/>
          <w:sz w:val="24"/>
          <w:szCs w:val="24"/>
        </w:rPr>
        <w:t xml:space="preserve"> Gambetti at al. 2012).</w:t>
      </w:r>
    </w:p>
    <w:p w14:paraId="080872BE" w14:textId="24DC45CF" w:rsidR="0062756C" w:rsidRPr="0053090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The term ‘social media engagement’ has its’ base in ‘consumer engagement’ and synonymously being used as consumer or customer engagement that takes place online (Gavilanes et al 2018). In broad term, continuous interaction in online platform is referred as digital engagement (Yoon et al., 2018; Scheinbaum, 2016). More specifically, the online or digital engagement occurs in social–media is classified as social–media engagement. That makes social–media–engagement a behavioural manifestation of users affective and cognitive drive (Dolan et al 2016; Verhoef et al 2010).  Table </w:t>
      </w:r>
      <w:r w:rsidR="007202B0">
        <w:rPr>
          <w:rFonts w:ascii="Cambria" w:eastAsia="Calibri" w:hAnsi="Cambria" w:cs="Times New Roman"/>
          <w:sz w:val="24"/>
          <w:szCs w:val="24"/>
        </w:rPr>
        <w:t>3</w:t>
      </w:r>
      <w:r w:rsidRPr="00530906">
        <w:rPr>
          <w:rFonts w:ascii="Cambria" w:eastAsia="Calibri" w:hAnsi="Cambria" w:cs="Times New Roman"/>
          <w:sz w:val="24"/>
          <w:szCs w:val="24"/>
        </w:rPr>
        <w:t xml:space="preserve"> shows definition of different online/ digital engagement behaviour which are in the scope of social–media–engagement.</w:t>
      </w:r>
    </w:p>
    <w:p w14:paraId="4726AB08" w14:textId="3B86B541" w:rsidR="0062756C" w:rsidRPr="0053090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Table </w:t>
      </w:r>
      <w:r w:rsidR="00165DAC">
        <w:rPr>
          <w:rFonts w:ascii="Cambria" w:eastAsia="Calibri" w:hAnsi="Cambria" w:cs="Times New Roman"/>
          <w:sz w:val="24"/>
          <w:szCs w:val="24"/>
        </w:rPr>
        <w:t>3</w:t>
      </w:r>
      <w:r w:rsidRPr="00530906">
        <w:rPr>
          <w:rFonts w:ascii="Cambria" w:eastAsia="Calibri" w:hAnsi="Cambria" w:cs="Times New Roman"/>
          <w:sz w:val="24"/>
          <w:szCs w:val="24"/>
        </w:rPr>
        <w:t xml:space="preserve">: Definitions of social–media–engagement and other online engagement </w:t>
      </w:r>
    </w:p>
    <w:tbl>
      <w:tblPr>
        <w:tblStyle w:val="TableGrid"/>
        <w:tblW w:w="0" w:type="auto"/>
        <w:tblLook w:val="04A0" w:firstRow="1" w:lastRow="0" w:firstColumn="1" w:lastColumn="0" w:noHBand="0" w:noVBand="1"/>
      </w:tblPr>
      <w:tblGrid>
        <w:gridCol w:w="1760"/>
        <w:gridCol w:w="5701"/>
        <w:gridCol w:w="1555"/>
      </w:tblGrid>
      <w:tr w:rsidR="0062756C" w:rsidRPr="00530906" w14:paraId="6589304D" w14:textId="77777777" w:rsidTr="00756005">
        <w:tc>
          <w:tcPr>
            <w:tcW w:w="1760" w:type="dxa"/>
            <w:shd w:val="clear" w:color="auto" w:fill="D5DCE4" w:themeFill="text2" w:themeFillTint="33"/>
          </w:tcPr>
          <w:p w14:paraId="317C1ABD" w14:textId="77777777" w:rsidR="0062756C" w:rsidRPr="00530906" w:rsidRDefault="0062756C" w:rsidP="00756005">
            <w:pPr>
              <w:spacing w:line="360" w:lineRule="auto"/>
              <w:jc w:val="both"/>
              <w:rPr>
                <w:rFonts w:ascii="Cambria" w:eastAsiaTheme="minorEastAsia" w:hAnsi="Cambria" w:cs="Times New Roman"/>
                <w:b/>
                <w:bCs/>
                <w:sz w:val="24"/>
                <w:szCs w:val="24"/>
              </w:rPr>
            </w:pPr>
            <w:r w:rsidRPr="00530906">
              <w:rPr>
                <w:rFonts w:ascii="Cambria" w:eastAsiaTheme="minorEastAsia" w:hAnsi="Cambria" w:cs="Times New Roman"/>
                <w:b/>
                <w:bCs/>
                <w:sz w:val="24"/>
                <w:szCs w:val="24"/>
              </w:rPr>
              <w:t xml:space="preserve">Concept </w:t>
            </w:r>
          </w:p>
        </w:tc>
        <w:tc>
          <w:tcPr>
            <w:tcW w:w="5701" w:type="dxa"/>
            <w:shd w:val="clear" w:color="auto" w:fill="D5DCE4" w:themeFill="text2" w:themeFillTint="33"/>
          </w:tcPr>
          <w:p w14:paraId="011A8D6B" w14:textId="77777777" w:rsidR="0062756C" w:rsidRPr="00530906" w:rsidRDefault="0062756C" w:rsidP="00756005">
            <w:pPr>
              <w:spacing w:line="360" w:lineRule="auto"/>
              <w:jc w:val="both"/>
              <w:rPr>
                <w:rFonts w:ascii="Cambria" w:eastAsiaTheme="minorEastAsia" w:hAnsi="Cambria" w:cs="Times New Roman"/>
                <w:b/>
                <w:bCs/>
                <w:sz w:val="24"/>
                <w:szCs w:val="24"/>
              </w:rPr>
            </w:pPr>
            <w:r w:rsidRPr="00530906">
              <w:rPr>
                <w:rFonts w:ascii="Cambria" w:eastAsiaTheme="minorEastAsia" w:hAnsi="Cambria" w:cs="Times New Roman"/>
                <w:b/>
                <w:bCs/>
                <w:sz w:val="24"/>
                <w:szCs w:val="24"/>
              </w:rPr>
              <w:t>Definition</w:t>
            </w:r>
          </w:p>
        </w:tc>
        <w:tc>
          <w:tcPr>
            <w:tcW w:w="1555" w:type="dxa"/>
            <w:shd w:val="clear" w:color="auto" w:fill="D5DCE4" w:themeFill="text2" w:themeFillTint="33"/>
          </w:tcPr>
          <w:p w14:paraId="72B003A8" w14:textId="77777777" w:rsidR="0062756C" w:rsidRPr="00530906" w:rsidRDefault="0062756C" w:rsidP="00756005">
            <w:pPr>
              <w:spacing w:line="360" w:lineRule="auto"/>
              <w:jc w:val="both"/>
              <w:rPr>
                <w:rFonts w:ascii="Cambria" w:eastAsiaTheme="minorEastAsia" w:hAnsi="Cambria" w:cs="Times New Roman"/>
                <w:b/>
                <w:bCs/>
                <w:sz w:val="24"/>
                <w:szCs w:val="24"/>
              </w:rPr>
            </w:pPr>
            <w:r w:rsidRPr="00530906">
              <w:rPr>
                <w:rFonts w:ascii="Cambria" w:eastAsiaTheme="minorEastAsia" w:hAnsi="Cambria" w:cs="Times New Roman"/>
                <w:b/>
                <w:bCs/>
                <w:sz w:val="24"/>
                <w:szCs w:val="24"/>
              </w:rPr>
              <w:t>Source</w:t>
            </w:r>
          </w:p>
        </w:tc>
      </w:tr>
      <w:tr w:rsidR="0062756C" w:rsidRPr="00530906" w14:paraId="216DEEF6" w14:textId="77777777" w:rsidTr="00756005">
        <w:tc>
          <w:tcPr>
            <w:tcW w:w="1760" w:type="dxa"/>
          </w:tcPr>
          <w:p w14:paraId="5B0EF17B"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Customer engagement</w:t>
            </w:r>
          </w:p>
        </w:tc>
        <w:tc>
          <w:tcPr>
            <w:tcW w:w="5701" w:type="dxa"/>
          </w:tcPr>
          <w:p w14:paraId="6752F105"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is a multidimensional state in terms of cognitive, emotional and behavioural aspects, resulted from interactive, co–creative customer experience with a brand, which may lead to trust, loyalty and involvement of the customer   </w:t>
            </w:r>
          </w:p>
        </w:tc>
        <w:tc>
          <w:tcPr>
            <w:tcW w:w="1555" w:type="dxa"/>
          </w:tcPr>
          <w:p w14:paraId="73F537E3"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(Brodie et al (2011), Hollebeek (2011).</w:t>
            </w:r>
          </w:p>
        </w:tc>
      </w:tr>
      <w:tr w:rsidR="0062756C" w:rsidRPr="00530906" w14:paraId="39C43B05" w14:textId="77777777" w:rsidTr="00756005">
        <w:tc>
          <w:tcPr>
            <w:tcW w:w="1760" w:type="dxa"/>
          </w:tcPr>
          <w:p w14:paraId="117511A3"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 engagement in a virtual brand community</w:t>
            </w:r>
          </w:p>
        </w:tc>
        <w:tc>
          <w:tcPr>
            <w:tcW w:w="5701" w:type="dxa"/>
          </w:tcPr>
          <w:p w14:paraId="53324B84"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 “context–dependent, psychological state characterized by changing intensity levels that occur within dynamic, iterative engagement processes” </w:t>
            </w:r>
          </w:p>
        </w:tc>
        <w:tc>
          <w:tcPr>
            <w:tcW w:w="1555" w:type="dxa"/>
          </w:tcPr>
          <w:p w14:paraId="4B87F4B9"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(Brodie et al 2013, p. 107).  </w:t>
            </w:r>
          </w:p>
        </w:tc>
      </w:tr>
      <w:tr w:rsidR="0062756C" w:rsidRPr="00530906" w14:paraId="2277AA0E" w14:textId="77777777" w:rsidTr="00756005">
        <w:tc>
          <w:tcPr>
            <w:tcW w:w="1760" w:type="dxa"/>
          </w:tcPr>
          <w:p w14:paraId="3818F22E"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Digital engagement </w:t>
            </w:r>
          </w:p>
        </w:tc>
        <w:tc>
          <w:tcPr>
            <w:tcW w:w="5701" w:type="dxa"/>
          </w:tcPr>
          <w:p w14:paraId="300F8D81"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“From a consumer–centric standpoint, digital engagement is an online behaviour resulting from a consumer's thoughts, emotional connection, and intrinsic motivation to interact and cooperate with a brand or its community members in a digital, mobile, or social–media setting”</w:t>
            </w:r>
          </w:p>
        </w:tc>
        <w:tc>
          <w:tcPr>
            <w:tcW w:w="1555" w:type="dxa"/>
          </w:tcPr>
          <w:p w14:paraId="5FB44994"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Scheinbaum, (2016), p. 342). Yoon et al., (2018)</w:t>
            </w:r>
          </w:p>
        </w:tc>
      </w:tr>
      <w:tr w:rsidR="0062756C" w:rsidRPr="00530906" w14:paraId="734B1641" w14:textId="77777777" w:rsidTr="00756005">
        <w:tc>
          <w:tcPr>
            <w:tcW w:w="1760" w:type="dxa"/>
          </w:tcPr>
          <w:p w14:paraId="63C39527"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b/>
                <w:bCs/>
                <w:sz w:val="24"/>
                <w:szCs w:val="24"/>
              </w:rPr>
              <w:t>Social–media engagement</w:t>
            </w:r>
          </w:p>
        </w:tc>
        <w:tc>
          <w:tcPr>
            <w:tcW w:w="5701" w:type="dxa"/>
          </w:tcPr>
          <w:p w14:paraId="613DF09A"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 set of brand–related online activities on the part of the consumer that vary in the degree to which the consumer interacts with social–media and engages in the consumption, contribution, and creation of media content." </w:t>
            </w:r>
          </w:p>
        </w:tc>
        <w:tc>
          <w:tcPr>
            <w:tcW w:w="1555" w:type="dxa"/>
          </w:tcPr>
          <w:p w14:paraId="20443251" w14:textId="77777777" w:rsidR="0062756C" w:rsidRPr="00530906" w:rsidRDefault="0062756C" w:rsidP="00756005">
            <w:pPr>
              <w:spacing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Schivinski et al., (2016), p. 66.</w:t>
            </w:r>
          </w:p>
        </w:tc>
      </w:tr>
    </w:tbl>
    <w:p w14:paraId="22A1AABC" w14:textId="77777777" w:rsidR="0062756C" w:rsidRPr="00530906" w:rsidRDefault="0062756C" w:rsidP="0062756C">
      <w:pPr>
        <w:spacing w:line="360" w:lineRule="auto"/>
        <w:jc w:val="both"/>
        <w:rPr>
          <w:rFonts w:ascii="Cambria" w:eastAsia="Calibri" w:hAnsi="Cambria" w:cs="Times New Roman"/>
          <w:sz w:val="24"/>
          <w:szCs w:val="24"/>
        </w:rPr>
      </w:pPr>
    </w:p>
    <w:p w14:paraId="2F1FB029" w14:textId="16FE0835" w:rsidR="0062756C" w:rsidRPr="0053090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Due to the proximity of the concepts, this thesis will also incorporate studies on other engagement concepts taking place in online platform. However, there is a prominent difference between digital engagement and the current customer or consumer engagement (CE) literature. ‘Consumer engagement’ is referred to mainly cognitive, </w:t>
      </w:r>
      <w:r w:rsidR="007371FD" w:rsidRPr="00530906">
        <w:rPr>
          <w:rFonts w:ascii="Cambria" w:eastAsia="Calibri" w:hAnsi="Cambria" w:cs="Times New Roman"/>
          <w:sz w:val="24"/>
          <w:szCs w:val="24"/>
        </w:rPr>
        <w:t>emotional,</w:t>
      </w:r>
      <w:r w:rsidRPr="00530906">
        <w:rPr>
          <w:rFonts w:ascii="Cambria" w:eastAsia="Calibri" w:hAnsi="Cambria" w:cs="Times New Roman"/>
          <w:sz w:val="24"/>
          <w:szCs w:val="24"/>
        </w:rPr>
        <w:t xml:space="preserve"> and behavioural dimensions (Hollebeek et al 2014). On the other hand, like ‘digital engagement’,</w:t>
      </w:r>
      <w:r w:rsidRPr="00530906">
        <w:rPr>
          <w:rFonts w:ascii="Cambria" w:eastAsiaTheme="minorEastAsia" w:hAnsi="Cambria" w:cs="Times New Roman"/>
          <w:sz w:val="24"/>
          <w:szCs w:val="24"/>
        </w:rPr>
        <w:t xml:space="preserve"> ‘</w:t>
      </w:r>
      <w:r w:rsidRPr="00530906">
        <w:rPr>
          <w:rFonts w:ascii="Cambria" w:eastAsia="Calibri" w:hAnsi="Cambria" w:cs="Times New Roman"/>
          <w:sz w:val="24"/>
          <w:szCs w:val="24"/>
        </w:rPr>
        <w:t xml:space="preserve">social media engagement’ is focused only on behavioural dimension in the form of social media/ online interaction, which is the result of thoughts, </w:t>
      </w:r>
      <w:r w:rsidR="007371FD" w:rsidRPr="00530906">
        <w:rPr>
          <w:rFonts w:ascii="Cambria" w:eastAsia="Calibri" w:hAnsi="Cambria" w:cs="Times New Roman"/>
          <w:sz w:val="24"/>
          <w:szCs w:val="24"/>
        </w:rPr>
        <w:t>emotions,</w:t>
      </w:r>
      <w:r w:rsidRPr="00530906">
        <w:rPr>
          <w:rFonts w:ascii="Cambria" w:eastAsia="Calibri" w:hAnsi="Cambria" w:cs="Times New Roman"/>
          <w:sz w:val="24"/>
          <w:szCs w:val="24"/>
        </w:rPr>
        <w:t xml:space="preserve"> and motivation (Scheinbaum 2016; </w:t>
      </w:r>
      <w:r w:rsidRPr="00530906">
        <w:rPr>
          <w:rFonts w:ascii="Cambria" w:eastAsiaTheme="minorEastAsia" w:hAnsi="Cambria" w:cs="Times New Roman"/>
          <w:sz w:val="24"/>
          <w:szCs w:val="24"/>
        </w:rPr>
        <w:t>Schivinski et al., 2016)</w:t>
      </w:r>
      <w:r w:rsidRPr="00530906">
        <w:rPr>
          <w:rFonts w:ascii="Cambria" w:eastAsia="Calibri" w:hAnsi="Cambria" w:cs="Times New Roman"/>
          <w:sz w:val="24"/>
          <w:szCs w:val="24"/>
        </w:rPr>
        <w:t>. Verhoef et al (2010) and van Doorn et al. (2010) have confirmed that ‘social media engagement’ is a behavioural construct. According to them, engagement in social network is a behavioural manifestation, and a form of customer engagement happening in virtual media. In other words, ‘brand community engagement’, ‘brand engagement’, ‘consumer engagement’ or ‘customer engagement’ can refer both online and offline engagement, but social–media–engagement represents interactions only in virtual media. So, this thesis will consider consumer / customer/ brand engagement literature, but only the online behavioural aspect.</w:t>
      </w:r>
    </w:p>
    <w:p w14:paraId="6DB5E1C5" w14:textId="3EA0F23D" w:rsidR="0062756C" w:rsidRPr="009F02A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Like customer engagement (Kumar et al 2017), the scope of ‘social media engagement’ extends beyond transactional effort (e.g., digital buying) to any behavioural efforts, like– commenting and such (Yoon et al., 2018). The effectiveness of social media engagement is usually measured by quantitative matrices, such as – likes, shares, comments, opens, views, followers, or clicks. These social–media monitoring tools are used as an indicator of the level of engagement. In the context of advertisement, these matrices are deemed as an indicator of the success (Calder et al 2009). Social–media engagement activities are classified in three categories consumption, participation/ contribution, and production/ creation (Muntinga et al 2011; Shao 2009; Schivinski et al 2016). Firstly, ‘consumption’s behaviour (</w:t>
      </w:r>
      <w:r w:rsidR="007371FD" w:rsidRPr="00530906">
        <w:rPr>
          <w:rFonts w:ascii="Cambria" w:eastAsia="Calibri" w:hAnsi="Cambria" w:cs="Times New Roman"/>
          <w:sz w:val="24"/>
          <w:szCs w:val="24"/>
        </w:rPr>
        <w:t>i.e.,</w:t>
      </w:r>
      <w:r w:rsidRPr="00530906">
        <w:rPr>
          <w:rFonts w:ascii="Cambria" w:eastAsia="Calibri" w:hAnsi="Cambria" w:cs="Times New Roman"/>
          <w:sz w:val="24"/>
          <w:szCs w:val="24"/>
        </w:rPr>
        <w:t xml:space="preserve"> viewing, listening, watching, following, reading, reading, playing, downloading etc.) represents the participation in online network. Next ‘contribution’ behaviours (like, comment, share etc.) </w:t>
      </w:r>
      <w:r w:rsidRPr="009F02A6">
        <w:rPr>
          <w:rFonts w:ascii="Cambria" w:eastAsia="Calibri" w:hAnsi="Cambria" w:cs="Times New Roman"/>
          <w:sz w:val="24"/>
          <w:szCs w:val="24"/>
        </w:rPr>
        <w:t xml:space="preserve">denotes the interactions of the users with the content or other users of social media; lastly, ‘creation’ of content (initiate a post, write review or create a content) on social media is motivated by the need for personal identity, integration and social interaction, empowerment, and entertainment (Muntinga et al 2011). ‘Creation’ is not in the scope of this thesis since the objective of this study is to understand the effect of brand-created </w:t>
      </w:r>
      <w:r w:rsidR="006F422B"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6F422B" w:rsidRPr="009F02A6">
        <w:rPr>
          <w:rFonts w:ascii="Cambria" w:eastAsia="Calibri" w:hAnsi="Cambria" w:cs="Adobe Devanagari"/>
          <w:sz w:val="24"/>
          <w:szCs w:val="24"/>
        </w:rPr>
        <w:t xml:space="preserve"> message</w:t>
      </w:r>
      <w:r w:rsidR="006F422B" w:rsidRPr="009F02A6">
        <w:rPr>
          <w:rFonts w:ascii="Cambria" w:eastAsia="Calibri" w:hAnsi="Cambria" w:cs="Times New Roman"/>
          <w:sz w:val="24"/>
          <w:szCs w:val="24"/>
        </w:rPr>
        <w:t xml:space="preserve"> </w:t>
      </w:r>
      <w:r w:rsidRPr="009F02A6">
        <w:rPr>
          <w:rFonts w:ascii="Cambria" w:eastAsia="Calibri" w:hAnsi="Cambria" w:cs="Times New Roman"/>
          <w:sz w:val="24"/>
          <w:szCs w:val="24"/>
        </w:rPr>
        <w:t>as an antecedent of consumers’ sustainable behaviour, rather than consumer-created content.</w:t>
      </w:r>
    </w:p>
    <w:p w14:paraId="75A32A57" w14:textId="40D7AFEB" w:rsidR="0062756C" w:rsidRPr="009F02A6" w:rsidRDefault="0062756C" w:rsidP="0062756C">
      <w:pPr>
        <w:spacing w:line="360" w:lineRule="auto"/>
        <w:jc w:val="both"/>
        <w:rPr>
          <w:rFonts w:ascii="Cambria" w:eastAsia="Calibri" w:hAnsi="Cambria" w:cs="Times New Roman"/>
          <w:sz w:val="24"/>
          <w:szCs w:val="24"/>
        </w:rPr>
      </w:pPr>
      <w:r w:rsidRPr="009F02A6">
        <w:rPr>
          <w:rFonts w:ascii="Cambria" w:eastAsia="Calibri" w:hAnsi="Cambria" w:cs="Times New Roman"/>
          <w:sz w:val="24"/>
          <w:szCs w:val="24"/>
        </w:rPr>
        <w:t xml:space="preserve">Customers’ social media engagement may take the forms of, visual information, audio and video content, instant messaging, chatting, update notifications for the profiles of one's connections, word–of–mouth recommendations, helping other consumers, blogging, writing reviews, even engaging in legal action and so forth (van Doorn et al. 2010; Zaglia, 2013). In this virtual social environment, people exchange information, ideas and </w:t>
      </w:r>
      <w:r w:rsidR="007371FD" w:rsidRPr="009F02A6">
        <w:rPr>
          <w:rFonts w:ascii="Cambria" w:eastAsia="Calibri" w:hAnsi="Cambria" w:cs="Times New Roman"/>
          <w:sz w:val="24"/>
          <w:szCs w:val="24"/>
        </w:rPr>
        <w:t>advice</w:t>
      </w:r>
      <w:r w:rsidRPr="009F02A6">
        <w:rPr>
          <w:rFonts w:ascii="Cambria" w:eastAsia="Calibri" w:hAnsi="Cambria" w:cs="Times New Roman"/>
          <w:sz w:val="24"/>
          <w:szCs w:val="24"/>
        </w:rPr>
        <w:t xml:space="preserve"> of their interest (Verhoef et al 2010; Habibi e</w:t>
      </w:r>
      <w:r w:rsidR="007371FD">
        <w:rPr>
          <w:rFonts w:ascii="Cambria" w:eastAsia="Calibri" w:hAnsi="Cambria" w:cs="Times New Roman"/>
          <w:sz w:val="24"/>
          <w:szCs w:val="24"/>
        </w:rPr>
        <w:t>t</w:t>
      </w:r>
      <w:r w:rsidRPr="009F02A6">
        <w:rPr>
          <w:rFonts w:ascii="Cambria" w:eastAsia="Calibri" w:hAnsi="Cambria" w:cs="Times New Roman"/>
          <w:sz w:val="24"/>
          <w:szCs w:val="24"/>
        </w:rPr>
        <w:t xml:space="preserve"> al 2014).  This in turn affects other users in social media, </w:t>
      </w:r>
      <w:r w:rsidR="001949CD" w:rsidRPr="009F02A6">
        <w:rPr>
          <w:rFonts w:ascii="Cambria" w:eastAsia="Calibri" w:hAnsi="Cambria" w:cs="Times New Roman"/>
          <w:sz w:val="24"/>
          <w:szCs w:val="24"/>
        </w:rPr>
        <w:t>because</w:t>
      </w:r>
      <w:r w:rsidRPr="009F02A6">
        <w:rPr>
          <w:rFonts w:ascii="Cambria" w:eastAsia="Calibri" w:hAnsi="Cambria" w:cs="Times New Roman"/>
          <w:sz w:val="24"/>
          <w:szCs w:val="24"/>
        </w:rPr>
        <w:t xml:space="preserve"> the users of the social–media can be both the producers and consumers of information/ content (Khan 2017). This way, in one hand, the receivers have the required help, and on the other hand the providers have the sense of self–worth (Chan and Li 2010, Dholakia et al 2004, Marbach et al., 2016, Hennig–Thurau et al., 2004). As a form of electronic word of mouth (eWOM), commenting and reposting regarding a brand in social–media (Schivinski et al 2016) may be and act as a source of quality information, which eventually positively affect the purchase intention of that product (Kim and Johnson, 2016).  This type of brand related EWOM intention of the social–media users can be affected by the experience with the brand and the perception of the brand (Lovett et al. 2013; Shan and King, 2015). </w:t>
      </w:r>
    </w:p>
    <w:p w14:paraId="0F9C3B7A" w14:textId="7D4B6329" w:rsidR="0062756C" w:rsidRPr="00530906" w:rsidRDefault="0062756C" w:rsidP="0062756C">
      <w:pPr>
        <w:spacing w:line="360" w:lineRule="auto"/>
        <w:jc w:val="both"/>
        <w:rPr>
          <w:rFonts w:ascii="Cambria" w:eastAsia="Calibri" w:hAnsi="Cambria" w:cs="Times New Roman"/>
          <w:sz w:val="24"/>
          <w:szCs w:val="24"/>
        </w:rPr>
      </w:pPr>
      <w:r w:rsidRPr="009F02A6">
        <w:rPr>
          <w:rFonts w:ascii="Cambria" w:eastAsia="Calibri" w:hAnsi="Cambria" w:cs="Times New Roman"/>
          <w:sz w:val="24"/>
          <w:szCs w:val="24"/>
        </w:rPr>
        <w:t xml:space="preserve">In the context of </w:t>
      </w:r>
      <w:r w:rsidR="001C2653" w:rsidRPr="009F02A6">
        <w:rPr>
          <w:rFonts w:ascii="Cambria" w:eastAsia="Calibri" w:hAnsi="Cambria" w:cs="Adobe Devanagari"/>
          <w:sz w:val="24"/>
          <w:szCs w:val="24"/>
        </w:rPr>
        <w:t xml:space="preserve">ad with </w:t>
      </w:r>
      <w:r w:rsidR="00E363FB" w:rsidRPr="009F02A6">
        <w:rPr>
          <w:rFonts w:ascii="Cambria" w:eastAsia="Calibri" w:hAnsi="Cambria" w:cs="Adobe Devanagari"/>
          <w:sz w:val="24"/>
          <w:szCs w:val="24"/>
        </w:rPr>
        <w:t>sustainability</w:t>
      </w:r>
      <w:r w:rsidR="001C2653" w:rsidRPr="009F02A6">
        <w:rPr>
          <w:rFonts w:ascii="Cambria" w:eastAsia="Calibri" w:hAnsi="Cambria" w:cs="Adobe Devanagari"/>
          <w:sz w:val="24"/>
          <w:szCs w:val="24"/>
        </w:rPr>
        <w:t xml:space="preserve"> message</w:t>
      </w:r>
      <w:r w:rsidRPr="009F02A6">
        <w:rPr>
          <w:rFonts w:ascii="Cambria" w:eastAsia="Calibri" w:hAnsi="Cambria" w:cs="Times New Roman"/>
          <w:sz w:val="24"/>
          <w:szCs w:val="24"/>
        </w:rPr>
        <w:t xml:space="preserve">, it is posited in this thesis that, other consumers’ opinion about </w:t>
      </w:r>
      <w:r w:rsidRPr="009F02A6">
        <w:rPr>
          <w:rFonts w:ascii="Cambria" w:eastAsia="Times New Roman" w:hAnsi="Cambria" w:cs="Times New Roman"/>
          <w:noProof/>
          <w:sz w:val="24"/>
          <w:szCs w:val="24"/>
        </w:rPr>
        <w:t xml:space="preserve">ad with sustainbility message </w:t>
      </w:r>
      <w:r w:rsidRPr="009F02A6">
        <w:rPr>
          <w:rFonts w:ascii="Cambria" w:eastAsia="Calibri" w:hAnsi="Cambria" w:cs="Times New Roman"/>
          <w:sz w:val="24"/>
          <w:szCs w:val="24"/>
        </w:rPr>
        <w:t>will act as an antecedent to generate social media engagement, which will in turn influence the sustainable behaviour intention. In order to prove this statement, it is required to explore the antecedents and consequence of social media engagement. This leads to a thematic literature review of antecedents and consequences of social media engagement. The literature review is especially important because</w:t>
      </w:r>
      <w:r w:rsidRPr="00530906">
        <w:rPr>
          <w:rFonts w:ascii="Cambria" w:eastAsia="Calibri" w:hAnsi="Cambria" w:cs="Times New Roman"/>
          <w:sz w:val="24"/>
          <w:szCs w:val="24"/>
        </w:rPr>
        <w:t xml:space="preserve">, </w:t>
      </w:r>
      <w:r w:rsidRPr="00530906">
        <w:rPr>
          <w:rFonts w:ascii="Cambria" w:eastAsiaTheme="minorEastAsia" w:hAnsi="Cambria"/>
          <w:sz w:val="24"/>
          <w:szCs w:val="24"/>
        </w:rPr>
        <w:t xml:space="preserve">demonstrating the relationship is not enough to develop a theory about how positive or negative opinion of the consumers may influence sustainable–behaviour. The rationale of the relationship has to be supported by the literature, without which the proposed theory can be questioned of having unrealistic underlying assumptions (Whetten, 1989). </w:t>
      </w:r>
    </w:p>
    <w:p w14:paraId="77A27223" w14:textId="77777777" w:rsidR="0062756C" w:rsidRPr="00530906" w:rsidRDefault="0062756C" w:rsidP="0062756C">
      <w:pPr>
        <w:pStyle w:val="Heading2"/>
        <w:jc w:val="both"/>
        <w:rPr>
          <w:rFonts w:ascii="Cambria" w:eastAsia="Calibri" w:hAnsi="Cambria"/>
        </w:rPr>
      </w:pPr>
      <w:bookmarkStart w:id="30" w:name="_Toc115726221"/>
      <w:r w:rsidRPr="00530906">
        <w:rPr>
          <w:rFonts w:ascii="Cambria" w:eastAsia="Calibri" w:hAnsi="Cambria"/>
        </w:rPr>
        <w:t>2.5 Thematic literature review</w:t>
      </w:r>
      <w:bookmarkEnd w:id="30"/>
    </w:p>
    <w:p w14:paraId="2E01991C" w14:textId="12E52817" w:rsidR="00A26F6C" w:rsidRDefault="0062756C" w:rsidP="0062756C">
      <w:pPr>
        <w:spacing w:after="200" w:line="360" w:lineRule="auto"/>
        <w:jc w:val="both"/>
        <w:rPr>
          <w:rFonts w:ascii="Cambria" w:eastAsiaTheme="minorEastAsia" w:hAnsi="Cambria"/>
          <w:sz w:val="24"/>
          <w:szCs w:val="24"/>
        </w:rPr>
      </w:pPr>
      <w:r w:rsidRPr="00530906">
        <w:rPr>
          <w:rFonts w:ascii="Cambria" w:eastAsiaTheme="minorEastAsia" w:hAnsi="Cambria"/>
          <w:sz w:val="24"/>
          <w:szCs w:val="24"/>
        </w:rPr>
        <w:t xml:space="preserve">249 articles have been extracted by searching keywords, ‘Social media’ OR ‘Social-media’ AND ‘Engage*’ OR ‘Participat*’ OR ‘Activ*’ in abstract from major databases for business articles- Proquest (20), EBSCOhost (219), and Emarald (10). Search was limited from 2006 to 2021. Articles not written from consumers’ perspective has been excluded have been excluded. Among 249 articles 43 articles have been chosen for thematic analysis to understand the major constructs that affect social media engagement (see Braun and Clarke2006; Braun and Clarke 2012; Terry et al 2017; Behl and Dutta 2019). </w:t>
      </w:r>
      <w:r w:rsidR="001211EA">
        <w:rPr>
          <w:rFonts w:ascii="Cambria" w:eastAsiaTheme="minorEastAsia" w:hAnsi="Cambria"/>
          <w:sz w:val="24"/>
          <w:szCs w:val="24"/>
        </w:rPr>
        <w:t xml:space="preserve">As an </w:t>
      </w:r>
      <w:r w:rsidR="00F34F06">
        <w:rPr>
          <w:rFonts w:ascii="Cambria" w:eastAsiaTheme="minorEastAsia" w:hAnsi="Cambria"/>
          <w:sz w:val="24"/>
          <w:szCs w:val="24"/>
        </w:rPr>
        <w:t>inclusion criterion</w:t>
      </w:r>
      <w:r w:rsidR="003074D9">
        <w:rPr>
          <w:rFonts w:ascii="Cambria" w:eastAsiaTheme="minorEastAsia" w:hAnsi="Cambria"/>
          <w:sz w:val="24"/>
          <w:szCs w:val="24"/>
        </w:rPr>
        <w:t xml:space="preserve">, </w:t>
      </w:r>
      <w:r w:rsidR="00610378">
        <w:rPr>
          <w:rFonts w:ascii="Cambria" w:eastAsiaTheme="minorEastAsia" w:hAnsi="Cambria"/>
          <w:sz w:val="24"/>
          <w:szCs w:val="24"/>
        </w:rPr>
        <w:t>articles written from</w:t>
      </w:r>
      <w:r w:rsidRPr="00530906">
        <w:rPr>
          <w:rFonts w:ascii="Cambria" w:eastAsiaTheme="minorEastAsia" w:hAnsi="Cambria"/>
          <w:sz w:val="24"/>
          <w:szCs w:val="24"/>
        </w:rPr>
        <w:t xml:space="preserve"> social media</w:t>
      </w:r>
      <w:r w:rsidR="00610378">
        <w:rPr>
          <w:rFonts w:ascii="Cambria" w:eastAsiaTheme="minorEastAsia" w:hAnsi="Cambria"/>
          <w:sz w:val="24"/>
          <w:szCs w:val="24"/>
        </w:rPr>
        <w:t xml:space="preserve"> user</w:t>
      </w:r>
      <w:r w:rsidR="001443AA">
        <w:rPr>
          <w:rFonts w:ascii="Cambria" w:eastAsiaTheme="minorEastAsia" w:hAnsi="Cambria"/>
          <w:sz w:val="24"/>
          <w:szCs w:val="24"/>
        </w:rPr>
        <w:t xml:space="preserve">s’ perspective has been </w:t>
      </w:r>
      <w:r w:rsidR="00BD508A">
        <w:rPr>
          <w:rFonts w:ascii="Cambria" w:eastAsiaTheme="minorEastAsia" w:hAnsi="Cambria"/>
          <w:sz w:val="24"/>
          <w:szCs w:val="24"/>
        </w:rPr>
        <w:t>extracted</w:t>
      </w:r>
      <w:r w:rsidRPr="00530906">
        <w:rPr>
          <w:rFonts w:ascii="Cambria" w:eastAsiaTheme="minorEastAsia" w:hAnsi="Cambria"/>
          <w:sz w:val="24"/>
          <w:szCs w:val="24"/>
        </w:rPr>
        <w:t xml:space="preserve">. </w:t>
      </w:r>
      <w:r w:rsidR="004A7CA9">
        <w:rPr>
          <w:rFonts w:ascii="Cambria" w:eastAsiaTheme="minorEastAsia" w:hAnsi="Cambria"/>
          <w:sz w:val="24"/>
          <w:szCs w:val="24"/>
        </w:rPr>
        <w:t xml:space="preserve">Figure </w:t>
      </w:r>
      <w:r w:rsidR="003925DE">
        <w:rPr>
          <w:rFonts w:ascii="Cambria" w:eastAsiaTheme="minorEastAsia" w:hAnsi="Cambria"/>
          <w:sz w:val="24"/>
          <w:szCs w:val="24"/>
        </w:rPr>
        <w:t>8 shows</w:t>
      </w:r>
      <w:r w:rsidR="00DC0144">
        <w:rPr>
          <w:rFonts w:ascii="Cambria" w:eastAsiaTheme="minorEastAsia" w:hAnsi="Cambria"/>
          <w:sz w:val="24"/>
          <w:szCs w:val="24"/>
        </w:rPr>
        <w:t xml:space="preserve"> the</w:t>
      </w:r>
      <w:r w:rsidR="003925DE">
        <w:rPr>
          <w:rFonts w:ascii="Cambria" w:eastAsiaTheme="minorEastAsia" w:hAnsi="Cambria"/>
          <w:sz w:val="24"/>
          <w:szCs w:val="24"/>
        </w:rPr>
        <w:t xml:space="preserve"> PRISMA </w:t>
      </w:r>
      <w:r w:rsidR="00DC0144">
        <w:rPr>
          <w:rFonts w:ascii="Cambria" w:eastAsiaTheme="minorEastAsia" w:hAnsi="Cambria"/>
          <w:sz w:val="24"/>
          <w:szCs w:val="24"/>
        </w:rPr>
        <w:t xml:space="preserve">of the </w:t>
      </w:r>
      <w:r w:rsidR="00F34F06">
        <w:rPr>
          <w:rFonts w:ascii="Cambria" w:eastAsiaTheme="minorEastAsia" w:hAnsi="Cambria"/>
          <w:sz w:val="24"/>
          <w:szCs w:val="24"/>
        </w:rPr>
        <w:t>select</w:t>
      </w:r>
      <w:r w:rsidR="00CE0D0A">
        <w:rPr>
          <w:rFonts w:ascii="Cambria" w:eastAsiaTheme="minorEastAsia" w:hAnsi="Cambria"/>
          <w:sz w:val="24"/>
          <w:szCs w:val="24"/>
        </w:rPr>
        <w:t xml:space="preserve">ion process of </w:t>
      </w:r>
      <w:r w:rsidR="005C3716">
        <w:rPr>
          <w:rFonts w:ascii="Cambria" w:eastAsiaTheme="minorEastAsia" w:hAnsi="Cambria"/>
          <w:sz w:val="24"/>
          <w:szCs w:val="24"/>
        </w:rPr>
        <w:t>the articles to study</w:t>
      </w:r>
      <w:r w:rsidR="00CE0D0A">
        <w:rPr>
          <w:rFonts w:ascii="Cambria" w:eastAsiaTheme="minorEastAsia" w:hAnsi="Cambria"/>
          <w:sz w:val="24"/>
          <w:szCs w:val="24"/>
        </w:rPr>
        <w:t>.</w:t>
      </w:r>
    </w:p>
    <w:p w14:paraId="65E4606E" w14:textId="77777777" w:rsidR="00A26F6C" w:rsidRDefault="00A26F6C">
      <w:pPr>
        <w:spacing w:line="259" w:lineRule="auto"/>
        <w:rPr>
          <w:rFonts w:ascii="Cambria" w:eastAsiaTheme="minorEastAsia" w:hAnsi="Cambria"/>
          <w:sz w:val="24"/>
          <w:szCs w:val="24"/>
        </w:rPr>
      </w:pPr>
      <w:r>
        <w:rPr>
          <w:rFonts w:ascii="Cambria" w:eastAsiaTheme="minorEastAsia" w:hAnsi="Cambria"/>
          <w:sz w:val="24"/>
          <w:szCs w:val="24"/>
        </w:rPr>
        <w:br w:type="page"/>
      </w:r>
    </w:p>
    <w:p w14:paraId="0E5B8C56" w14:textId="77777777" w:rsidR="0062756C" w:rsidRPr="00530906" w:rsidRDefault="0062756C" w:rsidP="0062756C">
      <w:pPr>
        <w:jc w:val="both"/>
        <w:rPr>
          <w:rFonts w:ascii="Cambria" w:hAnsi="Cambria"/>
        </w:rPr>
      </w:pPr>
      <w:r w:rsidRPr="00530906">
        <w:rPr>
          <w:rFonts w:ascii="Cambria" w:hAnsi="Cambria" w:cs="Adobe Devanagari"/>
          <w:noProof/>
          <w:lang w:eastAsia="en-GB"/>
        </w:rPr>
        <mc:AlternateContent>
          <mc:Choice Requires="wpg">
            <w:drawing>
              <wp:anchor distT="0" distB="0" distL="114300" distR="114300" simplePos="0" relativeHeight="251657289" behindDoc="0" locked="0" layoutInCell="1" allowOverlap="1" wp14:anchorId="02282DC4" wp14:editId="0EEB1D1B">
                <wp:simplePos x="0" y="0"/>
                <wp:positionH relativeFrom="column">
                  <wp:posOffset>9939</wp:posOffset>
                </wp:positionH>
                <wp:positionV relativeFrom="paragraph">
                  <wp:posOffset>43511</wp:posOffset>
                </wp:positionV>
                <wp:extent cx="5874026" cy="2838450"/>
                <wp:effectExtent l="0" t="0" r="12700" b="1905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4026" cy="2838450"/>
                          <a:chOff x="-85724" y="0"/>
                          <a:chExt cx="5874623" cy="2838450"/>
                        </a:xfrm>
                      </wpg:grpSpPr>
                      <wps:wsp>
                        <wps:cNvPr id="218" name="Rectangle 1"/>
                        <wps:cNvSpPr/>
                        <wps:spPr>
                          <a:xfrm>
                            <a:off x="-19050" y="19050"/>
                            <a:ext cx="1085850" cy="4191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6E12D1" w14:textId="77777777" w:rsidR="0062756C" w:rsidRPr="00164CA2" w:rsidRDefault="0062756C" w:rsidP="0062756C">
                              <w:pPr>
                                <w:jc w:val="center"/>
                                <w:rPr>
                                  <w:sz w:val="18"/>
                                  <w:szCs w:val="18"/>
                                </w:rPr>
                              </w:pPr>
                              <w:r w:rsidRPr="00164CA2">
                                <w:rPr>
                                  <w:sz w:val="18"/>
                                  <w:szCs w:val="18"/>
                                </w:rPr>
                                <w:t>ProQuest (</w:t>
                              </w:r>
                              <w:r>
                                <w:rPr>
                                  <w:sz w:val="18"/>
                                  <w:szCs w:val="18"/>
                                </w:rPr>
                                <w:t>SE = 20</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
                        <wps:cNvSpPr/>
                        <wps:spPr>
                          <a:xfrm>
                            <a:off x="1228725" y="0"/>
                            <a:ext cx="1066800" cy="438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D4B35F" w14:textId="77777777" w:rsidR="0062756C" w:rsidRPr="00164CA2" w:rsidRDefault="0062756C" w:rsidP="0062756C">
                              <w:pPr>
                                <w:jc w:val="center"/>
                                <w:rPr>
                                  <w:sz w:val="18"/>
                                  <w:szCs w:val="18"/>
                                </w:rPr>
                              </w:pPr>
                              <w:r w:rsidRPr="00164CA2">
                                <w:rPr>
                                  <w:sz w:val="18"/>
                                  <w:szCs w:val="18"/>
                                </w:rPr>
                                <w:t>EBSCOhost (</w:t>
                              </w:r>
                              <w:r>
                                <w:rPr>
                                  <w:sz w:val="18"/>
                                  <w:szCs w:val="18"/>
                                </w:rPr>
                                <w:t>SE= 219</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3"/>
                        <wps:cNvSpPr/>
                        <wps:spPr>
                          <a:xfrm>
                            <a:off x="2447924" y="0"/>
                            <a:ext cx="1276351" cy="438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1F604" w14:textId="77777777" w:rsidR="0062756C" w:rsidRPr="00164CA2" w:rsidRDefault="0062756C" w:rsidP="0062756C">
                              <w:pPr>
                                <w:jc w:val="center"/>
                                <w:rPr>
                                  <w:sz w:val="18"/>
                                  <w:szCs w:val="18"/>
                                </w:rPr>
                              </w:pPr>
                              <w:r>
                                <w:rPr>
                                  <w:sz w:val="18"/>
                                  <w:szCs w:val="18"/>
                                </w:rPr>
                                <w:t>Emarald (SE=10</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4"/>
                        <wps:cNvSpPr/>
                        <wps:spPr>
                          <a:xfrm>
                            <a:off x="-85724" y="590550"/>
                            <a:ext cx="1095269" cy="4191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7BB43" w14:textId="77777777" w:rsidR="0062756C" w:rsidRPr="00164CA2" w:rsidRDefault="0062756C" w:rsidP="0062756C">
                              <w:pPr>
                                <w:jc w:val="center"/>
                                <w:rPr>
                                  <w:sz w:val="18"/>
                                  <w:szCs w:val="18"/>
                                </w:rPr>
                              </w:pPr>
                              <w:r w:rsidRPr="00164CA2">
                                <w:rPr>
                                  <w:sz w:val="18"/>
                                  <w:szCs w:val="18"/>
                                </w:rPr>
                                <w:t>ProQuest (</w:t>
                              </w:r>
                              <w:r>
                                <w:rPr>
                                  <w:sz w:val="18"/>
                                  <w:szCs w:val="18"/>
                                </w:rPr>
                                <w:t>SE = 1</w:t>
                              </w:r>
                              <w:r w:rsidRPr="00164CA2">
                                <w:rPr>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5"/>
                        <wps:cNvSpPr/>
                        <wps:spPr>
                          <a:xfrm>
                            <a:off x="1076444" y="581025"/>
                            <a:ext cx="1123831" cy="438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7E1F2" w14:textId="77777777" w:rsidR="0062756C" w:rsidRPr="00164CA2" w:rsidRDefault="0062756C" w:rsidP="0062756C">
                              <w:pPr>
                                <w:jc w:val="center"/>
                                <w:rPr>
                                  <w:sz w:val="18"/>
                                  <w:szCs w:val="18"/>
                                </w:rPr>
                              </w:pPr>
                              <w:r>
                                <w:rPr>
                                  <w:sz w:val="18"/>
                                  <w:szCs w:val="18"/>
                                </w:rPr>
                                <w:t>EBSCOhost (SE=53</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6"/>
                        <wps:cNvSpPr/>
                        <wps:spPr>
                          <a:xfrm>
                            <a:off x="2305294" y="581025"/>
                            <a:ext cx="1314583" cy="438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83A3E7" w14:textId="77777777" w:rsidR="0062756C" w:rsidRPr="00164CA2" w:rsidRDefault="0062756C" w:rsidP="0062756C">
                              <w:pPr>
                                <w:jc w:val="center"/>
                                <w:rPr>
                                  <w:sz w:val="18"/>
                                  <w:szCs w:val="18"/>
                                </w:rPr>
                              </w:pPr>
                              <w:r>
                                <w:rPr>
                                  <w:sz w:val="18"/>
                                  <w:szCs w:val="18"/>
                                </w:rPr>
                                <w:t>Emarald (SE = 0</w:t>
                              </w:r>
                              <w:r w:rsidRPr="00164CA2">
                                <w:rPr>
                                  <w:sz w:val="18"/>
                                  <w:szCs w:val="18"/>
                                </w:rPr>
                                <w:t>)</w:t>
                              </w:r>
                            </w:p>
                            <w:p w14:paraId="1E33CE74" w14:textId="77777777" w:rsidR="0062756C" w:rsidRPr="00164CA2" w:rsidRDefault="0062756C" w:rsidP="0062756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7"/>
                        <wps:cNvSpPr/>
                        <wps:spPr>
                          <a:xfrm>
                            <a:off x="3724277" y="581025"/>
                            <a:ext cx="2064622"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840372" w14:textId="77777777" w:rsidR="0062756C" w:rsidRPr="00F92908" w:rsidRDefault="0062756C" w:rsidP="0062756C">
                              <w:pPr>
                                <w:rPr>
                                  <w:sz w:val="18"/>
                                  <w:szCs w:val="18"/>
                                </w:rPr>
                              </w:pPr>
                              <w:r>
                                <w:rPr>
                                  <w:sz w:val="18"/>
                                  <w:szCs w:val="18"/>
                                </w:rPr>
                                <w:t>Excluded the articles which are not relevant to the objective (SE = 184)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8"/>
                        <wps:cNvSpPr/>
                        <wps:spPr>
                          <a:xfrm>
                            <a:off x="990711" y="1257300"/>
                            <a:ext cx="1495576" cy="247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84F4F3" w14:textId="77777777" w:rsidR="0062756C" w:rsidRPr="00164CA2" w:rsidRDefault="0062756C" w:rsidP="0062756C">
                              <w:pPr>
                                <w:jc w:val="center"/>
                                <w:rPr>
                                  <w:sz w:val="18"/>
                                  <w:szCs w:val="18"/>
                                </w:rPr>
                              </w:pPr>
                              <w:r w:rsidRPr="00164CA2">
                                <w:rPr>
                                  <w:sz w:val="18"/>
                                  <w:szCs w:val="18"/>
                                </w:rPr>
                                <w:t>Total (</w:t>
                              </w:r>
                              <w:r>
                                <w:rPr>
                                  <w:sz w:val="18"/>
                                  <w:szCs w:val="18"/>
                                </w:rPr>
                                <w:t>SE = 65</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9"/>
                        <wps:cNvSpPr/>
                        <wps:spPr>
                          <a:xfrm>
                            <a:off x="1009545" y="1590675"/>
                            <a:ext cx="1486268" cy="247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5BB28" w14:textId="77777777" w:rsidR="0062756C" w:rsidRPr="00164CA2" w:rsidRDefault="0062756C" w:rsidP="0062756C">
                              <w:pPr>
                                <w:jc w:val="center"/>
                                <w:rPr>
                                  <w:sz w:val="18"/>
                                  <w:szCs w:val="18"/>
                                </w:rPr>
                              </w:pPr>
                              <w:r w:rsidRPr="00164CA2">
                                <w:rPr>
                                  <w:sz w:val="18"/>
                                  <w:szCs w:val="18"/>
                                </w:rPr>
                                <w:t>Total (</w:t>
                              </w:r>
                              <w:r>
                                <w:rPr>
                                  <w:sz w:val="18"/>
                                  <w:szCs w:val="18"/>
                                </w:rPr>
                                <w:t>SE = 51</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10"/>
                        <wps:cNvSpPr/>
                        <wps:spPr>
                          <a:xfrm>
                            <a:off x="2667000" y="1533525"/>
                            <a:ext cx="281044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D9E62A" w14:textId="77777777" w:rsidR="0062756C" w:rsidRPr="00F92908" w:rsidRDefault="0062756C" w:rsidP="0062756C">
                              <w:pPr>
                                <w:rPr>
                                  <w:sz w:val="18"/>
                                  <w:szCs w:val="18"/>
                                </w:rPr>
                              </w:pPr>
                              <w:r>
                                <w:rPr>
                                  <w:sz w:val="18"/>
                                  <w:szCs w:val="18"/>
                                </w:rPr>
                                <w:t>Removed the duplicate references (SE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11"/>
                        <wps:cNvSpPr/>
                        <wps:spPr>
                          <a:xfrm>
                            <a:off x="952607" y="1990725"/>
                            <a:ext cx="1543207" cy="247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5FC407" w14:textId="77777777" w:rsidR="0062756C" w:rsidRPr="00164CA2" w:rsidRDefault="0062756C" w:rsidP="0062756C">
                              <w:pPr>
                                <w:rPr>
                                  <w:sz w:val="18"/>
                                  <w:szCs w:val="18"/>
                                </w:rPr>
                              </w:pPr>
                              <w:r w:rsidRPr="00164CA2">
                                <w:rPr>
                                  <w:sz w:val="18"/>
                                  <w:szCs w:val="18"/>
                                </w:rPr>
                                <w:t>Business related (</w:t>
                              </w:r>
                              <w:r>
                                <w:rPr>
                                  <w:sz w:val="18"/>
                                  <w:szCs w:val="18"/>
                                </w:rPr>
                                <w:t>SE = 51</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12"/>
                        <wps:cNvSpPr/>
                        <wps:spPr>
                          <a:xfrm>
                            <a:off x="2647950" y="1962150"/>
                            <a:ext cx="2663823"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F03A99" w14:textId="77777777" w:rsidR="0062756C" w:rsidRPr="00F92908" w:rsidRDefault="0062756C" w:rsidP="0062756C">
                              <w:pPr>
                                <w:rPr>
                                  <w:sz w:val="18"/>
                                  <w:szCs w:val="18"/>
                                </w:rPr>
                              </w:pPr>
                              <w:r>
                                <w:rPr>
                                  <w:sz w:val="18"/>
                                  <w:szCs w:val="18"/>
                                </w:rPr>
                                <w:t>Excluded the articles which are not business related by using ABS ranking (SE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14"/>
                        <wps:cNvSpPr/>
                        <wps:spPr>
                          <a:xfrm>
                            <a:off x="1009762" y="2476500"/>
                            <a:ext cx="1466998" cy="247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04FBBD" w14:textId="77777777" w:rsidR="0062756C" w:rsidRPr="00164CA2" w:rsidRDefault="0062756C" w:rsidP="0062756C">
                              <w:pPr>
                                <w:jc w:val="center"/>
                                <w:rPr>
                                  <w:sz w:val="18"/>
                                  <w:szCs w:val="18"/>
                                </w:rPr>
                              </w:pPr>
                              <w:r>
                                <w:rPr>
                                  <w:sz w:val="18"/>
                                  <w:szCs w:val="18"/>
                                </w:rPr>
                                <w:t xml:space="preserve">Total </w:t>
                              </w:r>
                              <w:r w:rsidRPr="00164CA2">
                                <w:rPr>
                                  <w:sz w:val="18"/>
                                  <w:szCs w:val="18"/>
                                </w:rPr>
                                <w:t>(</w:t>
                              </w:r>
                              <w:r>
                                <w:rPr>
                                  <w:sz w:val="18"/>
                                  <w:szCs w:val="18"/>
                                </w:rPr>
                                <w:t>SE = 43</w:t>
                              </w:r>
                              <w:r w:rsidRPr="00164CA2">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16"/>
                        <wps:cNvSpPr/>
                        <wps:spPr>
                          <a:xfrm>
                            <a:off x="2628903" y="2447925"/>
                            <a:ext cx="2848538"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3A5AAC" w14:textId="77777777" w:rsidR="0062756C" w:rsidRPr="00F92908" w:rsidRDefault="0062756C" w:rsidP="0062756C">
                              <w:pPr>
                                <w:rPr>
                                  <w:sz w:val="18"/>
                                  <w:szCs w:val="18"/>
                                </w:rPr>
                              </w:pPr>
                              <w:r>
                                <w:rPr>
                                  <w:sz w:val="18"/>
                                  <w:szCs w:val="18"/>
                                </w:rPr>
                                <w:t>After screening through the article those covers the excluding topics (S</w:t>
                              </w:r>
                              <w:r w:rsidRPr="00F53240">
                                <w:rPr>
                                  <w:sz w:val="18"/>
                                  <w:szCs w:val="18"/>
                                </w:rPr>
                                <w:t>E</w:t>
                              </w:r>
                              <w:r>
                                <w:rPr>
                                  <w:sz w:val="18"/>
                                  <w:szCs w:val="18"/>
                                </w:rPr>
                                <w:t xml:space="preserve"> </w:t>
                              </w:r>
                              <w:r w:rsidRPr="00F53240">
                                <w:rPr>
                                  <w:sz w:val="18"/>
                                  <w:szCs w:val="18"/>
                                </w:rPr>
                                <w:t>=</w:t>
                              </w:r>
                              <w:r>
                                <w:rPr>
                                  <w:sz w:val="18"/>
                                  <w:szCs w:val="18"/>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Arrow Connector 17"/>
                        <wps:cNvCnPr/>
                        <wps:spPr>
                          <a:xfrm>
                            <a:off x="533400" y="447675"/>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Straight Arrow Connector 18"/>
                        <wps:cNvCnPr/>
                        <wps:spPr>
                          <a:xfrm>
                            <a:off x="1800225" y="447675"/>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19"/>
                        <wps:cNvCnPr/>
                        <wps:spPr>
                          <a:xfrm>
                            <a:off x="2981325" y="447675"/>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7" name="Straight Connector 20"/>
                        <wps:cNvCnPr/>
                        <wps:spPr>
                          <a:xfrm>
                            <a:off x="504825" y="100965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Straight Connector 21"/>
                        <wps:cNvCnPr/>
                        <wps:spPr>
                          <a:xfrm>
                            <a:off x="514350" y="1104900"/>
                            <a:ext cx="2486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2"/>
                        <wps:cNvCnPr/>
                        <wps:spPr>
                          <a:xfrm>
                            <a:off x="3000375" y="101917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Straight Arrow Connector 25"/>
                        <wps:cNvCnPr/>
                        <wps:spPr>
                          <a:xfrm>
                            <a:off x="1762125" y="102870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6"/>
                        <wps:cNvCnPr/>
                        <wps:spPr>
                          <a:xfrm>
                            <a:off x="1752600" y="1514475"/>
                            <a:ext cx="0" cy="85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
                        <wps:cNvCnPr/>
                        <wps:spPr>
                          <a:xfrm>
                            <a:off x="1752600" y="184785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Straight Arrow Connector 28"/>
                        <wps:cNvCnPr/>
                        <wps:spPr>
                          <a:xfrm>
                            <a:off x="1743075" y="224790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282DC4" id="Group 217" o:spid="_x0000_s1067" style="position:absolute;left:0;text-align:left;margin-left:.8pt;margin-top:3.45pt;width:462.5pt;height:223.5pt;z-index:251657289;mso-width-relative:margin;mso-height-relative:margin" coordorigin="-857" coordsize="58746,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">
                <v:rect id="Rectangle 1" o:spid="_x0000_s1068" style="position:absolute;left:-190;top:190;width:10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" filled="f" strokecolor="black [3213]" strokeweight="1pt">
                  <v:textbox>
                    <w:txbxContent>
                      <w:p w14:paraId="376E12D1" w14:textId="77777777" w:rsidR="0062756C" w:rsidRPr="00164CA2" w:rsidRDefault="0062756C" w:rsidP="0062756C">
                        <w:pPr>
                          <w:jc w:val="center"/>
                          <w:rPr>
                            <w:sz w:val="18"/>
                            <w:szCs w:val="18"/>
                          </w:rPr>
                        </w:pPr>
                        <w:r w:rsidRPr="00164CA2">
                          <w:rPr>
                            <w:sz w:val="18"/>
                            <w:szCs w:val="18"/>
                          </w:rPr>
                          <w:t>ProQuest (</w:t>
                        </w:r>
                        <w:r>
                          <w:rPr>
                            <w:sz w:val="18"/>
                            <w:szCs w:val="18"/>
                          </w:rPr>
                          <w:t>SE = 20</w:t>
                        </w:r>
                        <w:r w:rsidRPr="00164CA2">
                          <w:rPr>
                            <w:sz w:val="18"/>
                            <w:szCs w:val="18"/>
                          </w:rPr>
                          <w:t>)</w:t>
                        </w:r>
                      </w:p>
                    </w:txbxContent>
                  </v:textbox>
                </v:rect>
                <v:rect id="Rectangle 2" o:spid="_x0000_s1069" style="position:absolute;left:12287;width:1066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" filled="f" strokecolor="black [3213]" strokeweight="1pt">
                  <v:textbox>
                    <w:txbxContent>
                      <w:p w14:paraId="14D4B35F" w14:textId="77777777" w:rsidR="0062756C" w:rsidRPr="00164CA2" w:rsidRDefault="0062756C" w:rsidP="0062756C">
                        <w:pPr>
                          <w:jc w:val="center"/>
                          <w:rPr>
                            <w:sz w:val="18"/>
                            <w:szCs w:val="18"/>
                          </w:rPr>
                        </w:pPr>
                        <w:r w:rsidRPr="00164CA2">
                          <w:rPr>
                            <w:sz w:val="18"/>
                            <w:szCs w:val="18"/>
                          </w:rPr>
                          <w:t>EBSCOhost (</w:t>
                        </w:r>
                        <w:r>
                          <w:rPr>
                            <w:sz w:val="18"/>
                            <w:szCs w:val="18"/>
                          </w:rPr>
                          <w:t>SE= 219</w:t>
                        </w:r>
                        <w:r w:rsidRPr="00164CA2">
                          <w:rPr>
                            <w:sz w:val="18"/>
                            <w:szCs w:val="18"/>
                          </w:rPr>
                          <w:t>)</w:t>
                        </w:r>
                      </w:p>
                    </w:txbxContent>
                  </v:textbox>
                </v:rect>
                <v:rect id="Rectangle 3" o:spid="_x0000_s1070" style="position:absolute;left:24479;width:12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" filled="f" strokecolor="black [3213]" strokeweight="1pt">
                  <v:textbox>
                    <w:txbxContent>
                      <w:p w14:paraId="3EF1F604" w14:textId="77777777" w:rsidR="0062756C" w:rsidRPr="00164CA2" w:rsidRDefault="0062756C" w:rsidP="0062756C">
                        <w:pPr>
                          <w:jc w:val="center"/>
                          <w:rPr>
                            <w:sz w:val="18"/>
                            <w:szCs w:val="18"/>
                          </w:rPr>
                        </w:pPr>
                        <w:r>
                          <w:rPr>
                            <w:sz w:val="18"/>
                            <w:szCs w:val="18"/>
                          </w:rPr>
                          <w:t>Emarald (SE=10</w:t>
                        </w:r>
                        <w:r w:rsidRPr="00164CA2">
                          <w:rPr>
                            <w:sz w:val="18"/>
                            <w:szCs w:val="18"/>
                          </w:rPr>
                          <w:t>)</w:t>
                        </w:r>
                      </w:p>
                    </w:txbxContent>
                  </v:textbox>
                </v:rect>
                <v:rect id="Rectangle 4" o:spid="_x0000_s1071" style="position:absolute;left:-857;top:5905;width:1095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" filled="f" strokecolor="black [3213]" strokeweight="1pt">
                  <v:textbox>
                    <w:txbxContent>
                      <w:p w14:paraId="6377BB43" w14:textId="77777777" w:rsidR="0062756C" w:rsidRPr="00164CA2" w:rsidRDefault="0062756C" w:rsidP="0062756C">
                        <w:pPr>
                          <w:jc w:val="center"/>
                          <w:rPr>
                            <w:sz w:val="18"/>
                            <w:szCs w:val="18"/>
                          </w:rPr>
                        </w:pPr>
                        <w:r w:rsidRPr="00164CA2">
                          <w:rPr>
                            <w:sz w:val="18"/>
                            <w:szCs w:val="18"/>
                          </w:rPr>
                          <w:t>ProQuest (</w:t>
                        </w:r>
                        <w:r>
                          <w:rPr>
                            <w:sz w:val="18"/>
                            <w:szCs w:val="18"/>
                          </w:rPr>
                          <w:t>SE = 1</w:t>
                        </w:r>
                        <w:r w:rsidRPr="00164CA2">
                          <w:rPr>
                            <w:sz w:val="18"/>
                            <w:szCs w:val="18"/>
                          </w:rPr>
                          <w:t>2)</w:t>
                        </w:r>
                      </w:p>
                    </w:txbxContent>
                  </v:textbox>
                </v:rect>
                <v:rect id="Rectangle 5" o:spid="_x0000_s1072" style="position:absolute;left:10764;top:5810;width:1123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" filled="f" strokecolor="black [3213]" strokeweight="1pt">
                  <v:textbox>
                    <w:txbxContent>
                      <w:p w14:paraId="0357E1F2" w14:textId="77777777" w:rsidR="0062756C" w:rsidRPr="00164CA2" w:rsidRDefault="0062756C" w:rsidP="0062756C">
                        <w:pPr>
                          <w:jc w:val="center"/>
                          <w:rPr>
                            <w:sz w:val="18"/>
                            <w:szCs w:val="18"/>
                          </w:rPr>
                        </w:pPr>
                        <w:r>
                          <w:rPr>
                            <w:sz w:val="18"/>
                            <w:szCs w:val="18"/>
                          </w:rPr>
                          <w:t>EBSCOhost (SE=53</w:t>
                        </w:r>
                        <w:r w:rsidRPr="00164CA2">
                          <w:rPr>
                            <w:sz w:val="18"/>
                            <w:szCs w:val="18"/>
                          </w:rPr>
                          <w:t>)</w:t>
                        </w:r>
                      </w:p>
                    </w:txbxContent>
                  </v:textbox>
                </v:rect>
                <v:rect id="Rectangle 6" o:spid="_x0000_s1073" style="position:absolute;left:23052;top:5810;width:13146;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gDxwAAANwAAAAPAAAAZHJzL2Rvd25yZXYueG1sRI9BS8NA&#10;FITvBf/D8oReit00Qi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KWL2APHAAAA3AAA&#10;AA8AAAAAAAAAAAAAAAAABwIAAGRycy9kb3ducmV2LnhtbFBLBQYAAAAAAwADALcAAAD7AgAAAAA=&#10;" filled="f" strokecolor="black [3213]" strokeweight="1pt">
                  <v:textbox>
                    <w:txbxContent>
                      <w:p w14:paraId="5D83A3E7" w14:textId="77777777" w:rsidR="0062756C" w:rsidRPr="00164CA2" w:rsidRDefault="0062756C" w:rsidP="0062756C">
                        <w:pPr>
                          <w:jc w:val="center"/>
                          <w:rPr>
                            <w:sz w:val="18"/>
                            <w:szCs w:val="18"/>
                          </w:rPr>
                        </w:pPr>
                        <w:r>
                          <w:rPr>
                            <w:sz w:val="18"/>
                            <w:szCs w:val="18"/>
                          </w:rPr>
                          <w:t>Emarald (SE = 0</w:t>
                        </w:r>
                        <w:r w:rsidRPr="00164CA2">
                          <w:rPr>
                            <w:sz w:val="18"/>
                            <w:szCs w:val="18"/>
                          </w:rPr>
                          <w:t>)</w:t>
                        </w:r>
                      </w:p>
                      <w:p w14:paraId="1E33CE74" w14:textId="77777777" w:rsidR="0062756C" w:rsidRPr="00164CA2" w:rsidRDefault="0062756C" w:rsidP="0062756C">
                        <w:pPr>
                          <w:jc w:val="center"/>
                          <w:rPr>
                            <w:sz w:val="18"/>
                            <w:szCs w:val="18"/>
                          </w:rPr>
                        </w:pPr>
                      </w:p>
                    </w:txbxContent>
                  </v:textbox>
                </v:rect>
                <v:rect id="Rectangle 7" o:spid="_x0000_s1074" style="position:absolute;left:37242;top:5810;width:2064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" fillcolor="white [3201]" strokecolor="#70ad47 [3209]" strokeweight="1pt">
                  <v:textbox>
                    <w:txbxContent>
                      <w:p w14:paraId="44840372" w14:textId="77777777" w:rsidR="0062756C" w:rsidRPr="00F92908" w:rsidRDefault="0062756C" w:rsidP="0062756C">
                        <w:pPr>
                          <w:rPr>
                            <w:sz w:val="18"/>
                            <w:szCs w:val="18"/>
                          </w:rPr>
                        </w:pPr>
                        <w:r>
                          <w:rPr>
                            <w:sz w:val="18"/>
                            <w:szCs w:val="18"/>
                          </w:rPr>
                          <w:t>Excluded the articles which are not relevant to the objective (SE = 184)</w:t>
                        </w:r>
                      </w:p>
                    </w:txbxContent>
                  </v:textbox>
                </v:rect>
                <v:rect id="Rectangle 8" o:spid="_x0000_s1075" style="position:absolute;left:9907;top:12573;width:1495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19xwAAANwAAAAPAAAAZHJzL2Rvd25yZXYueG1sRI9Ba8JA&#10;FITvhf6H5RW8iG4U2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IK2rX3HAAAA3AAA&#10;AA8AAAAAAAAAAAAAAAAABwIAAGRycy9kb3ducmV2LnhtbFBLBQYAAAAAAwADALcAAAD7AgAAAAA=&#10;" filled="f" strokecolor="black [3213]" strokeweight="1pt">
                  <v:textbox>
                    <w:txbxContent>
                      <w:p w14:paraId="1784F4F3" w14:textId="77777777" w:rsidR="0062756C" w:rsidRPr="00164CA2" w:rsidRDefault="0062756C" w:rsidP="0062756C">
                        <w:pPr>
                          <w:jc w:val="center"/>
                          <w:rPr>
                            <w:sz w:val="18"/>
                            <w:szCs w:val="18"/>
                          </w:rPr>
                        </w:pPr>
                        <w:r w:rsidRPr="00164CA2">
                          <w:rPr>
                            <w:sz w:val="18"/>
                            <w:szCs w:val="18"/>
                          </w:rPr>
                          <w:t>Total (</w:t>
                        </w:r>
                        <w:r>
                          <w:rPr>
                            <w:sz w:val="18"/>
                            <w:szCs w:val="18"/>
                          </w:rPr>
                          <w:t>SE = 65</w:t>
                        </w:r>
                        <w:r w:rsidRPr="00164CA2">
                          <w:rPr>
                            <w:sz w:val="18"/>
                            <w:szCs w:val="18"/>
                          </w:rPr>
                          <w:t>)</w:t>
                        </w:r>
                      </w:p>
                    </w:txbxContent>
                  </v:textbox>
                </v:rect>
                <v:rect id="Rectangle 9" o:spid="_x0000_s1076" style="position:absolute;left:10095;top:15906;width:1486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kPwwAAANwAAAAPAAAAZHJzL2Rvd25yZXYueG1sRE9Na8JA&#10;EL0L/Q/LCL1I3Sgo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8yk5D8MAAADcAAAADwAA&#10;AAAAAAAAAAAAAAAHAgAAZHJzL2Rvd25yZXYueG1sUEsFBgAAAAADAAMAtwAAAPcCAAAAAA==&#10;" filled="f" strokecolor="black [3213]" strokeweight="1pt">
                  <v:textbox>
                    <w:txbxContent>
                      <w:p w14:paraId="62B5BB28" w14:textId="77777777" w:rsidR="0062756C" w:rsidRPr="00164CA2" w:rsidRDefault="0062756C" w:rsidP="0062756C">
                        <w:pPr>
                          <w:jc w:val="center"/>
                          <w:rPr>
                            <w:sz w:val="18"/>
                            <w:szCs w:val="18"/>
                          </w:rPr>
                        </w:pPr>
                        <w:r w:rsidRPr="00164CA2">
                          <w:rPr>
                            <w:sz w:val="18"/>
                            <w:szCs w:val="18"/>
                          </w:rPr>
                          <w:t>Total (</w:t>
                        </w:r>
                        <w:r>
                          <w:rPr>
                            <w:sz w:val="18"/>
                            <w:szCs w:val="18"/>
                          </w:rPr>
                          <w:t>SE = 51</w:t>
                        </w:r>
                        <w:r w:rsidRPr="00164CA2">
                          <w:rPr>
                            <w:sz w:val="18"/>
                            <w:szCs w:val="18"/>
                          </w:rPr>
                          <w:t>)</w:t>
                        </w:r>
                      </w:p>
                    </w:txbxContent>
                  </v:textbox>
                </v:rect>
                <v:rect id="Rectangle 10" o:spid="_x0000_s1077" style="position:absolute;left:26670;top:15335;width:2810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" fillcolor="white [3201]" strokecolor="#70ad47 [3209]" strokeweight="1pt">
                  <v:textbox>
                    <w:txbxContent>
                      <w:p w14:paraId="70D9E62A" w14:textId="77777777" w:rsidR="0062756C" w:rsidRPr="00F92908" w:rsidRDefault="0062756C" w:rsidP="0062756C">
                        <w:pPr>
                          <w:rPr>
                            <w:sz w:val="18"/>
                            <w:szCs w:val="18"/>
                          </w:rPr>
                        </w:pPr>
                        <w:r>
                          <w:rPr>
                            <w:sz w:val="18"/>
                            <w:szCs w:val="18"/>
                          </w:rPr>
                          <w:t>Removed the duplicate references (SE = 14)</w:t>
                        </w:r>
                      </w:p>
                    </w:txbxContent>
                  </v:textbox>
                </v:rect>
                <v:rect id="Rectangle 11" o:spid="_x0000_s1078" style="position:absolute;left:9526;top:19907;width:1543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" filled="f" strokecolor="black [3213]" strokeweight="1pt">
                  <v:textbox>
                    <w:txbxContent>
                      <w:p w14:paraId="725FC407" w14:textId="77777777" w:rsidR="0062756C" w:rsidRPr="00164CA2" w:rsidRDefault="0062756C" w:rsidP="0062756C">
                        <w:pPr>
                          <w:rPr>
                            <w:sz w:val="18"/>
                            <w:szCs w:val="18"/>
                          </w:rPr>
                        </w:pPr>
                        <w:r w:rsidRPr="00164CA2">
                          <w:rPr>
                            <w:sz w:val="18"/>
                            <w:szCs w:val="18"/>
                          </w:rPr>
                          <w:t>Business related (</w:t>
                        </w:r>
                        <w:r>
                          <w:rPr>
                            <w:sz w:val="18"/>
                            <w:szCs w:val="18"/>
                          </w:rPr>
                          <w:t>SE = 51</w:t>
                        </w:r>
                        <w:r w:rsidRPr="00164CA2">
                          <w:rPr>
                            <w:sz w:val="18"/>
                            <w:szCs w:val="18"/>
                          </w:rPr>
                          <w:t>)</w:t>
                        </w:r>
                      </w:p>
                    </w:txbxContent>
                  </v:textbox>
                </v:rect>
                <v:rect id="Rectangle 12" o:spid="_x0000_s1079" style="position:absolute;left:26479;top:19621;width:2663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" fillcolor="white [3201]" strokecolor="#70ad47 [3209]" strokeweight="1pt">
                  <v:textbox>
                    <w:txbxContent>
                      <w:p w14:paraId="5EF03A99" w14:textId="77777777" w:rsidR="0062756C" w:rsidRPr="00F92908" w:rsidRDefault="0062756C" w:rsidP="0062756C">
                        <w:pPr>
                          <w:rPr>
                            <w:sz w:val="18"/>
                            <w:szCs w:val="18"/>
                          </w:rPr>
                        </w:pPr>
                        <w:r>
                          <w:rPr>
                            <w:sz w:val="18"/>
                            <w:szCs w:val="18"/>
                          </w:rPr>
                          <w:t>Excluded the articles which are not business related by using ABS ranking (SE = 0)</w:t>
                        </w:r>
                      </w:p>
                    </w:txbxContent>
                  </v:textbox>
                </v:rect>
                <v:rect id="Rectangle 14" o:spid="_x0000_s1080" style="position:absolute;left:10097;top:24765;width:146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RY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8xz+zqQjoJdXAAAA//8DAFBLAQItABQABgAIAAAAIQDb4fbL7gAAAIUBAAATAAAAAAAA&#10;AAAAAAAAAAAAAABbQ29udGVudF9UeXBlc10ueG1sUEsBAi0AFAAGAAgAAAAhAFr0LFu/AAAAFQEA&#10;AAsAAAAAAAAAAAAAAAAAHwEAAF9yZWxzLy5yZWxzUEsBAi0AFAAGAAgAAAAhAFytxFjHAAAA3AAA&#10;AA8AAAAAAAAAAAAAAAAABwIAAGRycy9kb3ducmV2LnhtbFBLBQYAAAAAAwADALcAAAD7AgAAAAA=&#10;" filled="f" strokecolor="black [3213]" strokeweight="1pt">
                  <v:textbox>
                    <w:txbxContent>
                      <w:p w14:paraId="4104FBBD" w14:textId="77777777" w:rsidR="0062756C" w:rsidRPr="00164CA2" w:rsidRDefault="0062756C" w:rsidP="0062756C">
                        <w:pPr>
                          <w:jc w:val="center"/>
                          <w:rPr>
                            <w:sz w:val="18"/>
                            <w:szCs w:val="18"/>
                          </w:rPr>
                        </w:pPr>
                        <w:r>
                          <w:rPr>
                            <w:sz w:val="18"/>
                            <w:szCs w:val="18"/>
                          </w:rPr>
                          <w:t xml:space="preserve">Total </w:t>
                        </w:r>
                        <w:r w:rsidRPr="00164CA2">
                          <w:rPr>
                            <w:sz w:val="18"/>
                            <w:szCs w:val="18"/>
                          </w:rPr>
                          <w:t>(</w:t>
                        </w:r>
                        <w:r>
                          <w:rPr>
                            <w:sz w:val="18"/>
                            <w:szCs w:val="18"/>
                          </w:rPr>
                          <w:t>SE = 43</w:t>
                        </w:r>
                        <w:r w:rsidRPr="00164CA2">
                          <w:rPr>
                            <w:sz w:val="18"/>
                            <w:szCs w:val="18"/>
                          </w:rPr>
                          <w:t>)</w:t>
                        </w:r>
                      </w:p>
                    </w:txbxContent>
                  </v:textbox>
                </v:rect>
                <v:rect id="Rectangle 16" o:spid="_x0000_s1081" style="position:absolute;left:26289;top:24479;width:2848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" fillcolor="white [3201]" strokecolor="#70ad47 [3209]" strokeweight="1pt">
                  <v:textbox>
                    <w:txbxContent>
                      <w:p w14:paraId="773A5AAC" w14:textId="77777777" w:rsidR="0062756C" w:rsidRPr="00F92908" w:rsidRDefault="0062756C" w:rsidP="0062756C">
                        <w:pPr>
                          <w:rPr>
                            <w:sz w:val="18"/>
                            <w:szCs w:val="18"/>
                          </w:rPr>
                        </w:pPr>
                        <w:r>
                          <w:rPr>
                            <w:sz w:val="18"/>
                            <w:szCs w:val="18"/>
                          </w:rPr>
                          <w:t>After screening through the article those covers the excluding topics (S</w:t>
                        </w:r>
                        <w:r w:rsidRPr="00F53240">
                          <w:rPr>
                            <w:sz w:val="18"/>
                            <w:szCs w:val="18"/>
                          </w:rPr>
                          <w:t>E</w:t>
                        </w:r>
                        <w:r>
                          <w:rPr>
                            <w:sz w:val="18"/>
                            <w:szCs w:val="18"/>
                          </w:rPr>
                          <w:t xml:space="preserve"> </w:t>
                        </w:r>
                        <w:r w:rsidRPr="00F53240">
                          <w:rPr>
                            <w:sz w:val="18"/>
                            <w:szCs w:val="18"/>
                          </w:rPr>
                          <w:t>=</w:t>
                        </w:r>
                        <w:r>
                          <w:rPr>
                            <w:sz w:val="18"/>
                            <w:szCs w:val="18"/>
                          </w:rPr>
                          <w:t xml:space="preserve"> 8)</w:t>
                        </w:r>
                      </w:p>
                    </w:txbxContent>
                  </v:textbox>
                </v:rect>
                <v:shape id="Straight Arrow Connector 17" o:spid="_x0000_s1082" type="#_x0000_t32" style="position:absolute;left:5334;top:447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" strokecolor="black [3213]" strokeweight=".5pt">
                  <v:stroke endarrow="block" joinstyle="miter"/>
                </v:shape>
                <v:shape id="Straight Arrow Connector 18" o:spid="_x0000_s1083" type="#_x0000_t32" style="position:absolute;left:18002;top:447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" strokecolor="black [3213]" strokeweight=".5pt">
                  <v:stroke endarrow="block" joinstyle="miter"/>
                </v:shape>
                <v:shape id="Straight Arrow Connector 19" o:spid="_x0000_s1084" type="#_x0000_t32" style="position:absolute;left:29813;top:447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" strokecolor="black [3213]" strokeweight=".5pt">
                  <v:stroke endarrow="block" joinstyle="miter"/>
                </v:shape>
                <v:line id="Straight Connector 20" o:spid="_x0000_s1085" style="position:absolute;visibility:visible;mso-wrap-style:square" from="5048,10096" to="504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line id="Straight Connector 21" o:spid="_x0000_s1086" style="position:absolute;visibility:visible;mso-wrap-style:square" from="5143,11049" to="3000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" strokecolor="black [3213]" strokeweight=".5pt">
                  <v:stroke joinstyle="miter"/>
                </v:line>
                <v:line id="Straight Connector 22" o:spid="_x0000_s1087" style="position:absolute;visibility:visible;mso-wrap-style:square" from="30003,10191" to="30003,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" strokecolor="black [3200]" strokeweight=".5pt">
                  <v:stroke joinstyle="miter"/>
                </v:line>
                <v:shape id="Straight Arrow Connector 25" o:spid="_x0000_s1088" type="#_x0000_t32" style="position:absolute;left:17621;top:102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" strokecolor="black [3213]" strokeweight=".5pt">
                  <v:stroke endarrow="block" joinstyle="miter"/>
                </v:shape>
                <v:shape id="Straight Arrow Connector 26" o:spid="_x0000_s1089" type="#_x0000_t32" style="position:absolute;left:17526;top:15144;width: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" strokecolor="black [3213]" strokeweight=".5pt">
                  <v:stroke endarrow="block" joinstyle="miter"/>
                </v:shape>
                <v:shape id="Straight Arrow Connector 27" o:spid="_x0000_s1090" type="#_x0000_t32" style="position:absolute;left:17526;top:18478;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" strokecolor="black [3213]" strokeweight=".5pt">
                  <v:stroke endarrow="block" joinstyle="miter"/>
                </v:shape>
                <v:shape id="Straight Arrow Connector 28" o:spid="_x0000_s1091" type="#_x0000_t32" style="position:absolute;left:17430;top:22479;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" strokecolor="black [3213]" strokeweight=".5pt">
                  <v:stroke endarrow="block" joinstyle="miter"/>
                </v:shape>
              </v:group>
            </w:pict>
          </mc:Fallback>
        </mc:AlternateContent>
      </w:r>
    </w:p>
    <w:p w14:paraId="69236574" w14:textId="77777777" w:rsidR="0062756C" w:rsidRPr="00530906" w:rsidRDefault="0062756C" w:rsidP="0062756C">
      <w:pPr>
        <w:jc w:val="both"/>
        <w:rPr>
          <w:rFonts w:ascii="Cambria" w:hAnsi="Cambria"/>
        </w:rPr>
      </w:pPr>
    </w:p>
    <w:p w14:paraId="0DF80569" w14:textId="77777777" w:rsidR="0062756C" w:rsidRPr="00530906" w:rsidRDefault="0062756C" w:rsidP="0062756C">
      <w:pPr>
        <w:jc w:val="both"/>
        <w:rPr>
          <w:rFonts w:ascii="Cambria" w:hAnsi="Cambria"/>
        </w:rPr>
      </w:pPr>
    </w:p>
    <w:p w14:paraId="7EF440B1" w14:textId="77777777" w:rsidR="0062756C" w:rsidRPr="00530906" w:rsidRDefault="0062756C" w:rsidP="0062756C">
      <w:pPr>
        <w:jc w:val="both"/>
        <w:rPr>
          <w:rFonts w:ascii="Cambria" w:hAnsi="Cambria"/>
        </w:rPr>
      </w:pPr>
    </w:p>
    <w:p w14:paraId="7B62C54D" w14:textId="77777777" w:rsidR="0062756C" w:rsidRPr="00530906" w:rsidRDefault="0062756C" w:rsidP="0062756C">
      <w:pPr>
        <w:jc w:val="both"/>
        <w:rPr>
          <w:rFonts w:ascii="Cambria" w:hAnsi="Cambria"/>
        </w:rPr>
      </w:pPr>
    </w:p>
    <w:p w14:paraId="173816AF" w14:textId="77777777" w:rsidR="0062756C" w:rsidRPr="00530906" w:rsidRDefault="0062756C" w:rsidP="0062756C">
      <w:pPr>
        <w:jc w:val="both"/>
        <w:rPr>
          <w:rFonts w:ascii="Cambria" w:hAnsi="Cambria"/>
        </w:rPr>
      </w:pPr>
    </w:p>
    <w:p w14:paraId="5DCAE6DA" w14:textId="77777777" w:rsidR="0062756C" w:rsidRPr="00530906" w:rsidRDefault="0062756C" w:rsidP="0062756C">
      <w:pPr>
        <w:jc w:val="both"/>
        <w:rPr>
          <w:rFonts w:ascii="Cambria" w:hAnsi="Cambria"/>
        </w:rPr>
      </w:pPr>
    </w:p>
    <w:p w14:paraId="4C072AA3" w14:textId="77777777" w:rsidR="0062756C" w:rsidRPr="00530906" w:rsidRDefault="0062756C" w:rsidP="0062756C">
      <w:pPr>
        <w:jc w:val="both"/>
        <w:rPr>
          <w:rFonts w:ascii="Cambria" w:hAnsi="Cambria"/>
        </w:rPr>
      </w:pPr>
    </w:p>
    <w:p w14:paraId="49FB8934" w14:textId="77777777" w:rsidR="0062756C" w:rsidRPr="00530906" w:rsidRDefault="0062756C" w:rsidP="0062756C">
      <w:pPr>
        <w:jc w:val="both"/>
        <w:rPr>
          <w:rFonts w:ascii="Cambria" w:hAnsi="Cambria"/>
        </w:rPr>
      </w:pPr>
    </w:p>
    <w:p w14:paraId="51CB6F80" w14:textId="77777777" w:rsidR="0062756C" w:rsidRPr="00530906" w:rsidRDefault="0062756C" w:rsidP="0062756C">
      <w:pPr>
        <w:jc w:val="both"/>
        <w:rPr>
          <w:rFonts w:ascii="Cambria" w:hAnsi="Cambria"/>
        </w:rPr>
      </w:pPr>
    </w:p>
    <w:p w14:paraId="048152A7" w14:textId="77777777" w:rsidR="0062756C" w:rsidRPr="00530906" w:rsidRDefault="0062756C" w:rsidP="0062756C">
      <w:pPr>
        <w:jc w:val="both"/>
        <w:rPr>
          <w:rFonts w:ascii="Cambria" w:hAnsi="Cambria"/>
        </w:rPr>
      </w:pPr>
    </w:p>
    <w:p w14:paraId="704C7947" w14:textId="18EE0755" w:rsidR="0062756C" w:rsidRPr="00530906" w:rsidRDefault="0062756C" w:rsidP="0062756C">
      <w:pPr>
        <w:jc w:val="both"/>
        <w:rPr>
          <w:rFonts w:ascii="Cambria" w:hAnsi="Cambria"/>
        </w:rPr>
      </w:pPr>
      <w:r w:rsidRPr="00530906">
        <w:rPr>
          <w:rFonts w:ascii="Cambria" w:hAnsi="Cambria"/>
        </w:rPr>
        <w:t xml:space="preserve">Figure </w:t>
      </w:r>
      <w:r w:rsidR="00E201A7">
        <w:rPr>
          <w:rFonts w:ascii="Cambria" w:hAnsi="Cambria"/>
        </w:rPr>
        <w:t>8</w:t>
      </w:r>
      <w:r w:rsidRPr="00530906">
        <w:rPr>
          <w:rFonts w:ascii="Cambria" w:hAnsi="Cambria"/>
        </w:rPr>
        <w:t xml:space="preserve">: PRISMA for Social–media–engagement (SE) </w:t>
      </w:r>
    </w:p>
    <w:p w14:paraId="40D583DE" w14:textId="77777777" w:rsidR="0062756C" w:rsidRPr="00530906" w:rsidRDefault="0062756C" w:rsidP="0062756C">
      <w:pPr>
        <w:spacing w:after="200" w:line="360" w:lineRule="auto"/>
        <w:jc w:val="both"/>
        <w:rPr>
          <w:rFonts w:ascii="Cambria" w:hAnsi="Cambria"/>
        </w:rPr>
      </w:pPr>
    </w:p>
    <w:p w14:paraId="5A30A4DA" w14:textId="62A9AD94" w:rsidR="0062756C" w:rsidRPr="00530906" w:rsidRDefault="0062756C" w:rsidP="0062756C">
      <w:pPr>
        <w:spacing w:after="200" w:line="360" w:lineRule="auto"/>
        <w:jc w:val="both"/>
        <w:rPr>
          <w:rFonts w:ascii="Cambria" w:eastAsiaTheme="minorEastAsia" w:hAnsi="Cambria"/>
          <w:sz w:val="24"/>
          <w:szCs w:val="24"/>
        </w:rPr>
        <w:sectPr w:rsidR="0062756C" w:rsidRPr="00530906">
          <w:pgSz w:w="11906" w:h="16838"/>
          <w:pgMar w:top="1440" w:right="1440" w:bottom="1440" w:left="1440" w:header="708" w:footer="708" w:gutter="0"/>
          <w:cols w:space="708"/>
          <w:docGrid w:linePitch="360"/>
        </w:sectPr>
      </w:pPr>
      <w:r w:rsidRPr="00530906">
        <w:rPr>
          <w:rFonts w:ascii="Cambria" w:eastAsiaTheme="minorEastAsia" w:hAnsi="Cambria"/>
          <w:sz w:val="24"/>
          <w:szCs w:val="24"/>
        </w:rPr>
        <w:t xml:space="preserve">A short description of the articles will be found in appendix </w:t>
      </w:r>
      <w:r w:rsidR="00772220">
        <w:rPr>
          <w:rFonts w:ascii="Cambria" w:eastAsiaTheme="minorEastAsia" w:hAnsi="Cambria"/>
          <w:sz w:val="24"/>
          <w:szCs w:val="24"/>
        </w:rPr>
        <w:t>1</w:t>
      </w:r>
      <w:r w:rsidRPr="00530906">
        <w:rPr>
          <w:rFonts w:ascii="Cambria" w:eastAsiaTheme="minorEastAsia" w:hAnsi="Cambria"/>
          <w:sz w:val="24"/>
          <w:szCs w:val="24"/>
        </w:rPr>
        <w:t xml:space="preserve">. In appendix </w:t>
      </w:r>
      <w:r w:rsidR="00772220">
        <w:rPr>
          <w:rFonts w:ascii="Cambria" w:eastAsiaTheme="minorEastAsia" w:hAnsi="Cambria"/>
          <w:sz w:val="24"/>
          <w:szCs w:val="24"/>
        </w:rPr>
        <w:t>1</w:t>
      </w:r>
      <w:r w:rsidRPr="00530906">
        <w:rPr>
          <w:rFonts w:ascii="Cambria" w:eastAsiaTheme="minorEastAsia" w:hAnsi="Cambria"/>
          <w:sz w:val="24"/>
          <w:szCs w:val="24"/>
        </w:rPr>
        <w:t xml:space="preserve">.1 shows the themes derived from the antecedents of the selected articles. The summary of these antecedents and the themes they are assigned to, has been presented in Table </w:t>
      </w:r>
      <w:r w:rsidR="00533CC9">
        <w:rPr>
          <w:rFonts w:ascii="Cambria" w:eastAsiaTheme="minorEastAsia" w:hAnsi="Cambria"/>
          <w:sz w:val="24"/>
          <w:szCs w:val="24"/>
        </w:rPr>
        <w:t>4</w:t>
      </w:r>
      <w:r w:rsidRPr="00530906">
        <w:rPr>
          <w:rFonts w:ascii="Cambria" w:eastAsiaTheme="minorEastAsia" w:hAnsi="Cambria"/>
          <w:sz w:val="24"/>
          <w:szCs w:val="24"/>
        </w:rPr>
        <w:t xml:space="preserve">. The consequence of engagement by the brand or the other members of social media has been listed </w:t>
      </w:r>
      <w:r w:rsidR="001949CD" w:rsidRPr="00530906">
        <w:rPr>
          <w:rFonts w:ascii="Cambria" w:eastAsiaTheme="minorEastAsia" w:hAnsi="Cambria"/>
          <w:sz w:val="24"/>
          <w:szCs w:val="24"/>
        </w:rPr>
        <w:t>in table</w:t>
      </w:r>
      <w:r w:rsidRPr="00530906">
        <w:rPr>
          <w:rFonts w:ascii="Cambria" w:eastAsiaTheme="minorEastAsia" w:hAnsi="Cambria"/>
          <w:sz w:val="24"/>
          <w:szCs w:val="24"/>
        </w:rPr>
        <w:t xml:space="preserve"> </w:t>
      </w:r>
      <w:r w:rsidR="00533CC9">
        <w:rPr>
          <w:rFonts w:ascii="Cambria" w:eastAsiaTheme="minorEastAsia" w:hAnsi="Cambria"/>
          <w:sz w:val="24"/>
          <w:szCs w:val="24"/>
        </w:rPr>
        <w:t>5</w:t>
      </w:r>
      <w:r w:rsidRPr="00530906">
        <w:rPr>
          <w:rFonts w:ascii="Cambria" w:eastAsiaTheme="minorEastAsia" w:hAnsi="Cambria"/>
          <w:sz w:val="24"/>
          <w:szCs w:val="24"/>
        </w:rPr>
        <w:t xml:space="preserve">. </w:t>
      </w:r>
    </w:p>
    <w:p w14:paraId="17312ACC" w14:textId="77C785D7" w:rsidR="0062756C" w:rsidRPr="00530906" w:rsidRDefault="0062756C" w:rsidP="0062756C">
      <w:pPr>
        <w:spacing w:after="200" w:line="360" w:lineRule="auto"/>
        <w:jc w:val="both"/>
        <w:rPr>
          <w:rFonts w:ascii="Cambria" w:eastAsiaTheme="minorEastAsia" w:hAnsi="Cambria"/>
          <w:sz w:val="24"/>
          <w:szCs w:val="24"/>
        </w:rPr>
      </w:pPr>
      <w:r w:rsidRPr="00530906">
        <w:rPr>
          <w:rFonts w:ascii="Cambria" w:eastAsiaTheme="minorEastAsia" w:hAnsi="Cambria"/>
          <w:sz w:val="24"/>
          <w:szCs w:val="24"/>
        </w:rPr>
        <w:t xml:space="preserve">Table </w:t>
      </w:r>
      <w:r w:rsidR="003E6B70">
        <w:rPr>
          <w:rFonts w:ascii="Cambria" w:eastAsiaTheme="minorEastAsia" w:hAnsi="Cambria"/>
          <w:sz w:val="24"/>
          <w:szCs w:val="24"/>
        </w:rPr>
        <w:t>4</w:t>
      </w:r>
      <w:r w:rsidRPr="00530906">
        <w:rPr>
          <w:rFonts w:ascii="Cambria" w:eastAsiaTheme="minorEastAsia" w:hAnsi="Cambria"/>
          <w:sz w:val="24"/>
          <w:szCs w:val="24"/>
        </w:rPr>
        <w:t>: Antecedents of Social media engagement behaviour</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448"/>
        <w:gridCol w:w="448"/>
        <w:gridCol w:w="448"/>
        <w:gridCol w:w="448"/>
        <w:gridCol w:w="448"/>
        <w:gridCol w:w="448"/>
        <w:gridCol w:w="448"/>
        <w:gridCol w:w="605"/>
        <w:gridCol w:w="424"/>
        <w:gridCol w:w="448"/>
        <w:gridCol w:w="448"/>
        <w:gridCol w:w="448"/>
        <w:gridCol w:w="448"/>
        <w:gridCol w:w="448"/>
        <w:gridCol w:w="448"/>
        <w:gridCol w:w="448"/>
        <w:gridCol w:w="448"/>
        <w:gridCol w:w="448"/>
        <w:gridCol w:w="448"/>
        <w:gridCol w:w="448"/>
        <w:gridCol w:w="448"/>
        <w:gridCol w:w="448"/>
        <w:gridCol w:w="448"/>
        <w:gridCol w:w="448"/>
        <w:gridCol w:w="543"/>
        <w:gridCol w:w="677"/>
      </w:tblGrid>
      <w:tr w:rsidR="0062756C" w:rsidRPr="00530906" w14:paraId="38E642B0" w14:textId="77777777" w:rsidTr="00756005">
        <w:trPr>
          <w:trHeight w:val="354"/>
        </w:trPr>
        <w:tc>
          <w:tcPr>
            <w:tcW w:w="1357" w:type="dxa"/>
            <w:shd w:val="clear" w:color="000000" w:fill="C6E0B4"/>
            <w:hideMark/>
          </w:tcPr>
          <w:p w14:paraId="5443814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2240" w:type="dxa"/>
            <w:gridSpan w:val="5"/>
            <w:shd w:val="clear" w:color="000000" w:fill="C6E0B4"/>
            <w:hideMark/>
          </w:tcPr>
          <w:p w14:paraId="3CC3E2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Source characteristics</w:t>
            </w:r>
          </w:p>
        </w:tc>
        <w:tc>
          <w:tcPr>
            <w:tcW w:w="2373" w:type="dxa"/>
            <w:gridSpan w:val="5"/>
            <w:shd w:val="clear" w:color="000000" w:fill="C6E0B4"/>
            <w:hideMark/>
          </w:tcPr>
          <w:p w14:paraId="41C300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Sense of community</w:t>
            </w:r>
          </w:p>
        </w:tc>
        <w:tc>
          <w:tcPr>
            <w:tcW w:w="896" w:type="dxa"/>
            <w:gridSpan w:val="2"/>
            <w:shd w:val="clear" w:color="000000" w:fill="C6E0B4"/>
            <w:hideMark/>
          </w:tcPr>
          <w:p w14:paraId="7103C07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Emotion</w:t>
            </w:r>
          </w:p>
        </w:tc>
        <w:tc>
          <w:tcPr>
            <w:tcW w:w="1792" w:type="dxa"/>
            <w:gridSpan w:val="4"/>
            <w:shd w:val="clear" w:color="000000" w:fill="C6E0B4"/>
            <w:hideMark/>
          </w:tcPr>
          <w:p w14:paraId="37FCAF2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Involvement</w:t>
            </w:r>
          </w:p>
        </w:tc>
        <w:tc>
          <w:tcPr>
            <w:tcW w:w="1792" w:type="dxa"/>
            <w:gridSpan w:val="4"/>
            <w:shd w:val="clear" w:color="000000" w:fill="C6E0B4"/>
            <w:hideMark/>
          </w:tcPr>
          <w:p w14:paraId="73D8AEC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Attitude</w:t>
            </w:r>
          </w:p>
        </w:tc>
        <w:tc>
          <w:tcPr>
            <w:tcW w:w="1792" w:type="dxa"/>
            <w:gridSpan w:val="4"/>
            <w:shd w:val="clear" w:color="000000" w:fill="C6E0B4"/>
            <w:hideMark/>
          </w:tcPr>
          <w:p w14:paraId="5AB6F8C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Social media users’ characteristics</w:t>
            </w:r>
          </w:p>
        </w:tc>
        <w:tc>
          <w:tcPr>
            <w:tcW w:w="1220" w:type="dxa"/>
            <w:gridSpan w:val="2"/>
            <w:shd w:val="clear" w:color="000000" w:fill="C6E0B4"/>
            <w:hideMark/>
          </w:tcPr>
          <w:p w14:paraId="3873433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Technological aspects</w:t>
            </w:r>
          </w:p>
        </w:tc>
      </w:tr>
      <w:tr w:rsidR="0062756C" w:rsidRPr="00530906" w14:paraId="10FF6E28" w14:textId="77777777" w:rsidTr="00756005">
        <w:trPr>
          <w:trHeight w:val="2580"/>
        </w:trPr>
        <w:tc>
          <w:tcPr>
            <w:tcW w:w="1357" w:type="dxa"/>
            <w:shd w:val="clear" w:color="000000" w:fill="C6E0B4"/>
            <w:textDirection w:val="btLr"/>
            <w:hideMark/>
          </w:tcPr>
          <w:p w14:paraId="74992C22"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p>
        </w:tc>
        <w:tc>
          <w:tcPr>
            <w:tcW w:w="448" w:type="dxa"/>
            <w:shd w:val="clear" w:color="000000" w:fill="C6E0B4"/>
            <w:textDirection w:val="btLr"/>
            <w:vAlign w:val="center"/>
            <w:hideMark/>
          </w:tcPr>
          <w:p w14:paraId="333EF828"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Expertise</w:t>
            </w:r>
          </w:p>
        </w:tc>
        <w:tc>
          <w:tcPr>
            <w:tcW w:w="448" w:type="dxa"/>
            <w:shd w:val="clear" w:color="000000" w:fill="C6E0B4"/>
            <w:textDirection w:val="btLr"/>
            <w:vAlign w:val="center"/>
            <w:hideMark/>
          </w:tcPr>
          <w:p w14:paraId="11C2EE47"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Trustworthiness</w:t>
            </w:r>
          </w:p>
        </w:tc>
        <w:tc>
          <w:tcPr>
            <w:tcW w:w="448" w:type="dxa"/>
            <w:shd w:val="clear" w:color="000000" w:fill="C6E0B4"/>
            <w:textDirection w:val="btLr"/>
            <w:vAlign w:val="center"/>
            <w:hideMark/>
          </w:tcPr>
          <w:p w14:paraId="7E3BC1CD"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Credibility</w:t>
            </w:r>
          </w:p>
        </w:tc>
        <w:tc>
          <w:tcPr>
            <w:tcW w:w="448" w:type="dxa"/>
            <w:shd w:val="clear" w:color="000000" w:fill="C6E0B4"/>
            <w:textDirection w:val="btLr"/>
            <w:vAlign w:val="center"/>
            <w:hideMark/>
          </w:tcPr>
          <w:p w14:paraId="5586D586"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Ability</w:t>
            </w:r>
          </w:p>
        </w:tc>
        <w:tc>
          <w:tcPr>
            <w:tcW w:w="448" w:type="dxa"/>
            <w:shd w:val="clear" w:color="000000" w:fill="C6E0B4"/>
            <w:textDirection w:val="btLr"/>
            <w:vAlign w:val="center"/>
            <w:hideMark/>
          </w:tcPr>
          <w:p w14:paraId="30BA5FDB"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Familiarity</w:t>
            </w:r>
          </w:p>
        </w:tc>
        <w:tc>
          <w:tcPr>
            <w:tcW w:w="448" w:type="dxa"/>
            <w:shd w:val="clear" w:color="000000" w:fill="C6E0B4"/>
            <w:textDirection w:val="btLr"/>
            <w:vAlign w:val="center"/>
            <w:hideMark/>
          </w:tcPr>
          <w:p w14:paraId="78FC16CB"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Similarities</w:t>
            </w:r>
          </w:p>
        </w:tc>
        <w:tc>
          <w:tcPr>
            <w:tcW w:w="448" w:type="dxa"/>
            <w:shd w:val="clear" w:color="000000" w:fill="C6E0B4"/>
            <w:textDirection w:val="btLr"/>
            <w:vAlign w:val="center"/>
            <w:hideMark/>
          </w:tcPr>
          <w:p w14:paraId="7A035976"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Extent of commitment</w:t>
            </w:r>
          </w:p>
        </w:tc>
        <w:tc>
          <w:tcPr>
            <w:tcW w:w="605" w:type="dxa"/>
            <w:shd w:val="clear" w:color="000000" w:fill="C6E0B4"/>
            <w:textDirection w:val="btLr"/>
            <w:vAlign w:val="center"/>
            <w:hideMark/>
          </w:tcPr>
          <w:p w14:paraId="6D8BFD79"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Strength/ normative influence/ ability of ties/</w:t>
            </w:r>
          </w:p>
        </w:tc>
        <w:tc>
          <w:tcPr>
            <w:tcW w:w="424" w:type="dxa"/>
            <w:shd w:val="clear" w:color="000000" w:fill="C6E0B4"/>
            <w:textDirection w:val="btLr"/>
            <w:vAlign w:val="center"/>
            <w:hideMark/>
          </w:tcPr>
          <w:p w14:paraId="2E8803AB"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Belongingness</w:t>
            </w:r>
          </w:p>
        </w:tc>
        <w:tc>
          <w:tcPr>
            <w:tcW w:w="448" w:type="dxa"/>
            <w:shd w:val="clear" w:color="000000" w:fill="C6E0B4"/>
            <w:textDirection w:val="btLr"/>
            <w:vAlign w:val="center"/>
            <w:hideMark/>
          </w:tcPr>
          <w:p w14:paraId="33018293"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Interaction</w:t>
            </w:r>
          </w:p>
        </w:tc>
        <w:tc>
          <w:tcPr>
            <w:tcW w:w="448" w:type="dxa"/>
            <w:shd w:val="clear" w:color="000000" w:fill="C6E0B4"/>
            <w:textDirection w:val="btLr"/>
            <w:vAlign w:val="center"/>
            <w:hideMark/>
          </w:tcPr>
          <w:p w14:paraId="5BFB17DE"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Positive</w:t>
            </w:r>
          </w:p>
        </w:tc>
        <w:tc>
          <w:tcPr>
            <w:tcW w:w="448" w:type="dxa"/>
            <w:shd w:val="clear" w:color="000000" w:fill="C6E0B4"/>
            <w:textDirection w:val="btLr"/>
            <w:vAlign w:val="center"/>
            <w:hideMark/>
          </w:tcPr>
          <w:p w14:paraId="4ACF9104"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Negative</w:t>
            </w:r>
          </w:p>
        </w:tc>
        <w:tc>
          <w:tcPr>
            <w:tcW w:w="448" w:type="dxa"/>
            <w:shd w:val="clear" w:color="000000" w:fill="C6E0B4"/>
            <w:textDirection w:val="btLr"/>
            <w:vAlign w:val="center"/>
            <w:hideMark/>
          </w:tcPr>
          <w:p w14:paraId="17FB197A"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Product/ brand involvement</w:t>
            </w:r>
          </w:p>
        </w:tc>
        <w:tc>
          <w:tcPr>
            <w:tcW w:w="448" w:type="dxa"/>
            <w:shd w:val="clear" w:color="000000" w:fill="C6E0B4"/>
            <w:textDirection w:val="btLr"/>
            <w:vAlign w:val="center"/>
            <w:hideMark/>
          </w:tcPr>
          <w:p w14:paraId="170D1AB0"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Congruency with the use</w:t>
            </w:r>
          </w:p>
        </w:tc>
        <w:tc>
          <w:tcPr>
            <w:tcW w:w="448" w:type="dxa"/>
            <w:shd w:val="clear" w:color="000000" w:fill="C6E0B4"/>
            <w:textDirection w:val="btLr"/>
            <w:vAlign w:val="center"/>
            <w:hideMark/>
          </w:tcPr>
          <w:p w14:paraId="6CC5A2B5"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Benefit and cost</w:t>
            </w:r>
          </w:p>
        </w:tc>
        <w:tc>
          <w:tcPr>
            <w:tcW w:w="448" w:type="dxa"/>
            <w:shd w:val="clear" w:color="000000" w:fill="C6E0B4"/>
            <w:textDirection w:val="btLr"/>
            <w:vAlign w:val="center"/>
            <w:hideMark/>
          </w:tcPr>
          <w:p w14:paraId="74FFF29C"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Users’ control</w:t>
            </w:r>
          </w:p>
        </w:tc>
        <w:tc>
          <w:tcPr>
            <w:tcW w:w="448" w:type="dxa"/>
            <w:shd w:val="clear" w:color="000000" w:fill="C6E0B4"/>
            <w:textDirection w:val="btLr"/>
            <w:vAlign w:val="center"/>
            <w:hideMark/>
          </w:tcPr>
          <w:p w14:paraId="1A0B4A6D"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Brand attitude</w:t>
            </w:r>
          </w:p>
        </w:tc>
        <w:tc>
          <w:tcPr>
            <w:tcW w:w="448" w:type="dxa"/>
            <w:shd w:val="clear" w:color="000000" w:fill="C6E0B4"/>
            <w:textDirection w:val="btLr"/>
            <w:vAlign w:val="center"/>
            <w:hideMark/>
          </w:tcPr>
          <w:p w14:paraId="3E3305E6"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Attitude toward the influencer</w:t>
            </w:r>
          </w:p>
        </w:tc>
        <w:tc>
          <w:tcPr>
            <w:tcW w:w="448" w:type="dxa"/>
            <w:shd w:val="clear" w:color="000000" w:fill="C6E0B4"/>
            <w:textDirection w:val="btLr"/>
            <w:vAlign w:val="center"/>
            <w:hideMark/>
          </w:tcPr>
          <w:p w14:paraId="46761B47"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Mindset/belief</w:t>
            </w:r>
          </w:p>
        </w:tc>
        <w:tc>
          <w:tcPr>
            <w:tcW w:w="448" w:type="dxa"/>
            <w:shd w:val="clear" w:color="000000" w:fill="C6E0B4"/>
            <w:textDirection w:val="btLr"/>
            <w:vAlign w:val="center"/>
            <w:hideMark/>
          </w:tcPr>
          <w:p w14:paraId="3C013AA6"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Attitude towards risk</w:t>
            </w:r>
          </w:p>
        </w:tc>
        <w:tc>
          <w:tcPr>
            <w:tcW w:w="448" w:type="dxa"/>
            <w:shd w:val="clear" w:color="000000" w:fill="C6E0B4"/>
            <w:textDirection w:val="btLr"/>
            <w:vAlign w:val="center"/>
            <w:hideMark/>
          </w:tcPr>
          <w:p w14:paraId="1633D391"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Demographic</w:t>
            </w:r>
          </w:p>
        </w:tc>
        <w:tc>
          <w:tcPr>
            <w:tcW w:w="448" w:type="dxa"/>
            <w:shd w:val="clear" w:color="000000" w:fill="C6E0B4"/>
            <w:textDirection w:val="btLr"/>
            <w:vAlign w:val="center"/>
            <w:hideMark/>
          </w:tcPr>
          <w:p w14:paraId="5D480C4F"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 situation</w:t>
            </w:r>
          </w:p>
        </w:tc>
        <w:tc>
          <w:tcPr>
            <w:tcW w:w="448" w:type="dxa"/>
            <w:shd w:val="clear" w:color="000000" w:fill="C6E0B4"/>
            <w:textDirection w:val="btLr"/>
            <w:vAlign w:val="center"/>
            <w:hideMark/>
          </w:tcPr>
          <w:p w14:paraId="300D1A1A"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Knowledge</w:t>
            </w:r>
          </w:p>
        </w:tc>
        <w:tc>
          <w:tcPr>
            <w:tcW w:w="448" w:type="dxa"/>
            <w:shd w:val="clear" w:color="000000" w:fill="C6E0B4"/>
            <w:textDirection w:val="btLr"/>
            <w:vAlign w:val="center"/>
            <w:hideMark/>
          </w:tcPr>
          <w:p w14:paraId="01AF2467"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Psychological condition</w:t>
            </w:r>
          </w:p>
        </w:tc>
        <w:tc>
          <w:tcPr>
            <w:tcW w:w="543" w:type="dxa"/>
            <w:shd w:val="clear" w:color="000000" w:fill="C6E0B4"/>
            <w:textDirection w:val="btLr"/>
            <w:vAlign w:val="center"/>
            <w:hideMark/>
          </w:tcPr>
          <w:p w14:paraId="37142570"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Content</w:t>
            </w:r>
          </w:p>
        </w:tc>
        <w:tc>
          <w:tcPr>
            <w:tcW w:w="677" w:type="dxa"/>
            <w:shd w:val="clear" w:color="000000" w:fill="C6E0B4"/>
            <w:textDirection w:val="btLr"/>
            <w:vAlign w:val="center"/>
            <w:hideMark/>
          </w:tcPr>
          <w:p w14:paraId="1AECFF00" w14:textId="77777777" w:rsidR="0062756C" w:rsidRPr="00530906" w:rsidRDefault="0062756C" w:rsidP="00756005">
            <w:pPr>
              <w:spacing w:after="0" w:line="240" w:lineRule="auto"/>
              <w:jc w:val="center"/>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Platform</w:t>
            </w:r>
          </w:p>
        </w:tc>
      </w:tr>
      <w:tr w:rsidR="0062756C" w:rsidRPr="00530906" w14:paraId="1C990745" w14:textId="77777777" w:rsidTr="00756005">
        <w:trPr>
          <w:trHeight w:val="300"/>
        </w:trPr>
        <w:tc>
          <w:tcPr>
            <w:tcW w:w="1357" w:type="dxa"/>
            <w:shd w:val="clear" w:color="auto" w:fill="auto"/>
            <w:hideMark/>
          </w:tcPr>
          <w:p w14:paraId="3231AF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Shen et al (2010)</w:t>
            </w:r>
          </w:p>
        </w:tc>
        <w:tc>
          <w:tcPr>
            <w:tcW w:w="448" w:type="dxa"/>
            <w:shd w:val="clear" w:color="auto" w:fill="auto"/>
            <w:noWrap/>
            <w:hideMark/>
          </w:tcPr>
          <w:p w14:paraId="37183A1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77A3C0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5ED6E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p>
        </w:tc>
        <w:tc>
          <w:tcPr>
            <w:tcW w:w="448" w:type="dxa"/>
            <w:shd w:val="clear" w:color="auto" w:fill="auto"/>
            <w:hideMark/>
          </w:tcPr>
          <w:p w14:paraId="3C6732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04CA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78EB5F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8ACBF4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1632648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6484E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F026B0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ACFC8D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05A06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A8ED4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A3DB4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01FA0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4C4F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A2B68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74014F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70C74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199EB8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EE444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7BD6F1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5CB5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4A2530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525935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4357DBD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F59919C" w14:textId="77777777" w:rsidTr="00756005">
        <w:trPr>
          <w:trHeight w:val="480"/>
        </w:trPr>
        <w:tc>
          <w:tcPr>
            <w:tcW w:w="1357" w:type="dxa"/>
            <w:shd w:val="clear" w:color="auto" w:fill="auto"/>
            <w:hideMark/>
          </w:tcPr>
          <w:p w14:paraId="35B89ED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Colliander and Dahlen (2011)</w:t>
            </w:r>
          </w:p>
        </w:tc>
        <w:tc>
          <w:tcPr>
            <w:tcW w:w="448" w:type="dxa"/>
            <w:shd w:val="clear" w:color="auto" w:fill="auto"/>
            <w:noWrap/>
            <w:hideMark/>
          </w:tcPr>
          <w:p w14:paraId="06B237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DF9E07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7624987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4F9A3E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12E32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7A185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A9B630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0633220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72ACD3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469C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F5185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B2F7A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D390C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668E6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71799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52082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90F44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B304B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3C981D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487751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A2E4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153B2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8BC14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C82A6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3B44B59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noWrap/>
            <w:hideMark/>
          </w:tcPr>
          <w:p w14:paraId="55F6925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30C1BB00" w14:textId="77777777" w:rsidTr="00756005">
        <w:trPr>
          <w:trHeight w:val="270"/>
        </w:trPr>
        <w:tc>
          <w:tcPr>
            <w:tcW w:w="1357" w:type="dxa"/>
            <w:shd w:val="clear" w:color="auto" w:fill="auto"/>
            <w:hideMark/>
          </w:tcPr>
          <w:p w14:paraId="5A3404B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Pagani and Mirabello (2011)</w:t>
            </w:r>
          </w:p>
        </w:tc>
        <w:tc>
          <w:tcPr>
            <w:tcW w:w="448" w:type="dxa"/>
            <w:shd w:val="clear" w:color="auto" w:fill="auto"/>
            <w:hideMark/>
          </w:tcPr>
          <w:p w14:paraId="18A66B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3863A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90B2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p>
        </w:tc>
        <w:tc>
          <w:tcPr>
            <w:tcW w:w="448" w:type="dxa"/>
            <w:shd w:val="clear" w:color="auto" w:fill="auto"/>
            <w:hideMark/>
          </w:tcPr>
          <w:p w14:paraId="3D0E6F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E242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1113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619C85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3626A7E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04038E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178BFD7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noWrap/>
            <w:hideMark/>
          </w:tcPr>
          <w:p w14:paraId="70868D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4DD09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B40A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C1071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DD00FF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00896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A45A7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12F281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23238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15B1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1F3DD6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25E3F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C00A2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535C5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70ADA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noWrap/>
            <w:hideMark/>
          </w:tcPr>
          <w:p w14:paraId="265F4AB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13C563D7" w14:textId="77777777" w:rsidTr="00756005">
        <w:trPr>
          <w:trHeight w:val="300"/>
        </w:trPr>
        <w:tc>
          <w:tcPr>
            <w:tcW w:w="1357" w:type="dxa"/>
            <w:shd w:val="clear" w:color="auto" w:fill="auto"/>
            <w:hideMark/>
          </w:tcPr>
          <w:p w14:paraId="132FC02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Li et al 2013</w:t>
            </w:r>
          </w:p>
        </w:tc>
        <w:tc>
          <w:tcPr>
            <w:tcW w:w="448" w:type="dxa"/>
            <w:shd w:val="clear" w:color="auto" w:fill="auto"/>
            <w:hideMark/>
          </w:tcPr>
          <w:p w14:paraId="29EB40C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4120FD5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9A4C84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1A4306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E276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F8435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33BA4F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noWrap/>
            <w:hideMark/>
          </w:tcPr>
          <w:p w14:paraId="223472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5109DE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B57EC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7CC2D2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EDA4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3DDC6A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BF8632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009E5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9C855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8EFCF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8B9BD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E6A0F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9B8C7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BC938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73BD7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3947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749F2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510A23C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0D0BAB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D6BAF5F" w14:textId="77777777" w:rsidTr="00756005">
        <w:trPr>
          <w:trHeight w:val="300"/>
        </w:trPr>
        <w:tc>
          <w:tcPr>
            <w:tcW w:w="1357" w:type="dxa"/>
            <w:shd w:val="clear" w:color="auto" w:fill="auto"/>
            <w:hideMark/>
          </w:tcPr>
          <w:p w14:paraId="1693E2B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Rishika et al (2013)</w:t>
            </w:r>
          </w:p>
        </w:tc>
        <w:tc>
          <w:tcPr>
            <w:tcW w:w="448" w:type="dxa"/>
            <w:shd w:val="clear" w:color="auto" w:fill="auto"/>
            <w:hideMark/>
          </w:tcPr>
          <w:p w14:paraId="426DFF8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0F148A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7CB0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19BEC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5BCAA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1EFB91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9D187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69C0C7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3C0C8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CA2EB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7014E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EDFA3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8243C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46F80B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A9A8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A95D5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6DEF1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37A89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F08DA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1B9F97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A3085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7782E1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323B9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C7F903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noWrap/>
            <w:hideMark/>
          </w:tcPr>
          <w:p w14:paraId="04CCCCD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3FDA86A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2810197E" w14:textId="77777777" w:rsidTr="00756005">
        <w:trPr>
          <w:trHeight w:val="300"/>
        </w:trPr>
        <w:tc>
          <w:tcPr>
            <w:tcW w:w="1357" w:type="dxa"/>
            <w:shd w:val="clear" w:color="auto" w:fill="auto"/>
            <w:hideMark/>
          </w:tcPr>
          <w:p w14:paraId="6733A4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Spotts et al (2014)</w:t>
            </w:r>
          </w:p>
        </w:tc>
        <w:tc>
          <w:tcPr>
            <w:tcW w:w="448" w:type="dxa"/>
            <w:shd w:val="clear" w:color="auto" w:fill="auto"/>
            <w:hideMark/>
          </w:tcPr>
          <w:p w14:paraId="43289C8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0A984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9819B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490BF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5D46F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A78671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16E2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70F27A6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14DBFD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C67F6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11EDB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D8EC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E5A5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B05C26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00505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1739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FF775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6F89B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02806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04CA3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2CF18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FDAC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7C6DA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B4E3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508C6A6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35DADA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5B4C5C4B" w14:textId="77777777" w:rsidTr="00756005">
        <w:trPr>
          <w:trHeight w:val="300"/>
        </w:trPr>
        <w:tc>
          <w:tcPr>
            <w:tcW w:w="1357" w:type="dxa"/>
            <w:shd w:val="clear" w:color="auto" w:fill="auto"/>
            <w:hideMark/>
          </w:tcPr>
          <w:p w14:paraId="0CAEBA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Benson et al (2015)</w:t>
            </w:r>
          </w:p>
        </w:tc>
        <w:tc>
          <w:tcPr>
            <w:tcW w:w="448" w:type="dxa"/>
            <w:shd w:val="clear" w:color="auto" w:fill="auto"/>
            <w:hideMark/>
          </w:tcPr>
          <w:p w14:paraId="263E8E7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EC791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2ED7B7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A622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7811A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C4ACA7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C467F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79F523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6212E8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025C7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A1106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FEFF7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19BF7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64D1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1BE842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E014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384E74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CA9EA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98404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4E68C7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A8167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A7192A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1464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365BC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0EDE0B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20D30AA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30BED4E3" w14:textId="77777777" w:rsidTr="00756005">
        <w:trPr>
          <w:trHeight w:val="300"/>
        </w:trPr>
        <w:tc>
          <w:tcPr>
            <w:tcW w:w="1357" w:type="dxa"/>
            <w:shd w:val="clear" w:color="auto" w:fill="auto"/>
            <w:hideMark/>
          </w:tcPr>
          <w:p w14:paraId="1B7D88D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Zheng et al (2015)</w:t>
            </w:r>
          </w:p>
        </w:tc>
        <w:tc>
          <w:tcPr>
            <w:tcW w:w="448" w:type="dxa"/>
            <w:shd w:val="clear" w:color="auto" w:fill="auto"/>
            <w:hideMark/>
          </w:tcPr>
          <w:p w14:paraId="39F80AB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BF90B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F201AA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AAF52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8B78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8BCB0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6CF9756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05" w:type="dxa"/>
            <w:shd w:val="clear" w:color="auto" w:fill="auto"/>
            <w:hideMark/>
          </w:tcPr>
          <w:p w14:paraId="39190B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10D4E14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1D2032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CFE4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26FB49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26F95D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D52D8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noWrap/>
            <w:hideMark/>
          </w:tcPr>
          <w:p w14:paraId="163F8F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F62694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6CF06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74E86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A7ECE2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B8A68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FD997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9A38E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987B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B7193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31502AF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6B8D8F4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D85D73C" w14:textId="77777777" w:rsidTr="00756005">
        <w:trPr>
          <w:trHeight w:val="300"/>
        </w:trPr>
        <w:tc>
          <w:tcPr>
            <w:tcW w:w="1357" w:type="dxa"/>
            <w:shd w:val="clear" w:color="auto" w:fill="auto"/>
            <w:hideMark/>
          </w:tcPr>
          <w:p w14:paraId="23F9DB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Pera et al (2016)</w:t>
            </w:r>
          </w:p>
        </w:tc>
        <w:tc>
          <w:tcPr>
            <w:tcW w:w="448" w:type="dxa"/>
            <w:shd w:val="clear" w:color="auto" w:fill="auto"/>
            <w:hideMark/>
          </w:tcPr>
          <w:p w14:paraId="4368E7A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8B97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5164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97BB2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8F439A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C53F3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BC304B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73991DA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541441F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33DC4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965C1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56F4E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1FF38D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73527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28742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FD80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47956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3B8F0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EB982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C38CD0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1DB27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053AE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66FF0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52FE6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49F73C4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2CCFDE0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3D0E24F" w14:textId="77777777" w:rsidTr="00756005">
        <w:trPr>
          <w:trHeight w:val="300"/>
        </w:trPr>
        <w:tc>
          <w:tcPr>
            <w:tcW w:w="1357" w:type="dxa"/>
            <w:shd w:val="clear" w:color="auto" w:fill="auto"/>
            <w:hideMark/>
          </w:tcPr>
          <w:p w14:paraId="529EFC1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Susarla et al (2016)</w:t>
            </w:r>
          </w:p>
        </w:tc>
        <w:tc>
          <w:tcPr>
            <w:tcW w:w="448" w:type="dxa"/>
            <w:shd w:val="clear" w:color="auto" w:fill="auto"/>
            <w:hideMark/>
          </w:tcPr>
          <w:p w14:paraId="383958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0884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BFCA5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C1FB4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04D1381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962BD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C117E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161EFF7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3E3B3A2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133577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9AF53E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31F54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59B3A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1404A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E0249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B7DE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E3334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32FE4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A51378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CBA1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6FA418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9B0C29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26001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5DE0E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32E8D5E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29621BC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2C922A9B" w14:textId="77777777" w:rsidTr="00756005">
        <w:trPr>
          <w:trHeight w:val="300"/>
        </w:trPr>
        <w:tc>
          <w:tcPr>
            <w:tcW w:w="1357" w:type="dxa"/>
            <w:shd w:val="clear" w:color="auto" w:fill="auto"/>
            <w:hideMark/>
          </w:tcPr>
          <w:p w14:paraId="6F86C6F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Akman and Mishra (2016)</w:t>
            </w:r>
          </w:p>
        </w:tc>
        <w:tc>
          <w:tcPr>
            <w:tcW w:w="448" w:type="dxa"/>
            <w:shd w:val="clear" w:color="auto" w:fill="auto"/>
            <w:hideMark/>
          </w:tcPr>
          <w:p w14:paraId="208AE8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F39AA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7FB64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0D81A16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11AE3A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F9C970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5B7A3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516CFF3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5D882D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C39569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EBC7A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FC407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521F3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F84F4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AA527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2A17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CF21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552849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B5208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AE5B3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FEE74A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9FEB1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EFD63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DFA703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1BB1006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069F96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CD21BD1" w14:textId="77777777" w:rsidTr="00756005">
        <w:trPr>
          <w:trHeight w:val="300"/>
        </w:trPr>
        <w:tc>
          <w:tcPr>
            <w:tcW w:w="1357" w:type="dxa"/>
            <w:shd w:val="clear" w:color="auto" w:fill="auto"/>
            <w:hideMark/>
          </w:tcPr>
          <w:p w14:paraId="7E7940B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Chung and Cho (2017)</w:t>
            </w:r>
          </w:p>
        </w:tc>
        <w:tc>
          <w:tcPr>
            <w:tcW w:w="448" w:type="dxa"/>
            <w:shd w:val="clear" w:color="auto" w:fill="auto"/>
            <w:hideMark/>
          </w:tcPr>
          <w:p w14:paraId="0CB4A67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962F1F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3EA005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31C523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89DEF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3AA5C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8F6C88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E7748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311785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E63228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30C9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C2089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CD051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CC36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4D7E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ED49C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834263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3AA09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4AD68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1503A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3A459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68C412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DABDE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57122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0051337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46314F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0186A60" w14:textId="77777777" w:rsidTr="00756005">
        <w:trPr>
          <w:trHeight w:val="300"/>
        </w:trPr>
        <w:tc>
          <w:tcPr>
            <w:tcW w:w="1357" w:type="dxa"/>
            <w:shd w:val="clear" w:color="auto" w:fill="auto"/>
            <w:hideMark/>
          </w:tcPr>
          <w:p w14:paraId="5382082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Gunarathne et al (2017)</w:t>
            </w:r>
          </w:p>
        </w:tc>
        <w:tc>
          <w:tcPr>
            <w:tcW w:w="448" w:type="dxa"/>
            <w:shd w:val="clear" w:color="auto" w:fill="auto"/>
            <w:hideMark/>
          </w:tcPr>
          <w:p w14:paraId="3E808B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482EEE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15298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E61C2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D3837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766A6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1BA50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796F85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65C2076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A2357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6CEAABB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1C9706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E9136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399376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F00A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EC1F4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1BE47F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DA888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9B52BD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5FADC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F9B4B0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399C57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D3997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581CCC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7F99830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3F45494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646A628" w14:textId="77777777" w:rsidTr="00756005">
        <w:trPr>
          <w:trHeight w:val="300"/>
        </w:trPr>
        <w:tc>
          <w:tcPr>
            <w:tcW w:w="1357" w:type="dxa"/>
            <w:shd w:val="clear" w:color="auto" w:fill="auto"/>
            <w:hideMark/>
          </w:tcPr>
          <w:p w14:paraId="23B5D95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Huang et al (2017)</w:t>
            </w:r>
          </w:p>
        </w:tc>
        <w:tc>
          <w:tcPr>
            <w:tcW w:w="448" w:type="dxa"/>
            <w:shd w:val="clear" w:color="auto" w:fill="auto"/>
            <w:hideMark/>
          </w:tcPr>
          <w:p w14:paraId="125EB63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56823CB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D61252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DB4B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1DCB03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60CF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EF2F6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69FA31A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E4EF90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6B37D7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E04F5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E5076A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FE59B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9B74B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4DA65D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824B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90243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CA17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E034B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F6EF7D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26E7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9643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9A3159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080DE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7AF07C9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76E7D0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1CF622C7" w14:textId="77777777" w:rsidTr="00756005">
        <w:trPr>
          <w:trHeight w:val="300"/>
        </w:trPr>
        <w:tc>
          <w:tcPr>
            <w:tcW w:w="1357" w:type="dxa"/>
            <w:shd w:val="clear" w:color="auto" w:fill="auto"/>
            <w:hideMark/>
          </w:tcPr>
          <w:p w14:paraId="4F611DD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Marder et al (2017)</w:t>
            </w:r>
          </w:p>
        </w:tc>
        <w:tc>
          <w:tcPr>
            <w:tcW w:w="448" w:type="dxa"/>
            <w:shd w:val="clear" w:color="auto" w:fill="auto"/>
            <w:hideMark/>
          </w:tcPr>
          <w:p w14:paraId="5BC22AE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2F5A8E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55E7C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4D4F3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8273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9A65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144A2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512CB93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BCA6AD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72921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5BC5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C46D0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6A96DF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FA18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9A26B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CB26C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59C398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56B1B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9ECF85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FF54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4B570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D563D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7973D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E5D7E3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53BF8A3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625A34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130B2C61" w14:textId="77777777" w:rsidTr="00756005">
        <w:trPr>
          <w:trHeight w:val="300"/>
        </w:trPr>
        <w:tc>
          <w:tcPr>
            <w:tcW w:w="1357" w:type="dxa"/>
            <w:shd w:val="clear" w:color="auto" w:fill="auto"/>
            <w:hideMark/>
          </w:tcPr>
          <w:p w14:paraId="29A0FE7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Stathopoulou et al (2017)</w:t>
            </w:r>
          </w:p>
        </w:tc>
        <w:tc>
          <w:tcPr>
            <w:tcW w:w="448" w:type="dxa"/>
            <w:shd w:val="clear" w:color="auto" w:fill="auto"/>
            <w:hideMark/>
          </w:tcPr>
          <w:p w14:paraId="204FE53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41946B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BAF59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76C2ED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4CF2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EEDB1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CB460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044AC06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42C50AC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3B9E2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2F35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C33C2C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8C4EAD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71448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5F62A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757CE6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95E7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F0981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078E6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EE323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0A834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5A7C2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59C3B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B59A9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4F7A6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0BAD510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9D9A3C2" w14:textId="77777777" w:rsidTr="00756005">
        <w:trPr>
          <w:trHeight w:val="300"/>
        </w:trPr>
        <w:tc>
          <w:tcPr>
            <w:tcW w:w="1357" w:type="dxa"/>
            <w:shd w:val="clear" w:color="auto" w:fill="auto"/>
            <w:hideMark/>
          </w:tcPr>
          <w:p w14:paraId="2EB231B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Dindar and Yaman (2018)</w:t>
            </w:r>
          </w:p>
        </w:tc>
        <w:tc>
          <w:tcPr>
            <w:tcW w:w="448" w:type="dxa"/>
            <w:shd w:val="clear" w:color="auto" w:fill="auto"/>
            <w:hideMark/>
          </w:tcPr>
          <w:p w14:paraId="052B422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96B7B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132C5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97FFC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3C8C2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D873C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DD7B9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32DA5C5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7E1465D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F92ED5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A7604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A2600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F4C8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FB09D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584C2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134E1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4AC27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7E601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A38728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8E4C4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8122D1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C57D23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27AD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255F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4DBB4A9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25293B6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FC42C4D" w14:textId="77777777" w:rsidTr="00756005">
        <w:trPr>
          <w:trHeight w:val="300"/>
        </w:trPr>
        <w:tc>
          <w:tcPr>
            <w:tcW w:w="1357" w:type="dxa"/>
            <w:shd w:val="clear" w:color="auto" w:fill="auto"/>
            <w:hideMark/>
          </w:tcPr>
          <w:p w14:paraId="6D6C172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Karahanna et al (2018)</w:t>
            </w:r>
          </w:p>
        </w:tc>
        <w:tc>
          <w:tcPr>
            <w:tcW w:w="448" w:type="dxa"/>
            <w:shd w:val="clear" w:color="auto" w:fill="auto"/>
            <w:hideMark/>
          </w:tcPr>
          <w:p w14:paraId="66C2010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AF122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59735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0AA710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BFCC2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A07B2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49A48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838E71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A07463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41D57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A1EB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DA8D2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56529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05EAD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0E5AF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C3DB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8D79BD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2822AB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6ACD33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2FDC3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A1F1D4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6B28E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20D5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9F5EC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7E0448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0567877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B4A326D" w14:textId="77777777" w:rsidTr="00756005">
        <w:trPr>
          <w:trHeight w:val="300"/>
        </w:trPr>
        <w:tc>
          <w:tcPr>
            <w:tcW w:w="1357" w:type="dxa"/>
            <w:shd w:val="clear" w:color="auto" w:fill="auto"/>
            <w:hideMark/>
          </w:tcPr>
          <w:p w14:paraId="53E48A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Munzel et al (2018)</w:t>
            </w:r>
          </w:p>
        </w:tc>
        <w:tc>
          <w:tcPr>
            <w:tcW w:w="448" w:type="dxa"/>
            <w:shd w:val="clear" w:color="auto" w:fill="auto"/>
            <w:hideMark/>
          </w:tcPr>
          <w:p w14:paraId="01B156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3DEE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1E2930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C2FAC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E97AC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189D6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65C5D1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506B931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49F7D16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329E8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D53F7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F092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236E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642F0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120762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61A4C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DFAAA9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6EAC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4CF63F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33A774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4FEF7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78035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2639C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83D1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2018446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5E0470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7F9CF2FE" w14:textId="77777777" w:rsidTr="00756005">
        <w:trPr>
          <w:trHeight w:val="315"/>
        </w:trPr>
        <w:tc>
          <w:tcPr>
            <w:tcW w:w="1357" w:type="dxa"/>
            <w:shd w:val="clear" w:color="auto" w:fill="auto"/>
            <w:hideMark/>
          </w:tcPr>
          <w:p w14:paraId="187D6BC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Nikolinakou and King (2018)</w:t>
            </w:r>
          </w:p>
        </w:tc>
        <w:tc>
          <w:tcPr>
            <w:tcW w:w="448" w:type="dxa"/>
            <w:shd w:val="clear" w:color="auto" w:fill="auto"/>
            <w:hideMark/>
          </w:tcPr>
          <w:p w14:paraId="1E9D2FA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3ACD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DD83C7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94808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1409C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C7AA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D291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112E706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D9B10B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DCE22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4DD737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EA3B9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A0AB99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687E38F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5C6E4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FFF1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EC85B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2D381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0C62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13D712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29B8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A4A5E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7DB00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D651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4BF4653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9DBC83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BFA2FB7" w14:textId="77777777" w:rsidTr="00756005">
        <w:trPr>
          <w:trHeight w:val="300"/>
        </w:trPr>
        <w:tc>
          <w:tcPr>
            <w:tcW w:w="1357" w:type="dxa"/>
            <w:shd w:val="clear" w:color="auto" w:fill="auto"/>
            <w:hideMark/>
          </w:tcPr>
          <w:p w14:paraId="4322F4C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Tang et al (2018)</w:t>
            </w:r>
          </w:p>
        </w:tc>
        <w:tc>
          <w:tcPr>
            <w:tcW w:w="448" w:type="dxa"/>
            <w:shd w:val="clear" w:color="auto" w:fill="auto"/>
            <w:hideMark/>
          </w:tcPr>
          <w:p w14:paraId="2F1575E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558B8D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B80A7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A76427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E06A6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D5FD55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087C9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144C6F2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535217B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F63D54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3FA58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266BF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095A1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D12ED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63FFDB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99B84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E3D618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D31D8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1FD72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18E8FB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2D674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9E0074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2840BA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EBEFB5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FBD79B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52F27EE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76917C5A" w14:textId="77777777" w:rsidTr="00756005">
        <w:trPr>
          <w:trHeight w:val="300"/>
        </w:trPr>
        <w:tc>
          <w:tcPr>
            <w:tcW w:w="1357" w:type="dxa"/>
            <w:shd w:val="clear" w:color="auto" w:fill="auto"/>
            <w:hideMark/>
          </w:tcPr>
          <w:p w14:paraId="08055F3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Voorveld et al (2018)</w:t>
            </w:r>
          </w:p>
        </w:tc>
        <w:tc>
          <w:tcPr>
            <w:tcW w:w="448" w:type="dxa"/>
            <w:shd w:val="clear" w:color="auto" w:fill="auto"/>
            <w:hideMark/>
          </w:tcPr>
          <w:p w14:paraId="5123863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AE1E59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32CA3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84AEC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32838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7ECAD7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C72C0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7CF20B0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6C9DBB4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A263B0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B36A3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8FE7E6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43CE4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24DF8C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44DA27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15F78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8EEC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1CD51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127C9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E7077B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ACA1B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C57A5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AF4568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A7F52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08747B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7B5051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072AD74D" w14:textId="77777777" w:rsidTr="00756005">
        <w:trPr>
          <w:trHeight w:val="300"/>
        </w:trPr>
        <w:tc>
          <w:tcPr>
            <w:tcW w:w="1357" w:type="dxa"/>
            <w:shd w:val="clear" w:color="auto" w:fill="auto"/>
            <w:hideMark/>
          </w:tcPr>
          <w:p w14:paraId="465C74A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Benson et al (2019)</w:t>
            </w:r>
          </w:p>
        </w:tc>
        <w:tc>
          <w:tcPr>
            <w:tcW w:w="448" w:type="dxa"/>
            <w:shd w:val="clear" w:color="auto" w:fill="auto"/>
            <w:hideMark/>
          </w:tcPr>
          <w:p w14:paraId="63F4943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E708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24B6B3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5DC70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A9E09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A18DFF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755A10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3B10A67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08CF4AA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6E87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24BA6D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4C7E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A9E34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081F6F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ECFE9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2F0711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2ECD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79DF5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1D68C6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D4A0A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E234B8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B16653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35FF1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5387145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543" w:type="dxa"/>
            <w:shd w:val="clear" w:color="auto" w:fill="auto"/>
            <w:hideMark/>
          </w:tcPr>
          <w:p w14:paraId="0023BC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6070A8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1007F955" w14:textId="77777777" w:rsidTr="00756005">
        <w:trPr>
          <w:trHeight w:val="300"/>
        </w:trPr>
        <w:tc>
          <w:tcPr>
            <w:tcW w:w="1357" w:type="dxa"/>
            <w:shd w:val="clear" w:color="auto" w:fill="auto"/>
            <w:hideMark/>
          </w:tcPr>
          <w:p w14:paraId="11925E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Hughes et al (2019)</w:t>
            </w:r>
          </w:p>
        </w:tc>
        <w:tc>
          <w:tcPr>
            <w:tcW w:w="448" w:type="dxa"/>
            <w:shd w:val="clear" w:color="auto" w:fill="auto"/>
            <w:hideMark/>
          </w:tcPr>
          <w:p w14:paraId="37327B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6BD55D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939D4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04B9A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52285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E3273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16441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5E44A56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0A8980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825277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68191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897297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1DED0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91C087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7E1AB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7D3DBF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AB35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43FB3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AD0C57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340F1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632D8D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B6806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68113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69F8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1A66683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65B947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3A8A3B5" w14:textId="77777777" w:rsidTr="00756005">
        <w:trPr>
          <w:trHeight w:val="300"/>
        </w:trPr>
        <w:tc>
          <w:tcPr>
            <w:tcW w:w="1357" w:type="dxa"/>
            <w:shd w:val="clear" w:color="auto" w:fill="auto"/>
            <w:hideMark/>
          </w:tcPr>
          <w:p w14:paraId="1CF4DC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Ki et al (2019)</w:t>
            </w:r>
          </w:p>
        </w:tc>
        <w:tc>
          <w:tcPr>
            <w:tcW w:w="448" w:type="dxa"/>
            <w:shd w:val="clear" w:color="auto" w:fill="auto"/>
            <w:hideMark/>
          </w:tcPr>
          <w:p w14:paraId="78CAD45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84112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76677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6C1A4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0E3995D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2358C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62BE8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46355B8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0804188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02E343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795B96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F7AB8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97CD3A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4CFA30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AF02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0FA7F0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4E90A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B5189E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224854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E1A32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E21E18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4D4FF7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A5A07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EEB45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2892BB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435F220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6903469C" w14:textId="77777777" w:rsidTr="00756005">
        <w:trPr>
          <w:trHeight w:val="300"/>
        </w:trPr>
        <w:tc>
          <w:tcPr>
            <w:tcW w:w="1357" w:type="dxa"/>
            <w:shd w:val="clear" w:color="auto" w:fill="auto"/>
            <w:hideMark/>
          </w:tcPr>
          <w:p w14:paraId="679D2FB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Kiani and Laroche (2019)</w:t>
            </w:r>
          </w:p>
        </w:tc>
        <w:tc>
          <w:tcPr>
            <w:tcW w:w="448" w:type="dxa"/>
            <w:shd w:val="clear" w:color="auto" w:fill="auto"/>
            <w:hideMark/>
          </w:tcPr>
          <w:p w14:paraId="143B8A7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B3AF58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EA2C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5AC0A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4166ED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A7453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17F6D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6166AE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B3A23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60A5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56B2A8E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F05B0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42CD8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D2E72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6FB288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4E76A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2B5DB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FB7A0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8514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74430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3BDFF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0B2B8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924B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5A51D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370184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503DAC2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0DEA405C" w14:textId="77777777" w:rsidTr="00756005">
        <w:trPr>
          <w:trHeight w:val="300"/>
        </w:trPr>
        <w:tc>
          <w:tcPr>
            <w:tcW w:w="1357" w:type="dxa"/>
            <w:shd w:val="clear" w:color="auto" w:fill="auto"/>
            <w:hideMark/>
          </w:tcPr>
          <w:p w14:paraId="3DB8D01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Kim and Dennis (2019)</w:t>
            </w:r>
          </w:p>
        </w:tc>
        <w:tc>
          <w:tcPr>
            <w:tcW w:w="448" w:type="dxa"/>
            <w:shd w:val="clear" w:color="auto" w:fill="auto"/>
            <w:hideMark/>
          </w:tcPr>
          <w:p w14:paraId="761336F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5A30F90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3CD494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81A95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A4A92C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09ED8EC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98BEB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07E67EF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0A1DF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D1401B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39354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21607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97EFB9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785BBF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0881DB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0E7BC8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3988B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3E113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72680C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7B2850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9C8DC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F8115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BE0EB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479A1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76EE1C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27D7692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0747F38F" w14:textId="77777777" w:rsidTr="00756005">
        <w:trPr>
          <w:trHeight w:val="300"/>
        </w:trPr>
        <w:tc>
          <w:tcPr>
            <w:tcW w:w="1357" w:type="dxa"/>
            <w:shd w:val="clear" w:color="auto" w:fill="auto"/>
            <w:hideMark/>
          </w:tcPr>
          <w:p w14:paraId="6EB3C3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Kim et al (2019)</w:t>
            </w:r>
          </w:p>
        </w:tc>
        <w:tc>
          <w:tcPr>
            <w:tcW w:w="448" w:type="dxa"/>
            <w:shd w:val="clear" w:color="auto" w:fill="auto"/>
            <w:hideMark/>
          </w:tcPr>
          <w:p w14:paraId="016269B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77E7BC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A605E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E0365A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3601D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946491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6EF65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3EDFCB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7C03E0E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D7C62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FD97D8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5B1F9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7CC62B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F4CE5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9DC0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F255E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9D601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20032F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AF2A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7053AF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B3E2F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179B7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2B2F2E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1C57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48514C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72000EE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34C200FE" w14:textId="77777777" w:rsidTr="00756005">
        <w:trPr>
          <w:trHeight w:val="300"/>
        </w:trPr>
        <w:tc>
          <w:tcPr>
            <w:tcW w:w="1357" w:type="dxa"/>
            <w:shd w:val="clear" w:color="auto" w:fill="auto"/>
            <w:hideMark/>
          </w:tcPr>
          <w:p w14:paraId="6E57676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Kristen et al (2019)</w:t>
            </w:r>
          </w:p>
        </w:tc>
        <w:tc>
          <w:tcPr>
            <w:tcW w:w="448" w:type="dxa"/>
            <w:shd w:val="clear" w:color="auto" w:fill="auto"/>
            <w:hideMark/>
          </w:tcPr>
          <w:p w14:paraId="2A25B11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30738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7220A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08A38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6761C3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25C10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6AF67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357F2E8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6B2869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68F9A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E3DCC3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63D11AD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FEE23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3A83A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7DA2FD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69C9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6DE6F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42D3F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AC9BD8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79FE3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19CF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49C7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186D3D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79C0A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543" w:type="dxa"/>
            <w:shd w:val="clear" w:color="auto" w:fill="auto"/>
            <w:hideMark/>
          </w:tcPr>
          <w:p w14:paraId="45E1006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63D9C75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00145541" w14:textId="77777777" w:rsidTr="00756005">
        <w:trPr>
          <w:trHeight w:val="300"/>
        </w:trPr>
        <w:tc>
          <w:tcPr>
            <w:tcW w:w="1357" w:type="dxa"/>
            <w:shd w:val="clear" w:color="auto" w:fill="auto"/>
            <w:hideMark/>
          </w:tcPr>
          <w:p w14:paraId="11ACF1A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Lin et al (2019)</w:t>
            </w:r>
          </w:p>
        </w:tc>
        <w:tc>
          <w:tcPr>
            <w:tcW w:w="448" w:type="dxa"/>
            <w:shd w:val="clear" w:color="auto" w:fill="auto"/>
            <w:hideMark/>
          </w:tcPr>
          <w:p w14:paraId="32C07F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DA8D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4771A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4613A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36C636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2E44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A0D8E0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750E223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24" w:type="dxa"/>
            <w:shd w:val="clear" w:color="auto" w:fill="auto"/>
            <w:hideMark/>
          </w:tcPr>
          <w:p w14:paraId="3A4488D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42F56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CE357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AE5A1D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7EBB3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E17F2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3D7E84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CF63E2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DBB935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1078E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2FAF8E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12B9E9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16FFD9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0616C6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4890C6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AE9D5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543" w:type="dxa"/>
            <w:shd w:val="clear" w:color="auto" w:fill="auto"/>
            <w:hideMark/>
          </w:tcPr>
          <w:p w14:paraId="0DD71A7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101E93A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2F78C918" w14:textId="77777777" w:rsidTr="00756005">
        <w:trPr>
          <w:trHeight w:val="300"/>
        </w:trPr>
        <w:tc>
          <w:tcPr>
            <w:tcW w:w="1357" w:type="dxa"/>
            <w:shd w:val="clear" w:color="auto" w:fill="auto"/>
            <w:hideMark/>
          </w:tcPr>
          <w:p w14:paraId="2717465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Majid et al (2019)</w:t>
            </w:r>
          </w:p>
        </w:tc>
        <w:tc>
          <w:tcPr>
            <w:tcW w:w="448" w:type="dxa"/>
            <w:shd w:val="clear" w:color="auto" w:fill="auto"/>
            <w:hideMark/>
          </w:tcPr>
          <w:p w14:paraId="42F1C25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FB918B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AF6C6A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830C7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267D4E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45F016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C5865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13BF7AB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3D49B4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E55948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42F356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220020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0FB02C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A5D77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D47EE5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8F279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EFB2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F8FE01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D94B3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CC9BE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99AEC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D23DA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8947FE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3FB5C9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1D1B017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3014F7F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2AED3BD7" w14:textId="77777777" w:rsidTr="00756005">
        <w:trPr>
          <w:trHeight w:val="300"/>
        </w:trPr>
        <w:tc>
          <w:tcPr>
            <w:tcW w:w="1357" w:type="dxa"/>
            <w:shd w:val="clear" w:color="auto" w:fill="auto"/>
            <w:hideMark/>
          </w:tcPr>
          <w:p w14:paraId="47C770D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Saxton et al (2019)</w:t>
            </w:r>
          </w:p>
        </w:tc>
        <w:tc>
          <w:tcPr>
            <w:tcW w:w="448" w:type="dxa"/>
            <w:shd w:val="clear" w:color="auto" w:fill="auto"/>
            <w:hideMark/>
          </w:tcPr>
          <w:p w14:paraId="493FC64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EA5C4F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88317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1BBC3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B1122C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B7157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2F52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306EB36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21E6249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17172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1DF88D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7913B8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A596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08466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26EB46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C0C70F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56BCD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E97BA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DCB7F8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2E7BF6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FA67AB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0BF272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4D1CF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95D12D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72A967A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67FB335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r w:rsidR="0062756C" w:rsidRPr="00530906" w14:paraId="5DD89EF1" w14:textId="77777777" w:rsidTr="00756005">
        <w:trPr>
          <w:trHeight w:val="300"/>
        </w:trPr>
        <w:tc>
          <w:tcPr>
            <w:tcW w:w="1357" w:type="dxa"/>
            <w:shd w:val="clear" w:color="auto" w:fill="auto"/>
            <w:hideMark/>
          </w:tcPr>
          <w:p w14:paraId="6A1D798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De Oliveira et al (2020)</w:t>
            </w:r>
          </w:p>
        </w:tc>
        <w:tc>
          <w:tcPr>
            <w:tcW w:w="448" w:type="dxa"/>
            <w:shd w:val="clear" w:color="auto" w:fill="auto"/>
            <w:hideMark/>
          </w:tcPr>
          <w:p w14:paraId="07CC026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8481B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E70CC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858A8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4E2D4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3E2CF09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D168FD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05" w:type="dxa"/>
            <w:shd w:val="clear" w:color="auto" w:fill="auto"/>
            <w:hideMark/>
          </w:tcPr>
          <w:p w14:paraId="459A2EA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46FBE7C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8F7787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8D619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28AD234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2F9C5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5E8D498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4AF2B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F4F6B6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4D7CBA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AC5D9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08E81B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612C4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01F68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B5B34C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50424F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B0BB2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6ADD51E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479C9A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79A6D077" w14:textId="77777777" w:rsidTr="00756005">
        <w:trPr>
          <w:trHeight w:val="300"/>
        </w:trPr>
        <w:tc>
          <w:tcPr>
            <w:tcW w:w="1357" w:type="dxa"/>
            <w:shd w:val="clear" w:color="auto" w:fill="auto"/>
            <w:hideMark/>
          </w:tcPr>
          <w:p w14:paraId="5A56600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Demmers et al (2020)</w:t>
            </w:r>
          </w:p>
        </w:tc>
        <w:tc>
          <w:tcPr>
            <w:tcW w:w="448" w:type="dxa"/>
            <w:shd w:val="clear" w:color="auto" w:fill="auto"/>
            <w:hideMark/>
          </w:tcPr>
          <w:p w14:paraId="3EAE327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BD32E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AE25A7"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6E73B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FD9004F"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2EDAC6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2FC56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059F4B3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4B16432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1AB01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AE15CE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B61D3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F8C17F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7FDC5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034A0E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E0E0A6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2BB1B94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C1DCAE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DFE189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8036CA6"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66BCA8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45C66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0FD8649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969C5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543" w:type="dxa"/>
            <w:shd w:val="clear" w:color="auto" w:fill="auto"/>
            <w:hideMark/>
          </w:tcPr>
          <w:p w14:paraId="5BF7938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677" w:type="dxa"/>
            <w:shd w:val="clear" w:color="auto" w:fill="auto"/>
            <w:hideMark/>
          </w:tcPr>
          <w:p w14:paraId="43E314EE"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r>
      <w:tr w:rsidR="0062756C" w:rsidRPr="00530906" w14:paraId="26992B23" w14:textId="77777777" w:rsidTr="00756005">
        <w:trPr>
          <w:trHeight w:val="300"/>
        </w:trPr>
        <w:tc>
          <w:tcPr>
            <w:tcW w:w="1357" w:type="dxa"/>
            <w:shd w:val="clear" w:color="auto" w:fill="auto"/>
            <w:hideMark/>
          </w:tcPr>
          <w:p w14:paraId="0F98558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Wang et al (2020)</w:t>
            </w:r>
          </w:p>
        </w:tc>
        <w:tc>
          <w:tcPr>
            <w:tcW w:w="448" w:type="dxa"/>
            <w:shd w:val="clear" w:color="auto" w:fill="auto"/>
            <w:hideMark/>
          </w:tcPr>
          <w:p w14:paraId="6216C07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E3531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4F6EDA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008BD4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A52CFF8"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601424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9575A9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05" w:type="dxa"/>
            <w:shd w:val="clear" w:color="auto" w:fill="auto"/>
            <w:hideMark/>
          </w:tcPr>
          <w:p w14:paraId="273BBF7B"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24" w:type="dxa"/>
            <w:shd w:val="clear" w:color="auto" w:fill="auto"/>
            <w:hideMark/>
          </w:tcPr>
          <w:p w14:paraId="3A2D9D2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02F21E3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D7CBC1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55481E4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4ABED140"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56E7253"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4924871C"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448" w:type="dxa"/>
            <w:shd w:val="clear" w:color="auto" w:fill="auto"/>
            <w:hideMark/>
          </w:tcPr>
          <w:p w14:paraId="1960166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648A0C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B4D861A"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81E850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75E29231"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100F5F89"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8D0B674"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39F4560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448" w:type="dxa"/>
            <w:shd w:val="clear" w:color="auto" w:fill="auto"/>
            <w:hideMark/>
          </w:tcPr>
          <w:p w14:paraId="6D946AB5"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w:t>
            </w:r>
          </w:p>
        </w:tc>
        <w:tc>
          <w:tcPr>
            <w:tcW w:w="543" w:type="dxa"/>
            <w:shd w:val="clear" w:color="auto" w:fill="auto"/>
            <w:hideMark/>
          </w:tcPr>
          <w:p w14:paraId="71CE95BD"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c>
          <w:tcPr>
            <w:tcW w:w="677" w:type="dxa"/>
            <w:shd w:val="clear" w:color="auto" w:fill="auto"/>
            <w:hideMark/>
          </w:tcPr>
          <w:p w14:paraId="1D537AC2" w14:textId="77777777" w:rsidR="0062756C" w:rsidRPr="00530906" w:rsidRDefault="0062756C" w:rsidP="00756005">
            <w:pPr>
              <w:spacing w:after="0" w:line="240" w:lineRule="auto"/>
              <w:jc w:val="both"/>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w:t>
            </w:r>
          </w:p>
        </w:tc>
      </w:tr>
    </w:tbl>
    <w:p w14:paraId="142D6377" w14:textId="414D3473" w:rsidR="0062756C" w:rsidRPr="00530906" w:rsidRDefault="0062756C" w:rsidP="0062756C">
      <w:pPr>
        <w:spacing w:after="200" w:line="360" w:lineRule="auto"/>
        <w:jc w:val="both"/>
        <w:rPr>
          <w:rFonts w:ascii="Cambria" w:eastAsiaTheme="minorEastAsia" w:hAnsi="Cambria"/>
          <w:sz w:val="24"/>
          <w:szCs w:val="24"/>
        </w:rPr>
      </w:pPr>
      <w:r w:rsidRPr="00530906">
        <w:rPr>
          <w:rFonts w:ascii="Cambria" w:eastAsiaTheme="minorEastAsia" w:hAnsi="Cambria"/>
          <w:sz w:val="24"/>
          <w:szCs w:val="24"/>
        </w:rPr>
        <w:t xml:space="preserve">Table </w:t>
      </w:r>
      <w:r w:rsidR="003E6B70">
        <w:rPr>
          <w:rFonts w:ascii="Cambria" w:eastAsiaTheme="minorEastAsia" w:hAnsi="Cambria"/>
          <w:sz w:val="24"/>
          <w:szCs w:val="24"/>
        </w:rPr>
        <w:t>5</w:t>
      </w:r>
      <w:r w:rsidRPr="00530906">
        <w:rPr>
          <w:rFonts w:ascii="Cambria" w:eastAsiaTheme="minorEastAsia" w:hAnsi="Cambria"/>
          <w:sz w:val="24"/>
          <w:szCs w:val="24"/>
        </w:rPr>
        <w:t xml:space="preserve">: Consequences of social media engagement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073"/>
        <w:gridCol w:w="3035"/>
        <w:gridCol w:w="3566"/>
      </w:tblGrid>
      <w:tr w:rsidR="00D439E7" w:rsidRPr="00530906" w14:paraId="60905CBC" w14:textId="77777777" w:rsidTr="00747C31">
        <w:trPr>
          <w:trHeight w:val="323"/>
        </w:trPr>
        <w:tc>
          <w:tcPr>
            <w:tcW w:w="0" w:type="auto"/>
            <w:shd w:val="clear" w:color="000000" w:fill="B4C6E7"/>
            <w:hideMark/>
          </w:tcPr>
          <w:p w14:paraId="2C4D8747" w14:textId="77777777" w:rsidR="00D439E7" w:rsidRPr="00530906" w:rsidRDefault="00D439E7" w:rsidP="00756005">
            <w:pPr>
              <w:spacing w:after="0" w:line="240" w:lineRule="auto"/>
              <w:rPr>
                <w:rFonts w:ascii="Calibri" w:eastAsia="Times New Roman" w:hAnsi="Calibri" w:cs="Calibri"/>
                <w:color w:val="000000"/>
                <w:sz w:val="18"/>
                <w:szCs w:val="18"/>
                <w:lang w:eastAsia="en-GB"/>
              </w:rPr>
            </w:pPr>
          </w:p>
        </w:tc>
        <w:tc>
          <w:tcPr>
            <w:tcW w:w="0" w:type="auto"/>
            <w:shd w:val="clear" w:color="000000" w:fill="B4C6E7"/>
            <w:hideMark/>
          </w:tcPr>
          <w:p w14:paraId="354B675D" w14:textId="77777777" w:rsidR="00D439E7" w:rsidRPr="00530906" w:rsidRDefault="00D439E7" w:rsidP="00756005">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6601" w:type="dxa"/>
            <w:gridSpan w:val="2"/>
            <w:shd w:val="clear" w:color="000000" w:fill="B4C6E7"/>
          </w:tcPr>
          <w:p w14:paraId="4AC0C69D" w14:textId="5B658012" w:rsidR="00D439E7" w:rsidRPr="00530906" w:rsidRDefault="00D439E7" w:rsidP="00D439E7">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Influence</w:t>
            </w:r>
          </w:p>
        </w:tc>
      </w:tr>
      <w:tr w:rsidR="00D439E7" w:rsidRPr="00530906" w14:paraId="465C7A05" w14:textId="77777777" w:rsidTr="006430D5">
        <w:trPr>
          <w:trHeight w:val="323"/>
        </w:trPr>
        <w:tc>
          <w:tcPr>
            <w:tcW w:w="0" w:type="auto"/>
            <w:shd w:val="clear" w:color="000000" w:fill="B4C6E7"/>
          </w:tcPr>
          <w:p w14:paraId="057847BD"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000000" w:fill="B4C6E7"/>
          </w:tcPr>
          <w:p w14:paraId="7264C4B2"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000000" w:fill="B4C6E7"/>
          </w:tcPr>
          <w:p w14:paraId="1EDAD2DB" w14:textId="65F624F0"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xml:space="preserve">Further engagement </w:t>
            </w:r>
          </w:p>
        </w:tc>
        <w:tc>
          <w:tcPr>
            <w:tcW w:w="3566" w:type="dxa"/>
            <w:shd w:val="clear" w:color="000000" w:fill="B4C6E7"/>
          </w:tcPr>
          <w:p w14:paraId="35E5A7A0" w14:textId="2EF3F80F"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Impact on brand/ users themselves</w:t>
            </w:r>
          </w:p>
        </w:tc>
      </w:tr>
      <w:tr w:rsidR="00D439E7" w:rsidRPr="00530906" w14:paraId="0B07D413" w14:textId="77777777" w:rsidTr="000D2486">
        <w:trPr>
          <w:trHeight w:val="240"/>
        </w:trPr>
        <w:tc>
          <w:tcPr>
            <w:tcW w:w="0" w:type="auto"/>
            <w:shd w:val="clear" w:color="auto" w:fill="auto"/>
          </w:tcPr>
          <w:p w14:paraId="1D428120"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Colliander and Dahlen (2011)</w:t>
            </w:r>
          </w:p>
        </w:tc>
        <w:tc>
          <w:tcPr>
            <w:tcW w:w="0" w:type="auto"/>
            <w:shd w:val="clear" w:color="auto" w:fill="auto"/>
          </w:tcPr>
          <w:p w14:paraId="1B606086"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tcPr>
          <w:p w14:paraId="5B63BB7C"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tcPr>
          <w:p w14:paraId="1C1C76D7" w14:textId="647B2621"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3BCD96D9" w14:textId="77777777" w:rsidTr="000D2486">
        <w:trPr>
          <w:trHeight w:val="240"/>
        </w:trPr>
        <w:tc>
          <w:tcPr>
            <w:tcW w:w="0" w:type="auto"/>
            <w:shd w:val="clear" w:color="auto" w:fill="auto"/>
            <w:hideMark/>
          </w:tcPr>
          <w:p w14:paraId="465F98B2"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Goh et al (2013)</w:t>
            </w:r>
          </w:p>
        </w:tc>
        <w:tc>
          <w:tcPr>
            <w:tcW w:w="0" w:type="auto"/>
            <w:shd w:val="clear" w:color="auto" w:fill="auto"/>
            <w:hideMark/>
          </w:tcPr>
          <w:p w14:paraId="5C71BC8E"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125B6FE7"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58E09C00" w14:textId="6F919306"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6ABA14CF" w14:textId="77777777" w:rsidTr="000D2486">
        <w:trPr>
          <w:trHeight w:val="70"/>
        </w:trPr>
        <w:tc>
          <w:tcPr>
            <w:tcW w:w="0" w:type="auto"/>
            <w:shd w:val="clear" w:color="auto" w:fill="auto"/>
            <w:hideMark/>
          </w:tcPr>
          <w:p w14:paraId="5920DD6B"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Rishika et al (2013)</w:t>
            </w:r>
          </w:p>
        </w:tc>
        <w:tc>
          <w:tcPr>
            <w:tcW w:w="0" w:type="auto"/>
            <w:shd w:val="clear" w:color="auto" w:fill="auto"/>
            <w:hideMark/>
          </w:tcPr>
          <w:p w14:paraId="5CDB42DD"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62A0EED3"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52F70CFD" w14:textId="3141FC32"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53709B4E" w14:textId="77777777" w:rsidTr="000D2486">
        <w:trPr>
          <w:trHeight w:val="208"/>
        </w:trPr>
        <w:tc>
          <w:tcPr>
            <w:tcW w:w="0" w:type="auto"/>
            <w:shd w:val="clear" w:color="auto" w:fill="auto"/>
            <w:hideMark/>
          </w:tcPr>
          <w:p w14:paraId="7FBD2D4D"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Spotts et al 2014</w:t>
            </w:r>
          </w:p>
        </w:tc>
        <w:tc>
          <w:tcPr>
            <w:tcW w:w="0" w:type="auto"/>
            <w:shd w:val="clear" w:color="auto" w:fill="auto"/>
            <w:hideMark/>
          </w:tcPr>
          <w:p w14:paraId="177FD697"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1E581CD3"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search</w:t>
            </w:r>
          </w:p>
        </w:tc>
        <w:tc>
          <w:tcPr>
            <w:tcW w:w="0" w:type="auto"/>
            <w:shd w:val="clear" w:color="auto" w:fill="auto"/>
            <w:hideMark/>
          </w:tcPr>
          <w:p w14:paraId="35568672" w14:textId="593EA422"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58E47A9D" w14:textId="77777777" w:rsidTr="000D2486">
        <w:trPr>
          <w:trHeight w:val="267"/>
        </w:trPr>
        <w:tc>
          <w:tcPr>
            <w:tcW w:w="0" w:type="auto"/>
            <w:shd w:val="clear" w:color="auto" w:fill="auto"/>
            <w:hideMark/>
          </w:tcPr>
          <w:p w14:paraId="2202DBA6"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Näsi et al (2015)</w:t>
            </w:r>
          </w:p>
        </w:tc>
        <w:tc>
          <w:tcPr>
            <w:tcW w:w="0" w:type="auto"/>
            <w:shd w:val="clear" w:color="auto" w:fill="auto"/>
            <w:hideMark/>
          </w:tcPr>
          <w:p w14:paraId="62B140C0"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450DF099" w14:textId="77777777" w:rsidR="00D439E7" w:rsidRPr="00530906" w:rsidRDefault="00D439E7" w:rsidP="00D439E7">
            <w:pPr>
              <w:spacing w:after="0" w:line="240" w:lineRule="auto"/>
              <w:rPr>
                <w:rFonts w:ascii="Times New Roman" w:eastAsia="Times New Roman" w:hAnsi="Times New Roman" w:cs="Times New Roman"/>
                <w:sz w:val="20"/>
                <w:szCs w:val="20"/>
                <w:lang w:eastAsia="en-GB"/>
              </w:rPr>
            </w:pPr>
          </w:p>
        </w:tc>
        <w:tc>
          <w:tcPr>
            <w:tcW w:w="0" w:type="auto"/>
            <w:shd w:val="clear" w:color="auto" w:fill="auto"/>
            <w:hideMark/>
          </w:tcPr>
          <w:p w14:paraId="42D3F82C" w14:textId="76ABFAF1"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on trust of the brand</w:t>
            </w:r>
          </w:p>
        </w:tc>
      </w:tr>
      <w:tr w:rsidR="00D439E7" w:rsidRPr="00530906" w14:paraId="55797356" w14:textId="77777777" w:rsidTr="000D2486">
        <w:trPr>
          <w:trHeight w:val="240"/>
        </w:trPr>
        <w:tc>
          <w:tcPr>
            <w:tcW w:w="0" w:type="auto"/>
            <w:shd w:val="clear" w:color="auto" w:fill="auto"/>
            <w:hideMark/>
          </w:tcPr>
          <w:p w14:paraId="5040AF94"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Xie and lee (2015)</w:t>
            </w:r>
          </w:p>
        </w:tc>
        <w:tc>
          <w:tcPr>
            <w:tcW w:w="0" w:type="auto"/>
            <w:shd w:val="clear" w:color="auto" w:fill="auto"/>
            <w:hideMark/>
          </w:tcPr>
          <w:p w14:paraId="5C9C92BC"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7DB62B8E"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50B1F10D" w14:textId="39477420"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55C38722" w14:textId="77777777" w:rsidTr="000D2486">
        <w:trPr>
          <w:trHeight w:val="240"/>
        </w:trPr>
        <w:tc>
          <w:tcPr>
            <w:tcW w:w="0" w:type="auto"/>
            <w:shd w:val="clear" w:color="auto" w:fill="auto"/>
            <w:hideMark/>
          </w:tcPr>
          <w:p w14:paraId="2F4A8E7F"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Kumar et al (2016)</w:t>
            </w:r>
          </w:p>
        </w:tc>
        <w:tc>
          <w:tcPr>
            <w:tcW w:w="0" w:type="auto"/>
            <w:shd w:val="clear" w:color="auto" w:fill="auto"/>
            <w:hideMark/>
          </w:tcPr>
          <w:p w14:paraId="5A497953"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4FC0412A"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1D90C432" w14:textId="69A7206F"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65EC5103" w14:textId="77777777" w:rsidTr="000D2486">
        <w:trPr>
          <w:trHeight w:val="70"/>
        </w:trPr>
        <w:tc>
          <w:tcPr>
            <w:tcW w:w="0" w:type="auto"/>
            <w:shd w:val="clear" w:color="auto" w:fill="auto"/>
            <w:hideMark/>
          </w:tcPr>
          <w:p w14:paraId="4923FC71"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Zheng et al (2015)</w:t>
            </w:r>
          </w:p>
        </w:tc>
        <w:tc>
          <w:tcPr>
            <w:tcW w:w="0" w:type="auto"/>
            <w:shd w:val="clear" w:color="auto" w:fill="auto"/>
            <w:hideMark/>
          </w:tcPr>
          <w:p w14:paraId="049853C5"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62D26270" w14:textId="77777777" w:rsidR="00D439E7" w:rsidRPr="00530906" w:rsidRDefault="00D439E7" w:rsidP="00D439E7">
            <w:pPr>
              <w:spacing w:after="0" w:line="240" w:lineRule="auto"/>
              <w:rPr>
                <w:rFonts w:ascii="Times New Roman" w:eastAsia="Times New Roman" w:hAnsi="Times New Roman" w:cs="Times New Roman"/>
                <w:sz w:val="20"/>
                <w:szCs w:val="20"/>
                <w:lang w:eastAsia="en-GB"/>
              </w:rPr>
            </w:pPr>
          </w:p>
        </w:tc>
        <w:tc>
          <w:tcPr>
            <w:tcW w:w="0" w:type="auto"/>
            <w:shd w:val="clear" w:color="auto" w:fill="auto"/>
            <w:hideMark/>
          </w:tcPr>
          <w:p w14:paraId="3C175388" w14:textId="70833B50"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brand loyalty</w:t>
            </w:r>
          </w:p>
        </w:tc>
      </w:tr>
      <w:tr w:rsidR="00D439E7" w:rsidRPr="00530906" w14:paraId="0B4B10ED" w14:textId="77777777" w:rsidTr="000D2486">
        <w:trPr>
          <w:trHeight w:val="70"/>
        </w:trPr>
        <w:tc>
          <w:tcPr>
            <w:tcW w:w="0" w:type="auto"/>
            <w:shd w:val="clear" w:color="auto" w:fill="auto"/>
            <w:hideMark/>
          </w:tcPr>
          <w:p w14:paraId="35ECBA4E"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Susarla et al (2016)</w:t>
            </w:r>
          </w:p>
        </w:tc>
        <w:tc>
          <w:tcPr>
            <w:tcW w:w="0" w:type="auto"/>
            <w:shd w:val="clear" w:color="auto" w:fill="auto"/>
            <w:hideMark/>
          </w:tcPr>
          <w:p w14:paraId="55B4107C"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77E95031"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WOM</w:t>
            </w:r>
          </w:p>
        </w:tc>
        <w:tc>
          <w:tcPr>
            <w:tcW w:w="0" w:type="auto"/>
            <w:shd w:val="clear" w:color="auto" w:fill="auto"/>
            <w:hideMark/>
          </w:tcPr>
          <w:p w14:paraId="4CB65E43" w14:textId="1ABB9884"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7A85AF2B" w14:textId="77777777" w:rsidTr="000D2486">
        <w:trPr>
          <w:trHeight w:val="157"/>
        </w:trPr>
        <w:tc>
          <w:tcPr>
            <w:tcW w:w="0" w:type="auto"/>
            <w:shd w:val="clear" w:color="auto" w:fill="auto"/>
            <w:hideMark/>
          </w:tcPr>
          <w:p w14:paraId="59D50CBE"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Akman and Mishra (2016)</w:t>
            </w:r>
          </w:p>
        </w:tc>
        <w:tc>
          <w:tcPr>
            <w:tcW w:w="0" w:type="auto"/>
            <w:shd w:val="clear" w:color="auto" w:fill="auto"/>
            <w:hideMark/>
          </w:tcPr>
          <w:p w14:paraId="5D56BB26"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635690BF"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0AFBD777" w14:textId="15338E0B"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60042659" w14:textId="77777777" w:rsidTr="000D2486">
        <w:trPr>
          <w:trHeight w:val="204"/>
        </w:trPr>
        <w:tc>
          <w:tcPr>
            <w:tcW w:w="0" w:type="auto"/>
            <w:shd w:val="clear" w:color="auto" w:fill="auto"/>
            <w:hideMark/>
          </w:tcPr>
          <w:p w14:paraId="759DF4A3"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Chung and Cho (2017)</w:t>
            </w:r>
          </w:p>
        </w:tc>
        <w:tc>
          <w:tcPr>
            <w:tcW w:w="0" w:type="auto"/>
            <w:shd w:val="clear" w:color="auto" w:fill="auto"/>
            <w:hideMark/>
          </w:tcPr>
          <w:p w14:paraId="47BF0055"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057CA51C"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19D6C9B0" w14:textId="4F41B8D1"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5F6D03BC" w14:textId="77777777" w:rsidTr="000D2486">
        <w:trPr>
          <w:trHeight w:val="235"/>
        </w:trPr>
        <w:tc>
          <w:tcPr>
            <w:tcW w:w="0" w:type="auto"/>
            <w:shd w:val="clear" w:color="auto" w:fill="auto"/>
            <w:hideMark/>
          </w:tcPr>
          <w:p w14:paraId="1A401421"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Gunarathne et al (2017)</w:t>
            </w:r>
          </w:p>
        </w:tc>
        <w:tc>
          <w:tcPr>
            <w:tcW w:w="0" w:type="auto"/>
            <w:shd w:val="clear" w:color="auto" w:fill="auto"/>
            <w:hideMark/>
          </w:tcPr>
          <w:p w14:paraId="2750E9C4"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6624CB62"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other members</w:t>
            </w:r>
          </w:p>
        </w:tc>
        <w:tc>
          <w:tcPr>
            <w:tcW w:w="0" w:type="auto"/>
            <w:shd w:val="clear" w:color="auto" w:fill="auto"/>
            <w:hideMark/>
          </w:tcPr>
          <w:p w14:paraId="2C9B5DDF" w14:textId="1BB5B412"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Feeling satisfied</w:t>
            </w:r>
          </w:p>
        </w:tc>
      </w:tr>
      <w:tr w:rsidR="00D439E7" w:rsidRPr="00530906" w14:paraId="3E496B3D" w14:textId="77777777" w:rsidTr="000D2486">
        <w:trPr>
          <w:trHeight w:val="157"/>
        </w:trPr>
        <w:tc>
          <w:tcPr>
            <w:tcW w:w="0" w:type="auto"/>
            <w:shd w:val="clear" w:color="auto" w:fill="auto"/>
            <w:hideMark/>
          </w:tcPr>
          <w:p w14:paraId="74352753"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Huang et al (2017)</w:t>
            </w:r>
          </w:p>
        </w:tc>
        <w:tc>
          <w:tcPr>
            <w:tcW w:w="0" w:type="auto"/>
            <w:shd w:val="clear" w:color="auto" w:fill="auto"/>
            <w:hideMark/>
          </w:tcPr>
          <w:p w14:paraId="363287CD"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4B9085A2"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xml:space="preserve">Influence other members </w:t>
            </w:r>
          </w:p>
        </w:tc>
        <w:tc>
          <w:tcPr>
            <w:tcW w:w="0" w:type="auto"/>
            <w:shd w:val="clear" w:color="auto" w:fill="auto"/>
            <w:hideMark/>
          </w:tcPr>
          <w:p w14:paraId="0263809B" w14:textId="21B0288F"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72837F84" w14:textId="77777777" w:rsidTr="000D2486">
        <w:trPr>
          <w:trHeight w:val="70"/>
        </w:trPr>
        <w:tc>
          <w:tcPr>
            <w:tcW w:w="0" w:type="auto"/>
            <w:shd w:val="clear" w:color="auto" w:fill="auto"/>
            <w:hideMark/>
          </w:tcPr>
          <w:p w14:paraId="21A3CE18"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Marder et al (2017)</w:t>
            </w:r>
          </w:p>
        </w:tc>
        <w:tc>
          <w:tcPr>
            <w:tcW w:w="0" w:type="auto"/>
            <w:shd w:val="clear" w:color="auto" w:fill="auto"/>
            <w:hideMark/>
          </w:tcPr>
          <w:p w14:paraId="24262B6A"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675C39ED"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xml:space="preserve">Influence other members </w:t>
            </w:r>
          </w:p>
        </w:tc>
        <w:tc>
          <w:tcPr>
            <w:tcW w:w="0" w:type="auto"/>
            <w:shd w:val="clear" w:color="auto" w:fill="auto"/>
            <w:hideMark/>
          </w:tcPr>
          <w:p w14:paraId="582730AF" w14:textId="5B89C6BF"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037D7F7D" w14:textId="77777777" w:rsidTr="000D2486">
        <w:trPr>
          <w:trHeight w:val="62"/>
        </w:trPr>
        <w:tc>
          <w:tcPr>
            <w:tcW w:w="0" w:type="auto"/>
            <w:shd w:val="clear" w:color="auto" w:fill="auto"/>
            <w:hideMark/>
          </w:tcPr>
          <w:p w14:paraId="39BFD1E8"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Demmers et al (2018)</w:t>
            </w:r>
          </w:p>
        </w:tc>
        <w:tc>
          <w:tcPr>
            <w:tcW w:w="0" w:type="auto"/>
            <w:shd w:val="clear" w:color="auto" w:fill="auto"/>
            <w:hideMark/>
          </w:tcPr>
          <w:p w14:paraId="0EE47AF0"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Repurchase</w:t>
            </w:r>
          </w:p>
        </w:tc>
        <w:tc>
          <w:tcPr>
            <w:tcW w:w="0" w:type="auto"/>
            <w:shd w:val="clear" w:color="auto" w:fill="auto"/>
            <w:hideMark/>
          </w:tcPr>
          <w:p w14:paraId="6E4D11DE"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1DB352D5" w14:textId="6402C88B"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7BAB95DB" w14:textId="77777777" w:rsidTr="000D2486">
        <w:trPr>
          <w:trHeight w:val="62"/>
        </w:trPr>
        <w:tc>
          <w:tcPr>
            <w:tcW w:w="0" w:type="auto"/>
            <w:shd w:val="clear" w:color="auto" w:fill="auto"/>
          </w:tcPr>
          <w:p w14:paraId="0090842E"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Munzel et al (2018)</w:t>
            </w:r>
          </w:p>
        </w:tc>
        <w:tc>
          <w:tcPr>
            <w:tcW w:w="0" w:type="auto"/>
            <w:shd w:val="clear" w:color="auto" w:fill="auto"/>
          </w:tcPr>
          <w:p w14:paraId="432B7ACE"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tcPr>
          <w:p w14:paraId="7612FD1C"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tcPr>
          <w:p w14:paraId="51852364" w14:textId="3A8ECB2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xml:space="preserve">Positive emotion </w:t>
            </w:r>
          </w:p>
        </w:tc>
      </w:tr>
      <w:tr w:rsidR="00D439E7" w:rsidRPr="00530906" w14:paraId="0BB9F795" w14:textId="77777777" w:rsidTr="000D2486">
        <w:trPr>
          <w:trHeight w:val="113"/>
        </w:trPr>
        <w:tc>
          <w:tcPr>
            <w:tcW w:w="0" w:type="auto"/>
            <w:shd w:val="clear" w:color="auto" w:fill="auto"/>
            <w:hideMark/>
          </w:tcPr>
          <w:p w14:paraId="00A0ED4C"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Voorveld et al (2018)</w:t>
            </w:r>
          </w:p>
        </w:tc>
        <w:tc>
          <w:tcPr>
            <w:tcW w:w="0" w:type="auto"/>
            <w:shd w:val="clear" w:color="auto" w:fill="auto"/>
            <w:hideMark/>
          </w:tcPr>
          <w:p w14:paraId="38BC1E1A"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23DBACB5"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Influence for further engagement</w:t>
            </w:r>
          </w:p>
        </w:tc>
        <w:tc>
          <w:tcPr>
            <w:tcW w:w="0" w:type="auto"/>
            <w:shd w:val="clear" w:color="auto" w:fill="auto"/>
            <w:hideMark/>
          </w:tcPr>
          <w:p w14:paraId="3D7D51DA" w14:textId="0C49933E"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6D36442C" w14:textId="77777777" w:rsidTr="000D2486">
        <w:trPr>
          <w:trHeight w:val="240"/>
        </w:trPr>
        <w:tc>
          <w:tcPr>
            <w:tcW w:w="0" w:type="auto"/>
            <w:shd w:val="clear" w:color="auto" w:fill="auto"/>
            <w:hideMark/>
          </w:tcPr>
          <w:p w14:paraId="785BCB5E"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Yoon et al (2018)</w:t>
            </w:r>
          </w:p>
        </w:tc>
        <w:tc>
          <w:tcPr>
            <w:tcW w:w="0" w:type="auto"/>
            <w:shd w:val="clear" w:color="auto" w:fill="auto"/>
            <w:hideMark/>
          </w:tcPr>
          <w:p w14:paraId="7495D6D9"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33602CDB"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0BA5A84D" w14:textId="089EFE98"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6F469343" w14:textId="77777777" w:rsidTr="000D2486">
        <w:trPr>
          <w:trHeight w:val="150"/>
        </w:trPr>
        <w:tc>
          <w:tcPr>
            <w:tcW w:w="0" w:type="auto"/>
            <w:shd w:val="clear" w:color="auto" w:fill="auto"/>
            <w:hideMark/>
          </w:tcPr>
          <w:p w14:paraId="55E240A6"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Bapna et al (2019)</w:t>
            </w:r>
          </w:p>
        </w:tc>
        <w:tc>
          <w:tcPr>
            <w:tcW w:w="0" w:type="auto"/>
            <w:shd w:val="clear" w:color="auto" w:fill="auto"/>
            <w:hideMark/>
          </w:tcPr>
          <w:p w14:paraId="63D6F319"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4838FB45"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 xml:space="preserve">Influence engagement </w:t>
            </w:r>
          </w:p>
        </w:tc>
        <w:tc>
          <w:tcPr>
            <w:tcW w:w="0" w:type="auto"/>
            <w:shd w:val="clear" w:color="auto" w:fill="auto"/>
            <w:hideMark/>
          </w:tcPr>
          <w:p w14:paraId="4D0C6334" w14:textId="0D0D228C"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Brand community growth</w:t>
            </w:r>
          </w:p>
        </w:tc>
      </w:tr>
      <w:tr w:rsidR="00D439E7" w:rsidRPr="00530906" w14:paraId="2014E8FD" w14:textId="77777777" w:rsidTr="000D2486">
        <w:trPr>
          <w:trHeight w:val="240"/>
        </w:trPr>
        <w:tc>
          <w:tcPr>
            <w:tcW w:w="0" w:type="auto"/>
            <w:shd w:val="clear" w:color="auto" w:fill="auto"/>
            <w:hideMark/>
          </w:tcPr>
          <w:p w14:paraId="018C5539"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Meire et al (2019)</w:t>
            </w:r>
          </w:p>
        </w:tc>
        <w:tc>
          <w:tcPr>
            <w:tcW w:w="0" w:type="auto"/>
            <w:shd w:val="clear" w:color="auto" w:fill="auto"/>
            <w:hideMark/>
          </w:tcPr>
          <w:p w14:paraId="7FAE2420"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56ACD736"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3FC91419" w14:textId="67E4C2A0" w:rsidR="00D439E7" w:rsidRPr="00530906" w:rsidRDefault="00D439E7" w:rsidP="00D439E7">
            <w:pPr>
              <w:spacing w:after="0" w:line="240" w:lineRule="auto"/>
              <w:rPr>
                <w:rFonts w:ascii="Times New Roman" w:eastAsia="Times New Roman" w:hAnsi="Times New Roman" w:cs="Times New Roman"/>
                <w:sz w:val="20"/>
                <w:szCs w:val="20"/>
                <w:lang w:eastAsia="en-GB"/>
              </w:rPr>
            </w:pPr>
          </w:p>
        </w:tc>
      </w:tr>
      <w:tr w:rsidR="00D439E7" w:rsidRPr="00530906" w14:paraId="7FA1DF6C" w14:textId="77777777" w:rsidTr="000D2486">
        <w:trPr>
          <w:trHeight w:val="87"/>
        </w:trPr>
        <w:tc>
          <w:tcPr>
            <w:tcW w:w="0" w:type="auto"/>
            <w:shd w:val="clear" w:color="auto" w:fill="auto"/>
            <w:hideMark/>
          </w:tcPr>
          <w:p w14:paraId="5D3AE695"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Benson et al (2019)</w:t>
            </w:r>
          </w:p>
        </w:tc>
        <w:tc>
          <w:tcPr>
            <w:tcW w:w="0" w:type="auto"/>
            <w:shd w:val="clear" w:color="auto" w:fill="auto"/>
            <w:hideMark/>
          </w:tcPr>
          <w:p w14:paraId="37ACD691"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7CB05CDA"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14E711C8" w14:textId="0BD0418A"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62FD4E1A" w14:textId="77777777" w:rsidTr="000D2486">
        <w:trPr>
          <w:trHeight w:val="70"/>
        </w:trPr>
        <w:tc>
          <w:tcPr>
            <w:tcW w:w="0" w:type="auto"/>
            <w:shd w:val="clear" w:color="auto" w:fill="auto"/>
            <w:hideMark/>
          </w:tcPr>
          <w:p w14:paraId="0005342A"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Demmers et al (2020)</w:t>
            </w:r>
          </w:p>
        </w:tc>
        <w:tc>
          <w:tcPr>
            <w:tcW w:w="0" w:type="auto"/>
            <w:shd w:val="clear" w:color="auto" w:fill="auto"/>
            <w:hideMark/>
          </w:tcPr>
          <w:p w14:paraId="62AEE188"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Purchase</w:t>
            </w:r>
          </w:p>
        </w:tc>
        <w:tc>
          <w:tcPr>
            <w:tcW w:w="0" w:type="auto"/>
            <w:shd w:val="clear" w:color="auto" w:fill="auto"/>
            <w:hideMark/>
          </w:tcPr>
          <w:p w14:paraId="6A0F1A09"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hideMark/>
          </w:tcPr>
          <w:p w14:paraId="6066CE18" w14:textId="02DFD0AC" w:rsidR="00D439E7" w:rsidRPr="00530906" w:rsidRDefault="00D439E7" w:rsidP="00D439E7">
            <w:pPr>
              <w:spacing w:after="0" w:line="240" w:lineRule="auto"/>
              <w:rPr>
                <w:rFonts w:ascii="Calibri" w:eastAsia="Times New Roman" w:hAnsi="Calibri" w:cs="Calibri"/>
                <w:color w:val="000000"/>
                <w:sz w:val="18"/>
                <w:szCs w:val="18"/>
                <w:lang w:eastAsia="en-GB"/>
              </w:rPr>
            </w:pPr>
          </w:p>
        </w:tc>
      </w:tr>
      <w:tr w:rsidR="00D439E7" w:rsidRPr="00530906" w14:paraId="10E27C79" w14:textId="77777777" w:rsidTr="000D2486">
        <w:trPr>
          <w:trHeight w:val="62"/>
        </w:trPr>
        <w:tc>
          <w:tcPr>
            <w:tcW w:w="0" w:type="auto"/>
            <w:shd w:val="clear" w:color="auto" w:fill="auto"/>
          </w:tcPr>
          <w:p w14:paraId="2AAA1E0D" w14:textId="77777777" w:rsidR="00D439E7" w:rsidRPr="00580B88" w:rsidRDefault="00D439E7" w:rsidP="00D439E7">
            <w:pPr>
              <w:spacing w:after="0" w:line="240" w:lineRule="auto"/>
              <w:rPr>
                <w:rFonts w:ascii="Calibri" w:eastAsia="Times New Roman" w:hAnsi="Calibri" w:cs="Calibri"/>
                <w:color w:val="000000"/>
                <w:sz w:val="18"/>
                <w:szCs w:val="18"/>
                <w:lang w:eastAsia="en-GB"/>
              </w:rPr>
            </w:pPr>
            <w:r w:rsidRPr="00580B88">
              <w:rPr>
                <w:rFonts w:ascii="Calibri" w:eastAsia="Times New Roman" w:hAnsi="Calibri" w:cs="Calibri"/>
                <w:color w:val="000000"/>
                <w:sz w:val="18"/>
                <w:szCs w:val="18"/>
                <w:lang w:eastAsia="en-GB"/>
              </w:rPr>
              <w:t>De Oliveira et al (2020)</w:t>
            </w:r>
          </w:p>
        </w:tc>
        <w:tc>
          <w:tcPr>
            <w:tcW w:w="0" w:type="auto"/>
            <w:shd w:val="clear" w:color="auto" w:fill="auto"/>
          </w:tcPr>
          <w:p w14:paraId="5B4FB40F"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p>
        </w:tc>
        <w:tc>
          <w:tcPr>
            <w:tcW w:w="0" w:type="auto"/>
            <w:shd w:val="clear" w:color="auto" w:fill="auto"/>
          </w:tcPr>
          <w:p w14:paraId="1BBB8D66" w14:textId="77777777"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Further engagement of the consumers</w:t>
            </w:r>
          </w:p>
        </w:tc>
        <w:tc>
          <w:tcPr>
            <w:tcW w:w="0" w:type="auto"/>
            <w:shd w:val="clear" w:color="auto" w:fill="auto"/>
          </w:tcPr>
          <w:p w14:paraId="052C55C1" w14:textId="15770169" w:rsidR="00D439E7" w:rsidRPr="00530906" w:rsidRDefault="00D439E7" w:rsidP="00D439E7">
            <w:pPr>
              <w:spacing w:after="0" w:line="240" w:lineRule="auto"/>
              <w:rPr>
                <w:rFonts w:ascii="Calibri" w:eastAsia="Times New Roman" w:hAnsi="Calibri" w:cs="Calibri"/>
                <w:color w:val="000000"/>
                <w:sz w:val="18"/>
                <w:szCs w:val="18"/>
                <w:lang w:eastAsia="en-GB"/>
              </w:rPr>
            </w:pPr>
            <w:r w:rsidRPr="00530906">
              <w:rPr>
                <w:rFonts w:ascii="Calibri" w:eastAsia="Times New Roman" w:hAnsi="Calibri" w:cs="Calibri"/>
                <w:color w:val="000000"/>
                <w:sz w:val="18"/>
                <w:szCs w:val="18"/>
                <w:lang w:eastAsia="en-GB"/>
              </w:rPr>
              <w:t>Firm’s performance</w:t>
            </w:r>
          </w:p>
        </w:tc>
      </w:tr>
    </w:tbl>
    <w:p w14:paraId="5BCDD9A4" w14:textId="77777777" w:rsidR="0062756C" w:rsidRPr="00530906" w:rsidRDefault="0062756C" w:rsidP="0062756C">
      <w:pPr>
        <w:spacing w:after="200" w:line="360" w:lineRule="auto"/>
        <w:jc w:val="both"/>
        <w:rPr>
          <w:rFonts w:ascii="Cambria" w:eastAsiaTheme="minorEastAsia" w:hAnsi="Cambria"/>
          <w:sz w:val="24"/>
          <w:szCs w:val="24"/>
        </w:rPr>
        <w:sectPr w:rsidR="0062756C" w:rsidRPr="00530906" w:rsidSect="008756B1">
          <w:pgSz w:w="16838" w:h="11906" w:orient="landscape"/>
          <w:pgMar w:top="1440" w:right="1440" w:bottom="1440" w:left="1440" w:header="709" w:footer="709" w:gutter="0"/>
          <w:cols w:space="708"/>
          <w:docGrid w:linePitch="360"/>
        </w:sectPr>
      </w:pPr>
    </w:p>
    <w:p w14:paraId="03233E73" w14:textId="77777777" w:rsidR="0062756C" w:rsidRPr="00530906" w:rsidRDefault="0062756C" w:rsidP="0062756C">
      <w:pPr>
        <w:pStyle w:val="Heading3"/>
        <w:jc w:val="both"/>
        <w:rPr>
          <w:rFonts w:ascii="Cambria" w:eastAsiaTheme="minorEastAsia" w:hAnsi="Cambria"/>
        </w:rPr>
      </w:pPr>
      <w:bookmarkStart w:id="31" w:name="_Toc115726222"/>
      <w:r w:rsidRPr="00530906">
        <w:rPr>
          <w:rFonts w:ascii="Cambria" w:eastAsiaTheme="minorEastAsia" w:hAnsi="Cambria"/>
        </w:rPr>
        <w:t>2.5.1. Antecedents of social media engagement:</w:t>
      </w:r>
      <w:bookmarkEnd w:id="31"/>
    </w:p>
    <w:p w14:paraId="7A1F7B65" w14:textId="57CAEE74" w:rsidR="0062756C" w:rsidRPr="00530906"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Themes have been determined on the basis of the homogeneity among the variables and the heterogeneity among the themes. Themes like– characteristics of the users, community, source characteristics, technological aspects, attitude, and involvement have emerged from 35 articles which have discussed about the antecedents of the social media engagement (appendix</w:t>
      </w:r>
      <w:r w:rsidR="00B5237B">
        <w:rPr>
          <w:rFonts w:ascii="Cambria" w:eastAsia="Calibri" w:hAnsi="Cambria" w:cs="Times New Roman"/>
          <w:sz w:val="24"/>
          <w:szCs w:val="24"/>
        </w:rPr>
        <w:t xml:space="preserve"> </w:t>
      </w:r>
      <w:r w:rsidRPr="00530906">
        <w:rPr>
          <w:rFonts w:ascii="Cambria" w:eastAsia="Calibri" w:hAnsi="Cambria" w:cs="Times New Roman"/>
          <w:sz w:val="24"/>
          <w:szCs w:val="24"/>
        </w:rPr>
        <w:t xml:space="preserve">1.1). 22 articles explored beyond social media engagement and investigated the consequences of it (table </w:t>
      </w:r>
      <w:r w:rsidR="00677BCB">
        <w:rPr>
          <w:rFonts w:ascii="Cambria" w:eastAsia="Calibri" w:hAnsi="Cambria" w:cs="Times New Roman"/>
          <w:sz w:val="24"/>
          <w:szCs w:val="24"/>
        </w:rPr>
        <w:t>5</w:t>
      </w:r>
      <w:r w:rsidRPr="00530906">
        <w:rPr>
          <w:rFonts w:ascii="Cambria" w:eastAsia="Calibri" w:hAnsi="Cambria" w:cs="Times New Roman"/>
          <w:sz w:val="24"/>
          <w:szCs w:val="24"/>
        </w:rPr>
        <w:t xml:space="preserve">). </w:t>
      </w:r>
    </w:p>
    <w:p w14:paraId="24CDC5AF"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Source characteristics:</w:t>
      </w:r>
    </w:p>
    <w:p w14:paraId="05259C06" w14:textId="77777777" w:rsidR="0062756C" w:rsidRPr="00530906" w:rsidRDefault="0062756C" w:rsidP="0062756C">
      <w:pPr>
        <w:spacing w:line="360" w:lineRule="auto"/>
        <w:jc w:val="both"/>
        <w:rPr>
          <w:rFonts w:ascii="Cambria" w:eastAsiaTheme="minorEastAsia" w:hAnsi="Cambria"/>
          <w:sz w:val="24"/>
          <w:szCs w:val="24"/>
        </w:rPr>
      </w:pPr>
      <w:r w:rsidRPr="00530906">
        <w:rPr>
          <w:rFonts w:ascii="Cambria" w:eastAsiaTheme="minorEastAsia" w:hAnsi="Cambria"/>
          <w:sz w:val="24"/>
          <w:szCs w:val="24"/>
        </w:rPr>
        <w:t xml:space="preserve">This theme represents the features of the source of the message or content. Studies considered variables, those are related to sources’ influential ability in social media engagement, includes– the YouTube channel’s ability to influence (Susrala et al 2016), brand’s familiarity with the social media user (Stathopoulou et al 2017), type of the firm or the industry (De Oliveira et al 2020), attractiveness and prestige of the source (Ki et al 2019), source’s name and reputation (Kim and Dennis 2019; Kim et al 2019). On the other hand, sources’ intention was tested through the variables like– perceived relation of the writer with the brand (Colliander and Dahlen 2011), brands’ purpose to interact (Li et al 2013), sources self–disclosure about their own personal aspects (Chung and Cho 2017). In addition to that, viability of the source was tested through source credibility (Colliander and Dahlen 2011; Majid et al 2019) along with source rating (Kim and Dennis 2019) and source expertise (Shen et al 2010; Huang et al 2017; Hughes et al 2019; Ki et al 2019). Along this line, source trustworthiness (Chung and Cho 2017; De Oliveira et al 2020) was tested by the variables like– perceived ethics of the seller and trust on e–commerce (Akman and Mishra 2016; Benson et al 2019). In a nutshell, consumers engage in social media depending on sources’ innate characteristics as well as the on the perception of sources’ intention and ability to provide viable content. </w:t>
      </w:r>
    </w:p>
    <w:p w14:paraId="0EDF56AB" w14:textId="7CFB59EC" w:rsidR="0062756C" w:rsidRPr="00530906" w:rsidRDefault="0062756C" w:rsidP="0062756C">
      <w:pPr>
        <w:spacing w:line="360" w:lineRule="auto"/>
        <w:jc w:val="both"/>
        <w:rPr>
          <w:rFonts w:ascii="Cambria" w:eastAsiaTheme="minorEastAsia" w:hAnsi="Cambria"/>
          <w:sz w:val="24"/>
          <w:szCs w:val="24"/>
        </w:rPr>
      </w:pPr>
      <w:r w:rsidRPr="00530906">
        <w:rPr>
          <w:rFonts w:ascii="Cambria" w:eastAsiaTheme="minorEastAsia" w:hAnsi="Cambria"/>
          <w:sz w:val="24"/>
          <w:szCs w:val="24"/>
        </w:rPr>
        <w:t xml:space="preserve">Two types of sources are identified in from the articles: brands/ firms (Li et al 2013; Akman and Mishra 2016; Stathopoulou et al 2017; De Oliviera 2020) and other users (Shen et al 2010; Colliander and Dahlen 2011; </w:t>
      </w:r>
      <w:r w:rsidRPr="00530906">
        <w:rPr>
          <w:rFonts w:ascii="Cambria" w:eastAsia="Times New Roman" w:hAnsi="Cambria" w:cs="Calibri"/>
          <w:sz w:val="24"/>
          <w:szCs w:val="24"/>
          <w:lang w:eastAsia="en-GB"/>
        </w:rPr>
        <w:t>Susarla</w:t>
      </w:r>
      <w:r w:rsidRPr="00530906">
        <w:rPr>
          <w:rFonts w:ascii="Cambria" w:eastAsiaTheme="minorEastAsia" w:hAnsi="Cambria"/>
          <w:sz w:val="24"/>
          <w:szCs w:val="24"/>
        </w:rPr>
        <w:t xml:space="preserve"> et al 2016; Chung and Cho 2017; Huang et al 2017; Hughes et al 2019; Ki et al 2019; Kim and Dennis 2019; Kim et al 2019; Majid et al 2019). It is evident that when the message is coming from the brand or the business organisations, in order to be engaged in social media, consumers need to trust the source (Akman and Mishra 2016; Benson et al 2019; De Oliviera 2020) and be clear about their purpose (Li et al 2013; Stathopoulou et al 2017). Likewise, messages coming from bloggers or </w:t>
      </w:r>
      <w:r w:rsidR="001949CD" w:rsidRPr="00530906">
        <w:rPr>
          <w:rFonts w:ascii="Cambria" w:eastAsiaTheme="minorEastAsia" w:hAnsi="Cambria"/>
          <w:sz w:val="24"/>
          <w:szCs w:val="24"/>
        </w:rPr>
        <w:t>celebrities,</w:t>
      </w:r>
      <w:r w:rsidRPr="00530906">
        <w:rPr>
          <w:rFonts w:ascii="Cambria" w:eastAsiaTheme="minorEastAsia" w:hAnsi="Cambria"/>
          <w:sz w:val="24"/>
          <w:szCs w:val="24"/>
        </w:rPr>
        <w:t xml:space="preserve"> or other sources should also signal clear intention (Colliander and Dahlen 2011; Chung and Cho 2017), rather than self–serving (Kim and Dennis 2019). This generates a sense of credibility, which is required for the users to engage in social media (Majid et al 2019). More specifically, trust on celebrities is reflected on the reputation of their endorsed brand and purchase intention (Chung and Cho 2017).  Source expertise produce loyalty and informational influence (Shen et al 2010), which motivates customers’ engagement (Hughes et al 2019) and initial purchase (Huang et al 2017; Ki et al 2019). However, it failed to evoke normative influence (Shen et al 2010) or engagement in Facebook (Hughes et al 2019). If the source endorses any brand, the purchase intention is the result of social media engagement, which depends on the sources’ ability to influence (Susrala et al 2016), rating (Kim and Dennis 2019; Kim et al 2019), attractiveness and prestige (Ki et al 2019). It is evident that, for firm or marketer generated content, trustworthiness of the source is a salient characteristic, but if the post is received from another user, their expertise and other features are also important.</w:t>
      </w:r>
    </w:p>
    <w:p w14:paraId="290C9259"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 xml:space="preserve">Sense of </w:t>
      </w:r>
      <w:r w:rsidRPr="00530906">
        <w:rPr>
          <w:rFonts w:ascii="Cambria" w:hAnsi="Cambria"/>
          <w:sz w:val="24"/>
          <w:szCs w:val="24"/>
        </w:rPr>
        <w:t>community</w:t>
      </w:r>
      <w:r w:rsidRPr="00530906">
        <w:rPr>
          <w:rFonts w:ascii="Cambria" w:eastAsiaTheme="minorEastAsia" w:hAnsi="Cambria"/>
          <w:sz w:val="24"/>
          <w:szCs w:val="24"/>
        </w:rPr>
        <w:t>:</w:t>
      </w:r>
    </w:p>
    <w:p w14:paraId="62572AF5"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This theme denotes the sense of belongingness with other members of the social media. This theme mainly included the variables those are related to the sense of affinity with a community. These variables represents the extent of similarity the  user perceive with other members of the virtual community or (Shen et al 2010; Karahanna et al 2018), the extent of users’ commitment to the community (Zheng et al 2015; De Oliveira et al 2020), the strength of their ties, ability to imitate or subjective norm (Susrala et al 2016; Chung and Cho 2017; Dindar and Yaman 2018; Lin et al 2019);  need for having a place to belong and to relate with other  members of the community (Karahanna et al 2018). This theme has also included variables those show benefit and disadvantages aroused from social interaction. This theme encompasses– value from socialisation (Pagani and Mirabello 2011); consumers’ ability to influence other consumers (Gunarathne et al 2017), social pressure (Akman and Mishra 2016) or to what extent they can withhold the susceptibility of normative influence (Kiani and Laroche 2019), the act of interaction itself (Majid et al 2019).  Variables those show the quality of the commitment have also been included in this theme, which shows the depth of the relationship with brand along with brand’s level of interaction in social media (Li et al 2013) and level of intimacy with the other contacts (Munzel et al 2018).</w:t>
      </w:r>
    </w:p>
    <w:p w14:paraId="4517F5E9"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In all cases commitment related variables are result into social media engagement either directly (Pagni and Mirabello 2011; Li et al 2013; Zheng et al 2015; </w:t>
      </w:r>
      <w:r w:rsidRPr="00530906">
        <w:rPr>
          <w:rFonts w:ascii="Cambria" w:eastAsia="Times New Roman" w:hAnsi="Cambria" w:cs="Calibri"/>
          <w:sz w:val="24"/>
          <w:szCs w:val="24"/>
          <w:lang w:eastAsia="en-GB"/>
        </w:rPr>
        <w:t>Susarla</w:t>
      </w:r>
      <w:r w:rsidRPr="00530906">
        <w:rPr>
          <w:rFonts w:ascii="Cambria" w:eastAsiaTheme="minorEastAsia" w:hAnsi="Cambria"/>
          <w:sz w:val="24"/>
          <w:szCs w:val="24"/>
        </w:rPr>
        <w:t xml:space="preserve"> et al 2016; Dindar and Yaman 2018; Karahanna et al 2018; Lin et al 2019; Majid et al 2019) or indirectly through norm (Shen et al 2010) or feelings (Gunarathne et al 2017; Kiani and Laroche 2019; De Oliveira 2020). Not only engagement, commitment related variables also lead to initiation of purchase process (Akman and Mishra 2016; Chung and Cho 2017).</w:t>
      </w:r>
    </w:p>
    <w:p w14:paraId="4341BD9E"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Emotion:</w:t>
      </w:r>
    </w:p>
    <w:p w14:paraId="4C14254C"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This theme represents the experience or feelings that motivate users to engage in social media. Among 11 articles those discussed about emotions, 8 considered only positive emotions, only two discussed about negative emotion- regret (Wang et al 2020) and social anxiety (Marder et al 2017). Moreover, only Voorveld et al (2018) has considered the generic experience gained through social media engagement, which can range from positive to negative. This implies very limited exploration of emotional theory in social media engagement literature the social media engagement.   The articles mostly covered positive emotions like seeking inspiration, fun, entertainment (Pagani and Mirabello 2011; Majid et al 2019), satisfaction from the engagement experience (Akman and Mishra 2016), hedonic value derived by engaging in a post (Hughes et al 2019; Kristen et al 2019), gratification from the process in the form of pastime, escape, self–expression etc. as well as content in the form of sharing ideas, information etc (Dindar and Yaman 2018), awe, affection (Nikolinakou and King 2018). In short social media engagement literature revolves around satisfaction and positive emotion derived from the experience (De oliveira et al 2020). </w:t>
      </w:r>
    </w:p>
    <w:p w14:paraId="3BE7B8B7" w14:textId="2C60A4C2"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The outcomes of these positive emotion range from being motivated to engage in social media (Pagani and Mirabello 2011; Dindar and Yaman 2018; Nikolinakou and King 2018; Kristen et al 2019; De Oliveira et al 2020), to evaluate the content (Voorveld et al 2018) and motivated to adopt new product (Hughes et al 2019) or to consider a new e–commerce website in social media (Akman and Mishra 2016). However negative emotion like regret generating form social overload and feelings of invasion of privacy may motivate users to discontinue using social media (Wang et al 2020). </w:t>
      </w:r>
      <w:r w:rsidR="0027669A" w:rsidRPr="00530906">
        <w:rPr>
          <w:rFonts w:ascii="Cambria" w:eastAsiaTheme="minorEastAsia" w:hAnsi="Cambria"/>
          <w:sz w:val="24"/>
          <w:szCs w:val="24"/>
        </w:rPr>
        <w:t>Similarly,</w:t>
      </w:r>
      <w:r w:rsidRPr="00530906">
        <w:rPr>
          <w:rFonts w:ascii="Cambria" w:eastAsiaTheme="minorEastAsia" w:hAnsi="Cambria"/>
          <w:sz w:val="24"/>
          <w:szCs w:val="24"/>
        </w:rPr>
        <w:t xml:space="preserve"> brand interaction also reduces due to social anxiety, when social media audience do not respond as expected (Marder et al 2017)</w:t>
      </w:r>
    </w:p>
    <w:p w14:paraId="43A611BB"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Involvement</w:t>
      </w:r>
    </w:p>
    <w:p w14:paraId="55031730"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This theme evolves around social media users’ relevance with the brand related attributes or the media, </w:t>
      </w:r>
      <w:r w:rsidRPr="00530906">
        <w:rPr>
          <w:rFonts w:ascii="Cambria" w:eastAsia="Calibri" w:hAnsi="Cambria" w:cs="Times New Roman"/>
          <w:sz w:val="24"/>
          <w:szCs w:val="24"/>
        </w:rPr>
        <w:t>(Zaichkowsky 1994, Zaichkowsky 1985)</w:t>
      </w:r>
      <w:r w:rsidRPr="00530906">
        <w:rPr>
          <w:rFonts w:ascii="Cambria" w:eastAsiaTheme="minorEastAsia" w:hAnsi="Cambria"/>
          <w:sz w:val="24"/>
          <w:szCs w:val="24"/>
        </w:rPr>
        <w:t xml:space="preserve">. This theme incorporated users’ relevancy with the other aspects. In other words, to what extent the products in discussion are relevant with the users (Nikolinakou and King; De Oliveira et al 2020), users’ need fit with the supplied products, users’ value and personality fit with the other users’ value and personalities of social media (Tang et al 2018). This theme also incorporates the notion of the users themselves in terms of their value (benefit or cost) (Zheng et al 2015; Wang et al 2020) and their ability to effectively control their own surroundings (Karahanna et al 2018;) </w:t>
      </w:r>
    </w:p>
    <w:p w14:paraId="729D679F" w14:textId="28233BA9"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It is posited that users engage in social media because of the need for freedom and ability to express themselves (Karahanna et al 2018). Social media engagement with a brand</w:t>
      </w:r>
      <w:r w:rsidR="0027669A">
        <w:rPr>
          <w:rFonts w:ascii="Cambria" w:eastAsiaTheme="minorEastAsia" w:hAnsi="Cambria"/>
          <w:sz w:val="24"/>
          <w:szCs w:val="24"/>
        </w:rPr>
        <w:t>,</w:t>
      </w:r>
      <w:r w:rsidRPr="00530906">
        <w:rPr>
          <w:rFonts w:ascii="Cambria" w:eastAsiaTheme="minorEastAsia" w:hAnsi="Cambria"/>
          <w:sz w:val="24"/>
          <w:szCs w:val="24"/>
        </w:rPr>
        <w:t xml:space="preserve"> increases with the product involvement (Nikolinakou and King; De Oliveira 2020) and users’ relevance with the brand, supplier, and the group (Tang et al 2018). This type of engagement has proved to be significantly influenced by perceived benefit from the engagement with brand but not by perceived cost of engagement with the brand (Zheng et al 2015). However, irrevocable sunk cost of time and effort may prevent the users to discontinue engagement in social media (Wang et al. 2020). </w:t>
      </w:r>
    </w:p>
    <w:p w14:paraId="1B9D4124"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Attitude:</w:t>
      </w:r>
    </w:p>
    <w:p w14:paraId="7AD8B7A6"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This theme represents users’ mindset about themselves and other entities of social media.  Variables those have been included in the themes are– users’ attitude towards the brand (Nikolonakou and King 2018) and the influencer in social media (Ki et al 2019), users’ own belief (Kim and Dannis 2019; Kim et al 2019), users’ stance on taking risk and trusting others (Benson et al 2019) and attitude of sharing information considering the privacy risk (Lin et al 2019). </w:t>
      </w:r>
    </w:p>
    <w:p w14:paraId="670A56A2"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Favourable attitude for the brand and the content (Nikolonakou and King 2018) or positive attitude toward the influencers’ taste, opinion and mimicking them (Ki et al 2019) has increased consumers engagement with the brand and the content.  Social media user tends to favour those content which confirms their mindset or previous belief (Kim and Dannis 2019; Kim et al 2019).  consumers engage in e–commerce in social media is they have the high tendency to trust and willing to take the risk (Benson et al 2019). Similarly, information sharing activity in social media is the result of the attitude towards information sharing after considering the privacy risk (Lin et al 2019). The activity in social media is basically reflection of users’ self–identity (Karahanna et al 2018) and self–esteem (Kiani and Laroche 2019). Users of social media engage on the basis of their sense of themselves, how they can express themselves to others and how to maintain their self–identity (Karahanna et al 2018). Even the market experts (mavens) with high self–esteem are more comfortable making recommendation on social media than the ones with low self–esteem (Kiani and Laroche 2019). </w:t>
      </w:r>
    </w:p>
    <w:p w14:paraId="12AA8475"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Social media users’ characteristics:</w:t>
      </w:r>
    </w:p>
    <w:p w14:paraId="32A83CCB"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Users’ persistent characteristics like– demographics, purchase situation, knowledge, and psychological conditions have been encompassed in this theme. Pagani and Mirabello (2011) have considered demographics in terms of gender. On the other hand, purchase situation has taken a number of aspects into consideration, like– purchase amount, focus on buying rather than glancing at the items, sensitivity towards the deal, purchase of premium products (Rishika et al 2013), pre–consumption, consumption or post–consumptions stage (Demmers et al 2020), and easiness of purchase (De Oliveira et al 2020). Knowledge of the users has been measured through, their proficiency of social media technology and awareness about information (Benson et al 2015; Akman and Mishra 2016; Benson et al 2019). In this line, users’ social media habit was also included in this theme (Wang et al 2020). Psychological conditions have been measured through user’s expectation of other users’ reaction, social expectation (Marder et al 2017; Lin et al 2019), priority of users’ safety, and information sharing need (Kristen et al 2019</w:t>
      </w:r>
    </w:p>
    <w:p w14:paraId="7B310BBD"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Women proved to be more inclined into social engagement and men are significantly more interested in personal engagement (Pagani and Mirabello 2011).  When comes to social media engagement directly with the firm, high level of engagement dependent on high purchasing power of the consumer (Rishika et al 2013) and required resources like time, effort, and information (De Oliveira 2020; Demmers et al 2020). The knowledge or awareness of the social media operation leads to sharing customer information (Benson et al 2015) and eventually adopting e–commerce in social media (Akman and Mishra 2016). Since purchase is supported by utilitarian motive it is comprehensible that the users should be concerned about safety. On the rother hand, if users’ have a motive to influence others, they will share information (Kristen et al 2019). In this case lower reaction from other user than expected may lead to deceased social media engagement (Lin et al 2019; Marder et al 2017).</w:t>
      </w:r>
    </w:p>
    <w:p w14:paraId="239C4341" w14:textId="77777777" w:rsidR="0062756C" w:rsidRPr="00530906" w:rsidRDefault="0062756C" w:rsidP="0062756C">
      <w:pPr>
        <w:pStyle w:val="Heading5"/>
        <w:jc w:val="both"/>
        <w:rPr>
          <w:rFonts w:ascii="Cambria" w:eastAsiaTheme="minorEastAsia" w:hAnsi="Cambria"/>
          <w:sz w:val="24"/>
          <w:szCs w:val="24"/>
        </w:rPr>
      </w:pPr>
      <w:r w:rsidRPr="00530906">
        <w:rPr>
          <w:rFonts w:ascii="Cambria" w:eastAsiaTheme="minorEastAsia" w:hAnsi="Cambria"/>
          <w:sz w:val="24"/>
          <w:szCs w:val="24"/>
        </w:rPr>
        <w:t xml:space="preserve">Technological aspects: </w:t>
      </w:r>
    </w:p>
    <w:p w14:paraId="3CCCD62D"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 xml:space="preserve">Technological aspects denote the application–based content or hardware features those facilitates the social media engagement. These are tangible in nature. The articles revealed two types of technological features– one is related to the content and the other is related to the media platform. Content related variables are– number of message or review in social media (Rishika et al 2013; Huang et al 2017), the time, when the user was exposed to the advertisement disseminated on social media (Spotts et al 2014), the creativity of the advertisement (Stathopoulou et al 2017), incentive offered in the campaign, the type of the campaign which may have the objective to provide information or to invite to purchase (Hughes et al 2019; Demmers et al 2020), and  the content itself (Pera et al 2016; Ki et al 2019; Saxton et al 2019; Majid et al 209). On the other hand, the aspects those have been studied besides the media platform (Colliander and Dehlen 2011; Kiani and Laroche 2019; De Oliveira 2020) are– social feature of the media (Pagani and Mirabello 2011; Dindar and Yaman 2018; Lin et al 2019; Demmers et al 2020), security features of social media those ensure security and enable users control their personal information (Benson et al 2015; Benson et al 2019), and size of the network (Munzel et al 2018). </w:t>
      </w:r>
    </w:p>
    <w:p w14:paraId="194153B7" w14:textId="77777777" w:rsidR="0062756C" w:rsidRPr="00530906" w:rsidRDefault="0062756C" w:rsidP="0062756C">
      <w:pPr>
        <w:spacing w:line="360" w:lineRule="auto"/>
        <w:ind w:hanging="11"/>
        <w:jc w:val="both"/>
        <w:rPr>
          <w:rFonts w:ascii="Cambria" w:eastAsiaTheme="minorEastAsia" w:hAnsi="Cambria"/>
          <w:sz w:val="24"/>
          <w:szCs w:val="24"/>
        </w:rPr>
      </w:pPr>
      <w:r w:rsidRPr="00530906">
        <w:rPr>
          <w:rFonts w:ascii="Cambria" w:eastAsiaTheme="minorEastAsia" w:hAnsi="Cambria"/>
          <w:sz w:val="24"/>
          <w:szCs w:val="24"/>
        </w:rPr>
        <w:t>Two types of technological variables have impact on engagement– content (Rishika et al 2013; Pera et al 2016; Benson et al 2015; Spotts et al 2014; Huang at al 2017; Stathepoulou et al 2017; Saxton et al 2019; Hughes et al 2019; Ki et al 2019; Kristen et al 2019; Saxton et al 2019; Demmers et al 2020) and the nature of media (Colliander and Dahlen 2011; Pagani and Mirabello 2011; Benson et al 2015; Dindar and Yaman 2018; Munzel et al 2018; Kiani and Laroche 2019; Lin et al 2019). Security aspect (Benson et al 2015; Benson et al 2019; Lin et al 2019; De Oliveira et al 2020) and social aspect of social media have proved to motivate the users more than a one–way communication media (Colliander and Dehlen 2011; Pagani and Mirabello 2011). Peer influence is more evident in terms of initial trial over media platform like Facebook (Huang at al 2017; Hughes et al 2019), but when it comes to engagement with the brand, twitter is more influential than Facebook and blog (De Oliveira 2020). More specifically, for information, media like blogs or twitter generates more engagement than peer focused media like Facebook (K</w:t>
      </w:r>
      <w:r w:rsidRPr="00530906">
        <w:rPr>
          <w:rFonts w:ascii="Cambria" w:eastAsia="Times New Roman" w:hAnsi="Cambria" w:cs="Calibri"/>
          <w:color w:val="000000"/>
          <w:sz w:val="24"/>
          <w:szCs w:val="24"/>
          <w:lang w:eastAsia="en-GB"/>
        </w:rPr>
        <w:t>isten et al 2019; Demmers et al 2020; Hughes et al 2019; Huang et al 2017).  Engagement also depends on the novelty and topic of the content (</w:t>
      </w:r>
      <w:r w:rsidRPr="00530906">
        <w:rPr>
          <w:rFonts w:ascii="Cambria" w:eastAsiaTheme="minorEastAsia" w:hAnsi="Cambria"/>
          <w:sz w:val="24"/>
          <w:szCs w:val="24"/>
        </w:rPr>
        <w:t>Stathepoulou et al 2017; Saxton et al 2019). The contents and media results into generating emotion (Munzel et al 2018; Kristen et al 2019; Pera et al 2016) along with engagement (Spotts et al 2014; Stathepoulou et al 2017; Saxton et al 2019; Kiani and Laroche 2019; Lin et al 2019; De Oliveira et al 2020; Demmers et al 2020) and subsequent purchase (Colliander and Dahlen 2011; Rishika et al 2013; Hughes et al 2019; Ki et al 2019).</w:t>
      </w:r>
    </w:p>
    <w:p w14:paraId="7A356560" w14:textId="27C853F8" w:rsidR="0062756C" w:rsidRPr="00530906" w:rsidRDefault="0062756C" w:rsidP="0062756C">
      <w:pPr>
        <w:spacing w:line="360" w:lineRule="auto"/>
        <w:jc w:val="both"/>
        <w:rPr>
          <w:rFonts w:ascii="Cambria" w:eastAsiaTheme="minorEastAsia" w:hAnsi="Cambria" w:cs="Times New Roman"/>
          <w:sz w:val="24"/>
          <w:szCs w:val="24"/>
        </w:rPr>
      </w:pPr>
      <w:r w:rsidRPr="00530906">
        <w:rPr>
          <w:rFonts w:ascii="Cambria" w:eastAsiaTheme="minorEastAsia" w:hAnsi="Cambria"/>
          <w:sz w:val="24"/>
          <w:szCs w:val="24"/>
        </w:rPr>
        <w:t>From the above discussion it can be observed that, social media engagement starts either by the primary content creators, which can be the firms or the users or by the secondary users who take further initiative to engage with the content. The former type of social media engagement is called ‘creation’ and the latter one is called ‘consumption’ or ‘contribution’ (</w:t>
      </w:r>
      <w:r w:rsidRPr="00530906">
        <w:rPr>
          <w:rFonts w:ascii="Cambria" w:eastAsiaTheme="minorEastAsia" w:hAnsi="Cambria" w:cs="Times New Roman"/>
          <w:sz w:val="24"/>
          <w:szCs w:val="24"/>
        </w:rPr>
        <w:t xml:space="preserve">Schivinski et al. 2016).  It implies that apart from antecedents like source, community, technological aspect, emotion, attitude, involvement, and users’ characteristics, users’ engagement in social media may also act an antecedent   Table </w:t>
      </w:r>
      <w:r w:rsidR="00AD3E4F">
        <w:rPr>
          <w:rFonts w:ascii="Cambria" w:eastAsiaTheme="minorEastAsia" w:hAnsi="Cambria" w:cs="Times New Roman"/>
          <w:sz w:val="24"/>
          <w:szCs w:val="24"/>
        </w:rPr>
        <w:t>4</w:t>
      </w:r>
      <w:r w:rsidRPr="00530906">
        <w:rPr>
          <w:rFonts w:ascii="Cambria" w:eastAsiaTheme="minorEastAsia" w:hAnsi="Cambria" w:cs="Times New Roman"/>
          <w:sz w:val="24"/>
          <w:szCs w:val="24"/>
        </w:rPr>
        <w:t xml:space="preserve"> shows that, among 36 articles, 22 articles gave emphasis on engagement on a given content and 16 of those contents are initiated by the brands. 14 of the articles discuss about user’s social media engagement in general.</w:t>
      </w:r>
    </w:p>
    <w:p w14:paraId="6D7F022B" w14:textId="77777777" w:rsidR="0062756C" w:rsidRPr="00530906" w:rsidRDefault="0062756C" w:rsidP="0062756C">
      <w:pPr>
        <w:pStyle w:val="Heading3"/>
        <w:jc w:val="both"/>
        <w:rPr>
          <w:rFonts w:ascii="Cambria" w:eastAsiaTheme="minorEastAsia" w:hAnsi="Cambria"/>
        </w:rPr>
      </w:pPr>
      <w:bookmarkStart w:id="32" w:name="_Toc115726223"/>
      <w:r w:rsidRPr="00530906">
        <w:rPr>
          <w:rFonts w:ascii="Cambria" w:eastAsiaTheme="minorEastAsia" w:hAnsi="Cambria"/>
        </w:rPr>
        <w:t>2.5.2 Consequences of social media engagement</w:t>
      </w:r>
      <w:bookmarkEnd w:id="32"/>
      <w:r w:rsidRPr="00530906">
        <w:rPr>
          <w:rFonts w:ascii="Cambria" w:eastAsiaTheme="minorEastAsia" w:hAnsi="Cambria"/>
        </w:rPr>
        <w:t xml:space="preserve"> </w:t>
      </w:r>
    </w:p>
    <w:p w14:paraId="3C8313D9" w14:textId="25510C08" w:rsidR="0062756C" w:rsidRPr="00530906" w:rsidRDefault="0062756C" w:rsidP="0062756C">
      <w:pPr>
        <w:spacing w:line="360" w:lineRule="auto"/>
        <w:jc w:val="both"/>
        <w:rPr>
          <w:rFonts w:ascii="Cambria" w:hAnsi="Cambria"/>
          <w:sz w:val="24"/>
          <w:szCs w:val="24"/>
        </w:rPr>
      </w:pPr>
      <w:r w:rsidRPr="00530906">
        <w:rPr>
          <w:rFonts w:ascii="Cambria" w:eastAsia="Times New Roman" w:hAnsi="Cambria" w:cs="Calibri"/>
          <w:sz w:val="24"/>
          <w:szCs w:val="24"/>
          <w:lang w:eastAsia="en-GB"/>
        </w:rPr>
        <w:t xml:space="preserve">14 articles of table </w:t>
      </w:r>
      <w:r w:rsidR="000E799C">
        <w:rPr>
          <w:rFonts w:ascii="Cambria" w:eastAsia="Times New Roman" w:hAnsi="Cambria" w:cs="Calibri"/>
          <w:sz w:val="24"/>
          <w:szCs w:val="24"/>
          <w:lang w:eastAsia="en-GB"/>
        </w:rPr>
        <w:t>5</w:t>
      </w:r>
      <w:r w:rsidRPr="00530906">
        <w:rPr>
          <w:rFonts w:ascii="Cambria" w:eastAsia="Times New Roman" w:hAnsi="Cambria" w:cs="Calibri"/>
          <w:sz w:val="24"/>
          <w:szCs w:val="24"/>
          <w:lang w:eastAsia="en-GB"/>
        </w:rPr>
        <w:t xml:space="preserve"> focused solely on social media engagement/ interaction by the brand or other members of the social media as an antecedent and discussed about how the they inspire further engagement or feelings or purchase behaviour (Colliander and Dahlen 2011; Rishika et al 2013; Näsi et al 2015; Xie and lee 2015; Zheng et al 2015; Chung and Cho 2017; Gunarathne et al 2017; Huang et al 2017; Marder et al 2017; Munzel et al 2018; Demmers et al 2018; Yoon et al 2018; Bapna et al 2019; Meire et al 2019; De Oliveira et al 2020). 7 articles have considered the content/ message/ advertisement as a starting point/ antecedent of the outcomes mentioned in the table </w:t>
      </w:r>
      <w:r w:rsidR="001C0005">
        <w:rPr>
          <w:rFonts w:ascii="Cambria" w:eastAsia="Times New Roman" w:hAnsi="Cambria" w:cs="Calibri"/>
          <w:sz w:val="24"/>
          <w:szCs w:val="24"/>
          <w:lang w:eastAsia="en-GB"/>
        </w:rPr>
        <w:t>5</w:t>
      </w:r>
      <w:r w:rsidRPr="00530906">
        <w:rPr>
          <w:rFonts w:ascii="Cambria" w:eastAsia="Times New Roman" w:hAnsi="Cambria" w:cs="Calibri"/>
          <w:sz w:val="24"/>
          <w:szCs w:val="24"/>
          <w:lang w:eastAsia="en-GB"/>
        </w:rPr>
        <w:t xml:space="preserve"> (Goh et al 2013; Spotts aet al 2014; Kumar et al 2016; Susara et al 2016; Akman and Mishra 2016; Voorveld et al 2018; Demmers et al 2020). Benson et al (2019) have measured the relationship between consumers’ personal aspects regarding social media and their purchase behaviour. </w:t>
      </w:r>
    </w:p>
    <w:p w14:paraId="0B9D38C9" w14:textId="77777777" w:rsidR="0062756C" w:rsidRPr="00530906" w:rsidRDefault="0062756C" w:rsidP="0062756C">
      <w:pPr>
        <w:pStyle w:val="Heading4"/>
        <w:jc w:val="both"/>
        <w:rPr>
          <w:rFonts w:ascii="Cambria" w:eastAsiaTheme="minorEastAsia" w:hAnsi="Cambria"/>
          <w:color w:val="auto"/>
          <w:sz w:val="24"/>
          <w:szCs w:val="24"/>
        </w:rPr>
      </w:pPr>
      <w:r w:rsidRPr="00530906">
        <w:rPr>
          <w:rFonts w:ascii="Cambria" w:eastAsiaTheme="minorEastAsia" w:hAnsi="Cambria"/>
          <w:sz w:val="24"/>
          <w:szCs w:val="24"/>
        </w:rPr>
        <w:t xml:space="preserve">Purchase </w:t>
      </w:r>
    </w:p>
    <w:p w14:paraId="29983F67" w14:textId="77777777" w:rsidR="0062756C" w:rsidRPr="00530906" w:rsidRDefault="0062756C" w:rsidP="0062756C">
      <w:pPr>
        <w:spacing w:line="360" w:lineRule="auto"/>
        <w:jc w:val="both"/>
        <w:rPr>
          <w:rFonts w:ascii="Cambria" w:hAnsi="Cambria"/>
          <w:sz w:val="24"/>
          <w:szCs w:val="24"/>
        </w:rPr>
      </w:pPr>
      <w:r w:rsidRPr="00530906">
        <w:rPr>
          <w:rFonts w:ascii="Cambria" w:eastAsiaTheme="minorEastAsia" w:hAnsi="Cambria" w:cs="Times New Roman"/>
          <w:sz w:val="24"/>
          <w:szCs w:val="24"/>
        </w:rPr>
        <w:t>7 of the articles have reported positive connection with social media engagement and purchase (</w:t>
      </w:r>
      <w:r w:rsidRPr="00530906">
        <w:rPr>
          <w:rFonts w:ascii="Cambria" w:eastAsia="Times New Roman" w:hAnsi="Cambria" w:cs="Calibri"/>
          <w:sz w:val="24"/>
          <w:szCs w:val="24"/>
          <w:lang w:eastAsia="en-GB"/>
        </w:rPr>
        <w:t>Colliander and Dahlen 2011; Rishika et al 2013; Akman and Mishra 2016; Chung and Cho 2017; Benson et al 2019; Demmers et al 2020). 5 articles exclusively taken social media engagement as the antecedent and have confirmed the fact that major consequence of brand related social media engagement is purchase intention (Goh et al 2013; Xie and Lee 2015; Kumar et al 2016; Yoon et al 2018; Meire et al 2019). More specifically speaking the source, content (Goh et al 2013; Kumar et al 2016; Yoon et al 2018; Meire et al 2019) have impact on the purchase intention. Both user generated content (Goh et al 2013) and firm generated content (Xie and lee 2015; Kumar et al 2016; Meire et al 2019) were proved to have significant influence on the purchase. Goh et al (2013) has examined the differentiating effect of user generated content (UGC) and marketer generated (MGC) content and found that, UGC has greater persuasive power than the MGC. In their study, MGC or brand generated content produced greater purchase intention when they cater consumers personally. Xie and Lee (2015) further investigated the brand contents which is disseminated either by the brand or by the consumers in contrast to in store promotion and found the effectiveness of social media engagement. Goh et al (2013) and Yoon et al (2018) have focused only of positive engagement, which proved to be substantially effective to generate revenue. On the other hand, rather than affecting the purchase directly, firm generated contents are usually moderated by consumers’ emotion (Meire et al 2019; De Oliveira et al 2020), customers’ characteristics (Kumar et al 2016), assurance of safe transaction of information (Benson et al 2019) and purchase situation (Demmers et al 2020).</w:t>
      </w:r>
    </w:p>
    <w:p w14:paraId="50C517BA" w14:textId="77777777" w:rsidR="0062756C" w:rsidRPr="00530906" w:rsidRDefault="0062756C" w:rsidP="0062756C">
      <w:pPr>
        <w:pStyle w:val="Heading4"/>
        <w:jc w:val="both"/>
        <w:rPr>
          <w:rFonts w:ascii="Cambria" w:eastAsiaTheme="minorEastAsia" w:hAnsi="Cambria"/>
          <w:sz w:val="24"/>
          <w:szCs w:val="24"/>
        </w:rPr>
      </w:pPr>
      <w:r w:rsidRPr="00530906">
        <w:rPr>
          <w:rFonts w:ascii="Cambria" w:eastAsiaTheme="minorEastAsia" w:hAnsi="Cambria"/>
          <w:sz w:val="24"/>
          <w:szCs w:val="24"/>
        </w:rPr>
        <w:t xml:space="preserve">Influence: </w:t>
      </w:r>
    </w:p>
    <w:p w14:paraId="342C1516" w14:textId="77777777" w:rsidR="0062756C" w:rsidRPr="00530906" w:rsidRDefault="0062756C" w:rsidP="0062756C">
      <w:pPr>
        <w:spacing w:after="0" w:line="360" w:lineRule="auto"/>
        <w:jc w:val="both"/>
        <w:rPr>
          <w:rFonts w:ascii="Cambria" w:hAnsi="Cambria"/>
          <w:sz w:val="24"/>
          <w:szCs w:val="24"/>
        </w:rPr>
      </w:pPr>
      <w:r w:rsidRPr="00530906">
        <w:rPr>
          <w:rFonts w:ascii="Cambria" w:eastAsia="Times New Roman" w:hAnsi="Cambria" w:cs="Calibri"/>
          <w:sz w:val="24"/>
          <w:szCs w:val="24"/>
          <w:lang w:eastAsia="en-GB"/>
        </w:rPr>
        <w:t>Brands seeks to influence the consumers for further engagement through advertisement (Spotts et al 2014; Voorveld et al 2018; De Oliveira et al 2020) or though organisations’ information (</w:t>
      </w:r>
      <w:r w:rsidRPr="00530906">
        <w:rPr>
          <w:rFonts w:ascii="Cambria" w:eastAsia="Times New Roman" w:hAnsi="Cambria" w:cs="Calibri"/>
          <w:color w:val="000000"/>
          <w:sz w:val="24"/>
          <w:szCs w:val="24"/>
          <w:lang w:eastAsia="en-GB"/>
        </w:rPr>
        <w:t>Bapna et al 2019)</w:t>
      </w:r>
      <w:r w:rsidRPr="00530906">
        <w:rPr>
          <w:rFonts w:ascii="Cambria" w:eastAsia="Times New Roman" w:hAnsi="Cambria" w:cs="Calibri"/>
          <w:sz w:val="24"/>
          <w:szCs w:val="24"/>
          <w:lang w:eastAsia="en-GB"/>
        </w:rPr>
        <w:t xml:space="preserve">. This in turn evoke brand loyalty (Zheng et al 2015) or the community loyalty and subsequent normative and informative influence (Shen et al 2010) through customer engagement with the content (Voorveld et al 2018; Munzel et al 2018). </w:t>
      </w:r>
      <w:r w:rsidRPr="00530906">
        <w:rPr>
          <w:rFonts w:ascii="Cambria" w:eastAsiaTheme="minorEastAsia" w:hAnsi="Cambria"/>
          <w:sz w:val="24"/>
          <w:szCs w:val="24"/>
        </w:rPr>
        <w:t>When it comes to users’ or consumers’ engagement, it has been reported that they aim to influence other members of the social media (</w:t>
      </w:r>
      <w:r w:rsidRPr="00530906">
        <w:rPr>
          <w:rFonts w:ascii="Cambria" w:eastAsia="Times New Roman" w:hAnsi="Cambria" w:cs="Calibri"/>
          <w:sz w:val="24"/>
          <w:szCs w:val="24"/>
          <w:lang w:eastAsia="en-GB"/>
        </w:rPr>
        <w:t>Susarla et al 2016; Chung and Cho 2017; Gunarathne et al 2017; Huang et al 2017; Marder et al 2017; Lin et al 2019). If the users do not receive expected response from other members, it may discourage them for further social media engagement (Marder et al 2017; Lin et al 2019). On the flip side, negative content may have negative influence which may result into losing trust on the source (</w:t>
      </w:r>
      <w:r w:rsidRPr="00530906">
        <w:rPr>
          <w:rFonts w:ascii="Cambria" w:eastAsia="Times New Roman" w:hAnsi="Cambria" w:cs="Calibri"/>
          <w:color w:val="000000"/>
          <w:sz w:val="24"/>
          <w:szCs w:val="24"/>
          <w:lang w:eastAsia="en-GB"/>
        </w:rPr>
        <w:t>Näsi et al 2015; Demmers et al 2018)</w:t>
      </w:r>
    </w:p>
    <w:p w14:paraId="1A31B0A8" w14:textId="77777777" w:rsidR="0062756C" w:rsidRPr="00530906" w:rsidRDefault="0062756C" w:rsidP="0062756C">
      <w:pPr>
        <w:pStyle w:val="Heading3"/>
        <w:jc w:val="both"/>
        <w:rPr>
          <w:rFonts w:ascii="Cambria" w:eastAsiaTheme="minorEastAsia" w:hAnsi="Cambria"/>
        </w:rPr>
      </w:pPr>
      <w:bookmarkStart w:id="33" w:name="_Toc115726224"/>
      <w:r w:rsidRPr="00530906">
        <w:rPr>
          <w:rFonts w:ascii="Cambria" w:eastAsiaTheme="minorEastAsia" w:hAnsi="Cambria"/>
        </w:rPr>
        <w:t>2.5.3. Thesis roadmap:</w:t>
      </w:r>
      <w:bookmarkEnd w:id="33"/>
    </w:p>
    <w:p w14:paraId="7F52D154" w14:textId="1F2CDAA0" w:rsidR="0062756C" w:rsidRPr="00CF02D5" w:rsidRDefault="0062756C" w:rsidP="0062756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People use social–media in order to fulfil their need of self–expression and self–presentation (Wilcox and Stephen, 2012; Back et al., 2010; Habibi et al. 2014; Cova and Pace 2006). “Social networks address three key dimensions that people typically look for while connecting with other people: who, when, and what” (Kumar et al 2017, p: 146). Engagement in social–media is </w:t>
      </w:r>
      <w:r w:rsidRPr="00CF02D5">
        <w:rPr>
          <w:rFonts w:ascii="Cambria" w:eastAsia="Calibri" w:hAnsi="Cambria" w:cs="Times New Roman"/>
          <w:sz w:val="24"/>
          <w:szCs w:val="24"/>
        </w:rPr>
        <w:t xml:space="preserve">affected by number of variables, like the platform itself, gender, contacts, contents, and media speed etc. (Voorveld et al 2018; Dholakia et al 2004). On for example, microblogging site twitter is mainly used for opinion sharing and disseminating information (Ibrahim et al 2017). On the other hand, in terms of gender, study on Youtube shows that women may be more actively engaged than male users, but they tend to be more protective about their anonymity (Khan 2017). In high density network, actors may feel the obligation to conform group expectation (Li et al 2018). Bond among members create higher participation and engagement and loyalty (Algesheimer et al., 2005; McAlexander et al., 2002; Schau et al., 2009). If the consumers identify themselves with the brand community, that may result in both positive and negative consequences. They may engage in the brand </w:t>
      </w:r>
      <w:r w:rsidR="00452461" w:rsidRPr="00CF02D5">
        <w:rPr>
          <w:rFonts w:ascii="Cambria" w:eastAsia="Calibri" w:hAnsi="Cambria" w:cs="Times New Roman"/>
          <w:sz w:val="24"/>
          <w:szCs w:val="24"/>
        </w:rPr>
        <w:t>community,</w:t>
      </w:r>
      <w:r w:rsidRPr="00CF02D5">
        <w:rPr>
          <w:rFonts w:ascii="Cambria" w:eastAsia="Calibri" w:hAnsi="Cambria" w:cs="Times New Roman"/>
          <w:sz w:val="24"/>
          <w:szCs w:val="24"/>
        </w:rPr>
        <w:t xml:space="preserve"> or they may feel pressured and avoid the community (Algesheimer et al 2005). </w:t>
      </w:r>
    </w:p>
    <w:p w14:paraId="27357B7A" w14:textId="048BF7C6" w:rsidR="0062756C" w:rsidRPr="00CF02D5" w:rsidRDefault="0062756C" w:rsidP="0062756C">
      <w:pPr>
        <w:spacing w:line="360" w:lineRule="auto"/>
        <w:jc w:val="both"/>
        <w:rPr>
          <w:rFonts w:ascii="Cambria" w:eastAsia="Calibri" w:hAnsi="Cambria" w:cs="Times New Roman"/>
          <w:sz w:val="24"/>
          <w:szCs w:val="24"/>
        </w:rPr>
      </w:pPr>
      <w:r w:rsidRPr="00CF02D5">
        <w:rPr>
          <w:rFonts w:ascii="Cambria" w:eastAsia="Calibri" w:hAnsi="Cambria" w:cs="Times New Roman"/>
          <w:sz w:val="24"/>
          <w:szCs w:val="24"/>
        </w:rPr>
        <w:t xml:space="preserve">As observed from the thematic literature review that, studies on how users’ opinion affect further social media engagement, none of the study compared positive and negative opinion. On the top of that, majority of social media studies have taken only the specific positive emotions into account, which do not cover much the spectrum of other emotional construct (appendix 1). This is a key issue for this thesis, since it is exploring the role of social media engagement in the context of </w:t>
      </w:r>
      <w:r w:rsidR="001C2653"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1C2653"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xml:space="preserve">, which the deemed to be effective if they can generate emotional response (Bansal and Roth 2000; Rowe et al 2019). By keeping the context in mind, ad attitude and ad involvement and source characteristics should be considered in the conceptual framework in order to understand their impact on the social media engagement generated by the content (i.e., </w:t>
      </w:r>
      <w:r w:rsidR="001C2653"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1C2653"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However, pre–existing antecedents like– users’ characteristics and technological aspect have not been included in the conceptual framework, because ad do not have any effect on them.</w:t>
      </w:r>
    </w:p>
    <w:p w14:paraId="49CEC9D1" w14:textId="00D74147" w:rsidR="0062756C" w:rsidRPr="00CF02D5" w:rsidRDefault="0062756C" w:rsidP="0062756C">
      <w:pPr>
        <w:spacing w:line="360" w:lineRule="auto"/>
        <w:jc w:val="both"/>
        <w:rPr>
          <w:rFonts w:ascii="Cambria" w:eastAsiaTheme="minorEastAsia" w:hAnsi="Cambria"/>
          <w:sz w:val="24"/>
          <w:szCs w:val="24"/>
        </w:rPr>
      </w:pPr>
      <w:r w:rsidRPr="00CF02D5">
        <w:rPr>
          <w:rFonts w:ascii="Cambria" w:eastAsia="Calibri" w:hAnsi="Cambria" w:cs="Times New Roman"/>
          <w:sz w:val="24"/>
          <w:szCs w:val="24"/>
        </w:rPr>
        <w:t xml:space="preserve">Consumer brand engagement is affected by the relationship and the social context among consumers (Gambetti et al 2012; Dholakia et al 2004; Habibi et al 2014) because of the online media’s ability to facilitate the interaction in in more humane way (Chan and Li 2010). The likelihood of engaging in communication is higher if the sender is excited to share information and content online (Blazevic et al 2013), which should be the case in </w:t>
      </w:r>
      <w:r w:rsidR="00765F95"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765F95" w:rsidRPr="00CF02D5">
        <w:rPr>
          <w:rFonts w:ascii="Cambria" w:eastAsia="Calibri" w:hAnsi="Cambria" w:cs="Adobe Devanagari"/>
          <w:sz w:val="24"/>
          <w:szCs w:val="24"/>
        </w:rPr>
        <w:t xml:space="preserve"> message</w:t>
      </w:r>
      <w:r w:rsidR="00765F95" w:rsidRPr="00CF02D5">
        <w:rPr>
          <w:rFonts w:ascii="Cambria" w:eastAsia="Calibri" w:hAnsi="Cambria" w:cs="Times New Roman"/>
          <w:sz w:val="24"/>
          <w:szCs w:val="24"/>
        </w:rPr>
        <w:t xml:space="preserve"> </w:t>
      </w:r>
      <w:r w:rsidRPr="00CF02D5">
        <w:rPr>
          <w:rFonts w:ascii="Cambria" w:eastAsia="Calibri" w:hAnsi="Cambria" w:cs="Times New Roman"/>
          <w:sz w:val="24"/>
          <w:szCs w:val="24"/>
        </w:rPr>
        <w:t>due to the raising concern about sustainability (</w:t>
      </w:r>
      <w:r w:rsidRPr="00CF02D5">
        <w:rPr>
          <w:rFonts w:ascii="Cambria" w:hAnsi="Cambria" w:cs="Adobe Devanagari"/>
          <w:sz w:val="24"/>
          <w:szCs w:val="24"/>
        </w:rPr>
        <w:t xml:space="preserve">McDonagh and Prothero 2014). </w:t>
      </w:r>
      <w:r w:rsidRPr="00CF02D5">
        <w:rPr>
          <w:rFonts w:ascii="Cambria" w:eastAsia="Calibri" w:hAnsi="Cambria" w:cs="Times New Roman"/>
          <w:sz w:val="24"/>
          <w:szCs w:val="24"/>
        </w:rPr>
        <w:t xml:space="preserve">Brand community has the capability to influence members’ perception, disseminate information, as well as to engage them with the brand (Algesheimer et al 2005). This suggests and as revealed in thematic literature review, that the positive or negative opinion of a customer expressed in social media regarding the </w:t>
      </w:r>
      <w:r w:rsidR="00F8169C"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F8169C" w:rsidRPr="00CF02D5">
        <w:rPr>
          <w:rFonts w:ascii="Cambria" w:eastAsia="Calibri" w:hAnsi="Cambria" w:cs="Adobe Devanagari"/>
          <w:sz w:val="24"/>
          <w:szCs w:val="24"/>
        </w:rPr>
        <w:t xml:space="preserve"> message</w:t>
      </w:r>
      <w:r w:rsidR="00F8169C" w:rsidRPr="00CF02D5">
        <w:rPr>
          <w:rFonts w:ascii="Cambria" w:eastAsia="Calibri" w:hAnsi="Cambria" w:cs="Times New Roman"/>
          <w:sz w:val="24"/>
          <w:szCs w:val="24"/>
        </w:rPr>
        <w:t xml:space="preserve"> </w:t>
      </w:r>
      <w:r w:rsidRPr="00CF02D5">
        <w:rPr>
          <w:rFonts w:ascii="Cambria" w:eastAsia="Calibri" w:hAnsi="Cambria" w:cs="Times New Roman"/>
          <w:sz w:val="24"/>
          <w:szCs w:val="24"/>
        </w:rPr>
        <w:t>has the possibility to engender social influence. This thesis goes even further by exploring whether this social influence have any effect in purchasing sustainable product and adopting sustainable behaviour.</w:t>
      </w:r>
    </w:p>
    <w:p w14:paraId="1D21303E" w14:textId="579C2609" w:rsidR="0062756C" w:rsidRPr="00CF02D5" w:rsidRDefault="0062756C" w:rsidP="0062756C">
      <w:pPr>
        <w:spacing w:line="360" w:lineRule="auto"/>
        <w:jc w:val="both"/>
        <w:rPr>
          <w:rFonts w:ascii="Cambria" w:eastAsiaTheme="minorEastAsia" w:hAnsi="Cambria"/>
          <w:sz w:val="24"/>
          <w:szCs w:val="24"/>
        </w:rPr>
      </w:pPr>
      <w:r w:rsidRPr="00CF02D5">
        <w:rPr>
          <w:rFonts w:ascii="Cambria" w:eastAsiaTheme="minorEastAsia" w:hAnsi="Cambria"/>
          <w:sz w:val="24"/>
          <w:szCs w:val="24"/>
        </w:rPr>
        <w:t>To the best knowledge of the authors, till 23</w:t>
      </w:r>
      <w:r w:rsidRPr="00CF02D5">
        <w:rPr>
          <w:rFonts w:ascii="Cambria" w:eastAsiaTheme="minorEastAsia" w:hAnsi="Cambria"/>
          <w:sz w:val="24"/>
          <w:szCs w:val="24"/>
          <w:vertAlign w:val="superscript"/>
        </w:rPr>
        <w:t>rd</w:t>
      </w:r>
      <w:r w:rsidRPr="00CF02D5">
        <w:rPr>
          <w:rFonts w:ascii="Cambria" w:eastAsiaTheme="minorEastAsia" w:hAnsi="Cambria"/>
          <w:sz w:val="24"/>
          <w:szCs w:val="24"/>
        </w:rPr>
        <w:t xml:space="preserve"> Feb 2021, there is no study that has considered social–media–engagement in relationship with </w:t>
      </w:r>
      <w:r w:rsidR="00765F95"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765F95" w:rsidRPr="00CF02D5">
        <w:rPr>
          <w:rFonts w:ascii="Cambria" w:eastAsia="Calibri" w:hAnsi="Cambria" w:cs="Adobe Devanagari"/>
          <w:sz w:val="24"/>
          <w:szCs w:val="24"/>
        </w:rPr>
        <w:t xml:space="preserve"> message</w:t>
      </w:r>
      <w:r w:rsidRPr="00CF02D5">
        <w:rPr>
          <w:rFonts w:ascii="Cambria" w:eastAsiaTheme="minorEastAsia" w:hAnsi="Cambria"/>
          <w:sz w:val="24"/>
          <w:szCs w:val="24"/>
        </w:rPr>
        <w:t>. The closest the studies went were to consider B2C (business to customer) communication, in other words, companies CSR effect on consumer engagement on social media (Saxton et al 2019; Fieseler and Fleck 2013: lee et al 2013; Lyon and Montgomery 2013) and how to measure effectiveness of companies’ CSR initiatives (Rivera–Arrubla and Zorio–Grima 2016; de Bakker and Hellsten 2013; Basu and Palazzo 2008; Huang 2015; Nan and Heo 2007: Parguel et al 2011: Sen and Bhattacharya 2001: Sotorrı´o and Sa´nchez 2008).  But</w:t>
      </w:r>
      <w:r w:rsidRPr="00CF02D5">
        <w:rPr>
          <w:rFonts w:ascii="Cambria" w:hAnsi="Cambria" w:cs="Adobe Devanagari"/>
          <w:sz w:val="24"/>
          <w:szCs w:val="24"/>
        </w:rPr>
        <w:t xml:space="preserve"> </w:t>
      </w:r>
      <w:r w:rsidRPr="00CF02D5">
        <w:rPr>
          <w:rFonts w:ascii="Cambria" w:hAnsi="Cambria"/>
          <w:sz w:val="24"/>
          <w:szCs w:val="24"/>
        </w:rPr>
        <w:t>CSR is different than sustainability. CSR is focused on managerial activities with four criteria: economic, legal, ethical, and philanthropic (Carroll 1999).  On the other hand, as per definition, sustainability is focused on future and revolves around three dimensions– economic, social, and environmental (Middlemiss 2018).</w:t>
      </w:r>
      <w:r w:rsidRPr="00CF02D5">
        <w:rPr>
          <w:rFonts w:ascii="Cambria" w:eastAsiaTheme="minorEastAsia" w:hAnsi="Cambria"/>
          <w:sz w:val="24"/>
          <w:szCs w:val="24"/>
        </w:rPr>
        <w:t xml:space="preserve"> Broadly speaking, CSR literature forms a ground for sustainability literature, </w:t>
      </w:r>
      <w:r w:rsidRPr="00CF02D5">
        <w:rPr>
          <w:rFonts w:ascii="Cambria" w:eastAsia="Calibri" w:hAnsi="Cambria" w:cs="Times New Roman"/>
          <w:sz w:val="24"/>
          <w:szCs w:val="24"/>
        </w:rPr>
        <w:t>because both of their objectives focus on the well–being of the people (</w:t>
      </w:r>
      <w:r w:rsidRPr="00CF02D5">
        <w:rPr>
          <w:rFonts w:ascii="Cambria" w:eastAsiaTheme="minorEastAsia" w:hAnsi="Cambria"/>
          <w:sz w:val="24"/>
          <w:szCs w:val="24"/>
        </w:rPr>
        <w:t xml:space="preserve">Carroll 1999, </w:t>
      </w:r>
      <w:r w:rsidRPr="00CF02D5">
        <w:rPr>
          <w:rFonts w:ascii="Cambria" w:eastAsia="Calibri" w:hAnsi="Cambria" w:cs="Adobe Devanagari"/>
          <w:sz w:val="24"/>
          <w:szCs w:val="24"/>
        </w:rPr>
        <w:t>Middlemiss, 2018, Luchs et al 2010</w:t>
      </w:r>
      <w:r w:rsidRPr="00CF02D5">
        <w:rPr>
          <w:rFonts w:ascii="Cambria" w:eastAsiaTheme="minorEastAsia" w:hAnsi="Cambria"/>
          <w:sz w:val="24"/>
          <w:szCs w:val="24"/>
        </w:rPr>
        <w:t>). Yet, majority of CSR literature encompass ethical and moral issues of corporate decision making (Choi and Ng 2011; Grimmer and Bingham 2013). T</w:t>
      </w:r>
      <w:r w:rsidRPr="00CF02D5">
        <w:rPr>
          <w:rFonts w:ascii="Cambria" w:hAnsi="Cambria"/>
          <w:sz w:val="24"/>
          <w:szCs w:val="24"/>
        </w:rPr>
        <w:t>his thesis is focused on C2C (Customer to customer) communication to examine the role of a user’s opinion on social on sustainable behavioural intention on other users. Companies’ business practice will eventually follow the mass consumers’ opinion (</w:t>
      </w:r>
      <w:r w:rsidRPr="00CF02D5">
        <w:rPr>
          <w:rFonts w:ascii="Cambria" w:eastAsiaTheme="minorEastAsia" w:hAnsi="Cambria"/>
          <w:sz w:val="24"/>
          <w:szCs w:val="24"/>
        </w:rPr>
        <w:t>de Bakker and Hellsten 2013</w:t>
      </w:r>
      <w:r w:rsidRPr="00CF02D5">
        <w:rPr>
          <w:rFonts w:ascii="Cambria" w:hAnsi="Cambria"/>
          <w:sz w:val="24"/>
          <w:szCs w:val="24"/>
        </w:rPr>
        <w:t xml:space="preserve">). </w:t>
      </w:r>
      <w:r w:rsidRPr="00CF02D5">
        <w:rPr>
          <w:rFonts w:ascii="Cambria" w:eastAsiaTheme="minorEastAsia" w:hAnsi="Cambria"/>
          <w:sz w:val="24"/>
          <w:szCs w:val="24"/>
        </w:rPr>
        <w:t xml:space="preserve">The gap was confirmed when a search for ‘sustainability ad’ and ‘social–media–engagement’ yielded only 6 articles (Table </w:t>
      </w:r>
      <w:r w:rsidR="00677BCB">
        <w:rPr>
          <w:rFonts w:ascii="Cambria" w:eastAsiaTheme="minorEastAsia" w:hAnsi="Cambria"/>
          <w:sz w:val="24"/>
          <w:szCs w:val="24"/>
        </w:rPr>
        <w:t>6</w:t>
      </w:r>
      <w:r w:rsidRPr="00CF02D5">
        <w:rPr>
          <w:rFonts w:ascii="Cambria" w:eastAsiaTheme="minorEastAsia" w:hAnsi="Cambria"/>
          <w:sz w:val="24"/>
          <w:szCs w:val="24"/>
        </w:rPr>
        <w:t xml:space="preserve">). None   of them considered online engagement from the point of consumers (Bocken and Short 2016; O'Brien et al 2015; Austgulen 2014; Freitas–da–Costa, and De Oliveira, 2015; Giddens et al 2016). </w:t>
      </w:r>
    </w:p>
    <w:p w14:paraId="1D4481C8" w14:textId="7B6328E3" w:rsidR="0062756C" w:rsidRPr="00CF02D5" w:rsidRDefault="0062756C" w:rsidP="0062756C">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 xml:space="preserve">Table </w:t>
      </w:r>
      <w:r w:rsidR="003E6B70">
        <w:rPr>
          <w:rFonts w:ascii="Cambria" w:eastAsiaTheme="minorEastAsia" w:hAnsi="Cambria"/>
          <w:sz w:val="24"/>
          <w:szCs w:val="24"/>
        </w:rPr>
        <w:t>6</w:t>
      </w:r>
      <w:r w:rsidRPr="00CF02D5">
        <w:rPr>
          <w:rFonts w:ascii="Cambria" w:eastAsiaTheme="minorEastAsia" w:hAnsi="Cambria"/>
          <w:sz w:val="24"/>
          <w:szCs w:val="24"/>
        </w:rPr>
        <w:t>: Resulted article from search containing different keywords representing ‘digital engagement’ and ‘sustainable–consumption’ literature</w:t>
      </w:r>
    </w:p>
    <w:tbl>
      <w:tblPr>
        <w:tblStyle w:val="TableGrid"/>
        <w:tblW w:w="0" w:type="auto"/>
        <w:tblLook w:val="04A0" w:firstRow="1" w:lastRow="0" w:firstColumn="1" w:lastColumn="0" w:noHBand="0" w:noVBand="1"/>
      </w:tblPr>
      <w:tblGrid>
        <w:gridCol w:w="1838"/>
        <w:gridCol w:w="3544"/>
        <w:gridCol w:w="3544"/>
      </w:tblGrid>
      <w:tr w:rsidR="00CF02D5" w:rsidRPr="00CF02D5" w14:paraId="2352361D" w14:textId="77777777" w:rsidTr="00756005">
        <w:tc>
          <w:tcPr>
            <w:tcW w:w="1838" w:type="dxa"/>
            <w:shd w:val="clear" w:color="auto" w:fill="D9D9D9" w:themeFill="background1" w:themeFillShade="D9"/>
          </w:tcPr>
          <w:p w14:paraId="6833A587" w14:textId="77777777" w:rsidR="0062756C" w:rsidRPr="00CF02D5" w:rsidRDefault="0062756C" w:rsidP="00756005">
            <w:pPr>
              <w:spacing w:after="200" w:line="360" w:lineRule="auto"/>
              <w:jc w:val="both"/>
              <w:rPr>
                <w:rFonts w:ascii="Cambria" w:eastAsiaTheme="minorEastAsia" w:hAnsi="Cambria"/>
                <w:b/>
                <w:sz w:val="24"/>
                <w:szCs w:val="24"/>
              </w:rPr>
            </w:pPr>
            <w:r w:rsidRPr="00CF02D5">
              <w:rPr>
                <w:rFonts w:ascii="Cambria" w:eastAsiaTheme="minorEastAsia" w:hAnsi="Cambria"/>
                <w:b/>
                <w:sz w:val="24"/>
                <w:szCs w:val="24"/>
              </w:rPr>
              <w:t>Name of the author and journal</w:t>
            </w:r>
          </w:p>
        </w:tc>
        <w:tc>
          <w:tcPr>
            <w:tcW w:w="3544" w:type="dxa"/>
            <w:shd w:val="clear" w:color="auto" w:fill="D9D9D9" w:themeFill="background1" w:themeFillShade="D9"/>
          </w:tcPr>
          <w:p w14:paraId="20621E03" w14:textId="77777777" w:rsidR="0062756C" w:rsidRPr="00CF02D5" w:rsidRDefault="0062756C" w:rsidP="00756005">
            <w:pPr>
              <w:spacing w:after="200" w:line="360" w:lineRule="auto"/>
              <w:jc w:val="both"/>
              <w:rPr>
                <w:rFonts w:ascii="Cambria" w:eastAsiaTheme="minorEastAsia" w:hAnsi="Cambria"/>
                <w:b/>
                <w:sz w:val="24"/>
                <w:szCs w:val="24"/>
              </w:rPr>
            </w:pPr>
            <w:r w:rsidRPr="00CF02D5">
              <w:rPr>
                <w:rFonts w:ascii="Cambria" w:eastAsiaTheme="minorEastAsia" w:hAnsi="Cambria"/>
                <w:b/>
                <w:sz w:val="24"/>
                <w:szCs w:val="24"/>
              </w:rPr>
              <w:t xml:space="preserve">Title </w:t>
            </w:r>
          </w:p>
        </w:tc>
        <w:tc>
          <w:tcPr>
            <w:tcW w:w="3544" w:type="dxa"/>
            <w:shd w:val="clear" w:color="auto" w:fill="D9D9D9" w:themeFill="background1" w:themeFillShade="D9"/>
          </w:tcPr>
          <w:p w14:paraId="6F261721" w14:textId="77777777" w:rsidR="0062756C" w:rsidRPr="00CF02D5" w:rsidRDefault="0062756C" w:rsidP="00756005">
            <w:pPr>
              <w:spacing w:after="200" w:line="360" w:lineRule="auto"/>
              <w:jc w:val="both"/>
              <w:rPr>
                <w:rFonts w:ascii="Cambria" w:eastAsiaTheme="minorEastAsia" w:hAnsi="Cambria"/>
                <w:b/>
                <w:sz w:val="24"/>
                <w:szCs w:val="24"/>
              </w:rPr>
            </w:pPr>
            <w:r w:rsidRPr="00CF02D5">
              <w:rPr>
                <w:rFonts w:ascii="Cambria" w:eastAsiaTheme="minorEastAsia" w:hAnsi="Cambria"/>
                <w:b/>
                <w:sz w:val="24"/>
                <w:szCs w:val="24"/>
              </w:rPr>
              <w:t xml:space="preserve">Remarks </w:t>
            </w:r>
          </w:p>
        </w:tc>
      </w:tr>
      <w:tr w:rsidR="00CF02D5" w:rsidRPr="00CF02D5" w14:paraId="5523BF8D" w14:textId="77777777" w:rsidTr="00756005">
        <w:tc>
          <w:tcPr>
            <w:tcW w:w="1838" w:type="dxa"/>
          </w:tcPr>
          <w:p w14:paraId="23F2CA62"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Bocken and Short (2016): Environmental Innovation and</w:t>
            </w:r>
          </w:p>
          <w:p w14:paraId="344ACEE5"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Societal Transitions</w:t>
            </w:r>
          </w:p>
        </w:tc>
        <w:tc>
          <w:tcPr>
            <w:tcW w:w="3544" w:type="dxa"/>
          </w:tcPr>
          <w:p w14:paraId="34EFF0FF"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Towards a sufficiency–driven business model: Experiences and opportunities</w:t>
            </w:r>
          </w:p>
        </w:tc>
        <w:tc>
          <w:tcPr>
            <w:tcW w:w="3544" w:type="dxa"/>
          </w:tcPr>
          <w:p w14:paraId="73FD3D40"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Written from the point of business organisation</w:t>
            </w:r>
          </w:p>
        </w:tc>
      </w:tr>
      <w:tr w:rsidR="00CF02D5" w:rsidRPr="00CF02D5" w14:paraId="6135512D" w14:textId="77777777" w:rsidTr="00756005">
        <w:tc>
          <w:tcPr>
            <w:tcW w:w="1838" w:type="dxa"/>
          </w:tcPr>
          <w:p w14:paraId="57787570"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Minton et al (2012); Journal of Advertising</w:t>
            </w:r>
          </w:p>
        </w:tc>
        <w:tc>
          <w:tcPr>
            <w:tcW w:w="3544" w:type="dxa"/>
          </w:tcPr>
          <w:p w14:paraId="433E3523"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Sustainable Marketing and Social Media</w:t>
            </w:r>
          </w:p>
        </w:tc>
        <w:tc>
          <w:tcPr>
            <w:tcW w:w="3544" w:type="dxa"/>
          </w:tcPr>
          <w:p w14:paraId="44894553"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 xml:space="preserve">Focused on consumers’ reaction on brands’ sustainable advertisement depending on consumers’ culture. </w:t>
            </w:r>
          </w:p>
        </w:tc>
      </w:tr>
      <w:tr w:rsidR="00CF02D5" w:rsidRPr="00CF02D5" w14:paraId="3EF194CD" w14:textId="77777777" w:rsidTr="00756005">
        <w:tc>
          <w:tcPr>
            <w:tcW w:w="1838" w:type="dxa"/>
          </w:tcPr>
          <w:p w14:paraId="557804E3"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cs="Arial"/>
                <w:iCs/>
                <w:sz w:val="24"/>
                <w:szCs w:val="24"/>
                <w:shd w:val="clear" w:color="auto" w:fill="FFFFFF"/>
              </w:rPr>
              <w:t>Giddens et al (2016) Hawaii Int. Conference on System Sciences</w:t>
            </w:r>
          </w:p>
        </w:tc>
        <w:tc>
          <w:tcPr>
            <w:tcW w:w="3544" w:type="dxa"/>
          </w:tcPr>
          <w:p w14:paraId="786054A0"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Engaging Consumers in Ethical Consumption: The Effect of Real–time Environmental Information on Eco–friendly Consumer Choice</w:t>
            </w:r>
          </w:p>
        </w:tc>
        <w:tc>
          <w:tcPr>
            <w:tcW w:w="3544" w:type="dxa"/>
          </w:tcPr>
          <w:p w14:paraId="229B6800"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By ‘engaging’ this paper refers dissemination of information among the consumers</w:t>
            </w:r>
          </w:p>
        </w:tc>
      </w:tr>
      <w:tr w:rsidR="00CF02D5" w:rsidRPr="00CF02D5" w14:paraId="08C48E06" w14:textId="77777777" w:rsidTr="00756005">
        <w:tc>
          <w:tcPr>
            <w:tcW w:w="1838" w:type="dxa"/>
          </w:tcPr>
          <w:p w14:paraId="54E65D47"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Austgulen (2014): Journal of Consumer Policy</w:t>
            </w:r>
          </w:p>
        </w:tc>
        <w:tc>
          <w:tcPr>
            <w:tcW w:w="3544" w:type="dxa"/>
          </w:tcPr>
          <w:p w14:paraId="249560B6"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Environmentally Sustainable Meat Consumption: An Analysis of the Norwegian Public Debate</w:t>
            </w:r>
          </w:p>
        </w:tc>
        <w:tc>
          <w:tcPr>
            <w:tcW w:w="3544" w:type="dxa"/>
          </w:tcPr>
          <w:p w14:paraId="11ABD985"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This paper discusses the engagement of consumers in policy making.</w:t>
            </w:r>
          </w:p>
        </w:tc>
      </w:tr>
      <w:tr w:rsidR="00CF02D5" w:rsidRPr="00CF02D5" w14:paraId="222CA3B1" w14:textId="77777777" w:rsidTr="00756005">
        <w:tc>
          <w:tcPr>
            <w:tcW w:w="1838" w:type="dxa"/>
          </w:tcPr>
          <w:p w14:paraId="77893353"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O'Brien et al (2015) Journal of Services Marketing</w:t>
            </w:r>
          </w:p>
        </w:tc>
        <w:tc>
          <w:tcPr>
            <w:tcW w:w="3544" w:type="dxa"/>
          </w:tcPr>
          <w:p w14:paraId="6582EB5D"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Integrating social issues and customer engagement to drive loyalty in a service organisation</w:t>
            </w:r>
          </w:p>
        </w:tc>
        <w:tc>
          <w:tcPr>
            <w:tcW w:w="3544" w:type="dxa"/>
          </w:tcPr>
          <w:p w14:paraId="6A8C447F"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 xml:space="preserve">This paper discussed about corporate social responsibility and written from the point of organisation. Moreover, by ‘engagement’, authors have not solely signified online engagement. </w:t>
            </w:r>
          </w:p>
        </w:tc>
      </w:tr>
      <w:tr w:rsidR="00CF02D5" w:rsidRPr="00CF02D5" w14:paraId="604C4A53" w14:textId="77777777" w:rsidTr="00756005">
        <w:trPr>
          <w:trHeight w:val="1380"/>
        </w:trPr>
        <w:tc>
          <w:tcPr>
            <w:tcW w:w="1838" w:type="dxa"/>
          </w:tcPr>
          <w:p w14:paraId="259071D4"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 xml:space="preserve">Freitas–da–Costa, and De Oliveira, (2015): Teoria e Prática em Administração </w:t>
            </w:r>
          </w:p>
        </w:tc>
        <w:tc>
          <w:tcPr>
            <w:tcW w:w="3544" w:type="dxa"/>
          </w:tcPr>
          <w:p w14:paraId="316B9228"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Persuasive communication on the Internet via You Tube: Is It Possible to Increase Environmental Awareness and Consumer Engagement with Sustainability</w:t>
            </w:r>
          </w:p>
        </w:tc>
        <w:tc>
          <w:tcPr>
            <w:tcW w:w="3544" w:type="dxa"/>
          </w:tcPr>
          <w:p w14:paraId="06D2CE98" w14:textId="77777777" w:rsidR="0062756C" w:rsidRPr="00CF02D5" w:rsidRDefault="0062756C" w:rsidP="00756005">
            <w:pPr>
              <w:spacing w:after="200" w:line="360" w:lineRule="auto"/>
              <w:jc w:val="both"/>
              <w:rPr>
                <w:rFonts w:ascii="Cambria" w:eastAsiaTheme="minorEastAsia" w:hAnsi="Cambria"/>
                <w:sz w:val="24"/>
                <w:szCs w:val="24"/>
              </w:rPr>
            </w:pPr>
            <w:r w:rsidRPr="00CF02D5">
              <w:rPr>
                <w:rFonts w:ascii="Cambria" w:eastAsiaTheme="minorEastAsia" w:hAnsi="Cambria"/>
                <w:sz w:val="24"/>
                <w:szCs w:val="24"/>
              </w:rPr>
              <w:t xml:space="preserve">Not an English article. In addition to that, it can be assumed form the English abstract that, by ‘engagement’ the authors denoted ‘involvement’. </w:t>
            </w:r>
          </w:p>
        </w:tc>
      </w:tr>
    </w:tbl>
    <w:p w14:paraId="69CC3954" w14:textId="77777777" w:rsidR="0062756C" w:rsidRPr="00CF02D5" w:rsidRDefault="0062756C" w:rsidP="0062756C">
      <w:pPr>
        <w:spacing w:line="360" w:lineRule="auto"/>
        <w:jc w:val="both"/>
        <w:rPr>
          <w:rFonts w:ascii="Cambria" w:eastAsia="Calibri" w:hAnsi="Cambria" w:cs="Times New Roman"/>
          <w:sz w:val="24"/>
          <w:szCs w:val="24"/>
        </w:rPr>
      </w:pPr>
    </w:p>
    <w:p w14:paraId="5AC029ED" w14:textId="478E846C" w:rsidR="0062756C" w:rsidRPr="00CF02D5" w:rsidRDefault="0062756C" w:rsidP="0062756C">
      <w:pPr>
        <w:spacing w:line="360" w:lineRule="auto"/>
        <w:jc w:val="both"/>
        <w:rPr>
          <w:rFonts w:ascii="Cambria" w:eastAsia="Calibri" w:hAnsi="Cambria" w:cs="Times New Roman"/>
          <w:sz w:val="24"/>
          <w:szCs w:val="24"/>
        </w:rPr>
      </w:pPr>
      <w:r w:rsidRPr="00CF02D5">
        <w:rPr>
          <w:rFonts w:ascii="Cambria" w:eastAsia="Calibri" w:hAnsi="Cambria" w:cs="Times New Roman"/>
          <w:sz w:val="24"/>
          <w:szCs w:val="24"/>
        </w:rPr>
        <w:t>Ads can call on consumers to engage with the brand. But how consumers act upon the ad as a content is a function of consumers’ social and cultural situation (Phillips and McQuarrie 2010) as well as the product itself (Zaglia 2011). The impact of ad</w:t>
      </w:r>
      <w:r w:rsidR="00585983" w:rsidRPr="00CF02D5">
        <w:rPr>
          <w:rFonts w:ascii="Cambria" w:eastAsia="Calibri" w:hAnsi="Cambria" w:cs="Times New Roman"/>
          <w:sz w:val="24"/>
          <w:szCs w:val="24"/>
        </w:rPr>
        <w:t xml:space="preserve"> </w:t>
      </w:r>
      <w:r w:rsidR="00F8041C" w:rsidRPr="00CF02D5">
        <w:rPr>
          <w:rFonts w:ascii="Cambria" w:eastAsia="Calibri" w:hAnsi="Cambria" w:cs="Times New Roman"/>
          <w:sz w:val="24"/>
          <w:szCs w:val="24"/>
        </w:rPr>
        <w:t>with stainability</w:t>
      </w:r>
      <w:r w:rsidR="00585983" w:rsidRPr="00CF02D5">
        <w:rPr>
          <w:rFonts w:ascii="Cambria" w:eastAsia="Calibri" w:hAnsi="Cambria" w:cs="Times New Roman"/>
          <w:sz w:val="24"/>
          <w:szCs w:val="24"/>
        </w:rPr>
        <w:t xml:space="preserve"> message a</w:t>
      </w:r>
      <w:r w:rsidRPr="00CF02D5">
        <w:rPr>
          <w:rFonts w:ascii="Cambria" w:eastAsia="Calibri" w:hAnsi="Cambria" w:cs="Times New Roman"/>
          <w:sz w:val="24"/>
          <w:szCs w:val="24"/>
        </w:rPr>
        <w:t xml:space="preserve">nd the intention of adopting sustainable behaviour depends on how the consumers may interpret, recognise, analyse, and evaluate the sustainability message (Bickart and Ruth 2012). </w:t>
      </w:r>
      <w:r w:rsidR="00AF1188" w:rsidRPr="00CF02D5">
        <w:rPr>
          <w:rFonts w:ascii="Cambria" w:eastAsia="Calibri" w:hAnsi="Cambria" w:cs="Times New Roman"/>
          <w:sz w:val="24"/>
          <w:szCs w:val="24"/>
        </w:rPr>
        <w:t>Social media has given consumers’ remark of their satisfaction /dissatisfaction a global reach (Habibi e</w:t>
      </w:r>
      <w:r w:rsidR="00C94E22">
        <w:rPr>
          <w:rFonts w:ascii="Cambria" w:eastAsia="Calibri" w:hAnsi="Cambria" w:cs="Times New Roman"/>
          <w:sz w:val="24"/>
          <w:szCs w:val="24"/>
        </w:rPr>
        <w:t>t</w:t>
      </w:r>
      <w:r w:rsidR="00AF1188" w:rsidRPr="00CF02D5">
        <w:rPr>
          <w:rFonts w:ascii="Cambria" w:eastAsia="Calibri" w:hAnsi="Cambria" w:cs="Times New Roman"/>
          <w:sz w:val="24"/>
          <w:szCs w:val="24"/>
        </w:rPr>
        <w:t xml:space="preserve"> al 2014), which make the ad </w:t>
      </w:r>
      <w:r w:rsidR="00F8041C" w:rsidRPr="00CF02D5">
        <w:rPr>
          <w:rFonts w:ascii="Cambria" w:eastAsia="Calibri" w:hAnsi="Cambria" w:cs="Times New Roman"/>
          <w:sz w:val="24"/>
          <w:szCs w:val="24"/>
        </w:rPr>
        <w:t>with stainability</w:t>
      </w:r>
      <w:r w:rsidR="00AF1188" w:rsidRPr="00CF02D5">
        <w:rPr>
          <w:rFonts w:ascii="Cambria" w:eastAsia="Calibri" w:hAnsi="Cambria" w:cs="Times New Roman"/>
          <w:sz w:val="24"/>
          <w:szCs w:val="24"/>
        </w:rPr>
        <w:t xml:space="preserve"> message susceptible to be interpreted, </w:t>
      </w:r>
      <w:r w:rsidR="00C94E22" w:rsidRPr="00CF02D5">
        <w:rPr>
          <w:rFonts w:ascii="Cambria" w:eastAsia="Calibri" w:hAnsi="Cambria" w:cs="Times New Roman"/>
          <w:sz w:val="24"/>
          <w:szCs w:val="24"/>
        </w:rPr>
        <w:t>accepted,</w:t>
      </w:r>
      <w:r w:rsidR="00AF1188" w:rsidRPr="00CF02D5">
        <w:rPr>
          <w:rFonts w:ascii="Cambria" w:eastAsia="Calibri" w:hAnsi="Cambria" w:cs="Times New Roman"/>
          <w:sz w:val="24"/>
          <w:szCs w:val="24"/>
        </w:rPr>
        <w:t xml:space="preserve"> and reacted differently depending on consumers’ culture and other pre–disposition (Minton et al 2012; Li et al 2018; Wirtz et al 2013).</w:t>
      </w:r>
    </w:p>
    <w:p w14:paraId="19153DD8" w14:textId="7DF90B19" w:rsidR="0062756C" w:rsidRPr="00530906" w:rsidRDefault="00BD2C64" w:rsidP="0062756C">
      <w:pPr>
        <w:spacing w:line="360" w:lineRule="auto"/>
        <w:jc w:val="both"/>
        <w:rPr>
          <w:rFonts w:ascii="Cambria" w:eastAsia="Calibri" w:hAnsi="Cambria" w:cs="Times New Roman"/>
          <w:sz w:val="24"/>
          <w:szCs w:val="24"/>
        </w:rPr>
      </w:pPr>
      <w:r w:rsidRPr="00CF02D5">
        <w:rPr>
          <w:rFonts w:ascii="Cambria" w:eastAsia="Calibri" w:hAnsi="Cambria" w:cs="Times New Roman"/>
          <w:sz w:val="24"/>
          <w:szCs w:val="24"/>
        </w:rPr>
        <w:t xml:space="preserve">Consumers’ stance on a content expressed in the caption, represents their perception and emotion regarding the content and act as a starting point of the forthcoming engagement by other actors of social–media (Seo et al 2018; Li et al 2018). </w:t>
      </w:r>
      <w:r w:rsidR="0062756C" w:rsidRPr="00CF02D5">
        <w:rPr>
          <w:rFonts w:ascii="Cambria" w:eastAsia="Calibri" w:hAnsi="Cambria" w:cs="Times New Roman"/>
          <w:sz w:val="24"/>
          <w:szCs w:val="24"/>
        </w:rPr>
        <w:t>Depending on the engagement in social–media contents, like positive or negative remarks, consumers’ perception of the product and the brand may be affected positively or negatively, which will be reflected in their purchase decision (Hutter et al. 2013; Voorveld et al 2018). This uncertainty calls for an investigation about the effect of captions accompanying a</w:t>
      </w:r>
      <w:r w:rsidR="00B5233B" w:rsidRPr="00CF02D5">
        <w:rPr>
          <w:rFonts w:ascii="Cambria" w:eastAsia="Calibri" w:hAnsi="Cambria" w:cs="Times New Roman"/>
          <w:sz w:val="24"/>
          <w:szCs w:val="24"/>
        </w:rPr>
        <w:t>n</w:t>
      </w:r>
      <w:r w:rsidR="0062756C" w:rsidRPr="00CF02D5">
        <w:rPr>
          <w:rFonts w:ascii="Cambria" w:eastAsia="Calibri" w:hAnsi="Cambria" w:cs="Times New Roman"/>
          <w:sz w:val="24"/>
          <w:szCs w:val="24"/>
        </w:rPr>
        <w:t xml:space="preserve"> </w:t>
      </w:r>
      <w:r w:rsidR="00B5233B" w:rsidRPr="00CF02D5">
        <w:rPr>
          <w:rFonts w:ascii="Cambria" w:eastAsia="Calibri" w:hAnsi="Cambria" w:cs="Times New Roman"/>
          <w:sz w:val="24"/>
          <w:szCs w:val="24"/>
        </w:rPr>
        <w:t xml:space="preserve">ad </w:t>
      </w:r>
      <w:r w:rsidR="00F8041C" w:rsidRPr="00CF02D5">
        <w:rPr>
          <w:rFonts w:ascii="Cambria" w:eastAsia="Calibri" w:hAnsi="Cambria" w:cs="Times New Roman"/>
          <w:sz w:val="24"/>
          <w:szCs w:val="24"/>
        </w:rPr>
        <w:t>with stainability</w:t>
      </w:r>
      <w:r w:rsidR="00B5233B" w:rsidRPr="00CF02D5">
        <w:rPr>
          <w:rFonts w:ascii="Cambria" w:eastAsia="Calibri" w:hAnsi="Cambria" w:cs="Times New Roman"/>
          <w:sz w:val="24"/>
          <w:szCs w:val="24"/>
        </w:rPr>
        <w:t xml:space="preserve"> message </w:t>
      </w:r>
      <w:r w:rsidR="0062756C" w:rsidRPr="00CF02D5">
        <w:rPr>
          <w:rFonts w:ascii="Cambria" w:eastAsia="Calibri" w:hAnsi="Cambria" w:cs="Times New Roman"/>
          <w:sz w:val="24"/>
          <w:szCs w:val="24"/>
        </w:rPr>
        <w:t xml:space="preserve">on consumers’ purchase intention of the advertised product and their sustainable behaviour. </w:t>
      </w:r>
      <w:r w:rsidR="00C236B7" w:rsidRPr="00CF02D5">
        <w:rPr>
          <w:rFonts w:ascii="Cambria" w:eastAsia="Calibri" w:hAnsi="Cambria" w:cs="Times New Roman"/>
          <w:sz w:val="24"/>
          <w:szCs w:val="24"/>
        </w:rPr>
        <w:t xml:space="preserve">For this thesis, consumers’ positive or negative opinion of firm’s ad </w:t>
      </w:r>
      <w:r w:rsidR="00F8041C" w:rsidRPr="00CF02D5">
        <w:rPr>
          <w:rFonts w:ascii="Cambria" w:eastAsia="Calibri" w:hAnsi="Cambria" w:cs="Times New Roman"/>
          <w:sz w:val="24"/>
          <w:szCs w:val="24"/>
        </w:rPr>
        <w:t>with stainability</w:t>
      </w:r>
      <w:r w:rsidR="00C236B7" w:rsidRPr="00CF02D5">
        <w:rPr>
          <w:rFonts w:ascii="Cambria" w:eastAsia="Calibri" w:hAnsi="Cambria" w:cs="Times New Roman"/>
          <w:sz w:val="24"/>
          <w:szCs w:val="24"/>
        </w:rPr>
        <w:t xml:space="preserve"> message has been taken into account, which they express in the caption accompanying the </w:t>
      </w:r>
      <w:r w:rsidR="00F8169C"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F8169C" w:rsidRPr="00CF02D5">
        <w:rPr>
          <w:rFonts w:ascii="Cambria" w:eastAsia="Calibri" w:hAnsi="Cambria" w:cs="Adobe Devanagari"/>
          <w:sz w:val="24"/>
          <w:szCs w:val="24"/>
        </w:rPr>
        <w:t xml:space="preserve"> message</w:t>
      </w:r>
      <w:r w:rsidR="00F8169C" w:rsidRPr="00CF02D5">
        <w:rPr>
          <w:rFonts w:ascii="Cambria" w:eastAsia="Calibri" w:hAnsi="Cambria" w:cs="Times New Roman"/>
          <w:sz w:val="24"/>
          <w:szCs w:val="24"/>
        </w:rPr>
        <w:t xml:space="preserve"> </w:t>
      </w:r>
      <w:r w:rsidR="00C236B7" w:rsidRPr="00CF02D5">
        <w:rPr>
          <w:rFonts w:ascii="Cambria" w:eastAsia="Calibri" w:hAnsi="Cambria" w:cs="Times New Roman"/>
          <w:sz w:val="24"/>
          <w:szCs w:val="24"/>
        </w:rPr>
        <w:t>they post.</w:t>
      </w:r>
    </w:p>
    <w:p w14:paraId="43C9CEF9" w14:textId="77777777" w:rsidR="00510B75" w:rsidRPr="00530906" w:rsidRDefault="00510B75" w:rsidP="00510B75">
      <w:pPr>
        <w:pStyle w:val="Heading2"/>
        <w:jc w:val="both"/>
        <w:rPr>
          <w:rFonts w:ascii="Cambria" w:eastAsia="Calibri" w:hAnsi="Cambria"/>
        </w:rPr>
      </w:pPr>
      <w:bookmarkStart w:id="34" w:name="_Toc115726225"/>
      <w:r w:rsidRPr="00530906">
        <w:rPr>
          <w:rFonts w:ascii="Cambria" w:eastAsia="Calibri" w:hAnsi="Cambria"/>
        </w:rPr>
        <w:t>2.6.  The effect of positive or negative caption:</w:t>
      </w:r>
      <w:bookmarkEnd w:id="34"/>
      <w:r w:rsidRPr="00530906">
        <w:rPr>
          <w:rFonts w:ascii="Cambria" w:eastAsia="Calibri" w:hAnsi="Cambria"/>
        </w:rPr>
        <w:t xml:space="preserve"> </w:t>
      </w:r>
    </w:p>
    <w:p w14:paraId="3015F9DB" w14:textId="66147330" w:rsidR="00510B75" w:rsidRPr="00530906" w:rsidRDefault="00510B75" w:rsidP="00510B75">
      <w:pPr>
        <w:spacing w:line="360" w:lineRule="auto"/>
        <w:jc w:val="both"/>
        <w:rPr>
          <w:rFonts w:ascii="Cambria" w:eastAsia="Calibri" w:hAnsi="Cambria" w:cs="Times New Roman"/>
          <w:sz w:val="24"/>
          <w:szCs w:val="24"/>
        </w:rPr>
      </w:pPr>
      <w:r w:rsidRPr="00530906">
        <w:rPr>
          <w:rFonts w:ascii="Cambria" w:eastAsia="Calibri" w:hAnsi="Cambria" w:cs="Times New Roman"/>
        </w:rPr>
        <w:t>‘</w:t>
      </w:r>
      <w:r w:rsidRPr="00530906">
        <w:rPr>
          <w:rFonts w:ascii="Cambria" w:eastAsia="Calibri" w:hAnsi="Cambria" w:cs="Times New Roman"/>
          <w:sz w:val="24"/>
          <w:szCs w:val="24"/>
        </w:rPr>
        <w:t>Caption’ is a form of electronic word of mouth (eWOM) (Hennig–Thurau 2004) that users of social media post with a content to express their opinion. Research on social–media show</w:t>
      </w:r>
      <w:r w:rsidR="006A527E" w:rsidRPr="00530906">
        <w:rPr>
          <w:rFonts w:ascii="Cambria" w:eastAsia="Calibri" w:hAnsi="Cambria" w:cs="Times New Roman"/>
          <w:sz w:val="24"/>
          <w:szCs w:val="24"/>
        </w:rPr>
        <w:t>s</w:t>
      </w:r>
      <w:r w:rsidRPr="00530906">
        <w:rPr>
          <w:rFonts w:ascii="Cambria" w:eastAsia="Calibri" w:hAnsi="Cambria" w:cs="Times New Roman"/>
          <w:sz w:val="24"/>
          <w:szCs w:val="24"/>
        </w:rPr>
        <w:t xml:space="preserve"> that, the contents of social–media as well as the word of mouth (WOM) in social media, have a dire effect on brands, consumers’ attitude towards brands and eventually purchase intension (Rosario et al 2016; Folse et al 2016). Negative social–media–engagement behaviours </w:t>
      </w:r>
      <w:r w:rsidRPr="00530906">
        <w:rPr>
          <w:rFonts w:ascii="Cambria" w:eastAsia="Calibri" w:hAnsi="Cambria" w:cs="Times New Roman"/>
          <w:i/>
          <w:iCs/>
          <w:sz w:val="24"/>
          <w:szCs w:val="24"/>
        </w:rPr>
        <w:t>are consumers’ unfavourable brand–related behaviour demonstrated during interaction, which ranges from– detachment, negative contribution and co–destruction</w:t>
      </w:r>
      <w:r w:rsidRPr="00530906">
        <w:rPr>
          <w:rFonts w:ascii="Cambria" w:eastAsia="Calibri" w:hAnsi="Cambria" w:cs="Times New Roman"/>
          <w:sz w:val="24"/>
          <w:szCs w:val="24"/>
        </w:rPr>
        <w:t xml:space="preserve"> (Hollebeek and Chen 2014; Dolan et al 2016). In contrast to that, positive social–media–engagement behaviours </w:t>
      </w:r>
      <w:r w:rsidRPr="00530906">
        <w:rPr>
          <w:rFonts w:ascii="Cambria" w:eastAsia="Calibri" w:hAnsi="Cambria" w:cs="Times New Roman"/>
          <w:i/>
          <w:iCs/>
          <w:sz w:val="24"/>
          <w:szCs w:val="24"/>
        </w:rPr>
        <w:t>are the favourable brand related behaviour on social–media which includes–consumption, positive contribution and co–creation</w:t>
      </w:r>
      <w:r w:rsidRPr="00530906">
        <w:rPr>
          <w:rFonts w:ascii="Cambria" w:eastAsia="Calibri" w:hAnsi="Cambria" w:cs="Times New Roman"/>
          <w:sz w:val="24"/>
          <w:szCs w:val="24"/>
        </w:rPr>
        <w:t xml:space="preserve"> (Brodie et al. 2013; Dolan et al 2016). Among these, the accompanying positive or negative caption of a user which they post with the existing brand advertisement, will be in the category of positive contribution or negative contribution respectively, since users are engaging with an existing content within social–media community (Muntinga et al. 2011, Brodie et al. 2011, Hollebeek and Chen2014; Dolan et 2016). The positive or negative opinion of a user in a social media group may act as a starting point to understand how the other members are influenced by that community (de Valck et al 2009)</w:t>
      </w:r>
    </w:p>
    <w:p w14:paraId="59B2CF3F" w14:textId="0540F902" w:rsidR="00E573A9" w:rsidRPr="00530906" w:rsidRDefault="00510B75" w:rsidP="00510B75">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Study on narratives (</w:t>
      </w:r>
      <w:r w:rsidRPr="00B03713">
        <w:rPr>
          <w:rFonts w:ascii="Cambria" w:eastAsia="Calibri" w:hAnsi="Cambria" w:cs="Times New Roman"/>
          <w:sz w:val="24"/>
          <w:szCs w:val="24"/>
        </w:rPr>
        <w:t xml:space="preserve">stories) shows that users engage in online media depending on how they can connect with the story that evolves around a post over time (Escobar et al 2014). Generally, studies show that, negative information have greater influence than positive information over the evaluation process (Ito et al 1998). However, </w:t>
      </w:r>
      <w:r w:rsidR="00AD3FDB" w:rsidRPr="00B03713">
        <w:rPr>
          <w:rFonts w:ascii="Cambria" w:eastAsia="Calibri" w:hAnsi="Cambria" w:cs="Times New Roman"/>
          <w:sz w:val="24"/>
          <w:szCs w:val="24"/>
        </w:rPr>
        <w:t xml:space="preserve">positive content of </w:t>
      </w:r>
      <w:r w:rsidR="002C5523" w:rsidRPr="00B03713">
        <w:rPr>
          <w:rFonts w:ascii="Cambria" w:eastAsia="Calibri" w:hAnsi="Cambria" w:cs="Times New Roman"/>
          <w:sz w:val="24"/>
          <w:szCs w:val="24"/>
        </w:rPr>
        <w:t xml:space="preserve">social media proved to generate more social media engagement </w:t>
      </w:r>
      <w:r w:rsidR="00E45A4D" w:rsidRPr="00B03713">
        <w:rPr>
          <w:rFonts w:ascii="Cambria" w:eastAsia="Calibri" w:hAnsi="Cambria" w:cs="Times New Roman"/>
          <w:sz w:val="24"/>
          <w:szCs w:val="24"/>
        </w:rPr>
        <w:t>than negative content (Berger and Milkman 2012</w:t>
      </w:r>
      <w:r w:rsidR="00D87F11" w:rsidRPr="00B03713">
        <w:rPr>
          <w:rFonts w:ascii="Cambria" w:eastAsia="Calibri" w:hAnsi="Cambria" w:cs="Times New Roman"/>
          <w:sz w:val="24"/>
          <w:szCs w:val="24"/>
        </w:rPr>
        <w:t>, Eckler and Bolls 2011</w:t>
      </w:r>
      <w:r w:rsidR="00E45A4D" w:rsidRPr="00B03713">
        <w:rPr>
          <w:rFonts w:ascii="Cambria" w:eastAsia="Calibri" w:hAnsi="Cambria" w:cs="Times New Roman"/>
          <w:sz w:val="24"/>
          <w:szCs w:val="24"/>
        </w:rPr>
        <w:t>). The same phenomen has been ob</w:t>
      </w:r>
      <w:r w:rsidR="00101C39" w:rsidRPr="00B03713">
        <w:rPr>
          <w:rFonts w:ascii="Cambria" w:eastAsia="Calibri" w:hAnsi="Cambria" w:cs="Times New Roman"/>
          <w:sz w:val="24"/>
          <w:szCs w:val="24"/>
        </w:rPr>
        <w:t xml:space="preserve">served </w:t>
      </w:r>
      <w:r w:rsidRPr="00B03713">
        <w:rPr>
          <w:rFonts w:ascii="Cambria" w:eastAsia="Calibri" w:hAnsi="Cambria" w:cs="Times New Roman"/>
          <w:sz w:val="24"/>
          <w:szCs w:val="24"/>
        </w:rPr>
        <w:t>when it comes to online review</w:t>
      </w:r>
      <w:r w:rsidR="00101C39" w:rsidRPr="00B03713">
        <w:rPr>
          <w:rFonts w:ascii="Cambria" w:eastAsia="Calibri" w:hAnsi="Cambria" w:cs="Times New Roman"/>
          <w:sz w:val="24"/>
          <w:szCs w:val="24"/>
        </w:rPr>
        <w:t>. P</w:t>
      </w:r>
      <w:r w:rsidRPr="00B03713">
        <w:rPr>
          <w:rFonts w:ascii="Cambria" w:eastAsia="Calibri" w:hAnsi="Cambria" w:cs="Times New Roman"/>
          <w:sz w:val="24"/>
          <w:szCs w:val="24"/>
        </w:rPr>
        <w:t xml:space="preserve">ositive reviews tend to generate greater purchase intention and reduce perceived risk than the negative reviews </w:t>
      </w:r>
      <w:r w:rsidRPr="00530906">
        <w:rPr>
          <w:rFonts w:ascii="Cambria" w:eastAsia="Calibri" w:hAnsi="Cambria" w:cs="Times New Roman"/>
          <w:sz w:val="24"/>
          <w:szCs w:val="24"/>
        </w:rPr>
        <w:t xml:space="preserve">(Yang et al 2016). Yet again there are studies showing no significant difference between the impact of positive or negative review/ information/ message in the large networks over the evaluation (Wu 2013) or the buying intention of the product (Jin and Phua 2013). </w:t>
      </w:r>
    </w:p>
    <w:p w14:paraId="2441058D" w14:textId="2E5E5CB4" w:rsidR="00E573A9" w:rsidRPr="00530906" w:rsidRDefault="00510B75" w:rsidP="00510B75">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The difference in result may be due to the message itself. If the users are highly motivated to scrutiny the message, the positive and negative message will not make any difference, but if they do not, positive message has the capacity to generate more favourable attitude than the negative one (Andrews et al 1992; Batra and Stephens 1994). Moreover, if the positive review facilitates the scrutiny with useful information, it will produce further WOM intention than the negative review (De Pelsmacker et al 2018).  A number of studies have included only the positive messages in social media (Kim and Johnson 2016: Hollebeek et al 2014; Lee et al 2013). Though to the best of knowledge the types of </w:t>
      </w:r>
      <w:r w:rsidR="00C94E22" w:rsidRPr="00530906">
        <w:rPr>
          <w:rFonts w:ascii="Cambria" w:eastAsia="Calibri" w:hAnsi="Cambria" w:cs="Times New Roman"/>
          <w:sz w:val="24"/>
          <w:szCs w:val="24"/>
        </w:rPr>
        <w:t>captions</w:t>
      </w:r>
      <w:r w:rsidR="00F8041C">
        <w:rPr>
          <w:rFonts w:ascii="Cambria" w:eastAsia="Calibri" w:hAnsi="Cambria" w:cs="Times New Roman"/>
          <w:sz w:val="24"/>
          <w:szCs w:val="24"/>
        </w:rPr>
        <w:t xml:space="preserve"> </w:t>
      </w:r>
      <w:r w:rsidRPr="00530906">
        <w:rPr>
          <w:rFonts w:ascii="Cambria" w:eastAsia="Calibri" w:hAnsi="Cambria" w:cs="Times New Roman"/>
          <w:sz w:val="24"/>
          <w:szCs w:val="24"/>
        </w:rPr>
        <w:t xml:space="preserve">(positive or negative) on social media has never been studied in the context of sustainability. </w:t>
      </w:r>
    </w:p>
    <w:p w14:paraId="561F0067" w14:textId="5D01FE7D" w:rsidR="00510B75" w:rsidRPr="00530906" w:rsidRDefault="00510B75" w:rsidP="00510B75">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Studies those have some relevancy with sustainability and consumers perception, were conducted from the point of corporations’ activities and consumers’ perception, but so far social media’s role in forming those perception and subsequent output has not been studied</w:t>
      </w:r>
      <w:r w:rsidR="00370544" w:rsidRPr="00530906">
        <w:rPr>
          <w:rFonts w:ascii="Cambria" w:eastAsia="Calibri" w:hAnsi="Cambria" w:cs="Times New Roman"/>
          <w:sz w:val="24"/>
          <w:szCs w:val="24"/>
        </w:rPr>
        <w:t xml:space="preserve"> (Appendix </w:t>
      </w:r>
      <w:r w:rsidR="000A148E" w:rsidRPr="00530906">
        <w:rPr>
          <w:rFonts w:ascii="Cambria" w:eastAsia="Calibri" w:hAnsi="Cambria" w:cs="Times New Roman"/>
          <w:sz w:val="24"/>
          <w:szCs w:val="24"/>
        </w:rPr>
        <w:t>2</w:t>
      </w:r>
      <w:r w:rsidR="00370544" w:rsidRPr="00530906">
        <w:rPr>
          <w:rFonts w:ascii="Cambria" w:eastAsia="Calibri" w:hAnsi="Cambria" w:cs="Times New Roman"/>
          <w:sz w:val="24"/>
          <w:szCs w:val="24"/>
        </w:rPr>
        <w:t>)</w:t>
      </w:r>
      <w:r w:rsidRPr="00530906">
        <w:rPr>
          <w:rFonts w:ascii="Cambria" w:eastAsia="Calibri" w:hAnsi="Cambria" w:cs="Times New Roman"/>
          <w:sz w:val="24"/>
          <w:szCs w:val="24"/>
        </w:rPr>
        <w:t xml:space="preserve">. Sen and Battachariya (2001) defined consumers’ positive or negative perception of consumers as positive or negative CSR information. Huang (2015) have defined them more clearly by </w:t>
      </w:r>
      <w:r w:rsidR="00370544" w:rsidRPr="00530906">
        <w:rPr>
          <w:rFonts w:ascii="Cambria" w:eastAsia="Calibri" w:hAnsi="Cambria" w:cs="Times New Roman"/>
          <w:sz w:val="24"/>
          <w:szCs w:val="24"/>
        </w:rPr>
        <w:t>addressing</w:t>
      </w:r>
      <w:r w:rsidRPr="00530906">
        <w:rPr>
          <w:rFonts w:ascii="Cambria" w:eastAsia="Calibri" w:hAnsi="Cambria" w:cs="Times New Roman"/>
          <w:sz w:val="24"/>
          <w:szCs w:val="24"/>
        </w:rPr>
        <w:t xml:space="preserve"> positive corporate information as higher COP (corporate operation performance) </w:t>
      </w:r>
      <w:r w:rsidR="008B0C18" w:rsidRPr="00530906">
        <w:rPr>
          <w:rFonts w:ascii="Cambria" w:eastAsia="Calibri" w:hAnsi="Cambria" w:cs="Times New Roman"/>
          <w:sz w:val="24"/>
          <w:szCs w:val="24"/>
        </w:rPr>
        <w:t xml:space="preserve">and have greater impact than the general information of </w:t>
      </w:r>
      <w:r w:rsidRPr="00530906">
        <w:rPr>
          <w:rFonts w:ascii="Cambria" w:eastAsia="Calibri" w:hAnsi="Cambria" w:cs="Times New Roman"/>
          <w:sz w:val="24"/>
          <w:szCs w:val="24"/>
        </w:rPr>
        <w:t>CSR</w:t>
      </w:r>
      <w:r w:rsidR="008B0C18" w:rsidRPr="00530906">
        <w:rPr>
          <w:rFonts w:ascii="Cambria" w:eastAsia="Calibri" w:hAnsi="Cambria" w:cs="Times New Roman"/>
          <w:sz w:val="24"/>
          <w:szCs w:val="24"/>
        </w:rPr>
        <w:t xml:space="preserve"> activities. On the other hand, </w:t>
      </w:r>
      <w:r w:rsidRPr="00530906">
        <w:rPr>
          <w:rFonts w:ascii="Cambria" w:eastAsia="Calibri" w:hAnsi="Cambria" w:cs="Times New Roman"/>
          <w:sz w:val="24"/>
          <w:szCs w:val="24"/>
        </w:rPr>
        <w:t xml:space="preserve">negative information </w:t>
      </w:r>
      <w:r w:rsidR="008B0C18" w:rsidRPr="00530906">
        <w:rPr>
          <w:rFonts w:ascii="Cambria" w:eastAsia="Calibri" w:hAnsi="Cambria" w:cs="Times New Roman"/>
          <w:sz w:val="24"/>
          <w:szCs w:val="24"/>
        </w:rPr>
        <w:t>acts as</w:t>
      </w:r>
      <w:r w:rsidRPr="00530906">
        <w:rPr>
          <w:rFonts w:ascii="Cambria" w:eastAsia="Calibri" w:hAnsi="Cambria" w:cs="Times New Roman"/>
          <w:sz w:val="24"/>
          <w:szCs w:val="24"/>
        </w:rPr>
        <w:t xml:space="preserve"> lower COP</w:t>
      </w:r>
      <w:r w:rsidR="008B0C18" w:rsidRPr="00530906">
        <w:rPr>
          <w:rFonts w:ascii="Cambria" w:eastAsia="Calibri" w:hAnsi="Cambria" w:cs="Times New Roman"/>
          <w:sz w:val="24"/>
          <w:szCs w:val="24"/>
        </w:rPr>
        <w:t xml:space="preserve"> have more negative impact</w:t>
      </w:r>
      <w:r w:rsidRPr="00530906">
        <w:rPr>
          <w:rFonts w:ascii="Cambria" w:eastAsia="Calibri" w:hAnsi="Cambria" w:cs="Times New Roman"/>
          <w:sz w:val="24"/>
          <w:szCs w:val="24"/>
        </w:rPr>
        <w:t xml:space="preserve"> compared to CSI (Corporate social irresponsibility). Olsen et al (2014) mentioned about positive and negative framing of green message by the organisations, which denote claims of environmental benefit and prevention of harm of the environment respectively. These descriptions of positive and negative statement</w:t>
      </w:r>
      <w:r w:rsidR="00B57E7B" w:rsidRPr="00530906">
        <w:rPr>
          <w:rFonts w:ascii="Cambria" w:eastAsia="Calibri" w:hAnsi="Cambria" w:cs="Times New Roman"/>
          <w:sz w:val="24"/>
          <w:szCs w:val="24"/>
        </w:rPr>
        <w:t>s</w:t>
      </w:r>
      <w:r w:rsidRPr="00530906">
        <w:rPr>
          <w:rFonts w:ascii="Cambria" w:eastAsia="Calibri" w:hAnsi="Cambria" w:cs="Times New Roman"/>
          <w:sz w:val="24"/>
          <w:szCs w:val="24"/>
        </w:rPr>
        <w:t xml:space="preserve"> are not befitting to be a consumers’ opinion</w:t>
      </w:r>
      <w:r w:rsidR="000A148E" w:rsidRPr="00530906">
        <w:rPr>
          <w:rFonts w:ascii="Cambria" w:eastAsia="Calibri" w:hAnsi="Cambria" w:cs="Times New Roman"/>
          <w:sz w:val="24"/>
          <w:szCs w:val="24"/>
        </w:rPr>
        <w:t>,</w:t>
      </w:r>
      <w:r w:rsidR="00B57E7B" w:rsidRPr="00530906">
        <w:rPr>
          <w:rFonts w:ascii="Cambria" w:eastAsia="Calibri" w:hAnsi="Cambria" w:cs="Times New Roman"/>
          <w:sz w:val="24"/>
          <w:szCs w:val="24"/>
        </w:rPr>
        <w:t xml:space="preserve"> rather showcase corporates’ management practice</w:t>
      </w:r>
      <w:r w:rsidRPr="00530906">
        <w:rPr>
          <w:rFonts w:ascii="Cambria" w:eastAsia="Calibri" w:hAnsi="Cambria" w:cs="Times New Roman"/>
          <w:sz w:val="24"/>
          <w:szCs w:val="24"/>
        </w:rPr>
        <w:t xml:space="preserve">, hence not in the scope of this thesis. </w:t>
      </w:r>
      <w:r w:rsidR="008B0C18" w:rsidRPr="00530906">
        <w:rPr>
          <w:rFonts w:ascii="Cambria" w:eastAsia="Calibri" w:hAnsi="Cambria" w:cs="Times New Roman"/>
          <w:sz w:val="24"/>
          <w:szCs w:val="24"/>
        </w:rPr>
        <w:t xml:space="preserve">Yet it indicates the fact that, </w:t>
      </w:r>
      <w:r w:rsidR="004177EC" w:rsidRPr="00530906">
        <w:rPr>
          <w:rFonts w:ascii="Cambria" w:eastAsia="Calibri" w:hAnsi="Cambria" w:cs="Times New Roman"/>
          <w:sz w:val="24"/>
          <w:szCs w:val="24"/>
        </w:rPr>
        <w:t>positive and negative message</w:t>
      </w:r>
      <w:r w:rsidR="0042117C" w:rsidRPr="00530906">
        <w:rPr>
          <w:rFonts w:ascii="Cambria" w:eastAsia="Calibri" w:hAnsi="Cambria" w:cs="Times New Roman"/>
          <w:sz w:val="24"/>
          <w:szCs w:val="24"/>
        </w:rPr>
        <w:t>s regarding sustainability</w:t>
      </w:r>
      <w:r w:rsidR="004177EC" w:rsidRPr="00530906">
        <w:rPr>
          <w:rFonts w:ascii="Cambria" w:eastAsia="Calibri" w:hAnsi="Cambria" w:cs="Times New Roman"/>
          <w:sz w:val="24"/>
          <w:szCs w:val="24"/>
        </w:rPr>
        <w:t xml:space="preserve"> affect differently on consumers</w:t>
      </w:r>
      <w:r w:rsidR="0042117C" w:rsidRPr="00530906">
        <w:rPr>
          <w:rFonts w:ascii="Cambria" w:eastAsia="Calibri" w:hAnsi="Cambria" w:cs="Times New Roman"/>
          <w:sz w:val="24"/>
          <w:szCs w:val="24"/>
        </w:rPr>
        <w:t>.</w:t>
      </w:r>
    </w:p>
    <w:p w14:paraId="45808948" w14:textId="7D38DAB5" w:rsidR="008B0C18" w:rsidRPr="00CF02D5" w:rsidRDefault="00510B75" w:rsidP="00510B75">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It has been proved that different arguments of the message produce different response (Berkowitz 1986). Basically, positive and negative both captions have the possibility to motivate the social media </w:t>
      </w:r>
      <w:r w:rsidRPr="00CF02D5">
        <w:rPr>
          <w:rFonts w:ascii="Cambria" w:eastAsia="Calibri" w:hAnsi="Cambria" w:cs="Times New Roman"/>
          <w:sz w:val="24"/>
          <w:szCs w:val="24"/>
        </w:rPr>
        <w:t>users for engagement if they can excite them (Lee et al 2013). Study shows that, positively worded picture entices positivity (Mitchelt 1986), but it is uncertain how the consumers will engage in unprecedented web–based media (Hoffman and Novak 1996; De Pelsmacker et al 2018). Positive judgement from the social media users do not guarantee positive perception of brand experience (Phillips and Mcquarrie 2010). Moreover, it has been observed that, supportive consumers expect the firms to continue their sustainability related initiative and thus act indifferent of the firm’s sustainability related initiative, but their wrong doings have a major impact on all over the consumer base (</w:t>
      </w:r>
      <w:r w:rsidRPr="00CF02D5">
        <w:rPr>
          <w:rFonts w:ascii="Cambria" w:hAnsi="Cambria"/>
          <w:noProof/>
          <w:sz w:val="24"/>
          <w:szCs w:val="24"/>
        </w:rPr>
        <w:t>Mishina et al 2012</w:t>
      </w:r>
      <w:r w:rsidRPr="00CF02D5">
        <w:rPr>
          <w:rFonts w:ascii="Cambria" w:eastAsia="Calibri" w:hAnsi="Cambria" w:cs="Times New Roman"/>
          <w:sz w:val="24"/>
          <w:szCs w:val="24"/>
        </w:rPr>
        <w:t>). This implies that actual number of consumers who is evaluating the firm positively are higher than the consumers who are actively reacting to that message. This phenomenon has been mirrored in the study that shows, all consumers react negative CSR information but only the most supportive consumers react to positive CSR information (Sen and Bhattachariaya 2001)</w:t>
      </w:r>
      <w:r w:rsidR="00896339" w:rsidRPr="00CF02D5">
        <w:rPr>
          <w:rFonts w:ascii="Cambria" w:eastAsia="Calibri" w:hAnsi="Cambria" w:cs="Times New Roman"/>
          <w:sz w:val="24"/>
          <w:szCs w:val="24"/>
        </w:rPr>
        <w:t xml:space="preserve">. </w:t>
      </w:r>
      <w:r w:rsidR="00F8041C" w:rsidRPr="00CF02D5">
        <w:rPr>
          <w:rFonts w:ascii="Cambria" w:eastAsia="Calibri" w:hAnsi="Cambria" w:cs="Times New Roman"/>
          <w:sz w:val="24"/>
          <w:szCs w:val="24"/>
        </w:rPr>
        <w:t>These findings</w:t>
      </w:r>
      <w:r w:rsidR="00896339" w:rsidRPr="00CF02D5">
        <w:rPr>
          <w:rFonts w:ascii="Cambria" w:eastAsia="Calibri" w:hAnsi="Cambria" w:cs="Times New Roman"/>
          <w:sz w:val="24"/>
          <w:szCs w:val="24"/>
        </w:rPr>
        <w:t xml:space="preserve"> provide</w:t>
      </w:r>
      <w:r w:rsidRPr="00CF02D5">
        <w:rPr>
          <w:rFonts w:ascii="Cambria" w:eastAsia="Calibri" w:hAnsi="Cambria" w:cs="Times New Roman"/>
          <w:sz w:val="24"/>
          <w:szCs w:val="24"/>
        </w:rPr>
        <w:t xml:space="preserve"> support</w:t>
      </w:r>
      <w:r w:rsidR="00896339" w:rsidRPr="00CF02D5">
        <w:rPr>
          <w:rFonts w:ascii="Cambria" w:eastAsia="Calibri" w:hAnsi="Cambria" w:cs="Times New Roman"/>
          <w:sz w:val="24"/>
          <w:szCs w:val="24"/>
        </w:rPr>
        <w:t xml:space="preserve"> to</w:t>
      </w:r>
      <w:r w:rsidRPr="00CF02D5">
        <w:rPr>
          <w:rFonts w:ascii="Cambria" w:eastAsia="Calibri" w:hAnsi="Cambria" w:cs="Times New Roman"/>
          <w:sz w:val="24"/>
          <w:szCs w:val="24"/>
        </w:rPr>
        <w:t xml:space="preserve"> the prevalent notion that, negative WOM may affect brands more than positive WOM (Hollebeek and Chen 2014; Sen and Bhattachariaya 2001).</w:t>
      </w:r>
    </w:p>
    <w:p w14:paraId="29D7ABA6" w14:textId="1ECF1540" w:rsidR="00510B75" w:rsidRPr="00CF02D5" w:rsidRDefault="00510B75" w:rsidP="00510B75">
      <w:pPr>
        <w:spacing w:line="360" w:lineRule="auto"/>
        <w:jc w:val="both"/>
        <w:rPr>
          <w:rFonts w:ascii="Cambria" w:eastAsia="Calibri" w:hAnsi="Cambria" w:cs="Times New Roman"/>
          <w:sz w:val="24"/>
          <w:szCs w:val="24"/>
        </w:rPr>
      </w:pPr>
      <w:r w:rsidRPr="00CF02D5">
        <w:rPr>
          <w:rFonts w:ascii="Cambria" w:eastAsia="Calibri" w:hAnsi="Cambria" w:cs="Times New Roman"/>
          <w:sz w:val="24"/>
          <w:szCs w:val="24"/>
        </w:rPr>
        <w:t xml:space="preserve">Product’s specific wrongdoing or lawsuits may initiate some negative WOM and affect the loyalty for the brand. Eco–minded people tend to engage in wide variety of activities at their disposal (Cho et al 2013). Consumers may negatively engage toward firm’s viral message in social media if they suspect that the firm is trying to persuade them (Seo et al 2018). It is also true for company–led </w:t>
      </w:r>
      <w:r w:rsidR="005C2CC4" w:rsidRPr="00CF02D5">
        <w:rPr>
          <w:rFonts w:ascii="Cambria" w:eastAsia="Calibri" w:hAnsi="Cambria" w:cs="Adobe Devanagari"/>
          <w:sz w:val="24"/>
          <w:szCs w:val="24"/>
        </w:rPr>
        <w:t xml:space="preserve">ads with </w:t>
      </w:r>
      <w:r w:rsidR="00E363FB" w:rsidRPr="00CF02D5">
        <w:rPr>
          <w:rFonts w:ascii="Cambria" w:eastAsia="Calibri" w:hAnsi="Cambria" w:cs="Adobe Devanagari"/>
          <w:sz w:val="24"/>
          <w:szCs w:val="24"/>
        </w:rPr>
        <w:t>sustainability</w:t>
      </w:r>
      <w:r w:rsidR="005C2CC4"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According to Lyon and Montgomery (2013), if citizens feel that the company is promoting their environmental association excessively, they may react negatively.  In fact, it will have negative attitude towards brands if the consumers perceive that the environmental claim is not credible (Montororios et al 2008’ Kilbourne 2004).</w:t>
      </w:r>
      <w:r w:rsidRPr="00CF02D5">
        <w:rPr>
          <w:rFonts w:ascii="Cambria" w:eastAsia="Calibri" w:hAnsi="Cambria" w:cs="Adobe Devanagari"/>
          <w:sz w:val="24"/>
          <w:szCs w:val="24"/>
        </w:rPr>
        <w:t xml:space="preserve"> </w:t>
      </w:r>
      <w:r w:rsidRPr="00CF02D5">
        <w:rPr>
          <w:rFonts w:ascii="Cambria" w:eastAsia="Calibri" w:hAnsi="Cambria" w:cs="Times New Roman"/>
          <w:sz w:val="24"/>
          <w:szCs w:val="24"/>
        </w:rPr>
        <w:t xml:space="preserve">From a company perspective, it is observed that, consumers tend not to react positively to low price if the firm is having poor commitment to the environmental sustainability (Choi and Ng 2011; Davari and Strutton, 2014, </w:t>
      </w:r>
      <w:r w:rsidRPr="00CF02D5">
        <w:rPr>
          <w:rFonts w:ascii="Cambria" w:eastAsia="Calibri" w:hAnsi="Cambria" w:cs="Adobe Devanagari"/>
          <w:sz w:val="24"/>
          <w:szCs w:val="24"/>
        </w:rPr>
        <w:t>Herédia–Colaço and Vale 2018</w:t>
      </w:r>
      <w:r w:rsidRPr="00CF02D5">
        <w:rPr>
          <w:rFonts w:ascii="Cambria" w:eastAsia="Calibri" w:hAnsi="Cambria" w:cs="Times New Roman"/>
          <w:sz w:val="24"/>
          <w:szCs w:val="24"/>
        </w:rPr>
        <w:t>). Brand suffers severely for their negative sustainability related reputation. Volkswagen’s 20% of total value was diminished due to the gross violations of environmental standards by the company (</w:t>
      </w:r>
      <w:hyperlink r:id="rId25" w:history="1">
        <w:r w:rsidRPr="00CF02D5">
          <w:rPr>
            <w:rFonts w:ascii="Cambria" w:eastAsia="Calibri" w:hAnsi="Cambria" w:cs="Times New Roman"/>
            <w:sz w:val="24"/>
            <w:szCs w:val="24"/>
            <w:u w:val="single"/>
          </w:rPr>
          <w:t>www.weforum.org</w:t>
        </w:r>
      </w:hyperlink>
      <w:r w:rsidRPr="00CF02D5">
        <w:rPr>
          <w:rFonts w:ascii="Cambria" w:eastAsia="Calibri" w:hAnsi="Cambria" w:cs="Times New Roman"/>
          <w:sz w:val="24"/>
          <w:szCs w:val="24"/>
        </w:rPr>
        <w:t xml:space="preserve">, 2018).  </w:t>
      </w:r>
      <w:r w:rsidRPr="00CF02D5">
        <w:rPr>
          <w:rFonts w:ascii="Cambria" w:eastAsia="Calibri" w:hAnsi="Cambria" w:cs="Adobe Devanagari"/>
          <w:sz w:val="24"/>
          <w:szCs w:val="24"/>
        </w:rPr>
        <w:t>This represents</w:t>
      </w:r>
      <w:r w:rsidR="001904CF" w:rsidRPr="00CF02D5">
        <w:rPr>
          <w:rFonts w:ascii="Cambria" w:eastAsia="Calibri" w:hAnsi="Cambria" w:cs="Adobe Devanagari"/>
          <w:sz w:val="24"/>
          <w:szCs w:val="24"/>
        </w:rPr>
        <w:t xml:space="preserve"> the impact </w:t>
      </w:r>
      <w:r w:rsidR="00F8041C" w:rsidRPr="00CF02D5">
        <w:rPr>
          <w:rFonts w:ascii="Cambria" w:eastAsia="Calibri" w:hAnsi="Cambria" w:cs="Adobe Devanagari"/>
          <w:sz w:val="24"/>
          <w:szCs w:val="24"/>
        </w:rPr>
        <w:t>of customers</w:t>
      </w:r>
      <w:r w:rsidRPr="00CF02D5">
        <w:rPr>
          <w:rFonts w:ascii="Cambria" w:eastAsia="Calibri" w:hAnsi="Cambria" w:cs="Adobe Devanagari"/>
          <w:sz w:val="24"/>
          <w:szCs w:val="24"/>
        </w:rPr>
        <w:t xml:space="preserve">’ interpretation of how firms operate and handle specific issues (Hollebeek and Chen 2014).  </w:t>
      </w:r>
      <w:r w:rsidRPr="00CF02D5">
        <w:rPr>
          <w:rFonts w:ascii="Cambria" w:eastAsia="Calibri" w:hAnsi="Cambria" w:cs="Times New Roman"/>
          <w:sz w:val="24"/>
          <w:szCs w:val="24"/>
        </w:rPr>
        <w:t>In a nutshell c</w:t>
      </w:r>
      <w:r w:rsidRPr="00CF02D5">
        <w:rPr>
          <w:rFonts w:ascii="Cambria" w:eastAsia="Calibri" w:hAnsi="Cambria" w:cs="Adobe Devanagari"/>
          <w:sz w:val="24"/>
          <w:szCs w:val="24"/>
        </w:rPr>
        <w:t>onsumer engage online depending on their positive or negative thought about the brand.</w:t>
      </w:r>
      <w:r w:rsidRPr="00CF02D5">
        <w:rPr>
          <w:rFonts w:ascii="Cambria" w:eastAsia="Calibri" w:hAnsi="Cambria" w:cs="Times New Roman"/>
          <w:sz w:val="24"/>
          <w:szCs w:val="24"/>
        </w:rPr>
        <w:t xml:space="preserve"> Hence different captions should have different impact on social–media–engagement with the </w:t>
      </w:r>
      <w:r w:rsidR="00F76EAD"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F76EAD"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xml:space="preserve">, leading to different purchase intention of the advertised sustainable product and subsequent sustainable behaviour. </w:t>
      </w:r>
    </w:p>
    <w:p w14:paraId="50E9301D" w14:textId="59D70EF2" w:rsidR="00B2517A" w:rsidRPr="00CF02D5" w:rsidRDefault="004349BF" w:rsidP="00E821B8">
      <w:pPr>
        <w:spacing w:line="360" w:lineRule="auto"/>
        <w:jc w:val="both"/>
        <w:rPr>
          <w:rFonts w:ascii="Cambria" w:eastAsia="Calibri" w:hAnsi="Cambria" w:cs="Times New Roman"/>
          <w:sz w:val="24"/>
          <w:szCs w:val="24"/>
        </w:rPr>
      </w:pPr>
      <w:r w:rsidRPr="00CF02D5">
        <w:rPr>
          <w:rFonts w:ascii="Cambria" w:eastAsia="Calibri" w:hAnsi="Cambria" w:cs="Adobe Devanagari"/>
          <w:sz w:val="24"/>
          <w:szCs w:val="24"/>
        </w:rPr>
        <w:t xml:space="preserve">ads with </w:t>
      </w:r>
      <w:r w:rsidR="00E363FB" w:rsidRPr="00CF02D5">
        <w:rPr>
          <w:rFonts w:ascii="Cambria" w:eastAsia="Calibri" w:hAnsi="Cambria" w:cs="Adobe Devanagari"/>
          <w:sz w:val="24"/>
          <w:szCs w:val="24"/>
        </w:rPr>
        <w:t>sustainability</w:t>
      </w:r>
      <w:r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xml:space="preserve"> </w:t>
      </w:r>
      <w:r w:rsidR="00510B75" w:rsidRPr="00CF02D5">
        <w:rPr>
          <w:rFonts w:ascii="Cambria" w:eastAsia="Calibri" w:hAnsi="Cambria" w:cs="Times New Roman"/>
          <w:sz w:val="24"/>
          <w:szCs w:val="24"/>
        </w:rPr>
        <w:t xml:space="preserve">may fail because consumers do not trust company provided information (Angus 2018; </w:t>
      </w:r>
      <w:hyperlink r:id="rId26" w:history="1">
        <w:r w:rsidR="00510B75" w:rsidRPr="00CF02D5">
          <w:rPr>
            <w:rFonts w:ascii="Cambria" w:eastAsia="Calibri" w:hAnsi="Cambria" w:cs="Times New Roman"/>
            <w:sz w:val="24"/>
            <w:szCs w:val="24"/>
          </w:rPr>
          <w:t>marketingweek.com</w:t>
        </w:r>
      </w:hyperlink>
      <w:r w:rsidR="00510B75" w:rsidRPr="00CF02D5">
        <w:rPr>
          <w:rFonts w:ascii="Cambria" w:eastAsia="Calibri" w:hAnsi="Cambria" w:cs="Times New Roman"/>
          <w:sz w:val="24"/>
          <w:szCs w:val="24"/>
        </w:rPr>
        <w:t xml:space="preserve"> 2016;</w:t>
      </w:r>
      <w:r w:rsidR="00510B75" w:rsidRPr="00CF02D5">
        <w:rPr>
          <w:rFonts w:ascii="Cambria" w:eastAsia="Calibri" w:hAnsi="Cambria" w:cs="Times New Roman"/>
          <w:sz w:val="24"/>
          <w:szCs w:val="24"/>
          <w:u w:val="single"/>
        </w:rPr>
        <w:t xml:space="preserve"> </w:t>
      </w:r>
      <w:r w:rsidR="00510B75" w:rsidRPr="00CF02D5">
        <w:rPr>
          <w:rFonts w:ascii="Cambria" w:eastAsia="Calibri" w:hAnsi="Cambria" w:cs="Times New Roman"/>
          <w:sz w:val="24"/>
          <w:szCs w:val="24"/>
        </w:rPr>
        <w:t xml:space="preserve">Martin and Schouten 2012). Only one fifth the consumers trust company–led brand claims and 83% of consumers prefer third–party verification (ethicalhour.co.uk 2021). Moreover, the people who are already concerned about sustainability, are the people attentive to environmental information (Kinnear, and Taylor 1973).  Experiment have shown that, there are insignificant difference on how people react to the generic information about the product or the environmental information or they are certified by independent organisations provided by the brand itself (Montororios et al 2008). This understandable, because similar to lack of trust on brand’s sustainable claim (Angus 2018), consumers also have lower acceptance of sustainability certification due to their trust on the source and lacking empirical testing, standardisation and documentation of those certificates’ effectiveness (Kinnear, and Taylor 1973; Bickart and Ruth 2012; Martin and Schouten 2012). But study shows that the credibility of information may change the scenario (Wu 20187). In reality, consumer to consumer interaction has proved to have more powerful impact than traditional marketing and advertising (Muntinga et al. 2011). It implies that, for the </w:t>
      </w:r>
      <w:r w:rsidR="00F8169C"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F8169C" w:rsidRPr="00CF02D5">
        <w:rPr>
          <w:rFonts w:ascii="Cambria" w:eastAsia="Calibri" w:hAnsi="Cambria" w:cs="Adobe Devanagari"/>
          <w:sz w:val="24"/>
          <w:szCs w:val="24"/>
        </w:rPr>
        <w:t xml:space="preserve"> message</w:t>
      </w:r>
      <w:r w:rsidR="00F8169C" w:rsidRPr="00CF02D5">
        <w:rPr>
          <w:rFonts w:ascii="Cambria" w:eastAsia="Calibri" w:hAnsi="Cambria" w:cs="Times New Roman"/>
          <w:sz w:val="24"/>
          <w:szCs w:val="24"/>
        </w:rPr>
        <w:t xml:space="preserve"> </w:t>
      </w:r>
      <w:r w:rsidR="00510B75" w:rsidRPr="00CF02D5">
        <w:rPr>
          <w:rFonts w:ascii="Cambria" w:eastAsia="Calibri" w:hAnsi="Cambria" w:cs="Times New Roman"/>
          <w:sz w:val="24"/>
          <w:szCs w:val="24"/>
        </w:rPr>
        <w:t xml:space="preserve">to be effective, it should be trustworthy and come from source other than brands, which will in turn influence the attitude. </w:t>
      </w:r>
      <w:r w:rsidR="00927B71" w:rsidRPr="00CF02D5">
        <w:rPr>
          <w:rFonts w:ascii="Cambria" w:eastAsia="Calibri" w:hAnsi="Cambria" w:cs="Times New Roman"/>
          <w:sz w:val="24"/>
          <w:szCs w:val="24"/>
        </w:rPr>
        <w:t xml:space="preserve">An ad is effective, when it has the ability to persue the consumers. </w:t>
      </w:r>
      <w:r w:rsidR="00B2517A" w:rsidRPr="00CF02D5">
        <w:rPr>
          <w:rFonts w:ascii="Cambria" w:eastAsia="Calibri" w:hAnsi="Cambria" w:cs="Times New Roman"/>
          <w:sz w:val="24"/>
          <w:szCs w:val="24"/>
        </w:rPr>
        <w:t>I</w:t>
      </w:r>
      <w:r w:rsidR="00927B71" w:rsidRPr="00CF02D5">
        <w:rPr>
          <w:rFonts w:ascii="Cambria" w:eastAsia="Calibri" w:hAnsi="Cambria" w:cs="Times New Roman"/>
          <w:sz w:val="24"/>
          <w:szCs w:val="24"/>
        </w:rPr>
        <w:t>n this line of thinking, if</w:t>
      </w:r>
      <w:r w:rsidR="00510B75" w:rsidRPr="00CF02D5">
        <w:rPr>
          <w:rFonts w:ascii="Cambria" w:eastAsia="Calibri" w:hAnsi="Cambria" w:cs="Times New Roman"/>
          <w:sz w:val="24"/>
          <w:szCs w:val="24"/>
        </w:rPr>
        <w:t xml:space="preserve"> </w:t>
      </w:r>
      <w:r w:rsidR="00927B71" w:rsidRPr="00CF02D5">
        <w:rPr>
          <w:rFonts w:ascii="Cambria" w:eastAsia="Calibri" w:hAnsi="Cambria" w:cs="Times New Roman"/>
          <w:sz w:val="24"/>
          <w:szCs w:val="24"/>
        </w:rPr>
        <w:t>a</w:t>
      </w:r>
      <w:r w:rsidR="007D10BC" w:rsidRPr="00CF02D5">
        <w:rPr>
          <w:rFonts w:ascii="Cambria" w:eastAsia="Calibri" w:hAnsi="Cambria" w:cs="Times New Roman"/>
          <w:sz w:val="24"/>
          <w:szCs w:val="24"/>
        </w:rPr>
        <w:t xml:space="preserve">n </w:t>
      </w:r>
      <w:r w:rsidR="007D10BC"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7D10BC" w:rsidRPr="00CF02D5">
        <w:rPr>
          <w:rFonts w:ascii="Cambria" w:eastAsia="Calibri" w:hAnsi="Cambria" w:cs="Adobe Devanagari"/>
          <w:sz w:val="24"/>
          <w:szCs w:val="24"/>
        </w:rPr>
        <w:t xml:space="preserve"> message</w:t>
      </w:r>
      <w:r w:rsidR="007D10BC" w:rsidRPr="00CF02D5">
        <w:rPr>
          <w:rFonts w:ascii="Cambria" w:eastAsia="Calibri" w:hAnsi="Cambria" w:cs="Times New Roman"/>
          <w:sz w:val="24"/>
          <w:szCs w:val="24"/>
        </w:rPr>
        <w:t xml:space="preserve"> </w:t>
      </w:r>
      <w:r w:rsidR="00510B75" w:rsidRPr="00CF02D5">
        <w:rPr>
          <w:rFonts w:ascii="Cambria" w:eastAsia="Calibri" w:hAnsi="Cambria" w:cs="Times New Roman"/>
          <w:sz w:val="24"/>
          <w:szCs w:val="24"/>
        </w:rPr>
        <w:t>is positively accepted</w:t>
      </w:r>
      <w:r w:rsidR="00927B71" w:rsidRPr="00CF02D5">
        <w:rPr>
          <w:rFonts w:ascii="Cambria" w:eastAsia="Calibri" w:hAnsi="Cambria" w:cs="Times New Roman"/>
          <w:sz w:val="24"/>
          <w:szCs w:val="24"/>
        </w:rPr>
        <w:t xml:space="preserve"> and effective</w:t>
      </w:r>
      <w:r w:rsidR="00510B75" w:rsidRPr="00CF02D5">
        <w:rPr>
          <w:rFonts w:ascii="Cambria" w:eastAsia="Calibri" w:hAnsi="Cambria" w:cs="Times New Roman"/>
          <w:sz w:val="24"/>
          <w:szCs w:val="24"/>
        </w:rPr>
        <w:t xml:space="preserve">, it has the potentiality to generate sustainable behaviour or action (Petty and Cacioppo 2018). Once again, this directs to the point of social media, </w:t>
      </w:r>
      <w:r w:rsidR="006021A9" w:rsidRPr="00CF02D5">
        <w:rPr>
          <w:rFonts w:ascii="Cambria" w:eastAsia="Calibri" w:hAnsi="Cambria" w:cs="Adobe Devanagari"/>
          <w:sz w:val="24"/>
          <w:szCs w:val="24"/>
        </w:rPr>
        <w:t xml:space="preserve">ads with </w:t>
      </w:r>
      <w:r w:rsidR="00E363FB" w:rsidRPr="00CF02D5">
        <w:rPr>
          <w:rFonts w:ascii="Cambria" w:eastAsia="Calibri" w:hAnsi="Cambria" w:cs="Adobe Devanagari"/>
          <w:sz w:val="24"/>
          <w:szCs w:val="24"/>
        </w:rPr>
        <w:t>sustainability</w:t>
      </w:r>
      <w:r w:rsidR="006021A9" w:rsidRPr="00CF02D5">
        <w:rPr>
          <w:rFonts w:ascii="Cambria" w:eastAsia="Calibri" w:hAnsi="Cambria" w:cs="Adobe Devanagari"/>
          <w:sz w:val="24"/>
          <w:szCs w:val="24"/>
        </w:rPr>
        <w:t xml:space="preserve"> message</w:t>
      </w:r>
      <w:r w:rsidR="006021A9" w:rsidRPr="00CF02D5">
        <w:rPr>
          <w:rFonts w:ascii="Cambria" w:eastAsia="Calibri" w:hAnsi="Cambria" w:cs="Times New Roman"/>
          <w:sz w:val="24"/>
          <w:szCs w:val="24"/>
        </w:rPr>
        <w:t xml:space="preserve"> will be more effective if it is circulated by consumers than the company, </w:t>
      </w:r>
      <w:r w:rsidR="00510B75" w:rsidRPr="00CF02D5">
        <w:rPr>
          <w:rFonts w:ascii="Cambria" w:eastAsia="Calibri" w:hAnsi="Cambria" w:cs="Times New Roman"/>
          <w:sz w:val="24"/>
          <w:szCs w:val="24"/>
        </w:rPr>
        <w:t>since consumers in social–media trust other members than the company (Muniz and Schau, 2007) and turn to other members for information (</w:t>
      </w:r>
      <w:hyperlink r:id="rId27" w:history="1">
        <w:r w:rsidR="00510B75" w:rsidRPr="00CF02D5">
          <w:rPr>
            <w:rFonts w:ascii="Cambria" w:eastAsia="Calibri" w:hAnsi="Cambria" w:cs="Times New Roman"/>
            <w:sz w:val="24"/>
            <w:szCs w:val="24"/>
            <w:u w:val="single"/>
          </w:rPr>
          <w:t>marketingweek.com 2016</w:t>
        </w:r>
      </w:hyperlink>
      <w:r w:rsidR="006021A9" w:rsidRPr="00CF02D5">
        <w:rPr>
          <w:rFonts w:ascii="Cambria" w:eastAsia="Calibri" w:hAnsi="Cambria" w:cs="Times New Roman"/>
          <w:sz w:val="24"/>
          <w:szCs w:val="24"/>
        </w:rPr>
        <w:t>.</w:t>
      </w:r>
      <w:r w:rsidR="00B2517A" w:rsidRPr="00CF02D5">
        <w:rPr>
          <w:rFonts w:ascii="Cambria" w:eastAsia="Calibri" w:hAnsi="Cambria" w:cs="Times New Roman"/>
          <w:sz w:val="24"/>
          <w:szCs w:val="24"/>
        </w:rPr>
        <w:t>,</w:t>
      </w:r>
      <w:r w:rsidR="001B3128" w:rsidRPr="00CF02D5">
        <w:rPr>
          <w:rFonts w:ascii="Cambria" w:eastAsia="Calibri" w:hAnsi="Cambria" w:cs="Times New Roman"/>
          <w:sz w:val="24"/>
          <w:szCs w:val="24"/>
        </w:rPr>
        <w:t xml:space="preserve"> </w:t>
      </w:r>
    </w:p>
    <w:p w14:paraId="51E0C729" w14:textId="2AA6E1EE" w:rsidR="00510B75" w:rsidRPr="00530906" w:rsidRDefault="00510B75" w:rsidP="00E821B8">
      <w:pPr>
        <w:spacing w:line="360" w:lineRule="auto"/>
        <w:jc w:val="both"/>
        <w:rPr>
          <w:rFonts w:ascii="Cambria" w:eastAsia="Calibri" w:hAnsi="Cambria" w:cs="Times New Roman"/>
          <w:sz w:val="24"/>
          <w:szCs w:val="24"/>
        </w:rPr>
      </w:pPr>
      <w:r w:rsidRPr="00CF02D5">
        <w:rPr>
          <w:rFonts w:ascii="Cambria" w:eastAsia="Calibri" w:hAnsi="Cambria" w:cs="Times New Roman"/>
          <w:sz w:val="24"/>
          <w:szCs w:val="24"/>
        </w:rPr>
        <w:t xml:space="preserve">Consumers show intuitive scepticism towards </w:t>
      </w:r>
      <w:r w:rsidR="00D72FC6" w:rsidRPr="00CF02D5">
        <w:rPr>
          <w:rFonts w:ascii="Cambria" w:eastAsia="Calibri" w:hAnsi="Cambria" w:cs="Adobe Devanagari"/>
          <w:sz w:val="24"/>
          <w:szCs w:val="24"/>
        </w:rPr>
        <w:t xml:space="preserve">ads with </w:t>
      </w:r>
      <w:r w:rsidR="00E363FB" w:rsidRPr="00CF02D5">
        <w:rPr>
          <w:rFonts w:ascii="Cambria" w:eastAsia="Calibri" w:hAnsi="Cambria" w:cs="Adobe Devanagari"/>
          <w:sz w:val="24"/>
          <w:szCs w:val="24"/>
        </w:rPr>
        <w:t>sustainability</w:t>
      </w:r>
      <w:r w:rsidR="00D72FC6" w:rsidRPr="00CF02D5">
        <w:rPr>
          <w:rFonts w:ascii="Cambria" w:eastAsia="Calibri" w:hAnsi="Cambria" w:cs="Adobe Devanagari"/>
          <w:sz w:val="24"/>
          <w:szCs w:val="24"/>
        </w:rPr>
        <w:t xml:space="preserve"> message</w:t>
      </w:r>
      <w:r w:rsidRPr="00CF02D5">
        <w:rPr>
          <w:rFonts w:ascii="Cambria" w:eastAsia="Calibri" w:hAnsi="Cambria" w:cs="Times New Roman"/>
          <w:sz w:val="24"/>
          <w:szCs w:val="24"/>
        </w:rPr>
        <w:t xml:space="preserve"> depending on the context of the ad. Among the context the source of the sustainability information has proved to be a salient one (Bickert and Ruth 2012). However, consumers will be sceptic if the information is not coming from right person or right channel (</w:t>
      </w:r>
      <w:r w:rsidRPr="00CF02D5">
        <w:rPr>
          <w:rFonts w:ascii="Cambria" w:eastAsiaTheme="minorEastAsia" w:hAnsi="Cambria"/>
          <w:sz w:val="24"/>
          <w:szCs w:val="24"/>
        </w:rPr>
        <w:t>Jansson et al. 2017; Yadav and Pathak, 2017).</w:t>
      </w:r>
      <w:r w:rsidRPr="00CF02D5">
        <w:rPr>
          <w:rFonts w:ascii="Cambria" w:eastAsia="Calibri" w:hAnsi="Cambria" w:cs="Times New Roman"/>
          <w:sz w:val="24"/>
          <w:szCs w:val="24"/>
        </w:rPr>
        <w:t xml:space="preserve"> Since consumers are cynical to the companies’ sustainability claim, products, even to the companies themselves, it is highly unlikely that the companies will be able to motivate consumers towards sustainability (Kangun et al. 1991; Peattie and Crane 2005; Thøgersen et al 2012). In fact, it will have negative attitude towards brands if the consumers perceive that the environmental claim is not credible (Montororios et al 2008; Kilbourne 2004).  However, it has been reported that, ‘more than half</w:t>
      </w:r>
      <w:r w:rsidR="00A72949" w:rsidRPr="00CF02D5">
        <w:rPr>
          <w:rFonts w:ascii="Cambria" w:eastAsia="Calibri" w:hAnsi="Cambria" w:cs="Times New Roman"/>
          <w:sz w:val="24"/>
          <w:szCs w:val="24"/>
        </w:rPr>
        <w:t>,</w:t>
      </w:r>
      <w:r w:rsidRPr="00CF02D5">
        <w:rPr>
          <w:rFonts w:ascii="Cambria" w:eastAsia="Calibri" w:hAnsi="Cambria" w:cs="Times New Roman"/>
          <w:sz w:val="24"/>
          <w:szCs w:val="24"/>
        </w:rPr>
        <w:t xml:space="preserve"> 62%</w:t>
      </w:r>
      <w:r w:rsidR="00A72949" w:rsidRPr="00CF02D5">
        <w:rPr>
          <w:rFonts w:ascii="Cambria" w:eastAsia="Calibri" w:hAnsi="Cambria" w:cs="Times New Roman"/>
          <w:sz w:val="24"/>
          <w:szCs w:val="24"/>
        </w:rPr>
        <w:t>,</w:t>
      </w:r>
      <w:r w:rsidRPr="00CF02D5">
        <w:rPr>
          <w:rFonts w:ascii="Cambria" w:eastAsia="Calibri" w:hAnsi="Cambria" w:cs="Times New Roman"/>
          <w:sz w:val="24"/>
          <w:szCs w:val="24"/>
        </w:rPr>
        <w:t xml:space="preserve"> of online posts discuss various solutions to environmental issues’’ (Martin and Schouten 2012, p: 231). Hence, a</w:t>
      </w:r>
      <w:r w:rsidR="00507A13" w:rsidRPr="00CF02D5">
        <w:rPr>
          <w:rFonts w:ascii="Cambria" w:eastAsia="Calibri" w:hAnsi="Cambria" w:cs="Times New Roman"/>
          <w:sz w:val="24"/>
          <w:szCs w:val="24"/>
        </w:rPr>
        <w:t xml:space="preserve">n </w:t>
      </w:r>
      <w:r w:rsidR="00507A13" w:rsidRPr="00CF02D5">
        <w:rPr>
          <w:rFonts w:ascii="Cambria" w:eastAsia="Calibri" w:hAnsi="Cambria" w:cs="Adobe Devanagari"/>
          <w:sz w:val="24"/>
          <w:szCs w:val="24"/>
        </w:rPr>
        <w:t xml:space="preserve">ad with </w:t>
      </w:r>
      <w:r w:rsidR="00E363FB" w:rsidRPr="00CF02D5">
        <w:rPr>
          <w:rFonts w:ascii="Cambria" w:eastAsia="Calibri" w:hAnsi="Cambria" w:cs="Adobe Devanagari"/>
          <w:sz w:val="24"/>
          <w:szCs w:val="24"/>
        </w:rPr>
        <w:t>sustainability</w:t>
      </w:r>
      <w:r w:rsidR="00507A13" w:rsidRPr="00CF02D5">
        <w:rPr>
          <w:rFonts w:ascii="Cambria" w:eastAsia="Calibri" w:hAnsi="Cambria" w:cs="Adobe Devanagari"/>
          <w:sz w:val="24"/>
          <w:szCs w:val="24"/>
        </w:rPr>
        <w:t xml:space="preserve"> message</w:t>
      </w:r>
      <w:r w:rsidR="00507A13" w:rsidRPr="00CF02D5">
        <w:rPr>
          <w:rFonts w:ascii="Cambria" w:eastAsia="Calibri" w:hAnsi="Cambria" w:cs="Times New Roman"/>
          <w:sz w:val="24"/>
          <w:szCs w:val="24"/>
        </w:rPr>
        <w:t xml:space="preserve"> </w:t>
      </w:r>
      <w:r w:rsidRPr="00CF02D5">
        <w:rPr>
          <w:rFonts w:ascii="Cambria" w:eastAsia="Calibri" w:hAnsi="Cambria" w:cs="Times New Roman"/>
          <w:sz w:val="24"/>
          <w:szCs w:val="24"/>
        </w:rPr>
        <w:t xml:space="preserve">will be able to </w:t>
      </w:r>
      <w:r w:rsidR="008606D8" w:rsidRPr="00CF02D5">
        <w:rPr>
          <w:rFonts w:ascii="Cambria" w:eastAsia="Calibri" w:hAnsi="Cambria" w:cs="Times New Roman"/>
          <w:sz w:val="24"/>
          <w:szCs w:val="24"/>
        </w:rPr>
        <w:t>influence</w:t>
      </w:r>
      <w:r w:rsidRPr="00CF02D5">
        <w:rPr>
          <w:rFonts w:ascii="Cambria" w:eastAsia="Calibri" w:hAnsi="Cambria" w:cs="Times New Roman"/>
          <w:sz w:val="24"/>
          <w:szCs w:val="24"/>
        </w:rPr>
        <w:t xml:space="preserve"> consumers’ purchase intention</w:t>
      </w:r>
      <w:r w:rsidR="008606D8" w:rsidRPr="00CF02D5">
        <w:rPr>
          <w:rFonts w:ascii="Cambria" w:eastAsia="Calibri" w:hAnsi="Cambria" w:cs="Times New Roman"/>
          <w:sz w:val="24"/>
          <w:szCs w:val="24"/>
        </w:rPr>
        <w:t xml:space="preserve"> or other </w:t>
      </w:r>
      <w:r w:rsidR="008606D8" w:rsidRPr="00530906">
        <w:rPr>
          <w:rFonts w:ascii="Cambria" w:eastAsia="Calibri" w:hAnsi="Cambria" w:cs="Times New Roman"/>
          <w:sz w:val="24"/>
          <w:szCs w:val="24"/>
        </w:rPr>
        <w:t>sustainable behaviour</w:t>
      </w:r>
      <w:r w:rsidRPr="00530906">
        <w:rPr>
          <w:rFonts w:ascii="Cambria" w:eastAsia="Calibri" w:hAnsi="Cambria" w:cs="Times New Roman"/>
          <w:sz w:val="24"/>
          <w:szCs w:val="24"/>
        </w:rPr>
        <w:t>, if they can trust the ad (Leila et al 2016).</w:t>
      </w:r>
      <w:r w:rsidR="00E821B8" w:rsidRPr="00530906">
        <w:rPr>
          <w:rFonts w:ascii="Cambria" w:eastAsia="Calibri" w:hAnsi="Cambria" w:cs="Times New Roman"/>
          <w:sz w:val="24"/>
          <w:szCs w:val="24"/>
        </w:rPr>
        <w:t xml:space="preserve"> Consumers tend to believe information coming form an expert source (Shen et al 2010; Huang et al 2017; Kim and Dennis 2019), especially if the expert source is another consumer</w:t>
      </w:r>
      <w:r w:rsidR="001E1CFD" w:rsidRPr="00530906">
        <w:rPr>
          <w:rFonts w:ascii="Cambria" w:eastAsia="Calibri" w:hAnsi="Cambria" w:cs="Times New Roman"/>
          <w:sz w:val="24"/>
          <w:szCs w:val="24"/>
        </w:rPr>
        <w:t xml:space="preserve"> (Kim at al 2019)</w:t>
      </w:r>
    </w:p>
    <w:p w14:paraId="7CC5BCAD" w14:textId="68610459"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4"/>
          <w:szCs w:val="24"/>
        </w:rPr>
      </w:pPr>
      <w:bookmarkStart w:id="35" w:name="_Toc115726226"/>
      <w:r w:rsidRPr="00530906">
        <w:rPr>
          <w:rFonts w:ascii="Cambria" w:eastAsia="Calibri" w:hAnsi="Cambria" w:cs="Times New Roman"/>
          <w:color w:val="2E74B5"/>
          <w:sz w:val="24"/>
          <w:szCs w:val="24"/>
        </w:rPr>
        <w:t>2.</w:t>
      </w:r>
      <w:r w:rsidR="00C034C0" w:rsidRPr="00530906">
        <w:rPr>
          <w:rFonts w:ascii="Cambria" w:eastAsia="Calibri" w:hAnsi="Cambria" w:cs="Times New Roman"/>
          <w:color w:val="2E74B5"/>
          <w:sz w:val="24"/>
          <w:szCs w:val="24"/>
        </w:rPr>
        <w:t>7</w:t>
      </w:r>
      <w:r w:rsidRPr="00530906">
        <w:rPr>
          <w:rFonts w:ascii="Cambria" w:eastAsia="Calibri" w:hAnsi="Cambria" w:cs="Times New Roman"/>
          <w:color w:val="2E74B5"/>
          <w:sz w:val="24"/>
          <w:szCs w:val="24"/>
        </w:rPr>
        <w:t>.  Source expertise</w:t>
      </w:r>
      <w:bookmarkEnd w:id="35"/>
    </w:p>
    <w:p w14:paraId="48E44616" w14:textId="665630D3"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Source expertise has been mentioned as a dimension of source credibility and defined as “the extent to which a communicator is perceived to be as source of valid assertion” (Hovland et al 1953, p. 21; Li 2013). In the setting</w:t>
      </w:r>
      <w:r w:rsidR="00EC1CB4" w:rsidRPr="00530906">
        <w:rPr>
          <w:rFonts w:ascii="Cambria" w:eastAsia="Calibri" w:hAnsi="Cambria" w:cs="Times New Roman"/>
          <w:sz w:val="24"/>
          <w:szCs w:val="24"/>
        </w:rPr>
        <w:t>s</w:t>
      </w:r>
      <w:r w:rsidRPr="00530906">
        <w:rPr>
          <w:rFonts w:ascii="Cambria" w:eastAsia="Calibri" w:hAnsi="Cambria" w:cs="Times New Roman"/>
          <w:sz w:val="24"/>
          <w:szCs w:val="24"/>
        </w:rPr>
        <w:t xml:space="preserve"> for persuasive message, </w:t>
      </w:r>
      <w:r w:rsidR="008E1FC2" w:rsidRPr="00530906">
        <w:rPr>
          <w:rFonts w:ascii="Cambria" w:eastAsia="Calibri" w:hAnsi="Cambria" w:cs="Times New Roman"/>
          <w:sz w:val="24"/>
          <w:szCs w:val="24"/>
        </w:rPr>
        <w:t>‘</w:t>
      </w:r>
      <w:r w:rsidRPr="00530906">
        <w:rPr>
          <w:rFonts w:ascii="Cambria" w:eastAsia="Calibri" w:hAnsi="Cambria" w:cs="Times New Roman"/>
          <w:sz w:val="24"/>
          <w:szCs w:val="24"/>
        </w:rPr>
        <w:t>source expertise</w:t>
      </w:r>
      <w:r w:rsidR="008E1FC2" w:rsidRPr="00530906">
        <w:rPr>
          <w:rFonts w:ascii="Cambria" w:eastAsia="Calibri" w:hAnsi="Cambria" w:cs="Times New Roman"/>
          <w:sz w:val="24"/>
          <w:szCs w:val="24"/>
        </w:rPr>
        <w:t>’ construct</w:t>
      </w:r>
      <w:r w:rsidRPr="00530906">
        <w:rPr>
          <w:rFonts w:ascii="Cambria" w:eastAsia="Calibri" w:hAnsi="Cambria" w:cs="Times New Roman"/>
          <w:sz w:val="24"/>
          <w:szCs w:val="24"/>
        </w:rPr>
        <w:t xml:space="preserve"> ha</w:t>
      </w:r>
      <w:r w:rsidR="008E1FC2" w:rsidRPr="00530906">
        <w:rPr>
          <w:rFonts w:ascii="Cambria" w:eastAsia="Calibri" w:hAnsi="Cambria" w:cs="Times New Roman"/>
          <w:sz w:val="24"/>
          <w:szCs w:val="24"/>
        </w:rPr>
        <w:t>s the</w:t>
      </w:r>
      <w:r w:rsidRPr="00530906">
        <w:rPr>
          <w:rFonts w:ascii="Cambria" w:eastAsia="Calibri" w:hAnsi="Cambria" w:cs="Times New Roman"/>
          <w:sz w:val="24"/>
          <w:szCs w:val="24"/>
        </w:rPr>
        <w:t xml:space="preserve"> same connotation– “the extent to which the source of a persuasive message is perceived to be capable of making correct assertions” (Yi et al 2013, p: 285). Source expertise has been synonymously used as ‘capability’, ‘authoritativeness’, ‘competence’, ‘qualification’ (Hovland et al 1953; Ohanian 1990). </w:t>
      </w:r>
    </w:p>
    <w:p w14:paraId="7861A2F7" w14:textId="62E1D106"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Previous studies on source expertise have taken source expertise as a cue of evaluating message, which is more effective when the consumers do not have the capacity to evaluate than when</w:t>
      </w:r>
      <w:r w:rsidR="001C1516" w:rsidRPr="00530906">
        <w:rPr>
          <w:rFonts w:ascii="Cambria" w:eastAsia="Calibri" w:hAnsi="Cambria" w:cs="Times New Roman"/>
          <w:sz w:val="24"/>
          <w:szCs w:val="24"/>
        </w:rPr>
        <w:t xml:space="preserve"> they</w:t>
      </w:r>
      <w:r w:rsidRPr="00530906">
        <w:rPr>
          <w:rFonts w:ascii="Cambria" w:eastAsia="Calibri" w:hAnsi="Cambria" w:cs="Times New Roman"/>
          <w:sz w:val="24"/>
          <w:szCs w:val="24"/>
        </w:rPr>
        <w:t xml:space="preserve"> do (Berkowitz 1986). De Bono and Harinish (1988) has </w:t>
      </w:r>
      <w:r w:rsidR="00BD68B9" w:rsidRPr="00530906">
        <w:rPr>
          <w:rFonts w:ascii="Cambria" w:eastAsia="Calibri" w:hAnsi="Cambria" w:cs="Times New Roman"/>
          <w:sz w:val="24"/>
          <w:szCs w:val="24"/>
        </w:rPr>
        <w:t>posited that</w:t>
      </w:r>
      <w:r w:rsidRPr="00530906">
        <w:rPr>
          <w:rFonts w:ascii="Cambria" w:eastAsia="Calibri" w:hAnsi="Cambria" w:cs="Times New Roman"/>
          <w:sz w:val="24"/>
          <w:szCs w:val="24"/>
        </w:rPr>
        <w:t>, if the receiver of the message can adopt social changes easily, they will heuristically accept information coming from expert source, regardless the type of argument. But if the receiver is not flexible to adopt social changes, they will accept only the information with strong argument coming from expert source. In the perspective of positive message in social media, source expertise was not a significant influencer (De Pelsmacker 2018). Source expertise has not proved to have significant influence to promote general opinion, but the construct has proved to be influential for the acceptancy of information (Shen et al 2010). But when taken expert sources’ opinion is considered to evaluate a product, source expertise has positive influence on product decision making (Gilly et al 1998). Folse et al (2016) have studied the effect of source expertise over negative opinion and Huang and Chen (2006) have taken general opinion into account. In both instances, product attitude of users of social media aligns with the expert sources’ opinion, but not with the novice source’s opinion (Folse et al 2016; Huang and Chen 2006; Ki and Kim 2019). In addition to increasing acceptancy of information, source expertise reduce</w:t>
      </w:r>
      <w:r w:rsidR="00A935A9" w:rsidRPr="00530906">
        <w:rPr>
          <w:rFonts w:ascii="Cambria" w:eastAsia="Calibri" w:hAnsi="Cambria" w:cs="Times New Roman"/>
          <w:sz w:val="24"/>
          <w:szCs w:val="24"/>
        </w:rPr>
        <w:t>s</w:t>
      </w:r>
      <w:r w:rsidRPr="00530906">
        <w:rPr>
          <w:rFonts w:ascii="Cambria" w:eastAsia="Calibri" w:hAnsi="Cambria" w:cs="Times New Roman"/>
          <w:sz w:val="24"/>
          <w:szCs w:val="24"/>
        </w:rPr>
        <w:t xml:space="preserve"> the risk (Yi et al 2013). This is the reason high source expertise has the potentiality to create awareness and motivate to try new products (Huang et al 2017; Hughes et al 2019). </w:t>
      </w:r>
    </w:p>
    <w:p w14:paraId="54B5C9ED" w14:textId="3F4BF64F"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The engagement represents higher level of connection, emotional bonding, trust and commitment among the users (Brodie et al 2011, Cova and Pace, 2006, Seo et al 2018, de Valck et al., 2009; Zaglia, 2011; Seo et al 2018).  Consumers engage in posts those have been disseminated by their friends as a social cue, which signals appropriateness or social acceptance, psychological support and empathy (Barreto and Ramalho 2019). Users typically share information in virtual community because of social ties, reciprocity and identification with the group (Chiu et al 2006; Gambetti et al 2012) and accept </w:t>
      </w:r>
      <w:r w:rsidR="005F143B" w:rsidRPr="00530906">
        <w:rPr>
          <w:rFonts w:ascii="Cambria" w:eastAsia="Calibri" w:hAnsi="Cambria" w:cs="Times New Roman"/>
          <w:sz w:val="24"/>
          <w:szCs w:val="24"/>
        </w:rPr>
        <w:t>that information</w:t>
      </w:r>
      <w:r w:rsidRPr="00530906">
        <w:rPr>
          <w:rFonts w:ascii="Cambria" w:eastAsia="Calibri" w:hAnsi="Cambria" w:cs="Times New Roman"/>
          <w:sz w:val="24"/>
          <w:szCs w:val="24"/>
        </w:rPr>
        <w:t xml:space="preserve"> depending on their expertise and the judgement of whether to perform the task the referents are suggesting depending on referents’ importance in their life </w:t>
      </w:r>
      <w:r w:rsidRPr="00530906">
        <w:rPr>
          <w:rFonts w:ascii="Cambria" w:eastAsiaTheme="minorEastAsia" w:hAnsi="Cambria" w:cs="Times New Roman"/>
          <w:sz w:val="24"/>
          <w:szCs w:val="24"/>
        </w:rPr>
        <w:t>(Venkatesh and Devis 2000).</w:t>
      </w:r>
      <w:r w:rsidRPr="00530906">
        <w:rPr>
          <w:rFonts w:ascii="Cambria" w:eastAsia="Calibri" w:hAnsi="Cambria" w:cs="Times New Roman"/>
          <w:sz w:val="24"/>
          <w:szCs w:val="24"/>
        </w:rPr>
        <w:t xml:space="preserve">  Users of social media is motivated to imitate a post, because if it can generate social interaction, it will act as a proof of their expertise, which will in turn enhance their ego (Barreto and Ramalho 2019).</w:t>
      </w:r>
    </w:p>
    <w:p w14:paraId="5D106E06" w14:textId="230A114A"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The acceptance of sustainability related information by the consumers is one of the corner stone</w:t>
      </w:r>
      <w:r w:rsidR="001C1962" w:rsidRPr="00530906">
        <w:rPr>
          <w:rFonts w:ascii="Cambria" w:eastAsia="Calibri" w:hAnsi="Cambria" w:cs="Times New Roman"/>
          <w:sz w:val="24"/>
          <w:szCs w:val="24"/>
        </w:rPr>
        <w:t>s</w:t>
      </w:r>
      <w:r w:rsidRPr="00530906">
        <w:rPr>
          <w:rFonts w:ascii="Cambria" w:eastAsia="Calibri" w:hAnsi="Cambria" w:cs="Times New Roman"/>
          <w:sz w:val="24"/>
          <w:szCs w:val="24"/>
        </w:rPr>
        <w:t xml:space="preserve"> of promoting sustainable products (</w:t>
      </w:r>
      <w:r w:rsidRPr="00530906">
        <w:rPr>
          <w:rFonts w:ascii="Cambria" w:eastAsia="Calibri" w:hAnsi="Cambria" w:cs="Adobe Devanagari"/>
          <w:sz w:val="24"/>
          <w:szCs w:val="24"/>
        </w:rPr>
        <w:t xml:space="preserve">Kemper and Ballantine 2019). </w:t>
      </w:r>
      <w:r w:rsidRPr="00530906">
        <w:rPr>
          <w:rFonts w:ascii="Cambria" w:eastAsia="Calibri" w:hAnsi="Cambria" w:cs="Times New Roman"/>
          <w:sz w:val="24"/>
          <w:szCs w:val="24"/>
        </w:rPr>
        <w:t xml:space="preserve">It is true that consumers favour the companies with sustainable stance (Choi and Ng, 2011), but companies’ initiative to promote their sustainable initiative may fail due to the </w:t>
      </w:r>
      <w:r w:rsidR="0058446F" w:rsidRPr="00530906">
        <w:rPr>
          <w:rFonts w:ascii="Cambria" w:eastAsia="Calibri" w:hAnsi="Cambria" w:cs="Times New Roman"/>
          <w:sz w:val="24"/>
          <w:szCs w:val="24"/>
        </w:rPr>
        <w:t>n</w:t>
      </w:r>
      <w:r w:rsidR="000A1E94" w:rsidRPr="00530906">
        <w:rPr>
          <w:rFonts w:ascii="Cambria" w:eastAsia="Calibri" w:hAnsi="Cambria" w:cs="Times New Roman"/>
          <w:sz w:val="24"/>
          <w:szCs w:val="24"/>
        </w:rPr>
        <w:t>o</w:t>
      </w:r>
      <w:r w:rsidR="0058446F" w:rsidRPr="00530906">
        <w:rPr>
          <w:rFonts w:ascii="Cambria" w:eastAsia="Calibri" w:hAnsi="Cambria" w:cs="Times New Roman"/>
          <w:sz w:val="24"/>
          <w:szCs w:val="24"/>
        </w:rPr>
        <w:t>n-</w:t>
      </w:r>
      <w:r w:rsidRPr="00530906">
        <w:rPr>
          <w:rFonts w:ascii="Cambria" w:eastAsia="Calibri" w:hAnsi="Cambria" w:cs="Times New Roman"/>
          <w:sz w:val="24"/>
          <w:szCs w:val="24"/>
        </w:rPr>
        <w:t xml:space="preserve">acceptance of companies’ claim (Peattie and Crane 2005; Keller 2013). In fact, it will have negative impact towards brands if the consumers perceive that the environmental claim is not credible (Montororios et al 2008; Kilbourne 2004). If the audience cannot put faith on the communicator, the perception of the contents presented will be tarnished (Hovland et al 1953). Both in mass media and in social–media context, consumers resist the advertisement if they think that the company is trying to pursue them (Phillips and McQuarrie 2010; Seo 2018). Consumers hardly trust the information coming from </w:t>
      </w:r>
      <w:r w:rsidR="00F43F2F" w:rsidRPr="00530906">
        <w:rPr>
          <w:rFonts w:ascii="Cambria" w:eastAsia="Calibri" w:hAnsi="Cambria" w:cs="Times New Roman"/>
          <w:noProof/>
          <w:sz w:val="24"/>
          <w:szCs w:val="24"/>
        </w:rPr>
        <mc:AlternateContent>
          <mc:Choice Requires="wpg">
            <w:drawing>
              <wp:anchor distT="0" distB="0" distL="114300" distR="114300" simplePos="0" relativeHeight="251657282" behindDoc="0" locked="0" layoutInCell="1" allowOverlap="1" wp14:anchorId="318A4F8C" wp14:editId="6CC85E29">
                <wp:simplePos x="0" y="0"/>
                <wp:positionH relativeFrom="column">
                  <wp:posOffset>2857500</wp:posOffset>
                </wp:positionH>
                <wp:positionV relativeFrom="paragraph">
                  <wp:posOffset>2228778</wp:posOffset>
                </wp:positionV>
                <wp:extent cx="2904490" cy="3637987"/>
                <wp:effectExtent l="0" t="0" r="0" b="635"/>
                <wp:wrapSquare wrapText="bothSides"/>
                <wp:docPr id="274" name="Group 274"/>
                <wp:cNvGraphicFramePr/>
                <a:graphic xmlns:a="http://schemas.openxmlformats.org/drawingml/2006/main">
                  <a:graphicData uri="http://schemas.microsoft.com/office/word/2010/wordprocessingGroup">
                    <wpg:wgp>
                      <wpg:cNvGrpSpPr/>
                      <wpg:grpSpPr>
                        <a:xfrm>
                          <a:off x="0" y="0"/>
                          <a:ext cx="2904490" cy="3637987"/>
                          <a:chOff x="0" y="-200099"/>
                          <a:chExt cx="2904490" cy="3638624"/>
                        </a:xfrm>
                      </wpg:grpSpPr>
                      <wpg:grpSp>
                        <wpg:cNvPr id="275" name="Group 275"/>
                        <wpg:cNvGrpSpPr>
                          <a:grpSpLocks/>
                        </wpg:cNvGrpSpPr>
                        <wpg:grpSpPr bwMode="auto">
                          <a:xfrm>
                            <a:off x="0" y="-200099"/>
                            <a:ext cx="2904490" cy="3638624"/>
                            <a:chOff x="4191" y="1307"/>
                            <a:chExt cx="29055" cy="36441"/>
                          </a:xfrm>
                        </wpg:grpSpPr>
                        <wpg:grpSp>
                          <wpg:cNvPr id="276" name="Group 355"/>
                          <wpg:cNvGrpSpPr>
                            <a:grpSpLocks/>
                          </wpg:cNvGrpSpPr>
                          <wpg:grpSpPr bwMode="auto">
                            <a:xfrm>
                              <a:off x="10193" y="1307"/>
                              <a:ext cx="23053" cy="36441"/>
                              <a:chOff x="3240" y="2622"/>
                              <a:chExt cx="23055" cy="21949"/>
                            </a:xfrm>
                          </wpg:grpSpPr>
                          <wpg:grpSp>
                            <wpg:cNvPr id="277" name="Group 356"/>
                            <wpg:cNvGrpSpPr>
                              <a:grpSpLocks/>
                            </wpg:cNvGrpSpPr>
                            <wpg:grpSpPr bwMode="auto">
                              <a:xfrm>
                                <a:off x="3240" y="2622"/>
                                <a:ext cx="23055" cy="21949"/>
                                <a:chOff x="3240" y="2622"/>
                                <a:chExt cx="23055" cy="21949"/>
                              </a:xfrm>
                            </wpg:grpSpPr>
                            <wpg:grpSp>
                              <wpg:cNvPr id="278" name="Group 357"/>
                              <wpg:cNvGrpSpPr>
                                <a:grpSpLocks/>
                              </wpg:cNvGrpSpPr>
                              <wpg:grpSpPr bwMode="auto">
                                <a:xfrm>
                                  <a:off x="3240" y="2622"/>
                                  <a:ext cx="19015" cy="14819"/>
                                  <a:chOff x="3240" y="2622"/>
                                  <a:chExt cx="19014" cy="14819"/>
                                </a:xfrm>
                              </wpg:grpSpPr>
                              <wps:wsp>
                                <wps:cNvPr id="279" name="Text Box 358"/>
                                <wps:cNvSpPr txBox="1">
                                  <a:spLocks noChangeArrowheads="1"/>
                                </wps:cNvSpPr>
                                <wps:spPr bwMode="auto">
                                  <a:xfrm>
                                    <a:off x="3240" y="2622"/>
                                    <a:ext cx="18351" cy="3837"/>
                                  </a:xfrm>
                                  <a:prstGeom prst="rect">
                                    <a:avLst/>
                                  </a:prstGeom>
                                  <a:solidFill>
                                    <a:srgbClr val="A9CBB7"/>
                                  </a:solidFill>
                                  <a:ln w="6350">
                                    <a:solidFill>
                                      <a:srgbClr val="000000"/>
                                    </a:solidFill>
                                    <a:miter lim="800000"/>
                                    <a:headEnd/>
                                    <a:tailEnd/>
                                  </a:ln>
                                </wps:spPr>
                                <wps:txbx>
                                  <w:txbxContent>
                                    <w:p w14:paraId="23ACE9EA" w14:textId="3C60D0BD" w:rsidR="00F43F2F" w:rsidRDefault="00F43F2F" w:rsidP="00F43F2F">
                                      <w:pPr>
                                        <w:pStyle w:val="NoSpacing"/>
                                      </w:pPr>
                                      <w:r>
                                        <w:t xml:space="preserve">Positive vs negative caption accompanying </w:t>
                                      </w:r>
                                      <w:r w:rsidRPr="003311FC">
                                        <w:t xml:space="preserve">ad with </w:t>
                                      </w:r>
                                      <w:r w:rsidR="00825A54" w:rsidRPr="003311FC">
                                        <w:t>sustainability</w:t>
                                      </w:r>
                                      <w:r w:rsidRPr="003311FC">
                                        <w:t xml:space="preserve"> message</w:t>
                                      </w:r>
                                    </w:p>
                                    <w:p w14:paraId="3F06601E" w14:textId="77777777" w:rsidR="00D34F1C" w:rsidRDefault="00D34F1C" w:rsidP="00604C16">
                                      <w:pPr>
                                        <w:pStyle w:val="NoSpacing"/>
                                      </w:pPr>
                                    </w:p>
                                  </w:txbxContent>
                                </wps:txbx>
                                <wps:bodyPr rot="0" vert="horz" wrap="square" lIns="91440" tIns="45720" rIns="91440" bIns="45720" anchor="t" anchorCtr="0" upright="1">
                                  <a:noAutofit/>
                                </wps:bodyPr>
                              </wps:wsp>
                              <wps:wsp>
                                <wps:cNvPr id="280" name="Text Box 359"/>
                                <wps:cNvSpPr txBox="1">
                                  <a:spLocks noChangeArrowheads="1"/>
                                </wps:cNvSpPr>
                                <wps:spPr bwMode="auto">
                                  <a:xfrm>
                                    <a:off x="5433" y="10452"/>
                                    <a:ext cx="16821" cy="2799"/>
                                  </a:xfrm>
                                  <a:prstGeom prst="rect">
                                    <a:avLst/>
                                  </a:prstGeom>
                                  <a:solidFill>
                                    <a:srgbClr val="C7ABFF"/>
                                  </a:solidFill>
                                  <a:ln w="6350">
                                    <a:solidFill>
                                      <a:srgbClr val="000000"/>
                                    </a:solidFill>
                                    <a:miter lim="800000"/>
                                    <a:headEnd/>
                                    <a:tailEnd/>
                                  </a:ln>
                                </wps:spPr>
                                <wps:txbx>
                                  <w:txbxContent>
                                    <w:p w14:paraId="53A9C4DE" w14:textId="77777777" w:rsidR="00D34F1C" w:rsidRDefault="00D34F1C" w:rsidP="00604C16">
                                      <w:r>
                                        <w:t>Social–media engagement with the ad</w:t>
                                      </w:r>
                                    </w:p>
                                  </w:txbxContent>
                                </wps:txbx>
                                <wps:bodyPr rot="0" vert="horz" wrap="square" lIns="91440" tIns="45720" rIns="91440" bIns="45720" anchor="t" anchorCtr="0" upright="1">
                                  <a:noAutofit/>
                                </wps:bodyPr>
                              </wps:wsp>
                              <wps:wsp>
                                <wps:cNvPr id="281" name="Text Box 360"/>
                                <wps:cNvSpPr txBox="1">
                                  <a:spLocks noChangeArrowheads="1"/>
                                </wps:cNvSpPr>
                                <wps:spPr bwMode="auto">
                                  <a:xfrm>
                                    <a:off x="6353" y="14781"/>
                                    <a:ext cx="15238" cy="2660"/>
                                  </a:xfrm>
                                  <a:prstGeom prst="rect">
                                    <a:avLst/>
                                  </a:prstGeom>
                                  <a:solidFill>
                                    <a:srgbClr val="C5E0B3"/>
                                  </a:solidFill>
                                  <a:ln w="6350">
                                    <a:solidFill>
                                      <a:srgbClr val="000000"/>
                                    </a:solidFill>
                                    <a:miter lim="800000"/>
                                    <a:headEnd/>
                                    <a:tailEnd/>
                                  </a:ln>
                                </wps:spPr>
                                <wps:txbx>
                                  <w:txbxContent>
                                    <w:p w14:paraId="15C651E9" w14:textId="77777777" w:rsidR="00D34F1C" w:rsidRDefault="00D34F1C" w:rsidP="00604C16">
                                      <w:r>
                                        <w:t>Purchase intention of the advertised product</w:t>
                                      </w:r>
                                    </w:p>
                                    <w:p w14:paraId="744125A4" w14:textId="77777777" w:rsidR="00D34F1C" w:rsidRDefault="00D34F1C" w:rsidP="00604C16"/>
                                  </w:txbxContent>
                                </wps:txbx>
                                <wps:bodyPr rot="0" vert="horz" wrap="square" lIns="91440" tIns="45720" rIns="91440" bIns="45720" anchor="t" anchorCtr="0" upright="1">
                                  <a:noAutofit/>
                                </wps:bodyPr>
                              </wps:wsp>
                              <wps:wsp>
                                <wps:cNvPr id="282" name="Straight Arrow Connector 361"/>
                                <wps:cNvCnPr>
                                  <a:cxnSpLocks noChangeShapeType="1"/>
                                </wps:cNvCnPr>
                                <wps:spPr bwMode="auto">
                                  <a:xfrm>
                                    <a:off x="13932" y="13251"/>
                                    <a:ext cx="0" cy="160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84" name="Text Box 362"/>
                              <wps:cNvSpPr txBox="1">
                                <a:spLocks noChangeArrowheads="1"/>
                              </wps:cNvSpPr>
                              <wps:spPr bwMode="auto">
                                <a:xfrm>
                                  <a:off x="5433" y="22514"/>
                                  <a:ext cx="20862" cy="20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9B9883" w14:textId="35B3D797" w:rsidR="00D34F1C" w:rsidRDefault="00D34F1C" w:rsidP="00604C16">
                                    <w:r>
                                      <w:t xml:space="preserve">Fig </w:t>
                                    </w:r>
                                    <w:r w:rsidR="00A26F6C">
                                      <w:t>9</w:t>
                                    </w:r>
                                    <w:r>
                                      <w:t>: Influence of the Source</w:t>
                                    </w:r>
                                  </w:p>
                                </w:txbxContent>
                              </wps:txbx>
                              <wps:bodyPr rot="0" vert="horz" wrap="square" lIns="91440" tIns="45720" rIns="91440" bIns="45720" anchor="t" anchorCtr="0" upright="1">
                                <a:noAutofit/>
                              </wps:bodyPr>
                            </wps:wsp>
                          </wpg:grpSp>
                          <wps:wsp>
                            <wps:cNvPr id="285" name="Straight Arrow Connector 363"/>
                            <wps:cNvCnPr>
                              <a:cxnSpLocks noChangeShapeType="1"/>
                            </wps:cNvCnPr>
                            <wps:spPr bwMode="auto">
                              <a:xfrm>
                                <a:off x="13840" y="6583"/>
                                <a:ext cx="0" cy="3869"/>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86" name="Text Box 365"/>
                          <wps:cNvSpPr txBox="1">
                            <a:spLocks noChangeArrowheads="1"/>
                          </wps:cNvSpPr>
                          <wps:spPr bwMode="auto">
                            <a:xfrm>
                              <a:off x="4191" y="8940"/>
                              <a:ext cx="11926" cy="4991"/>
                            </a:xfrm>
                            <a:prstGeom prst="rect">
                              <a:avLst/>
                            </a:prstGeom>
                            <a:solidFill>
                              <a:srgbClr val="C5C4A0"/>
                            </a:solidFill>
                            <a:ln w="6350">
                              <a:solidFill>
                                <a:srgbClr val="000000"/>
                              </a:solidFill>
                              <a:miter lim="800000"/>
                              <a:headEnd/>
                              <a:tailEnd/>
                            </a:ln>
                          </wps:spPr>
                          <wps:txbx>
                            <w:txbxContent>
                              <w:p w14:paraId="3AB1C3A0" w14:textId="77777777" w:rsidR="00D34F1C" w:rsidRDefault="00D34F1C" w:rsidP="00604C16">
                                <w:r>
                                  <w:t xml:space="preserve">Source expertise High </w:t>
                                </w:r>
                                <w:r>
                                  <w:tab/>
                                  <w:t xml:space="preserve">    Low </w:t>
                                </w:r>
                              </w:p>
                            </w:txbxContent>
                          </wps:txbx>
                          <wps:bodyPr rot="0" vert="horz" wrap="square" lIns="91440" tIns="45720" rIns="91440" bIns="45720" anchor="t" anchorCtr="0" upright="1">
                            <a:noAutofit/>
                          </wps:bodyPr>
                        </wps:wsp>
                        <wps:wsp>
                          <wps:cNvPr id="287" name="Straight Arrow Connector 367"/>
                          <wps:cNvCnPr>
                            <a:cxnSpLocks noChangeShapeType="1"/>
                          </wps:cNvCnPr>
                          <wps:spPr bwMode="auto">
                            <a:xfrm>
                              <a:off x="16097" y="11715"/>
                              <a:ext cx="4694"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352" name="Group 352"/>
                        <wpg:cNvGrpSpPr/>
                        <wpg:grpSpPr>
                          <a:xfrm>
                            <a:off x="914400" y="2257425"/>
                            <a:ext cx="1591310" cy="688975"/>
                            <a:chOff x="0" y="0"/>
                            <a:chExt cx="1591310" cy="688975"/>
                          </a:xfrm>
                        </wpg:grpSpPr>
                        <wps:wsp>
                          <wps:cNvPr id="353"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3DAB9018" w14:textId="77777777" w:rsidR="00D34F1C" w:rsidRDefault="00D34F1C" w:rsidP="00604C16">
                                <w:r>
                                  <w:t>Sustainable behaviour intention</w:t>
                                </w:r>
                              </w:p>
                              <w:p w14:paraId="79C3C840" w14:textId="77777777" w:rsidR="00D34F1C" w:rsidRDefault="00D34F1C" w:rsidP="00604C16"/>
                            </w:txbxContent>
                          </wps:txbx>
                          <wps:bodyPr rot="0" vert="horz" wrap="square" lIns="91440" tIns="45720" rIns="91440" bIns="45720" anchor="t" anchorCtr="0" upright="1">
                            <a:noAutofit/>
                          </wps:bodyPr>
                        </wps:wsp>
                        <wps:wsp>
                          <wps:cNvPr id="354"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318A4F8C" id="Group 274" o:spid="_x0000_s1092" style="position:absolute;left:0;text-align:left;margin-left:225pt;margin-top:175.5pt;width:228.7pt;height:286.45pt;z-index:251657282;mso-height-relative:margin" coordorigin=",-2000" coordsize="29044,3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">
                <v:group id="Group 275" o:spid="_x0000_s1093" style="position:absolute;top:-2000;width:29044;height:36385" coordorigin="4191,1307" coordsize="29055,3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_x0000_s1094" style="position:absolute;left:10193;top:1307;width:23053;height:36441" coordorigin="3240,2622" coordsize="23055,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356" o:spid="_x0000_s1095" style="position:absolute;left:3240;top:2622;width:23055;height:21949" coordorigin="3240,2622" coordsize="23055,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357" o:spid="_x0000_s1096" style="position:absolute;left:3240;top:2622;width:19015;height:14819" coordorigin="3240,2622" coordsize="19014,1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358" o:spid="_x0000_s1097" type="#_x0000_t202" style="position:absolute;left:3240;top:2622;width:18351;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" fillcolor="#a9cbb7" strokeweight=".5pt">
                          <v:textbox>
                            <w:txbxContent>
                              <w:p w14:paraId="23ACE9EA" w14:textId="3C60D0BD" w:rsidR="00F43F2F" w:rsidRDefault="00F43F2F" w:rsidP="00F43F2F">
                                <w:pPr>
                                  <w:pStyle w:val="NoSpacing"/>
                                </w:pPr>
                                <w:r>
                                  <w:t xml:space="preserve">Positive vs negative caption accompanying </w:t>
                                </w:r>
                                <w:r w:rsidRPr="003311FC">
                                  <w:t xml:space="preserve">ad with </w:t>
                                </w:r>
                                <w:r w:rsidR="00825A54" w:rsidRPr="003311FC">
                                  <w:t>sustainability</w:t>
                                </w:r>
                                <w:r w:rsidRPr="003311FC">
                                  <w:t xml:space="preserve"> message</w:t>
                                </w:r>
                              </w:p>
                              <w:p w14:paraId="3F06601E" w14:textId="77777777" w:rsidR="00D34F1C" w:rsidRDefault="00D34F1C" w:rsidP="00604C16">
                                <w:pPr>
                                  <w:pStyle w:val="NoSpacing"/>
                                </w:pPr>
                              </w:p>
                            </w:txbxContent>
                          </v:textbox>
                        </v:shape>
                        <v:shape id="Text Box 359" o:spid="_x0000_s1098" type="#_x0000_t202" style="position:absolute;left:5433;top:10452;width:16821;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" fillcolor="#c7abff" strokeweight=".5pt">
                          <v:textbox>
                            <w:txbxContent>
                              <w:p w14:paraId="53A9C4DE" w14:textId="77777777" w:rsidR="00D34F1C" w:rsidRDefault="00D34F1C" w:rsidP="00604C16">
                                <w:r>
                                  <w:t>Social–media engagement with the ad</w:t>
                                </w:r>
                              </w:p>
                            </w:txbxContent>
                          </v:textbox>
                        </v:shape>
                        <v:shape id="Text Box 360" o:spid="_x0000_s1099" type="#_x0000_t202" style="position:absolute;left:6353;top:14781;width:1523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" fillcolor="#c5e0b3" strokeweight=".5pt">
                          <v:textbox>
                            <w:txbxContent>
                              <w:p w14:paraId="15C651E9" w14:textId="77777777" w:rsidR="00D34F1C" w:rsidRDefault="00D34F1C" w:rsidP="00604C16">
                                <w:r>
                                  <w:t>Purchase intention of the advertised product</w:t>
                                </w:r>
                              </w:p>
                              <w:p w14:paraId="744125A4" w14:textId="77777777" w:rsidR="00D34F1C" w:rsidRDefault="00D34F1C" w:rsidP="00604C16"/>
                            </w:txbxContent>
                          </v:textbox>
                        </v:shape>
                        <v:shape id="Straight Arrow Connector 361" o:spid="_x0000_s1100" type="#_x0000_t32" style="position:absolute;left:13932;top:13251;width:0;height:1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" strokecolor="gray" strokeweight="1.5pt">
                          <v:stroke endarrow="block" joinstyle="miter"/>
                        </v:shape>
                      </v:group>
                      <v:shape id="Text Box 362" o:spid="_x0000_s1101" type="#_x0000_t202" style="position:absolute;left:5433;top:22514;width:208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" stroked="f" strokeweight=".5pt">
                        <v:textbox>
                          <w:txbxContent>
                            <w:p w14:paraId="069B9883" w14:textId="35B3D797" w:rsidR="00D34F1C" w:rsidRDefault="00D34F1C" w:rsidP="00604C16">
                              <w:r>
                                <w:t xml:space="preserve">Fig </w:t>
                              </w:r>
                              <w:r w:rsidR="00A26F6C">
                                <w:t>9</w:t>
                              </w:r>
                              <w:r>
                                <w:t>: Influence of the Source</w:t>
                              </w:r>
                            </w:p>
                          </w:txbxContent>
                        </v:textbox>
                      </v:shape>
                    </v:group>
                    <v:shape id="Straight Arrow Connector 363" o:spid="_x0000_s1102" type="#_x0000_t32" style="position:absolute;left:13840;top:6583;width:0;height:3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" strokecolor="gray" strokeweight="1.5pt">
                      <v:stroke endarrow="block" joinstyle="miter"/>
                    </v:shape>
                  </v:group>
                  <v:shape id="Text Box 365" o:spid="_x0000_s1103" type="#_x0000_t202" style="position:absolute;left:4191;top:8940;width:1192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" fillcolor="#c5c4a0" strokeweight=".5pt">
                    <v:textbox>
                      <w:txbxContent>
                        <w:p w14:paraId="3AB1C3A0" w14:textId="77777777" w:rsidR="00D34F1C" w:rsidRDefault="00D34F1C" w:rsidP="00604C16">
                          <w:r>
                            <w:t xml:space="preserve">Source expertise High </w:t>
                          </w:r>
                          <w:r>
                            <w:tab/>
                            <w:t xml:space="preserve">    Low </w:t>
                          </w:r>
                        </w:p>
                      </w:txbxContent>
                    </v:textbox>
                  </v:shape>
                  <v:shape id="Straight Arrow Connector 367" o:spid="_x0000_s1104" type="#_x0000_t32" style="position:absolute;left:16097;top:11715;width:4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" strokecolor="gray" strokeweight="1.5pt">
                    <v:stroke endarrow="block" joinstyle="miter"/>
                  </v:shape>
                </v:group>
                <v:group id="Group 352" o:spid="_x0000_s1105" style="position:absolute;left:9144;top:22574;width:15913;height:6890"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25" o:spid="_x0000_s1106"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" fillcolor="#a5a5a5" strokeweight=".25pt">
                    <v:textbox>
                      <w:txbxContent>
                        <w:p w14:paraId="3DAB9018" w14:textId="77777777" w:rsidR="00D34F1C" w:rsidRDefault="00D34F1C" w:rsidP="00604C16">
                          <w:r>
                            <w:t>Sustainable behaviour intention</w:t>
                          </w:r>
                        </w:p>
                        <w:p w14:paraId="79C3C840" w14:textId="77777777" w:rsidR="00D34F1C" w:rsidRDefault="00D34F1C" w:rsidP="00604C16"/>
                      </w:txbxContent>
                    </v:textbox>
                  </v:rect>
                  <v:shape id="AutoShape 13" o:spid="_x0000_s1107"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" strokecolor="#7f7f7f" strokeweight="2.25pt">
                    <v:stroke endarrow="block"/>
                    <v:path arrowok="f"/>
                    <o:lock v:ext="edit" shapetype="f"/>
                  </v:shape>
                </v:group>
                <w10:wrap type="square"/>
              </v:group>
            </w:pict>
          </mc:Fallback>
        </mc:AlternateContent>
      </w:r>
      <w:r w:rsidRPr="00530906">
        <w:rPr>
          <w:rFonts w:ascii="Cambria" w:eastAsia="Calibri" w:hAnsi="Cambria" w:cs="Times New Roman"/>
          <w:sz w:val="24"/>
          <w:szCs w:val="24"/>
        </w:rPr>
        <w:t xml:space="preserve">companies about their sustainability claims (Roberts, 1996; Keller 2013), even though they use third party eco–label to signal their credibility of their claim.  Distrust on third party </w:t>
      </w:r>
      <w:r w:rsidR="00DE50C9" w:rsidRPr="00530906">
        <w:rPr>
          <w:rFonts w:ascii="Cambria" w:eastAsia="Calibri" w:hAnsi="Cambria" w:cs="Times New Roman"/>
          <w:sz w:val="24"/>
          <w:szCs w:val="24"/>
        </w:rPr>
        <w:t>labels incur</w:t>
      </w:r>
      <w:r w:rsidR="005C5B48" w:rsidRPr="00530906">
        <w:rPr>
          <w:rFonts w:ascii="Cambria" w:eastAsia="Calibri" w:hAnsi="Cambria" w:cs="Times New Roman"/>
          <w:sz w:val="24"/>
          <w:szCs w:val="24"/>
        </w:rPr>
        <w:t>s</w:t>
      </w:r>
      <w:r w:rsidRPr="00530906">
        <w:rPr>
          <w:rFonts w:ascii="Cambria" w:eastAsia="Calibri" w:hAnsi="Cambria" w:cs="Times New Roman"/>
          <w:sz w:val="24"/>
          <w:szCs w:val="24"/>
        </w:rPr>
        <w:t xml:space="preserve"> because of lack of standardisation and inspection criteria (Martin and Schouten 2012). Consumers are more critical and informed than the past (Gambetti at al. 2012). In reality, consumers are seeking more transparency related information from brands, due to escalating distrust in business organisation. So, only addressing sustainability or social responsibility</w:t>
      </w:r>
      <w:r w:rsidR="00675644" w:rsidRPr="00530906">
        <w:rPr>
          <w:rFonts w:ascii="Cambria" w:eastAsia="Calibri" w:hAnsi="Cambria" w:cs="Times New Roman"/>
          <w:sz w:val="24"/>
          <w:szCs w:val="24"/>
        </w:rPr>
        <w:t xml:space="preserve"> in the ad</w:t>
      </w:r>
      <w:r w:rsidRPr="00530906">
        <w:rPr>
          <w:rFonts w:ascii="Cambria" w:eastAsia="Calibri" w:hAnsi="Cambria" w:cs="Times New Roman"/>
          <w:sz w:val="24"/>
          <w:szCs w:val="24"/>
        </w:rPr>
        <w:t xml:space="preserve"> is no longer enough (Angus 2018; Habibi el al 2014). Reviews of other consumers have significant effect of choosing products, </w:t>
      </w:r>
      <w:r w:rsidR="006644E5" w:rsidRPr="00530906">
        <w:rPr>
          <w:rFonts w:ascii="Cambria" w:eastAsia="Calibri" w:hAnsi="Cambria" w:cs="Times New Roman"/>
          <w:sz w:val="24"/>
          <w:szCs w:val="24"/>
        </w:rPr>
        <w:t>especially</w:t>
      </w:r>
      <w:r w:rsidRPr="00530906">
        <w:rPr>
          <w:rFonts w:ascii="Cambria" w:eastAsia="Calibri" w:hAnsi="Cambria" w:cs="Times New Roman"/>
          <w:sz w:val="24"/>
          <w:szCs w:val="24"/>
        </w:rPr>
        <w:t xml:space="preserve"> if it is expressed by </w:t>
      </w:r>
      <w:r w:rsidR="006644E5" w:rsidRPr="00530906">
        <w:rPr>
          <w:rFonts w:ascii="Cambria" w:eastAsia="Calibri" w:hAnsi="Cambria" w:cs="Times New Roman"/>
          <w:sz w:val="24"/>
          <w:szCs w:val="24"/>
        </w:rPr>
        <w:t>an</w:t>
      </w:r>
      <w:r w:rsidRPr="00530906">
        <w:rPr>
          <w:rFonts w:ascii="Cambria" w:eastAsia="Calibri" w:hAnsi="Cambria" w:cs="Times New Roman"/>
          <w:sz w:val="24"/>
          <w:szCs w:val="24"/>
        </w:rPr>
        <w:t xml:space="preserve"> expert source (Huang and Chen 2006). Hence, this thesis assumes that the consumers of social media will be influenced by the source expertise on sustainability (Fig </w:t>
      </w:r>
      <w:r w:rsidR="00595C3D">
        <w:rPr>
          <w:rFonts w:ascii="Cambria" w:eastAsia="Calibri" w:hAnsi="Cambria" w:cs="Times New Roman"/>
          <w:sz w:val="24"/>
          <w:szCs w:val="24"/>
        </w:rPr>
        <w:t>9</w:t>
      </w:r>
      <w:r w:rsidRPr="00530906">
        <w:rPr>
          <w:rFonts w:ascii="Cambria" w:eastAsia="Calibri" w:hAnsi="Cambria" w:cs="Times New Roman"/>
          <w:sz w:val="24"/>
          <w:szCs w:val="24"/>
        </w:rPr>
        <w:t>)</w:t>
      </w:r>
    </w:p>
    <w:p w14:paraId="5A59CFB8" w14:textId="0F337BDC" w:rsidR="00C7217E" w:rsidRPr="001159A1"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The characteristics of source cues are more important when people are unable</w:t>
      </w:r>
      <w:r w:rsidR="00675644" w:rsidRPr="00530906">
        <w:rPr>
          <w:rFonts w:ascii="Cambria" w:eastAsia="Calibri" w:hAnsi="Cambria" w:cs="Times New Roman"/>
          <w:sz w:val="24"/>
          <w:szCs w:val="24"/>
        </w:rPr>
        <w:t xml:space="preserve"> to</w:t>
      </w:r>
      <w:r w:rsidRPr="00530906">
        <w:rPr>
          <w:rFonts w:ascii="Cambria" w:eastAsia="Calibri" w:hAnsi="Cambria" w:cs="Times New Roman"/>
          <w:sz w:val="24"/>
          <w:szCs w:val="24"/>
        </w:rPr>
        <w:t xml:space="preserve"> process a message rather than the strength of the argument in a message (Berkowitz, 1986). This is exactly the problem </w:t>
      </w:r>
      <w:r w:rsidRPr="001159A1">
        <w:rPr>
          <w:rFonts w:ascii="Cambria" w:eastAsia="Calibri" w:hAnsi="Cambria" w:cs="Times New Roman"/>
          <w:sz w:val="24"/>
          <w:szCs w:val="24"/>
        </w:rPr>
        <w:t>with</w:t>
      </w:r>
      <w:r w:rsidR="004F1A45" w:rsidRPr="001159A1">
        <w:rPr>
          <w:rFonts w:ascii="Cambria" w:eastAsia="Calibri" w:hAnsi="Cambria" w:cs="Times New Roman"/>
          <w:sz w:val="24"/>
          <w:szCs w:val="24"/>
        </w:rPr>
        <w:t xml:space="preserve"> accepting</w:t>
      </w:r>
      <w:r w:rsidRPr="001159A1">
        <w:rPr>
          <w:rFonts w:ascii="Cambria" w:eastAsia="Calibri" w:hAnsi="Cambria" w:cs="Times New Roman"/>
          <w:sz w:val="24"/>
          <w:szCs w:val="24"/>
        </w:rPr>
        <w:t xml:space="preserve"> sustainable </w:t>
      </w:r>
      <w:r w:rsidR="004F1A45" w:rsidRPr="001159A1">
        <w:rPr>
          <w:rFonts w:ascii="Cambria" w:eastAsia="Calibri" w:hAnsi="Cambria" w:cs="Times New Roman"/>
          <w:sz w:val="24"/>
          <w:szCs w:val="24"/>
        </w:rPr>
        <w:t>behaviour</w:t>
      </w:r>
      <w:r w:rsidRPr="001159A1">
        <w:rPr>
          <w:rFonts w:ascii="Cambria" w:eastAsia="Calibri" w:hAnsi="Cambria" w:cs="Times New Roman"/>
          <w:sz w:val="24"/>
          <w:szCs w:val="24"/>
        </w:rPr>
        <w:t xml:space="preserve">. Even the </w:t>
      </w:r>
      <w:r w:rsidR="00F76EAD"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F76EAD" w:rsidRPr="001159A1">
        <w:rPr>
          <w:rFonts w:ascii="Cambria" w:eastAsia="Calibri" w:hAnsi="Cambria" w:cs="Adobe Devanagari"/>
          <w:sz w:val="24"/>
          <w:szCs w:val="24"/>
        </w:rPr>
        <w:t xml:space="preserve"> message</w:t>
      </w:r>
      <w:r w:rsidR="00F76EAD"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may put strong argument by providing all the information, consumers may not understand the attribute of the </w:t>
      </w:r>
      <w:r w:rsidR="00C647DF" w:rsidRPr="001159A1">
        <w:rPr>
          <w:rFonts w:ascii="Cambria" w:eastAsia="Times New Roman" w:hAnsi="Cambria" w:cs="Times New Roman"/>
          <w:sz w:val="24"/>
          <w:szCs w:val="24"/>
        </w:rPr>
        <w:t>products with sustainability association</w:t>
      </w:r>
      <w:r w:rsidR="00C647DF" w:rsidRPr="001159A1">
        <w:rPr>
          <w:rFonts w:ascii="Cambria" w:eastAsia="Calibri" w:hAnsi="Cambria" w:cs="Times New Roman"/>
          <w:sz w:val="24"/>
          <w:szCs w:val="24"/>
        </w:rPr>
        <w:t xml:space="preserve"> </w:t>
      </w:r>
      <w:r w:rsidRPr="001159A1">
        <w:rPr>
          <w:rFonts w:ascii="Cambria" w:eastAsia="Calibri" w:hAnsi="Cambria" w:cs="Times New Roman"/>
          <w:sz w:val="24"/>
          <w:szCs w:val="24"/>
        </w:rPr>
        <w:t>(Lim 2016) or may not trust the brand as a reliable source (Montororios et al 2008). The profile</w:t>
      </w:r>
      <w:r w:rsidR="006644E5" w:rsidRPr="001159A1">
        <w:rPr>
          <w:rFonts w:ascii="Cambria" w:eastAsia="Calibri" w:hAnsi="Cambria" w:cs="Times New Roman"/>
          <w:sz w:val="24"/>
          <w:szCs w:val="24"/>
        </w:rPr>
        <w:t xml:space="preserve"> or</w:t>
      </w:r>
      <w:r w:rsidRPr="001159A1">
        <w:rPr>
          <w:rFonts w:ascii="Cambria" w:eastAsia="Calibri" w:hAnsi="Cambria" w:cs="Times New Roman"/>
          <w:sz w:val="24"/>
          <w:szCs w:val="24"/>
        </w:rPr>
        <w:t xml:space="preserve"> characteristics of the source positively influence the confidence of the consumer, acceptance of the message, and the subsequent response of the consumer on the </w:t>
      </w:r>
      <w:r w:rsidR="00F76EAD"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F76EAD" w:rsidRPr="001159A1">
        <w:rPr>
          <w:rFonts w:ascii="Cambria" w:eastAsia="Calibri" w:hAnsi="Cambria" w:cs="Adobe Devanagari"/>
          <w:sz w:val="24"/>
          <w:szCs w:val="24"/>
        </w:rPr>
        <w:t xml:space="preserve"> message</w:t>
      </w:r>
      <w:r w:rsidR="00F76EAD" w:rsidRPr="001159A1">
        <w:rPr>
          <w:rFonts w:ascii="Cambria" w:eastAsia="Calibri" w:hAnsi="Cambria" w:cs="Times New Roman"/>
          <w:sz w:val="24"/>
          <w:szCs w:val="24"/>
        </w:rPr>
        <w:t xml:space="preserve"> </w:t>
      </w:r>
      <w:r w:rsidRPr="001159A1">
        <w:rPr>
          <w:rFonts w:ascii="Cambria" w:eastAsia="Calibri" w:hAnsi="Cambria" w:cs="Times New Roman"/>
          <w:sz w:val="24"/>
          <w:szCs w:val="24"/>
        </w:rPr>
        <w:t>in social media environment (Leila et al 2016; Carlson et al 2018; Escober et al 2014). However, in social–media condition, where users try to tailor their behaviour to fit socially, source expertise does not have any significant effect in changing attitude (Bolton 2013; DeBono and Harnish 1988).</w:t>
      </w:r>
    </w:p>
    <w:p w14:paraId="4282A321" w14:textId="65959BEC" w:rsidR="00C7217E" w:rsidRPr="001159A1" w:rsidRDefault="00C7217E">
      <w:pPr>
        <w:spacing w:line="360" w:lineRule="auto"/>
        <w:jc w:val="both"/>
        <w:rPr>
          <w:rFonts w:ascii="Cambria" w:eastAsia="Calibri" w:hAnsi="Cambria" w:cs="Times New Roman"/>
          <w:sz w:val="24"/>
          <w:szCs w:val="24"/>
        </w:rPr>
      </w:pPr>
      <w:r w:rsidRPr="001159A1">
        <w:rPr>
          <w:rFonts w:ascii="Cambria" w:eastAsia="Calibri" w:hAnsi="Cambria" w:cs="Times New Roman"/>
          <w:sz w:val="24"/>
          <w:szCs w:val="24"/>
        </w:rPr>
        <w:t>Though in many instances, the source of the message is judged on the basis of involvement with the message</w:t>
      </w:r>
      <w:r w:rsidR="00675644" w:rsidRPr="001159A1">
        <w:rPr>
          <w:rFonts w:ascii="Cambria" w:eastAsia="Calibri" w:hAnsi="Cambria" w:cs="Times New Roman"/>
          <w:sz w:val="24"/>
          <w:szCs w:val="24"/>
        </w:rPr>
        <w:t xml:space="preserve">. Nevertheless, </w:t>
      </w:r>
      <w:r w:rsidRPr="001159A1">
        <w:rPr>
          <w:rFonts w:ascii="Cambria" w:eastAsia="Calibri" w:hAnsi="Cambria" w:cs="Times New Roman"/>
          <w:sz w:val="24"/>
          <w:szCs w:val="24"/>
        </w:rPr>
        <w:t>for highly involved issues like sustainability, consumers will judge the message on the basis of the information presented in the ad, along with source expertise (Andrews et al 1992; Berkowitz 1986</w:t>
      </w:r>
      <w:r w:rsidR="00675644" w:rsidRPr="001159A1">
        <w:rPr>
          <w:rFonts w:ascii="Cambria" w:eastAsia="Calibri" w:hAnsi="Cambria" w:cs="Times New Roman"/>
          <w:sz w:val="24"/>
          <w:szCs w:val="24"/>
        </w:rPr>
        <w:t>; Cervellon 2012</w:t>
      </w:r>
      <w:r w:rsidRPr="001159A1">
        <w:rPr>
          <w:rFonts w:ascii="Cambria" w:eastAsia="Calibri" w:hAnsi="Cambria" w:cs="Times New Roman"/>
          <w:sz w:val="24"/>
          <w:szCs w:val="24"/>
        </w:rPr>
        <w:t>). Involvement may also change depending on congruency of the message with the recipient and the source expertise (DeBono and Harnish 1988). The people will be attentive to the</w:t>
      </w:r>
      <w:r w:rsidR="00622277">
        <w:rPr>
          <w:rFonts w:ascii="Cambria" w:eastAsia="Calibri" w:hAnsi="Cambria" w:cs="Times New Roman"/>
          <w:sz w:val="24"/>
          <w:szCs w:val="24"/>
        </w:rPr>
        <w:t xml:space="preserve"> ad with</w:t>
      </w:r>
      <w:r w:rsidRPr="001159A1">
        <w:rPr>
          <w:rFonts w:ascii="Cambria" w:eastAsia="Calibri" w:hAnsi="Cambria" w:cs="Times New Roman"/>
          <w:sz w:val="24"/>
          <w:szCs w:val="24"/>
        </w:rPr>
        <w:t xml:space="preserve"> sustainability</w:t>
      </w:r>
      <w:r w:rsidR="00622277">
        <w:rPr>
          <w:rFonts w:ascii="Cambria" w:eastAsia="Calibri" w:hAnsi="Cambria" w:cs="Times New Roman"/>
          <w:sz w:val="24"/>
          <w:szCs w:val="24"/>
        </w:rPr>
        <w:t xml:space="preserve"> message</w:t>
      </w:r>
      <w:r w:rsidRPr="001159A1">
        <w:rPr>
          <w:rFonts w:ascii="Cambria" w:eastAsia="Calibri" w:hAnsi="Cambria" w:cs="Times New Roman"/>
          <w:sz w:val="24"/>
          <w:szCs w:val="24"/>
        </w:rPr>
        <w:t xml:space="preserve">, those who are already highly involved with sustainability and thus already will have purchase intention of </w:t>
      </w:r>
      <w:r w:rsidR="00C647DF" w:rsidRPr="001159A1">
        <w:rPr>
          <w:rFonts w:ascii="Cambria" w:eastAsia="Times New Roman" w:hAnsi="Cambria" w:cs="Times New Roman"/>
          <w:sz w:val="24"/>
          <w:szCs w:val="24"/>
        </w:rPr>
        <w:t>products with sustainability association</w:t>
      </w:r>
      <w:r w:rsidRPr="001159A1">
        <w:rPr>
          <w:rFonts w:ascii="Cambria" w:eastAsia="Calibri" w:hAnsi="Cambria" w:cs="Times New Roman"/>
          <w:sz w:val="24"/>
          <w:szCs w:val="24"/>
        </w:rPr>
        <w:t xml:space="preserve">. </w:t>
      </w:r>
      <w:r w:rsidR="00675644" w:rsidRPr="001159A1">
        <w:rPr>
          <w:rFonts w:ascii="Cambria" w:eastAsia="Calibri" w:hAnsi="Cambria" w:cs="Times New Roman"/>
          <w:sz w:val="24"/>
          <w:szCs w:val="24"/>
        </w:rPr>
        <w:t>I</w:t>
      </w:r>
      <w:r w:rsidRPr="001159A1">
        <w:rPr>
          <w:rFonts w:ascii="Cambria" w:eastAsia="Calibri" w:hAnsi="Cambria" w:cs="Times New Roman"/>
          <w:sz w:val="24"/>
          <w:szCs w:val="24"/>
        </w:rPr>
        <w:t xml:space="preserve">n other words, there is hardly any room from persuasion to the highly involved consumers (Grimmer and Bingham, 2013). But </w:t>
      </w:r>
      <w:r w:rsidR="001A7027" w:rsidRPr="001159A1">
        <w:rPr>
          <w:rFonts w:ascii="Cambria" w:eastAsia="Calibri" w:hAnsi="Cambria" w:cs="Adobe Devanagari"/>
          <w:sz w:val="24"/>
          <w:szCs w:val="24"/>
        </w:rPr>
        <w:t xml:space="preserve">ads with </w:t>
      </w:r>
      <w:r w:rsidR="00E363FB" w:rsidRPr="001159A1">
        <w:rPr>
          <w:rFonts w:ascii="Cambria" w:eastAsia="Calibri" w:hAnsi="Cambria" w:cs="Adobe Devanagari"/>
          <w:sz w:val="24"/>
          <w:szCs w:val="24"/>
        </w:rPr>
        <w:t>sustainability</w:t>
      </w:r>
      <w:r w:rsidR="001A7027" w:rsidRPr="001159A1">
        <w:rPr>
          <w:rFonts w:ascii="Cambria" w:eastAsia="Calibri" w:hAnsi="Cambria" w:cs="Adobe Devanagari"/>
          <w:sz w:val="24"/>
          <w:szCs w:val="24"/>
        </w:rPr>
        <w:t xml:space="preserve"> message</w:t>
      </w:r>
      <w:r w:rsidR="001A7027" w:rsidRPr="001159A1">
        <w:rPr>
          <w:rFonts w:ascii="Cambria" w:eastAsia="Calibri" w:hAnsi="Cambria" w:cs="Times New Roman"/>
          <w:sz w:val="24"/>
          <w:szCs w:val="24"/>
        </w:rPr>
        <w:t xml:space="preserve"> </w:t>
      </w:r>
      <w:r w:rsidRPr="001159A1">
        <w:rPr>
          <w:rFonts w:ascii="Cambria" w:eastAsia="Calibri" w:hAnsi="Cambria" w:cs="Times New Roman"/>
          <w:sz w:val="24"/>
          <w:szCs w:val="24"/>
        </w:rPr>
        <w:t>ha</w:t>
      </w:r>
      <w:r w:rsidR="008467E1" w:rsidRPr="001159A1">
        <w:rPr>
          <w:rFonts w:ascii="Cambria" w:eastAsia="Calibri" w:hAnsi="Cambria" w:cs="Times New Roman"/>
          <w:sz w:val="24"/>
          <w:szCs w:val="24"/>
        </w:rPr>
        <w:t>ve</w:t>
      </w:r>
      <w:r w:rsidRPr="001159A1">
        <w:rPr>
          <w:rFonts w:ascii="Cambria" w:eastAsia="Calibri" w:hAnsi="Cambria" w:cs="Times New Roman"/>
          <w:sz w:val="24"/>
          <w:szCs w:val="24"/>
        </w:rPr>
        <w:t xml:space="preserve"> been also able to sig</w:t>
      </w:r>
      <w:r w:rsidR="008467E1" w:rsidRPr="001159A1">
        <w:rPr>
          <w:rFonts w:ascii="Cambria" w:eastAsia="Calibri" w:hAnsi="Cambria" w:cs="Times New Roman"/>
          <w:sz w:val="24"/>
          <w:szCs w:val="24"/>
        </w:rPr>
        <w:t>n</w:t>
      </w:r>
      <w:r w:rsidRPr="001159A1">
        <w:rPr>
          <w:rFonts w:ascii="Cambria" w:eastAsia="Calibri" w:hAnsi="Cambria" w:cs="Times New Roman"/>
          <w:sz w:val="24"/>
          <w:szCs w:val="24"/>
        </w:rPr>
        <w:t>icantly change the behaviour of the consumers with lower level of involvement (Schuhwerk and Lefkoff–Hagius 1995). This brings us to the need for considering</w:t>
      </w:r>
      <w:r w:rsidR="00675644" w:rsidRPr="001159A1">
        <w:rPr>
          <w:rFonts w:ascii="Cambria" w:eastAsia="Calibri" w:hAnsi="Cambria" w:cs="Times New Roman"/>
          <w:sz w:val="24"/>
          <w:szCs w:val="24"/>
        </w:rPr>
        <w:t xml:space="preserve"> the role of</w:t>
      </w:r>
      <w:r w:rsidRPr="001159A1">
        <w:rPr>
          <w:rFonts w:ascii="Cambria" w:eastAsia="Calibri" w:hAnsi="Cambria" w:cs="Times New Roman"/>
          <w:sz w:val="24"/>
          <w:szCs w:val="24"/>
        </w:rPr>
        <w:t xml:space="preserve"> involvement with the </w:t>
      </w:r>
      <w:r w:rsidR="00384EA0"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384EA0" w:rsidRPr="001159A1">
        <w:rPr>
          <w:rFonts w:ascii="Cambria" w:eastAsia="Calibri" w:hAnsi="Cambria" w:cs="Adobe Devanagari"/>
          <w:sz w:val="24"/>
          <w:szCs w:val="24"/>
        </w:rPr>
        <w:t xml:space="preserve"> message</w:t>
      </w:r>
      <w:r w:rsidR="00384EA0"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in the conceptual framework. </w:t>
      </w:r>
    </w:p>
    <w:p w14:paraId="28B9084C" w14:textId="70EF1845" w:rsidR="00C7217E" w:rsidRPr="00530906" w:rsidRDefault="00C7217E">
      <w:pPr>
        <w:spacing w:line="360" w:lineRule="auto"/>
        <w:jc w:val="both"/>
        <w:rPr>
          <w:rFonts w:ascii="Cambria" w:eastAsia="Calibri" w:hAnsi="Cambria" w:cs="Times New Roman"/>
          <w:sz w:val="24"/>
          <w:szCs w:val="24"/>
        </w:rPr>
      </w:pPr>
      <w:r w:rsidRPr="001159A1">
        <w:rPr>
          <w:rFonts w:ascii="Cambria" w:eastAsia="Calibri" w:hAnsi="Cambria" w:cs="Times New Roman"/>
          <w:sz w:val="24"/>
          <w:szCs w:val="24"/>
        </w:rPr>
        <w:t xml:space="preserve">Involvement with the sustainability influence the relationship of contextual factors of </w:t>
      </w:r>
      <w:r w:rsidR="00D50109" w:rsidRPr="001159A1">
        <w:rPr>
          <w:rFonts w:ascii="Cambria" w:eastAsia="Calibri" w:hAnsi="Cambria" w:cs="Adobe Devanagari"/>
          <w:sz w:val="24"/>
          <w:szCs w:val="24"/>
        </w:rPr>
        <w:t xml:space="preserve">ads with </w:t>
      </w:r>
      <w:r w:rsidR="00E363FB" w:rsidRPr="001159A1">
        <w:rPr>
          <w:rFonts w:ascii="Cambria" w:eastAsia="Calibri" w:hAnsi="Cambria" w:cs="Adobe Devanagari"/>
          <w:sz w:val="24"/>
          <w:szCs w:val="24"/>
        </w:rPr>
        <w:t>sustainability</w:t>
      </w:r>
      <w:r w:rsidR="00D50109" w:rsidRPr="001159A1">
        <w:rPr>
          <w:rFonts w:ascii="Cambria" w:eastAsia="Calibri" w:hAnsi="Cambria" w:cs="Adobe Devanagari"/>
          <w:sz w:val="24"/>
          <w:szCs w:val="24"/>
        </w:rPr>
        <w:t xml:space="preserve"> message</w:t>
      </w:r>
      <w:r w:rsidR="00D50109" w:rsidRPr="001159A1">
        <w:rPr>
          <w:rFonts w:ascii="Cambria" w:eastAsia="Calibri" w:hAnsi="Cambria" w:cs="Times New Roman"/>
          <w:sz w:val="24"/>
          <w:szCs w:val="24"/>
        </w:rPr>
        <w:t xml:space="preserve"> </w:t>
      </w:r>
      <w:r w:rsidRPr="001159A1">
        <w:rPr>
          <w:rFonts w:ascii="Cambria" w:eastAsia="Calibri" w:hAnsi="Cambria" w:cs="Times New Roman"/>
          <w:sz w:val="24"/>
          <w:szCs w:val="24"/>
        </w:rPr>
        <w:t>and the purchase intention</w:t>
      </w:r>
      <w:r w:rsidR="005574F8" w:rsidRPr="001159A1">
        <w:rPr>
          <w:rFonts w:ascii="Cambria" w:eastAsia="Calibri" w:hAnsi="Cambria" w:cs="Times New Roman"/>
          <w:sz w:val="24"/>
          <w:szCs w:val="24"/>
        </w:rPr>
        <w:t xml:space="preserve"> and other sustainable behavoural intention</w:t>
      </w:r>
      <w:r w:rsidRPr="001159A1">
        <w:rPr>
          <w:rFonts w:ascii="Cambria" w:eastAsia="Calibri" w:hAnsi="Cambria" w:cs="Times New Roman"/>
          <w:sz w:val="24"/>
          <w:szCs w:val="24"/>
        </w:rPr>
        <w:t xml:space="preserve">. For example, contextual factors like– appeal, familiarity of the brand or ecological certification of the product generate more favourable outcome if the consumers have high </w:t>
      </w:r>
      <w:r w:rsidRPr="00530906">
        <w:rPr>
          <w:rFonts w:ascii="Cambria" w:eastAsia="Calibri" w:hAnsi="Cambria" w:cs="Times New Roman"/>
          <w:sz w:val="24"/>
          <w:szCs w:val="24"/>
        </w:rPr>
        <w:t>environmental concern than if they have low environmental concern (Bickart and Ruth 2012). As an antecedent of the social–media engagement, involvement with the sustainability will dictate whether the caption will be positive or negative, as an expression of the user’s opinion (Vivek et al. 2012; Algesheimer et al 2005; Li et al 2018). In the case of this research, the fabricated positive and negative caption will be presented as a means to manipulate the condition, since the focus of his study is</w:t>
      </w:r>
      <w:r w:rsidR="00675644" w:rsidRPr="00530906">
        <w:rPr>
          <w:rFonts w:ascii="Cambria" w:eastAsia="Calibri" w:hAnsi="Cambria" w:cs="Times New Roman"/>
          <w:sz w:val="24"/>
          <w:szCs w:val="24"/>
        </w:rPr>
        <w:t xml:space="preserve"> to examine</w:t>
      </w:r>
      <w:r w:rsidRPr="00530906">
        <w:rPr>
          <w:rFonts w:ascii="Cambria" w:eastAsia="Calibri" w:hAnsi="Cambria" w:cs="Times New Roman"/>
          <w:sz w:val="24"/>
          <w:szCs w:val="24"/>
        </w:rPr>
        <w:t xml:space="preserve"> how the consumers’ opinion influence the adaptation of sustainable behaviour. Hence, rather than including involvement with the sustainability, the involvement with content (the ad) is considered for the framework. </w:t>
      </w:r>
    </w:p>
    <w:p w14:paraId="5D80273F" w14:textId="1C99DC86"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6"/>
          <w:szCs w:val="26"/>
        </w:rPr>
      </w:pPr>
      <w:bookmarkStart w:id="36" w:name="_Toc115726227"/>
      <w:r w:rsidRPr="00530906">
        <w:rPr>
          <w:rFonts w:ascii="Cambria" w:eastAsia="Calibri" w:hAnsi="Cambria" w:cs="Times New Roman"/>
          <w:color w:val="2E74B5"/>
          <w:sz w:val="26"/>
          <w:szCs w:val="26"/>
        </w:rPr>
        <w:t>2.</w:t>
      </w:r>
      <w:r w:rsidR="00D04819" w:rsidRPr="00530906">
        <w:rPr>
          <w:rFonts w:ascii="Cambria" w:eastAsia="Calibri" w:hAnsi="Cambria" w:cs="Times New Roman"/>
          <w:color w:val="2E74B5"/>
          <w:sz w:val="26"/>
          <w:szCs w:val="26"/>
        </w:rPr>
        <w:t>8</w:t>
      </w:r>
      <w:r w:rsidRPr="00530906">
        <w:rPr>
          <w:rFonts w:ascii="Cambria" w:eastAsia="Calibri" w:hAnsi="Cambria" w:cs="Times New Roman"/>
          <w:color w:val="2E74B5"/>
          <w:sz w:val="26"/>
          <w:szCs w:val="26"/>
        </w:rPr>
        <w:t xml:space="preserve">. Involvement with the </w:t>
      </w:r>
      <w:r w:rsidR="002F50A5" w:rsidRPr="00530906">
        <w:rPr>
          <w:rFonts w:ascii="Cambria" w:eastAsia="Calibri" w:hAnsi="Cambria" w:cs="Times New Roman"/>
          <w:color w:val="2E74B5"/>
          <w:sz w:val="26"/>
          <w:szCs w:val="26"/>
        </w:rPr>
        <w:t xml:space="preserve">ad with </w:t>
      </w:r>
      <w:r w:rsidR="00E363FB" w:rsidRPr="00530906">
        <w:rPr>
          <w:rFonts w:ascii="Cambria" w:eastAsia="Calibri" w:hAnsi="Cambria" w:cs="Times New Roman"/>
          <w:color w:val="2E74B5"/>
          <w:sz w:val="26"/>
          <w:szCs w:val="26"/>
        </w:rPr>
        <w:t>sustainability</w:t>
      </w:r>
      <w:r w:rsidR="002F50A5" w:rsidRPr="00530906">
        <w:rPr>
          <w:rFonts w:ascii="Cambria" w:eastAsia="Calibri" w:hAnsi="Cambria" w:cs="Times New Roman"/>
          <w:color w:val="2E74B5"/>
          <w:sz w:val="26"/>
          <w:szCs w:val="26"/>
        </w:rPr>
        <w:t xml:space="preserve"> message</w:t>
      </w:r>
      <w:bookmarkEnd w:id="36"/>
    </w:p>
    <w:p w14:paraId="016B6108" w14:textId="5325597F" w:rsidR="003F7E44" w:rsidRPr="001159A1"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Users of online media engage</w:t>
      </w:r>
      <w:r w:rsidR="005F143B">
        <w:rPr>
          <w:rFonts w:ascii="Cambria" w:eastAsia="Calibri" w:hAnsi="Cambria" w:cs="Times New Roman"/>
          <w:sz w:val="24"/>
          <w:szCs w:val="24"/>
        </w:rPr>
        <w:t xml:space="preserve"> with a post</w:t>
      </w:r>
      <w:r w:rsidRPr="00530906">
        <w:rPr>
          <w:rFonts w:ascii="Cambria" w:eastAsia="Calibri" w:hAnsi="Cambria" w:cs="Times New Roman"/>
          <w:sz w:val="24"/>
          <w:szCs w:val="24"/>
        </w:rPr>
        <w:t xml:space="preserve"> if </w:t>
      </w:r>
      <w:r w:rsidR="005F143B" w:rsidRPr="00530906">
        <w:rPr>
          <w:rFonts w:ascii="Cambria" w:eastAsia="Calibri" w:hAnsi="Cambria" w:cs="Times New Roman"/>
          <w:sz w:val="24"/>
          <w:szCs w:val="24"/>
        </w:rPr>
        <w:t>they</w:t>
      </w:r>
      <w:r w:rsidR="002514C6" w:rsidRPr="00530906">
        <w:rPr>
          <w:rFonts w:ascii="Cambria" w:eastAsia="Calibri" w:hAnsi="Cambria" w:cs="Times New Roman"/>
          <w:sz w:val="24"/>
          <w:szCs w:val="24"/>
        </w:rPr>
        <w:t xml:space="preserve"> are involved with the message </w:t>
      </w:r>
      <w:r w:rsidRPr="00530906">
        <w:rPr>
          <w:rFonts w:ascii="Cambria" w:eastAsia="Calibri" w:hAnsi="Cambria" w:cs="Times New Roman"/>
          <w:sz w:val="24"/>
          <w:szCs w:val="24"/>
        </w:rPr>
        <w:t>(</w:t>
      </w:r>
      <w:r w:rsidR="00365614" w:rsidRPr="00530906">
        <w:rPr>
          <w:rFonts w:ascii="Cambria" w:eastAsia="Calibri" w:hAnsi="Cambria" w:cs="Times New Roman"/>
          <w:sz w:val="24"/>
          <w:szCs w:val="24"/>
        </w:rPr>
        <w:t>Escober et</w:t>
      </w:r>
      <w:r w:rsidRPr="00530906">
        <w:rPr>
          <w:rFonts w:ascii="Cambria" w:eastAsia="Calibri" w:hAnsi="Cambria" w:cs="Times New Roman"/>
          <w:sz w:val="24"/>
          <w:szCs w:val="24"/>
        </w:rPr>
        <w:t xml:space="preserve"> al 2014</w:t>
      </w:r>
      <w:r w:rsidR="002514C6" w:rsidRPr="00530906">
        <w:rPr>
          <w:rFonts w:ascii="Cambria" w:eastAsia="Calibri" w:hAnsi="Cambria" w:cs="Times New Roman"/>
          <w:sz w:val="24"/>
          <w:szCs w:val="24"/>
        </w:rPr>
        <w:t>, Cervellon 2012</w:t>
      </w:r>
      <w:r w:rsidRPr="00530906">
        <w:rPr>
          <w:rFonts w:ascii="Cambria" w:eastAsia="Calibri" w:hAnsi="Cambria" w:cs="Times New Roman"/>
          <w:sz w:val="24"/>
          <w:szCs w:val="24"/>
        </w:rPr>
        <w:t xml:space="preserve">). Involvement is mainly defined as personal relevance shaped by person’s values and need (Berkowitz 1986; Zaichkowsky 1994; Zaichkowsky 1985; Greenwald and Leavitt 1984). Involvement has both emotional and cognitive element in it, which can be related with the advertisement, </w:t>
      </w:r>
      <w:r w:rsidR="005F143B" w:rsidRPr="00530906">
        <w:rPr>
          <w:rFonts w:ascii="Cambria" w:eastAsia="Calibri" w:hAnsi="Cambria" w:cs="Times New Roman"/>
          <w:sz w:val="24"/>
          <w:szCs w:val="24"/>
        </w:rPr>
        <w:t>product,</w:t>
      </w:r>
      <w:r w:rsidRPr="00530906">
        <w:rPr>
          <w:rFonts w:ascii="Cambria" w:eastAsia="Calibri" w:hAnsi="Cambria" w:cs="Times New Roman"/>
          <w:sz w:val="24"/>
          <w:szCs w:val="24"/>
        </w:rPr>
        <w:t xml:space="preserve"> or the purchase situation (Zaichkowsky 1994). Ad involvement is referred to the personal connection or receivers’ perception of relevancy of their own concern with the ad. Whereas product involvement denotes the relevancy of the product </w:t>
      </w:r>
      <w:r w:rsidRPr="001159A1">
        <w:rPr>
          <w:rFonts w:ascii="Cambria" w:eastAsia="Calibri" w:hAnsi="Cambria" w:cs="Times New Roman"/>
          <w:sz w:val="24"/>
          <w:szCs w:val="24"/>
        </w:rPr>
        <w:t xml:space="preserve">to consumers’’ needs and values. On the other hand, purchase decision involvement indicates the importance of the decision (Zaichkowsky 1985). For this thesis, only ad involvement has been taken into consideration because, it is focusing on users’ reaction to </w:t>
      </w:r>
      <w:r w:rsidR="001F0C52" w:rsidRPr="001159A1">
        <w:rPr>
          <w:rFonts w:ascii="Cambria" w:eastAsia="Calibri" w:hAnsi="Cambria" w:cs="Adobe Devanagari"/>
          <w:sz w:val="24"/>
          <w:szCs w:val="24"/>
        </w:rPr>
        <w:t xml:space="preserve">ads with </w:t>
      </w:r>
      <w:r w:rsidR="00E363FB" w:rsidRPr="001159A1">
        <w:rPr>
          <w:rFonts w:ascii="Cambria" w:eastAsia="Calibri" w:hAnsi="Cambria" w:cs="Adobe Devanagari"/>
          <w:sz w:val="24"/>
          <w:szCs w:val="24"/>
        </w:rPr>
        <w:t>sustainability</w:t>
      </w:r>
      <w:r w:rsidR="001F0C52" w:rsidRPr="001159A1">
        <w:rPr>
          <w:rFonts w:ascii="Cambria" w:eastAsia="Calibri" w:hAnsi="Cambria" w:cs="Adobe Devanagari"/>
          <w:sz w:val="24"/>
          <w:szCs w:val="24"/>
        </w:rPr>
        <w:t xml:space="preserve"> message</w:t>
      </w:r>
      <w:r w:rsidRPr="001159A1">
        <w:rPr>
          <w:rFonts w:ascii="Cambria" w:eastAsia="Calibri" w:hAnsi="Cambria" w:cs="Times New Roman"/>
          <w:sz w:val="24"/>
          <w:szCs w:val="24"/>
        </w:rPr>
        <w:t xml:space="preserve">. </w:t>
      </w:r>
    </w:p>
    <w:p w14:paraId="186E7B59" w14:textId="2112F48D" w:rsidR="00C7217E" w:rsidRPr="001159A1" w:rsidRDefault="00C7217E">
      <w:pPr>
        <w:spacing w:line="360" w:lineRule="auto"/>
        <w:jc w:val="both"/>
        <w:rPr>
          <w:rFonts w:ascii="Cambria" w:eastAsia="Calibri" w:hAnsi="Cambria" w:cs="Times New Roman"/>
          <w:sz w:val="24"/>
          <w:szCs w:val="24"/>
        </w:rPr>
      </w:pPr>
      <w:r w:rsidRPr="001159A1">
        <w:rPr>
          <w:rFonts w:ascii="Cambria" w:eastAsia="Calibri" w:hAnsi="Cambria" w:cs="Times New Roman"/>
          <w:sz w:val="24"/>
          <w:szCs w:val="24"/>
        </w:rPr>
        <w:t>Consumers’ response i</w:t>
      </w:r>
      <w:r w:rsidR="00AA7D89" w:rsidRPr="001159A1">
        <w:rPr>
          <w:rFonts w:ascii="Cambria" w:eastAsia="Calibri" w:hAnsi="Cambria" w:cs="Times New Roman"/>
          <w:sz w:val="24"/>
          <w:szCs w:val="24"/>
        </w:rPr>
        <w:t>s</w:t>
      </w:r>
      <w:r w:rsidRPr="001159A1">
        <w:rPr>
          <w:rFonts w:ascii="Cambria" w:eastAsia="Calibri" w:hAnsi="Cambria" w:cs="Times New Roman"/>
          <w:sz w:val="24"/>
          <w:szCs w:val="24"/>
        </w:rPr>
        <w:t xml:space="preserve"> influenced by the content of the advertised message (Andrews et al 1992, </w:t>
      </w:r>
      <w:r w:rsidRPr="001159A1">
        <w:rPr>
          <w:rFonts w:ascii="Cambria" w:eastAsiaTheme="minorEastAsia" w:hAnsi="Cambria"/>
          <w:noProof/>
          <w:sz w:val="24"/>
          <w:szCs w:val="24"/>
        </w:rPr>
        <w:t>Mishina et al 2012</w:t>
      </w:r>
      <w:r w:rsidR="003F7E44" w:rsidRPr="001159A1">
        <w:rPr>
          <w:rFonts w:ascii="Cambria" w:eastAsiaTheme="minorEastAsia" w:hAnsi="Cambria"/>
          <w:noProof/>
          <w:sz w:val="24"/>
          <w:szCs w:val="24"/>
        </w:rPr>
        <w:t xml:space="preserve">, </w:t>
      </w:r>
      <w:r w:rsidR="003F7E44" w:rsidRPr="001159A1">
        <w:rPr>
          <w:rFonts w:ascii="Cambria" w:eastAsia="Calibri" w:hAnsi="Cambria" w:cs="Times New Roman"/>
          <w:sz w:val="24"/>
          <w:szCs w:val="24"/>
        </w:rPr>
        <w:t>Cervellon 2012</w:t>
      </w:r>
      <w:r w:rsidRPr="001159A1">
        <w:rPr>
          <w:rFonts w:ascii="Cambria" w:eastAsia="Calibri" w:hAnsi="Cambria" w:cs="Times New Roman"/>
          <w:sz w:val="24"/>
          <w:szCs w:val="24"/>
        </w:rPr>
        <w:t>).  Since ‘involvement’ represents personal relevance (Zaichkowsky 1985), content regarding sustainability is a matter of personal relevance due to the concern about it (Caprar and Neville 2012</w:t>
      </w:r>
      <w:r w:rsidR="00EF5F28" w:rsidRPr="001159A1">
        <w:rPr>
          <w:rFonts w:ascii="Cambria" w:eastAsia="Calibri" w:hAnsi="Cambria" w:cs="Times New Roman"/>
          <w:sz w:val="24"/>
          <w:szCs w:val="24"/>
        </w:rPr>
        <w:t>; Cervellon 2012</w:t>
      </w:r>
      <w:r w:rsidRPr="001159A1">
        <w:rPr>
          <w:rFonts w:ascii="Cambria" w:eastAsia="Calibri" w:hAnsi="Cambria" w:cs="Times New Roman"/>
          <w:sz w:val="24"/>
          <w:szCs w:val="24"/>
        </w:rPr>
        <w:t xml:space="preserve">). The </w:t>
      </w:r>
      <w:r w:rsidR="00384EA0"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384EA0" w:rsidRPr="001159A1">
        <w:rPr>
          <w:rFonts w:ascii="Cambria" w:eastAsia="Calibri" w:hAnsi="Cambria" w:cs="Adobe Devanagari"/>
          <w:sz w:val="24"/>
          <w:szCs w:val="24"/>
        </w:rPr>
        <w:t xml:space="preserve"> message</w:t>
      </w:r>
      <w:r w:rsidR="00384EA0" w:rsidRPr="001159A1">
        <w:rPr>
          <w:rFonts w:ascii="Cambria" w:eastAsia="Calibri" w:hAnsi="Cambria" w:cs="Times New Roman"/>
          <w:sz w:val="24"/>
          <w:szCs w:val="24"/>
        </w:rPr>
        <w:t xml:space="preserve"> </w:t>
      </w:r>
      <w:r w:rsidRPr="001159A1">
        <w:rPr>
          <w:rFonts w:ascii="Cambria" w:eastAsia="Calibri" w:hAnsi="Cambria" w:cs="Times New Roman"/>
          <w:sz w:val="24"/>
          <w:szCs w:val="24"/>
        </w:rPr>
        <w:t>should be deemed as an ad with high involvement due to the concern for sustainability among consumers (</w:t>
      </w:r>
      <w:r w:rsidR="00997FE5" w:rsidRPr="001159A1">
        <w:rPr>
          <w:rFonts w:ascii="Cambria" w:eastAsia="Calibri" w:hAnsi="Cambria" w:cs="Times New Roman"/>
          <w:sz w:val="24"/>
          <w:szCs w:val="24"/>
        </w:rPr>
        <w:t xml:space="preserve">see </w:t>
      </w:r>
      <w:r w:rsidRPr="001159A1">
        <w:rPr>
          <w:rFonts w:ascii="Cambria" w:eastAsia="Calibri" w:hAnsi="Cambria" w:cs="Times New Roman"/>
          <w:sz w:val="24"/>
          <w:szCs w:val="24"/>
        </w:rPr>
        <w:t>Caprar and Neville 2012</w:t>
      </w:r>
      <w:r w:rsidR="00997FE5" w:rsidRPr="001159A1">
        <w:rPr>
          <w:rFonts w:ascii="Cambria" w:eastAsia="Calibri" w:hAnsi="Cambria" w:cs="Times New Roman"/>
          <w:sz w:val="24"/>
          <w:szCs w:val="24"/>
        </w:rPr>
        <w:t>;</w:t>
      </w:r>
      <w:r w:rsidRPr="001159A1">
        <w:rPr>
          <w:rFonts w:ascii="Cambria" w:eastAsia="Calibri" w:hAnsi="Cambria" w:cs="Times New Roman"/>
          <w:sz w:val="24"/>
          <w:szCs w:val="24"/>
        </w:rPr>
        <w:t xml:space="preserve"> Huang and Rust 2011</w:t>
      </w:r>
      <w:r w:rsidR="00997FE5" w:rsidRPr="001159A1">
        <w:rPr>
          <w:rFonts w:ascii="Cambria" w:eastAsia="Calibri" w:hAnsi="Cambria" w:cs="Times New Roman"/>
          <w:sz w:val="24"/>
          <w:szCs w:val="24"/>
        </w:rPr>
        <w:t>;</w:t>
      </w:r>
      <w:r w:rsidRPr="001159A1">
        <w:rPr>
          <w:rFonts w:ascii="Cambria" w:eastAsia="Calibri" w:hAnsi="Cambria" w:cs="Times New Roman"/>
          <w:sz w:val="24"/>
          <w:szCs w:val="24"/>
        </w:rPr>
        <w:t xml:space="preserve"> Martin and Schouten 2012</w:t>
      </w:r>
      <w:r w:rsidR="00EF5F28" w:rsidRPr="001159A1">
        <w:rPr>
          <w:rFonts w:ascii="Cambria" w:eastAsia="Calibri" w:hAnsi="Cambria" w:cs="Times New Roman"/>
          <w:sz w:val="24"/>
          <w:szCs w:val="24"/>
        </w:rPr>
        <w:t>; Cervellon 2012</w:t>
      </w:r>
      <w:r w:rsidRPr="001159A1">
        <w:rPr>
          <w:rFonts w:ascii="Cambria" w:eastAsia="Calibri" w:hAnsi="Cambria" w:cs="Times New Roman"/>
          <w:sz w:val="24"/>
          <w:szCs w:val="24"/>
        </w:rPr>
        <w:t>). Users of social–media might express their concern for sustainability by engaging with sustainability related content (Blazevic et al 201</w:t>
      </w:r>
      <w:r w:rsidR="00EF5F28" w:rsidRPr="001159A1">
        <w:rPr>
          <w:rFonts w:ascii="Cambria" w:eastAsia="Calibri" w:hAnsi="Cambria" w:cs="Times New Roman"/>
          <w:sz w:val="24"/>
          <w:szCs w:val="24"/>
        </w:rPr>
        <w:t>3</w:t>
      </w:r>
      <w:r w:rsidRPr="001159A1">
        <w:rPr>
          <w:rFonts w:ascii="Cambria" w:eastAsia="Calibri" w:hAnsi="Cambria" w:cs="Times New Roman"/>
          <w:sz w:val="24"/>
          <w:szCs w:val="24"/>
        </w:rPr>
        <w:t xml:space="preserve">) because </w:t>
      </w:r>
      <w:r w:rsidR="00A5252F" w:rsidRPr="001159A1">
        <w:rPr>
          <w:rFonts w:ascii="Cambria" w:eastAsia="Calibri" w:hAnsi="Cambria" w:cs="Times New Roman"/>
          <w:sz w:val="24"/>
          <w:szCs w:val="24"/>
        </w:rPr>
        <w:t>o</w:t>
      </w:r>
      <w:r w:rsidRPr="001159A1">
        <w:rPr>
          <w:rFonts w:ascii="Cambria" w:eastAsia="Calibri" w:hAnsi="Cambria" w:cs="Times New Roman"/>
          <w:sz w:val="24"/>
          <w:szCs w:val="24"/>
        </w:rPr>
        <w:t>nline engagement depends on how much significance actors give to a post/ object (Li et al 2018</w:t>
      </w:r>
      <w:r w:rsidR="00EF5F28" w:rsidRPr="001159A1">
        <w:rPr>
          <w:rFonts w:ascii="Cambria" w:eastAsia="Calibri" w:hAnsi="Cambria" w:cs="Times New Roman"/>
          <w:sz w:val="24"/>
          <w:szCs w:val="24"/>
        </w:rPr>
        <w:t>; Cervellon 2012</w:t>
      </w:r>
      <w:r w:rsidRPr="001159A1">
        <w:rPr>
          <w:rFonts w:ascii="Cambria" w:eastAsia="Calibri" w:hAnsi="Cambria" w:cs="Times New Roman"/>
          <w:sz w:val="24"/>
          <w:szCs w:val="24"/>
        </w:rPr>
        <w:t xml:space="preserve">).  </w:t>
      </w:r>
    </w:p>
    <w:p w14:paraId="617EC88A" w14:textId="7FA1492B" w:rsidR="00C7217E" w:rsidRPr="001159A1" w:rsidRDefault="00C7217E">
      <w:pPr>
        <w:spacing w:line="360" w:lineRule="auto"/>
        <w:jc w:val="both"/>
        <w:rPr>
          <w:rFonts w:ascii="Cambria" w:eastAsia="Calibri" w:hAnsi="Cambria" w:cs="Times New Roman"/>
          <w:sz w:val="24"/>
          <w:szCs w:val="24"/>
        </w:rPr>
      </w:pPr>
      <w:r w:rsidRPr="001159A1">
        <w:rPr>
          <w:rFonts w:ascii="Cambria" w:eastAsiaTheme="minorEastAsia" w:hAnsi="Cambria"/>
          <w:sz w:val="24"/>
          <w:szCs w:val="24"/>
        </w:rPr>
        <w:t xml:space="preserve">Hussain et al (2018) has taken eWOM as an advertisement tool and involvement with that content dictates the creditability of the information. This notion has been seconded by Kim </w:t>
      </w:r>
      <w:r w:rsidR="00EF5F28" w:rsidRPr="001159A1">
        <w:rPr>
          <w:rFonts w:ascii="Cambria" w:eastAsiaTheme="minorEastAsia" w:hAnsi="Cambria"/>
          <w:sz w:val="24"/>
          <w:szCs w:val="24"/>
        </w:rPr>
        <w:t>and</w:t>
      </w:r>
      <w:r w:rsidRPr="001159A1">
        <w:rPr>
          <w:rFonts w:ascii="Cambria" w:eastAsiaTheme="minorEastAsia" w:hAnsi="Cambria"/>
          <w:sz w:val="24"/>
          <w:szCs w:val="24"/>
        </w:rPr>
        <w:t xml:space="preserve"> Drumwright, (2016) who stated that involvement is the preceding of WOM referrals. </w:t>
      </w:r>
      <w:r w:rsidR="00997FE5" w:rsidRPr="001159A1">
        <w:rPr>
          <w:rFonts w:ascii="Cambria" w:eastAsiaTheme="minorEastAsia" w:hAnsi="Cambria"/>
          <w:sz w:val="24"/>
          <w:szCs w:val="24"/>
        </w:rPr>
        <w:t xml:space="preserve">Basically, involvement with the content influence the engagement on digital social networks (Dessart, 2017; Harvey et al., 2011; Loureiro et al., 2017). </w:t>
      </w:r>
      <w:r w:rsidRPr="001159A1">
        <w:rPr>
          <w:rFonts w:ascii="Cambria" w:eastAsiaTheme="minorEastAsia" w:hAnsi="Cambria"/>
          <w:sz w:val="24"/>
          <w:szCs w:val="24"/>
        </w:rPr>
        <w:t>But as seen in the thematic literature review</w:t>
      </w:r>
      <w:r w:rsidR="00EC22D0" w:rsidRPr="001159A1">
        <w:rPr>
          <w:rFonts w:ascii="Cambria" w:eastAsiaTheme="minorEastAsia" w:hAnsi="Cambria"/>
          <w:sz w:val="24"/>
          <w:szCs w:val="24"/>
        </w:rPr>
        <w:t xml:space="preserve"> (appendix 1)</w:t>
      </w:r>
      <w:r w:rsidRPr="001159A1">
        <w:rPr>
          <w:rFonts w:ascii="Cambria" w:eastAsiaTheme="minorEastAsia" w:hAnsi="Cambria"/>
          <w:sz w:val="24"/>
          <w:szCs w:val="24"/>
        </w:rPr>
        <w:t xml:space="preserve">, there is a severe scarcity of research of </w:t>
      </w:r>
      <w:r w:rsidR="00284FF4" w:rsidRPr="001159A1">
        <w:rPr>
          <w:rFonts w:ascii="Cambria" w:eastAsiaTheme="minorEastAsia" w:hAnsi="Cambria"/>
          <w:sz w:val="24"/>
          <w:szCs w:val="24"/>
        </w:rPr>
        <w:t>‘</w:t>
      </w:r>
      <w:r w:rsidRPr="001159A1">
        <w:rPr>
          <w:rFonts w:ascii="Cambria" w:eastAsiaTheme="minorEastAsia" w:hAnsi="Cambria"/>
          <w:sz w:val="24"/>
          <w:szCs w:val="24"/>
        </w:rPr>
        <w:t>ad involvement</w:t>
      </w:r>
      <w:r w:rsidR="00284FF4" w:rsidRPr="001159A1">
        <w:rPr>
          <w:rFonts w:ascii="Cambria" w:eastAsiaTheme="minorEastAsia" w:hAnsi="Cambria"/>
          <w:sz w:val="24"/>
          <w:szCs w:val="24"/>
        </w:rPr>
        <w:t>’</w:t>
      </w:r>
      <w:r w:rsidRPr="001159A1">
        <w:rPr>
          <w:rFonts w:ascii="Cambria" w:eastAsiaTheme="minorEastAsia" w:hAnsi="Cambria"/>
          <w:sz w:val="24"/>
          <w:szCs w:val="24"/>
        </w:rPr>
        <w:t xml:space="preserve"> in social media. When considered in the context of sustainability, involvement or concern about the environmental issues influences the corresponding behaviour (Arli &amp; Tjiptono, 2017; Joshi &amp; Rahman, 2016; Leary et al. 2014; Wei et al. 2017). This implies that, involvement with the </w:t>
      </w:r>
      <w:r w:rsidR="002F50A5"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2F50A5" w:rsidRPr="001159A1">
        <w:rPr>
          <w:rFonts w:ascii="Cambria" w:eastAsia="Calibri" w:hAnsi="Cambria" w:cs="Adobe Devanagari"/>
          <w:sz w:val="24"/>
          <w:szCs w:val="24"/>
        </w:rPr>
        <w:t xml:space="preserve"> message</w:t>
      </w:r>
      <w:r w:rsidR="002F50A5"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promoting </w:t>
      </w:r>
      <w:r w:rsidR="00C647DF" w:rsidRPr="001159A1">
        <w:rPr>
          <w:rFonts w:ascii="Cambria" w:eastAsia="Times New Roman" w:hAnsi="Cambria" w:cs="Times New Roman"/>
          <w:sz w:val="24"/>
          <w:szCs w:val="24"/>
        </w:rPr>
        <w:t>products with sustainability association</w:t>
      </w:r>
      <w:r w:rsidR="00C647DF"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should also inspire subsequent behaviour (social media engagement behaviour). </w:t>
      </w:r>
    </w:p>
    <w:p w14:paraId="0924126E" w14:textId="1D3DEE08" w:rsidR="00F351A4" w:rsidRPr="001159A1" w:rsidRDefault="00057937">
      <w:pPr>
        <w:spacing w:line="360" w:lineRule="auto"/>
        <w:jc w:val="both"/>
        <w:rPr>
          <w:rFonts w:ascii="Cambria" w:eastAsia="Calibri" w:hAnsi="Cambria" w:cs="Times New Roman"/>
          <w:sz w:val="24"/>
          <w:szCs w:val="24"/>
        </w:rPr>
      </w:pPr>
      <w:r w:rsidRPr="001159A1">
        <w:rPr>
          <w:rFonts w:ascii="Cambria" w:hAnsi="Cambria"/>
          <w:noProof/>
          <w:sz w:val="24"/>
          <w:szCs w:val="24"/>
        </w:rPr>
        <mc:AlternateContent>
          <mc:Choice Requires="wpg">
            <w:drawing>
              <wp:anchor distT="0" distB="0" distL="114300" distR="114300" simplePos="0" relativeHeight="251657283" behindDoc="0" locked="0" layoutInCell="1" allowOverlap="1" wp14:anchorId="3547C594" wp14:editId="5DD1446D">
                <wp:simplePos x="0" y="0"/>
                <wp:positionH relativeFrom="column">
                  <wp:posOffset>2900045</wp:posOffset>
                </wp:positionH>
                <wp:positionV relativeFrom="paragraph">
                  <wp:posOffset>2992120</wp:posOffset>
                </wp:positionV>
                <wp:extent cx="2874645" cy="3788410"/>
                <wp:effectExtent l="38100" t="0" r="1905" b="2540"/>
                <wp:wrapSquare wrapText="bothSides"/>
                <wp:docPr id="420" name="Group 420"/>
                <wp:cNvGraphicFramePr/>
                <a:graphic xmlns:a="http://schemas.openxmlformats.org/drawingml/2006/main">
                  <a:graphicData uri="http://schemas.microsoft.com/office/word/2010/wordprocessingGroup">
                    <wpg:wgp>
                      <wpg:cNvGrpSpPr/>
                      <wpg:grpSpPr>
                        <a:xfrm>
                          <a:off x="0" y="0"/>
                          <a:ext cx="2874645" cy="3788410"/>
                          <a:chOff x="1466" y="189865"/>
                          <a:chExt cx="2875084" cy="3788410"/>
                        </a:xfrm>
                      </wpg:grpSpPr>
                      <wpg:grpSp>
                        <wpg:cNvPr id="421" name="Group 421"/>
                        <wpg:cNvGrpSpPr/>
                        <wpg:grpSpPr>
                          <a:xfrm>
                            <a:off x="1466" y="189865"/>
                            <a:ext cx="2875084" cy="3788410"/>
                            <a:chOff x="134816" y="189865"/>
                            <a:chExt cx="2875084" cy="3788410"/>
                          </a:xfrm>
                        </wpg:grpSpPr>
                        <wpg:grpSp>
                          <wpg:cNvPr id="422" name="Group 422"/>
                          <wpg:cNvGrpSpPr>
                            <a:grpSpLocks/>
                          </wpg:cNvGrpSpPr>
                          <wpg:grpSpPr bwMode="auto">
                            <a:xfrm>
                              <a:off x="139065" y="189865"/>
                              <a:ext cx="2870835" cy="3788410"/>
                              <a:chOff x="6309" y="9282"/>
                              <a:chExt cx="4521" cy="5966"/>
                            </a:xfrm>
                          </wpg:grpSpPr>
                          <wps:wsp>
                            <wps:cNvPr id="423" name="Text Box 403"/>
                            <wps:cNvSpPr txBox="1">
                              <a:spLocks noChangeArrowheads="1"/>
                            </wps:cNvSpPr>
                            <wps:spPr bwMode="auto">
                              <a:xfrm>
                                <a:off x="9135" y="10438"/>
                                <a:ext cx="1470" cy="705"/>
                              </a:xfrm>
                              <a:prstGeom prst="rect">
                                <a:avLst/>
                              </a:prstGeom>
                              <a:solidFill>
                                <a:srgbClr val="D9B6A3"/>
                              </a:solidFill>
                              <a:ln w="6350">
                                <a:solidFill>
                                  <a:srgbClr val="000000"/>
                                </a:solidFill>
                                <a:miter lim="800000"/>
                                <a:headEnd/>
                                <a:tailEnd/>
                              </a:ln>
                            </wps:spPr>
                            <wps:txbx>
                              <w:txbxContent>
                                <w:p w14:paraId="6E803474" w14:textId="77777777" w:rsidR="00D34F1C" w:rsidRDefault="00D34F1C" w:rsidP="00604C16">
                                  <w:r>
                                    <w:t>Involvement with the ad</w:t>
                                  </w:r>
                                </w:p>
                              </w:txbxContent>
                            </wps:txbx>
                            <wps:bodyPr rot="0" vert="horz" wrap="square" lIns="91440" tIns="45720" rIns="91440" bIns="45720" anchor="t" anchorCtr="0" upright="1">
                              <a:noAutofit/>
                            </wps:bodyPr>
                          </wps:wsp>
                          <wpg:grpSp>
                            <wpg:cNvPr id="424" name="Group 202"/>
                            <wpg:cNvGrpSpPr>
                              <a:grpSpLocks/>
                            </wpg:cNvGrpSpPr>
                            <wpg:grpSpPr bwMode="auto">
                              <a:xfrm>
                                <a:off x="6309" y="9282"/>
                                <a:ext cx="4521" cy="5966"/>
                                <a:chOff x="6399" y="9209"/>
                                <a:chExt cx="4521" cy="5966"/>
                              </a:xfrm>
                            </wpg:grpSpPr>
                            <wps:wsp>
                              <wps:cNvPr id="425" name="Straight Connector 476"/>
                              <wps:cNvCnPr>
                                <a:cxnSpLocks noChangeShapeType="1"/>
                              </wps:cNvCnPr>
                              <wps:spPr bwMode="auto">
                                <a:xfrm flipH="1">
                                  <a:off x="6405" y="9945"/>
                                  <a:ext cx="645"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426" name="Straight Connector 477"/>
                              <wps:cNvCnPr>
                                <a:cxnSpLocks noChangeShapeType="1"/>
                              </wps:cNvCnPr>
                              <wps:spPr bwMode="auto">
                                <a:xfrm>
                                  <a:off x="6399" y="9930"/>
                                  <a:ext cx="21" cy="1785"/>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427" name="Straight Arrow Connector 478"/>
                              <wps:cNvCnPr>
                                <a:cxnSpLocks noChangeShapeType="1"/>
                              </wps:cNvCnPr>
                              <wps:spPr bwMode="auto">
                                <a:xfrm>
                                  <a:off x="6420" y="11700"/>
                                  <a:ext cx="1350" cy="16"/>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431" name="Text Box 400"/>
                              <wps:cNvSpPr txBox="1">
                                <a:spLocks noChangeArrowheads="1"/>
                              </wps:cNvSpPr>
                              <wps:spPr bwMode="auto">
                                <a:xfrm>
                                  <a:off x="6594" y="10468"/>
                                  <a:ext cx="1878" cy="709"/>
                                </a:xfrm>
                                <a:prstGeom prst="rect">
                                  <a:avLst/>
                                </a:prstGeom>
                                <a:solidFill>
                                  <a:srgbClr val="C5C4A0"/>
                                </a:solidFill>
                                <a:ln w="6350">
                                  <a:solidFill>
                                    <a:srgbClr val="000000"/>
                                  </a:solidFill>
                                  <a:miter lim="800000"/>
                                  <a:headEnd/>
                                  <a:tailEnd/>
                                </a:ln>
                              </wps:spPr>
                              <wps:txbx>
                                <w:txbxContent>
                                  <w:p w14:paraId="2D29C1BB" w14:textId="77777777" w:rsidR="00D34F1C" w:rsidRDefault="00D34F1C" w:rsidP="00604C16">
                                    <w:r>
                                      <w:t xml:space="preserve">Source expertise High </w:t>
                                    </w:r>
                                    <w:r>
                                      <w:tab/>
                                      <w:t xml:space="preserve">    Low </w:t>
                                    </w:r>
                                  </w:p>
                                </w:txbxContent>
                              </wps:txbx>
                              <wps:bodyPr rot="0" vert="horz" wrap="square" lIns="91440" tIns="45720" rIns="91440" bIns="45720" anchor="t" anchorCtr="0" upright="1">
                                <a:noAutofit/>
                              </wps:bodyPr>
                            </wps:wsp>
                            <wps:wsp>
                              <wps:cNvPr id="432" name="Straight Arrow Connector 402"/>
                              <wps:cNvCnPr>
                                <a:cxnSpLocks noChangeShapeType="1"/>
                              </wps:cNvCnPr>
                              <wps:spPr bwMode="auto">
                                <a:xfrm>
                                  <a:off x="8472" y="10878"/>
                                  <a:ext cx="457" cy="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433" name="Straight Arrow Connector 398"/>
                              <wps:cNvCnPr>
                                <a:cxnSpLocks noChangeShapeType="1"/>
                              </wps:cNvCnPr>
                              <wps:spPr bwMode="auto">
                                <a:xfrm>
                                  <a:off x="8928" y="10211"/>
                                  <a:ext cx="1" cy="1202"/>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434" name="Text Box 397"/>
                              <wps:cNvSpPr txBox="1">
                                <a:spLocks noChangeArrowheads="1"/>
                              </wps:cNvSpPr>
                              <wps:spPr bwMode="auto">
                                <a:xfrm>
                                  <a:off x="6420" y="14441"/>
                                  <a:ext cx="4500" cy="7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F9F01C" w14:textId="2E09DB87" w:rsidR="00D34F1C" w:rsidRDefault="00D34F1C" w:rsidP="00604C16">
                                    <w:pPr>
                                      <w:jc w:val="center"/>
                                    </w:pPr>
                                    <w:r>
                                      <w:t xml:space="preserve">Fig </w:t>
                                    </w:r>
                                    <w:r w:rsidR="00A26F6C">
                                      <w:t>10</w:t>
                                    </w:r>
                                    <w:r>
                                      <w:t>: Role of SCV on Social media engagement</w:t>
                                    </w:r>
                                  </w:p>
                                </w:txbxContent>
                              </wps:txbx>
                              <wps:bodyPr rot="0" vert="horz" wrap="square" lIns="91440" tIns="45720" rIns="91440" bIns="45720" anchor="t" anchorCtr="0" upright="1">
                                <a:noAutofit/>
                              </wps:bodyPr>
                            </wps:wsp>
                            <wps:wsp>
                              <wps:cNvPr id="435" name="Text Box 393"/>
                              <wps:cNvSpPr txBox="1">
                                <a:spLocks noChangeArrowheads="1"/>
                              </wps:cNvSpPr>
                              <wps:spPr bwMode="auto">
                                <a:xfrm>
                                  <a:off x="7065" y="9209"/>
                                  <a:ext cx="2883" cy="1002"/>
                                </a:xfrm>
                                <a:prstGeom prst="rect">
                                  <a:avLst/>
                                </a:prstGeom>
                                <a:solidFill>
                                  <a:srgbClr val="A9CBB7"/>
                                </a:solidFill>
                                <a:ln w="6350">
                                  <a:solidFill>
                                    <a:srgbClr val="000000"/>
                                  </a:solidFill>
                                  <a:miter lim="800000"/>
                                  <a:headEnd/>
                                  <a:tailEnd/>
                                </a:ln>
                              </wps:spPr>
                              <wps:txbx>
                                <w:txbxContent>
                                  <w:p w14:paraId="0A891B22" w14:textId="71A9EBB0" w:rsidR="00057937" w:rsidRDefault="00057937" w:rsidP="00057937">
                                    <w:pPr>
                                      <w:pStyle w:val="NoSpacing"/>
                                    </w:pPr>
                                    <w:r>
                                      <w:t xml:space="preserve">Positive vs negative caption accompanying </w:t>
                                    </w:r>
                                    <w:r w:rsidRPr="003311FC">
                                      <w:t xml:space="preserve">ad with </w:t>
                                    </w:r>
                                    <w:r w:rsidR="00825A54" w:rsidRPr="003311FC">
                                      <w:t>sustainability</w:t>
                                    </w:r>
                                    <w:r w:rsidRPr="003311FC">
                                      <w:t xml:space="preserve"> message</w:t>
                                    </w:r>
                                  </w:p>
                                  <w:p w14:paraId="6FF84ACF" w14:textId="77777777" w:rsidR="00D34F1C" w:rsidRDefault="00D34F1C" w:rsidP="00604C16">
                                    <w:pPr>
                                      <w:pStyle w:val="NoSpacing"/>
                                    </w:pPr>
                                  </w:p>
                                </w:txbxContent>
                              </wps:txbx>
                              <wps:bodyPr rot="0" vert="horz" wrap="square" lIns="91440" tIns="45720" rIns="91440" bIns="45720" anchor="t" anchorCtr="0" upright="1">
                                <a:noAutofit/>
                              </wps:bodyPr>
                            </wps:wsp>
                            <wps:wsp>
                              <wps:cNvPr id="436" name="Text Box 394"/>
                              <wps:cNvSpPr txBox="1">
                                <a:spLocks noChangeArrowheads="1"/>
                              </wps:cNvSpPr>
                              <wps:spPr bwMode="auto">
                                <a:xfrm>
                                  <a:off x="7755" y="11447"/>
                                  <a:ext cx="2648" cy="732"/>
                                </a:xfrm>
                                <a:prstGeom prst="rect">
                                  <a:avLst/>
                                </a:prstGeom>
                                <a:solidFill>
                                  <a:srgbClr val="C7ABFF"/>
                                </a:solidFill>
                                <a:ln w="6350">
                                  <a:solidFill>
                                    <a:srgbClr val="000000"/>
                                  </a:solidFill>
                                  <a:miter lim="800000"/>
                                  <a:headEnd/>
                                  <a:tailEnd/>
                                </a:ln>
                              </wps:spPr>
                              <wps:txbx>
                                <w:txbxContent>
                                  <w:p w14:paraId="235AE934" w14:textId="77777777" w:rsidR="00D34F1C" w:rsidRDefault="00D34F1C" w:rsidP="00604C16">
                                    <w:r>
                                      <w:t>Social–media engagement with the ad</w:t>
                                    </w:r>
                                  </w:p>
                                </w:txbxContent>
                              </wps:txbx>
                              <wps:bodyPr rot="0" vert="horz" wrap="square" lIns="91440" tIns="45720" rIns="91440" bIns="45720" anchor="t" anchorCtr="0" upright="1">
                                <a:noAutofit/>
                              </wps:bodyPr>
                            </wps:wsp>
                            <wps:wsp>
                              <wps:cNvPr id="437" name="Text Box 395"/>
                              <wps:cNvSpPr txBox="1">
                                <a:spLocks noChangeArrowheads="1"/>
                              </wps:cNvSpPr>
                              <wps:spPr bwMode="auto">
                                <a:xfrm>
                                  <a:off x="7995" y="12615"/>
                                  <a:ext cx="2399" cy="675"/>
                                </a:xfrm>
                                <a:prstGeom prst="rect">
                                  <a:avLst/>
                                </a:prstGeom>
                                <a:solidFill>
                                  <a:srgbClr val="C5E0B3"/>
                                </a:solidFill>
                                <a:ln w="6350">
                                  <a:solidFill>
                                    <a:srgbClr val="000000"/>
                                  </a:solidFill>
                                  <a:miter lim="800000"/>
                                  <a:headEnd/>
                                  <a:tailEnd/>
                                </a:ln>
                              </wps:spPr>
                              <wps:txbx>
                                <w:txbxContent>
                                  <w:p w14:paraId="348114FE" w14:textId="77777777" w:rsidR="00D34F1C" w:rsidRDefault="00D34F1C" w:rsidP="00604C16">
                                    <w:r>
                                      <w:t>Purchase intention of the advertised product</w:t>
                                    </w:r>
                                  </w:p>
                                  <w:p w14:paraId="570F2785" w14:textId="77777777" w:rsidR="00D34F1C" w:rsidRDefault="00D34F1C" w:rsidP="00604C16"/>
                                </w:txbxContent>
                              </wps:txbx>
                              <wps:bodyPr rot="0" vert="horz" wrap="square" lIns="91440" tIns="45720" rIns="91440" bIns="45720" anchor="t" anchorCtr="0" upright="1">
                                <a:noAutofit/>
                              </wps:bodyPr>
                            </wps:wsp>
                            <wps:wsp>
                              <wps:cNvPr id="438" name="Straight Arrow Connector 396"/>
                              <wps:cNvCnPr>
                                <a:cxnSpLocks noChangeShapeType="1"/>
                              </wps:cNvCnPr>
                              <wps:spPr bwMode="auto">
                                <a:xfrm>
                                  <a:off x="8984" y="12209"/>
                                  <a:ext cx="0" cy="419"/>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439" name="Straight Arrow Connector 439"/>
                          <wps:cNvCnPr/>
                          <wps:spPr>
                            <a:xfrm flipH="1">
                              <a:off x="134816" y="1211526"/>
                              <a:ext cx="129540" cy="0"/>
                            </a:xfrm>
                            <a:prstGeom prst="straightConnector1">
                              <a:avLst/>
                            </a:prstGeom>
                            <a:noFill/>
                            <a:ln w="19050" cap="flat" cmpd="sng" algn="ctr">
                              <a:solidFill>
                                <a:sysClr val="window" lastClr="FFFFFF">
                                  <a:lumMod val="50000"/>
                                </a:sysClr>
                              </a:solidFill>
                              <a:prstDash val="solid"/>
                              <a:miter lim="800000"/>
                              <a:tailEnd type="triangle"/>
                            </a:ln>
                            <a:effectLst/>
                          </wps:spPr>
                          <wps:bodyPr/>
                        </wps:wsp>
                      </wpg:grpSp>
                      <wpg:grpSp>
                        <wpg:cNvPr id="440" name="Group 440"/>
                        <wpg:cNvGrpSpPr/>
                        <wpg:grpSpPr>
                          <a:xfrm>
                            <a:off x="895350" y="2781300"/>
                            <a:ext cx="1591310" cy="688975"/>
                            <a:chOff x="0" y="0"/>
                            <a:chExt cx="1591310" cy="688975"/>
                          </a:xfrm>
                        </wpg:grpSpPr>
                        <wps:wsp>
                          <wps:cNvPr id="441"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7639C443" w14:textId="77777777" w:rsidR="00D34F1C" w:rsidRDefault="00D34F1C" w:rsidP="00604C16">
                                <w:r>
                                  <w:t>Sustainable behaviour intention</w:t>
                                </w:r>
                              </w:p>
                              <w:p w14:paraId="212B3866" w14:textId="77777777" w:rsidR="00D34F1C" w:rsidRDefault="00D34F1C" w:rsidP="00604C16"/>
                            </w:txbxContent>
                          </wps:txbx>
                          <wps:bodyPr rot="0" vert="horz" wrap="square" lIns="91440" tIns="45720" rIns="91440" bIns="45720" anchor="t" anchorCtr="0" upright="1">
                            <a:noAutofit/>
                          </wps:bodyPr>
                        </wps:wsp>
                        <wps:wsp>
                          <wps:cNvPr id="442"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3547C594" id="Group 420" o:spid="_x0000_s1108" style="position:absolute;left:0;text-align:left;margin-left:228.35pt;margin-top:235.6pt;width:226.35pt;height:298.3pt;z-index:251657283;mso-height-relative:margin" coordorigin="14,1898" coordsize="28750,3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">
                <v:group id="Group 421" o:spid="_x0000_s1109" style="position:absolute;left:14;top:1898;width:28751;height:37884" coordorigin="1348,1898" coordsize="28750,3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group id="Group 422" o:spid="_x0000_s1110" style="position:absolute;left:1390;top:1898;width:28709;height:37884" coordorigin="6309,9282" coordsize="4521,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403" o:spid="_x0000_s1111" type="#_x0000_t202" style="position:absolute;left:9135;top:10438;width:14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" fillcolor="#d9b6a3" strokeweight=".5pt">
                      <v:textbox>
                        <w:txbxContent>
                          <w:p w14:paraId="6E803474" w14:textId="77777777" w:rsidR="00D34F1C" w:rsidRDefault="00D34F1C" w:rsidP="00604C16">
                            <w:r>
                              <w:t>Involvement with the ad</w:t>
                            </w:r>
                          </w:p>
                        </w:txbxContent>
                      </v:textbox>
                    </v:shape>
                    <v:group id="Group 202" o:spid="_x0000_s1112" style="position:absolute;left:6309;top:9282;width:4521;height:5966" coordorigin="6399,9209" coordsize="4521,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line id="Straight Connector 476" o:spid="_x0000_s1113" style="position:absolute;flip:x;visibility:visible;mso-wrap-style:square" from="6405,9945" to="7050,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" strokecolor="gray" strokeweight="1.5pt">
                        <v:stroke joinstyle="miter"/>
                      </v:line>
                      <v:line id="Straight Connector 477" o:spid="_x0000_s1114" style="position:absolute;visibility:visible;mso-wrap-style:square" from="6399,9930" to="642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" strokecolor="gray" strokeweight="1.5pt">
                        <v:stroke joinstyle="miter"/>
                      </v:line>
                      <v:shape id="Straight Arrow Connector 478" o:spid="_x0000_s1115" type="#_x0000_t32" style="position:absolute;left:6420;top:11700;width:135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" strokecolor="gray" strokeweight="1.5pt">
                        <v:stroke endarrow="block" joinstyle="miter"/>
                      </v:shape>
                      <v:shape id="Text Box 400" o:spid="_x0000_s1116" type="#_x0000_t202" style="position:absolute;left:6594;top:10468;width:187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" fillcolor="#c5c4a0" strokeweight=".5pt">
                        <v:textbox>
                          <w:txbxContent>
                            <w:p w14:paraId="2D29C1BB" w14:textId="77777777" w:rsidR="00D34F1C" w:rsidRDefault="00D34F1C" w:rsidP="00604C16">
                              <w:r>
                                <w:t xml:space="preserve">Source expertise High </w:t>
                              </w:r>
                              <w:r>
                                <w:tab/>
                                <w:t xml:space="preserve">    Low </w:t>
                              </w:r>
                            </w:p>
                          </w:txbxContent>
                        </v:textbox>
                      </v:shape>
                      <v:shape id="Straight Arrow Connector 402" o:spid="_x0000_s1117" type="#_x0000_t32" style="position:absolute;left:8472;top:10878;width:4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" strokecolor="gray" strokeweight="1.5pt">
                        <v:stroke endarrow="block" joinstyle="miter"/>
                      </v:shape>
                      <v:shape id="Straight Arrow Connector 398" o:spid="_x0000_s1118" type="#_x0000_t32" style="position:absolute;left:8928;top:10211;width:1;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" strokecolor="gray" strokeweight="1.5pt">
                        <v:stroke endarrow="block" joinstyle="miter"/>
                      </v:shape>
                      <v:shape id="Text Box 397" o:spid="_x0000_s1119" type="#_x0000_t202" style="position:absolute;left:6420;top:14441;width:450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" stroked="f" strokeweight=".5pt">
                        <v:textbox>
                          <w:txbxContent>
                            <w:p w14:paraId="35F9F01C" w14:textId="2E09DB87" w:rsidR="00D34F1C" w:rsidRDefault="00D34F1C" w:rsidP="00604C16">
                              <w:pPr>
                                <w:jc w:val="center"/>
                              </w:pPr>
                              <w:r>
                                <w:t xml:space="preserve">Fig </w:t>
                              </w:r>
                              <w:r w:rsidR="00A26F6C">
                                <w:t>10</w:t>
                              </w:r>
                              <w:r>
                                <w:t>: Role of SCV on Social media engagement</w:t>
                              </w:r>
                            </w:p>
                          </w:txbxContent>
                        </v:textbox>
                      </v:shape>
                      <v:shape id="Text Box 393" o:spid="_x0000_s1120" type="#_x0000_t202" style="position:absolute;left:7065;top:9209;width:2883;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" fillcolor="#a9cbb7" strokeweight=".5pt">
                        <v:textbox>
                          <w:txbxContent>
                            <w:p w14:paraId="0A891B22" w14:textId="71A9EBB0" w:rsidR="00057937" w:rsidRDefault="00057937" w:rsidP="00057937">
                              <w:pPr>
                                <w:pStyle w:val="NoSpacing"/>
                              </w:pPr>
                              <w:r>
                                <w:t xml:space="preserve">Positive vs negative caption accompanying </w:t>
                              </w:r>
                              <w:r w:rsidRPr="003311FC">
                                <w:t xml:space="preserve">ad with </w:t>
                              </w:r>
                              <w:r w:rsidR="00825A54" w:rsidRPr="003311FC">
                                <w:t>sustainability</w:t>
                              </w:r>
                              <w:r w:rsidRPr="003311FC">
                                <w:t xml:space="preserve"> message</w:t>
                              </w:r>
                            </w:p>
                            <w:p w14:paraId="6FF84ACF" w14:textId="77777777" w:rsidR="00D34F1C" w:rsidRDefault="00D34F1C" w:rsidP="00604C16">
                              <w:pPr>
                                <w:pStyle w:val="NoSpacing"/>
                              </w:pPr>
                            </w:p>
                          </w:txbxContent>
                        </v:textbox>
                      </v:shape>
                      <v:shape id="Text Box 394" o:spid="_x0000_s1121" type="#_x0000_t202" style="position:absolute;left:7755;top:11447;width:264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" fillcolor="#c7abff" strokeweight=".5pt">
                        <v:textbox>
                          <w:txbxContent>
                            <w:p w14:paraId="235AE934" w14:textId="77777777" w:rsidR="00D34F1C" w:rsidRDefault="00D34F1C" w:rsidP="00604C16">
                              <w:r>
                                <w:t>Social–media engagement with the ad</w:t>
                              </w:r>
                            </w:p>
                          </w:txbxContent>
                        </v:textbox>
                      </v:shape>
                      <v:shape id="Text Box 395" o:spid="_x0000_s1122" type="#_x0000_t202" style="position:absolute;left:7995;top:12615;width:239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" fillcolor="#c5e0b3" strokeweight=".5pt">
                        <v:textbox>
                          <w:txbxContent>
                            <w:p w14:paraId="348114FE" w14:textId="77777777" w:rsidR="00D34F1C" w:rsidRDefault="00D34F1C" w:rsidP="00604C16">
                              <w:r>
                                <w:t>Purchase intention of the advertised product</w:t>
                              </w:r>
                            </w:p>
                            <w:p w14:paraId="570F2785" w14:textId="77777777" w:rsidR="00D34F1C" w:rsidRDefault="00D34F1C" w:rsidP="00604C16"/>
                          </w:txbxContent>
                        </v:textbox>
                      </v:shape>
                      <v:shape id="Straight Arrow Connector 396" o:spid="_x0000_s1123" type="#_x0000_t32" style="position:absolute;left:8984;top:12209;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" strokecolor="gray" strokeweight="1.5pt">
                        <v:stroke endarrow="block" joinstyle="miter"/>
                      </v:shape>
                    </v:group>
                  </v:group>
                  <v:shape id="Straight Arrow Connector 439" o:spid="_x0000_s1124" type="#_x0000_t32" style="position:absolute;left:1348;top:12115;width:12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" strokecolor="#7f7f7f" strokeweight="1.5pt">
                    <v:stroke endarrow="block" joinstyle="miter"/>
                  </v:shape>
                </v:group>
                <v:group id="Group 440" o:spid="_x0000_s1125" style="position:absolute;left:8953;top:27813;width:15913;height:6889"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25" o:spid="_x0000_s1126"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" fillcolor="#a5a5a5" strokeweight=".25pt">
                    <v:textbox>
                      <w:txbxContent>
                        <w:p w14:paraId="7639C443" w14:textId="77777777" w:rsidR="00D34F1C" w:rsidRDefault="00D34F1C" w:rsidP="00604C16">
                          <w:r>
                            <w:t>Sustainable behaviour intention</w:t>
                          </w:r>
                        </w:p>
                        <w:p w14:paraId="212B3866" w14:textId="77777777" w:rsidR="00D34F1C" w:rsidRDefault="00D34F1C" w:rsidP="00604C16"/>
                      </w:txbxContent>
                    </v:textbox>
                  </v:rect>
                  <v:shape id="AutoShape 13" o:spid="_x0000_s1127"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" strokecolor="#7f7f7f" strokeweight="2.25pt">
                    <v:stroke endarrow="block"/>
                    <v:path arrowok="f"/>
                    <o:lock v:ext="edit" shapetype="f"/>
                  </v:shape>
                </v:group>
                <w10:wrap type="square"/>
              </v:group>
            </w:pict>
          </mc:Fallback>
        </mc:AlternateContent>
      </w:r>
      <w:r w:rsidR="00EA7D02" w:rsidRPr="001159A1">
        <w:rPr>
          <w:rFonts w:ascii="Cambria" w:eastAsia="Calibri" w:hAnsi="Cambria" w:cs="Times New Roman"/>
          <w:sz w:val="24"/>
          <w:szCs w:val="24"/>
        </w:rPr>
        <w:t>I</w:t>
      </w:r>
      <w:r w:rsidR="00C7217E" w:rsidRPr="001159A1">
        <w:rPr>
          <w:rFonts w:ascii="Cambria" w:eastAsia="Calibri" w:hAnsi="Cambria" w:cs="Times New Roman"/>
          <w:sz w:val="24"/>
          <w:szCs w:val="24"/>
        </w:rPr>
        <w:t xml:space="preserve">nvolvement or commitment arises when a customer’s can relate their values, and self–image matched with a product (Bowden 2009; Bhattacharya and Sen 2003). In other words, consumers’ value for </w:t>
      </w:r>
      <w:r w:rsidR="00F351A4" w:rsidRPr="001159A1">
        <w:rPr>
          <w:rFonts w:ascii="Cambria" w:eastAsia="Calibri" w:hAnsi="Cambria" w:cs="Times New Roman"/>
          <w:sz w:val="24"/>
          <w:szCs w:val="24"/>
        </w:rPr>
        <w:t>sustainability</w:t>
      </w:r>
      <w:r w:rsidR="00C7217E" w:rsidRPr="001159A1">
        <w:rPr>
          <w:rFonts w:ascii="Cambria" w:eastAsia="Calibri" w:hAnsi="Cambria" w:cs="Times New Roman"/>
          <w:sz w:val="24"/>
          <w:szCs w:val="24"/>
        </w:rPr>
        <w:t xml:space="preserve"> should be translated into involvement to the </w:t>
      </w:r>
      <w:r w:rsidR="002F50A5"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2F50A5" w:rsidRPr="001159A1">
        <w:rPr>
          <w:rFonts w:ascii="Cambria" w:eastAsia="Calibri" w:hAnsi="Cambria" w:cs="Adobe Devanagari"/>
          <w:sz w:val="24"/>
          <w:szCs w:val="24"/>
        </w:rPr>
        <w:t xml:space="preserve"> message</w:t>
      </w:r>
      <w:r w:rsidR="00C7217E" w:rsidRPr="001159A1">
        <w:rPr>
          <w:rFonts w:ascii="Cambria" w:eastAsia="Calibri" w:hAnsi="Cambria" w:cs="Times New Roman"/>
          <w:sz w:val="24"/>
          <w:szCs w:val="24"/>
        </w:rPr>
        <w:t xml:space="preserve">. Fair trade consumption, </w:t>
      </w:r>
      <w:r w:rsidR="001F0F47" w:rsidRPr="001159A1">
        <w:rPr>
          <w:rFonts w:ascii="Cambria" w:eastAsia="Calibri" w:hAnsi="Cambria" w:cs="Times New Roman"/>
          <w:sz w:val="24"/>
          <w:szCs w:val="24"/>
        </w:rPr>
        <w:t>which addresses</w:t>
      </w:r>
      <w:r w:rsidR="00C7217E" w:rsidRPr="001159A1">
        <w:rPr>
          <w:rFonts w:ascii="Cambria" w:eastAsia="Calibri" w:hAnsi="Cambria" w:cs="Times New Roman"/>
          <w:sz w:val="24"/>
          <w:szCs w:val="24"/>
        </w:rPr>
        <w:t xml:space="preserve"> social justice and equity issues, has been linked with the way people think about the extent of their responsibility, the meaning of fair trade and </w:t>
      </w:r>
      <w:r w:rsidR="003C27AA" w:rsidRPr="001159A1">
        <w:rPr>
          <w:rFonts w:ascii="Cambria" w:eastAsia="Calibri" w:hAnsi="Cambria" w:cs="Times New Roman"/>
          <w:sz w:val="24"/>
          <w:szCs w:val="24"/>
        </w:rPr>
        <w:t xml:space="preserve">the </w:t>
      </w:r>
      <w:r w:rsidR="00755945" w:rsidRPr="001159A1">
        <w:rPr>
          <w:rFonts w:ascii="Cambria" w:eastAsia="Calibri" w:hAnsi="Cambria" w:cs="Times New Roman"/>
          <w:sz w:val="24"/>
          <w:szCs w:val="24"/>
        </w:rPr>
        <w:t>extent of</w:t>
      </w:r>
      <w:r w:rsidR="003C27AA" w:rsidRPr="001159A1">
        <w:rPr>
          <w:rFonts w:ascii="Cambria" w:eastAsia="Calibri" w:hAnsi="Cambria" w:cs="Times New Roman"/>
          <w:sz w:val="24"/>
          <w:szCs w:val="24"/>
        </w:rPr>
        <w:t xml:space="preserve"> their </w:t>
      </w:r>
      <w:r w:rsidR="0071579E" w:rsidRPr="001159A1">
        <w:rPr>
          <w:rFonts w:ascii="Cambria" w:eastAsia="Calibri" w:hAnsi="Cambria" w:cs="Times New Roman"/>
          <w:sz w:val="24"/>
          <w:szCs w:val="24"/>
        </w:rPr>
        <w:t>self</w:t>
      </w:r>
      <w:r w:rsidR="00C7217E" w:rsidRPr="001159A1">
        <w:rPr>
          <w:rFonts w:ascii="Cambria" w:eastAsia="Calibri" w:hAnsi="Cambria" w:cs="Times New Roman"/>
          <w:sz w:val="24"/>
          <w:szCs w:val="24"/>
        </w:rPr>
        <w:t>–image of being an ethical consumer/ citizen. Fascinatingly though, the</w:t>
      </w:r>
      <w:r w:rsidR="00D35D9E" w:rsidRPr="001159A1">
        <w:rPr>
          <w:rFonts w:ascii="Cambria" w:eastAsia="Calibri" w:hAnsi="Cambria" w:cs="Times New Roman"/>
          <w:sz w:val="24"/>
          <w:szCs w:val="24"/>
        </w:rPr>
        <w:t xml:space="preserve"> meaning of social justice or equity</w:t>
      </w:r>
      <w:r w:rsidR="00C7217E" w:rsidRPr="001159A1">
        <w:rPr>
          <w:rFonts w:ascii="Cambria" w:eastAsia="Calibri" w:hAnsi="Cambria" w:cs="Times New Roman"/>
          <w:sz w:val="24"/>
          <w:szCs w:val="24"/>
        </w:rPr>
        <w:t xml:space="preserve"> differ in terms of different cultures (Varul 2009). Ethical obligation is embedded in people’s self–image/ self–identity, which reflect in their choice (Varul 2009) and </w:t>
      </w:r>
      <w:r w:rsidR="00C7217E" w:rsidRPr="00393F06">
        <w:rPr>
          <w:rFonts w:ascii="Cambria" w:eastAsia="Calibri" w:hAnsi="Cambria" w:cs="Times New Roman"/>
          <w:sz w:val="24"/>
          <w:szCs w:val="24"/>
        </w:rPr>
        <w:t xml:space="preserve">associated with higher subjective well–being (Binder and Blankenberg, 2017).  Self–concept has found to be the most significant predictor of green consumption (Lin and Hsu 2015). </w:t>
      </w:r>
      <w:r w:rsidR="00AD27BC" w:rsidRPr="00393F06">
        <w:rPr>
          <w:rFonts w:ascii="Cambria" w:eastAsia="Calibri" w:hAnsi="Cambria" w:cs="Times New Roman"/>
        </w:rPr>
        <w:t>It has been reported that, consumers have altered their lifestyle behaviour as per their identification with environmental issues in order to have positive self–identity (Cho et al 2013)</w:t>
      </w:r>
    </w:p>
    <w:p w14:paraId="57E053B6" w14:textId="03FC8430" w:rsidR="00C7217E" w:rsidRPr="001159A1" w:rsidRDefault="00C7217E">
      <w:pPr>
        <w:spacing w:line="360" w:lineRule="auto"/>
        <w:jc w:val="both"/>
        <w:rPr>
          <w:rFonts w:ascii="Cambria" w:eastAsia="Calibri" w:hAnsi="Cambria" w:cs="Times New Roman"/>
          <w:sz w:val="24"/>
          <w:szCs w:val="24"/>
        </w:rPr>
      </w:pPr>
      <w:r w:rsidRPr="001159A1">
        <w:rPr>
          <w:rFonts w:ascii="Cambria" w:eastAsia="Calibri" w:hAnsi="Cambria" w:cs="Times New Roman"/>
          <w:sz w:val="24"/>
          <w:szCs w:val="24"/>
        </w:rPr>
        <w:t xml:space="preserve">Receiver of a message tends to be more accepting of the message if they can relate themselves with the content (Seo et al 2018). Involvement motive has been proved to be a main reason for the consumers to engage in social–media activity and sustainable behaviour (Minton et al 2012). When consumers can associate themselves with the </w:t>
      </w:r>
      <w:r w:rsidR="00FC04D1" w:rsidRPr="001159A1">
        <w:rPr>
          <w:rFonts w:ascii="Cambria" w:eastAsia="Calibri" w:hAnsi="Cambria" w:cs="Adobe Devanagari"/>
          <w:sz w:val="24"/>
          <w:szCs w:val="24"/>
        </w:rPr>
        <w:t xml:space="preserve">ads with </w:t>
      </w:r>
      <w:r w:rsidR="00E363FB" w:rsidRPr="001159A1">
        <w:rPr>
          <w:rFonts w:ascii="Cambria" w:eastAsia="Calibri" w:hAnsi="Cambria" w:cs="Adobe Devanagari"/>
          <w:sz w:val="24"/>
          <w:szCs w:val="24"/>
        </w:rPr>
        <w:t>sustainability</w:t>
      </w:r>
      <w:r w:rsidR="00FC04D1" w:rsidRPr="001159A1">
        <w:rPr>
          <w:rFonts w:ascii="Cambria" w:eastAsia="Calibri" w:hAnsi="Cambria" w:cs="Adobe Devanagari"/>
          <w:sz w:val="24"/>
          <w:szCs w:val="24"/>
        </w:rPr>
        <w:t xml:space="preserve"> message</w:t>
      </w:r>
      <w:r w:rsidR="00FC04D1"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it increases the possibility to readily evaluate the </w:t>
      </w:r>
      <w:r w:rsidR="00C16626" w:rsidRPr="001159A1">
        <w:rPr>
          <w:rFonts w:ascii="Cambria" w:eastAsia="Times New Roman" w:hAnsi="Cambria" w:cs="Times New Roman"/>
          <w:sz w:val="24"/>
          <w:szCs w:val="24"/>
        </w:rPr>
        <w:t>products with sustainability association</w:t>
      </w:r>
      <w:r w:rsidR="00C16626" w:rsidRPr="001159A1">
        <w:rPr>
          <w:rFonts w:ascii="Cambria" w:eastAsia="Calibri" w:hAnsi="Cambria" w:cs="Times New Roman"/>
          <w:sz w:val="24"/>
          <w:szCs w:val="24"/>
        </w:rPr>
        <w:t xml:space="preserve"> </w:t>
      </w:r>
      <w:r w:rsidRPr="001159A1">
        <w:rPr>
          <w:rFonts w:ascii="Cambria" w:eastAsia="Calibri" w:hAnsi="Cambria" w:cs="Times New Roman"/>
          <w:sz w:val="24"/>
          <w:szCs w:val="24"/>
        </w:rPr>
        <w:t>(Han et al 2019). Consumers’ purchase intention is influenced by the companies’ environmental performance. This is especially true for consumers with higher environmental involvement (Grimmer and Bingham 2013; Bhattacharya et al, 1995</w:t>
      </w:r>
      <w:r w:rsidR="00A11D23" w:rsidRPr="001159A1">
        <w:rPr>
          <w:rFonts w:ascii="Cambria" w:eastAsia="Calibri" w:hAnsi="Cambria" w:cs="Times New Roman"/>
          <w:sz w:val="24"/>
          <w:szCs w:val="24"/>
        </w:rPr>
        <w:t>; Cervellon 2012</w:t>
      </w:r>
      <w:r w:rsidRPr="001159A1">
        <w:rPr>
          <w:rFonts w:ascii="Cambria" w:eastAsia="Calibri" w:hAnsi="Cambria" w:cs="Times New Roman"/>
          <w:sz w:val="24"/>
          <w:szCs w:val="24"/>
        </w:rPr>
        <w:t xml:space="preserve">). Study shows that if any company advocated for a specific issue they cared about, 87% of Americans would purchase a product from a company (www.weforum.org, 2018). So, depending on to what extent the theme of the ad matches with consumers’ value of sustainability will dictates the level of their commitment or involvement to the ad (Fig </w:t>
      </w:r>
      <w:r w:rsidR="0071579E">
        <w:rPr>
          <w:rFonts w:ascii="Cambria" w:eastAsia="Calibri" w:hAnsi="Cambria" w:cs="Times New Roman"/>
          <w:sz w:val="24"/>
          <w:szCs w:val="24"/>
        </w:rPr>
        <w:t>10</w:t>
      </w:r>
      <w:r w:rsidRPr="001159A1">
        <w:rPr>
          <w:rFonts w:ascii="Cambria" w:eastAsia="Calibri" w:hAnsi="Cambria" w:cs="Times New Roman"/>
          <w:sz w:val="24"/>
          <w:szCs w:val="24"/>
        </w:rPr>
        <w:t xml:space="preserve">). </w:t>
      </w:r>
    </w:p>
    <w:p w14:paraId="53F85771" w14:textId="3CEB6AC1" w:rsidR="00C7217E" w:rsidRPr="00530906" w:rsidRDefault="00C7217E">
      <w:pPr>
        <w:spacing w:line="360" w:lineRule="auto"/>
        <w:jc w:val="both"/>
        <w:rPr>
          <w:rFonts w:ascii="Cambria" w:eastAsia="Calibri" w:hAnsi="Cambria" w:cs="Times New Roman"/>
          <w:sz w:val="24"/>
          <w:szCs w:val="24"/>
        </w:rPr>
      </w:pPr>
      <w:r w:rsidRPr="001159A1">
        <w:rPr>
          <w:rFonts w:ascii="Cambria" w:eastAsia="Calibri" w:hAnsi="Cambria" w:cs="Times New Roman"/>
          <w:sz w:val="24"/>
          <w:szCs w:val="24"/>
        </w:rPr>
        <w:t>Petty and Cacioppo (1984) has taken personal relevance as involvement</w:t>
      </w:r>
      <w:r w:rsidR="00A11D23" w:rsidRPr="001159A1">
        <w:rPr>
          <w:rFonts w:ascii="Cambria" w:eastAsia="Calibri" w:hAnsi="Cambria" w:cs="Times New Roman"/>
          <w:sz w:val="24"/>
          <w:szCs w:val="24"/>
        </w:rPr>
        <w:t>. T</w:t>
      </w:r>
      <w:r w:rsidRPr="001159A1">
        <w:rPr>
          <w:rFonts w:ascii="Cambria" w:eastAsia="Calibri" w:hAnsi="Cambria" w:cs="Times New Roman"/>
          <w:sz w:val="24"/>
          <w:szCs w:val="24"/>
        </w:rPr>
        <w:t>he more relevant the advertisement is the more vivid the mental image is (Yim et al 2018). Consumption vision may motivate to undertake purchase behaviour by envisioning themselves in the consumption vision as means to achieve self–relevant goal (Phillips 1996). Kidwell et al (2013)’s research on sustainable behaviour shows that the congruency of a person’s relevant issues with the message generates more fluency in mental process, which is similar to mental imagery in SCV (Yim et al 2018). Since consumers are likely to incorporate their self–concept or self–focused thoughts</w:t>
      </w:r>
      <w:r w:rsidR="00CE608B" w:rsidRPr="001159A1">
        <w:rPr>
          <w:rFonts w:ascii="Cambria" w:eastAsia="Calibri" w:hAnsi="Cambria" w:cs="Times New Roman"/>
          <w:sz w:val="24"/>
          <w:szCs w:val="24"/>
        </w:rPr>
        <w:t xml:space="preserve"> with the advertised product</w:t>
      </w:r>
      <w:r w:rsidRPr="001159A1">
        <w:rPr>
          <w:rFonts w:ascii="Cambria" w:eastAsia="Calibri" w:hAnsi="Cambria" w:cs="Times New Roman"/>
          <w:sz w:val="24"/>
          <w:szCs w:val="24"/>
        </w:rPr>
        <w:t>, while engaging into SCV (Yim et al 2018), concern of the sustainability problems (</w:t>
      </w:r>
      <w:r w:rsidRPr="001159A1">
        <w:rPr>
          <w:rFonts w:ascii="Cambria" w:eastAsia="Calibri" w:hAnsi="Cambria" w:cs="Adobe Devanagari"/>
          <w:sz w:val="24"/>
          <w:szCs w:val="24"/>
        </w:rPr>
        <w:t>Davari and Strutton 2014; McDonagh and Prothero 2014</w:t>
      </w:r>
      <w:r w:rsidRPr="001159A1">
        <w:rPr>
          <w:rFonts w:ascii="Cambria" w:eastAsia="Calibri" w:hAnsi="Cambria" w:cs="Times New Roman"/>
          <w:sz w:val="24"/>
          <w:szCs w:val="24"/>
        </w:rPr>
        <w:t xml:space="preserve">) should cause </w:t>
      </w:r>
      <w:r w:rsidR="00384EA0" w:rsidRPr="001159A1">
        <w:rPr>
          <w:rFonts w:ascii="Cambria" w:eastAsia="Calibri" w:hAnsi="Cambria" w:cs="Adobe Devanagari"/>
          <w:sz w:val="24"/>
          <w:szCs w:val="24"/>
        </w:rPr>
        <w:t xml:space="preserve">ad with </w:t>
      </w:r>
      <w:r w:rsidR="00E363FB" w:rsidRPr="001159A1">
        <w:rPr>
          <w:rFonts w:ascii="Cambria" w:eastAsia="Calibri" w:hAnsi="Cambria" w:cs="Adobe Devanagari"/>
          <w:sz w:val="24"/>
          <w:szCs w:val="24"/>
        </w:rPr>
        <w:t>sustainability</w:t>
      </w:r>
      <w:r w:rsidR="00384EA0" w:rsidRPr="001159A1">
        <w:rPr>
          <w:rFonts w:ascii="Cambria" w:eastAsia="Calibri" w:hAnsi="Cambria" w:cs="Adobe Devanagari"/>
          <w:sz w:val="24"/>
          <w:szCs w:val="24"/>
        </w:rPr>
        <w:t xml:space="preserve"> message</w:t>
      </w:r>
      <w:r w:rsidR="00384EA0" w:rsidRPr="001159A1">
        <w:rPr>
          <w:rFonts w:ascii="Cambria" w:eastAsia="Calibri" w:hAnsi="Cambria" w:cs="Times New Roman"/>
          <w:sz w:val="24"/>
          <w:szCs w:val="24"/>
        </w:rPr>
        <w:t xml:space="preserve"> </w:t>
      </w:r>
      <w:r w:rsidRPr="001159A1">
        <w:rPr>
          <w:rFonts w:ascii="Cambria" w:eastAsia="Calibri" w:hAnsi="Cambria" w:cs="Times New Roman"/>
          <w:sz w:val="24"/>
          <w:szCs w:val="24"/>
        </w:rPr>
        <w:t xml:space="preserve">to be more influential </w:t>
      </w:r>
      <w:r w:rsidRPr="00530906">
        <w:rPr>
          <w:rFonts w:ascii="Cambria" w:eastAsia="Calibri" w:hAnsi="Cambria" w:cs="Times New Roman"/>
          <w:sz w:val="24"/>
          <w:szCs w:val="24"/>
        </w:rPr>
        <w:t>on SCV.</w:t>
      </w:r>
    </w:p>
    <w:p w14:paraId="793F5A39" w14:textId="479AA0A6"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6"/>
          <w:szCs w:val="26"/>
        </w:rPr>
      </w:pPr>
      <w:bookmarkStart w:id="37" w:name="_Toc115726228"/>
      <w:r w:rsidRPr="00530906">
        <w:rPr>
          <w:rFonts w:ascii="Cambria" w:eastAsia="Calibri" w:hAnsi="Cambria" w:cs="Times New Roman"/>
          <w:color w:val="2E74B5"/>
          <w:sz w:val="26"/>
          <w:szCs w:val="26"/>
        </w:rPr>
        <w:t>2.</w:t>
      </w:r>
      <w:r w:rsidR="00D04819" w:rsidRPr="00530906">
        <w:rPr>
          <w:rFonts w:ascii="Cambria" w:eastAsia="Calibri" w:hAnsi="Cambria" w:cs="Times New Roman"/>
          <w:color w:val="2E74B5"/>
          <w:sz w:val="26"/>
          <w:szCs w:val="26"/>
        </w:rPr>
        <w:t>9</w:t>
      </w:r>
      <w:r w:rsidRPr="00530906">
        <w:rPr>
          <w:rFonts w:ascii="Cambria" w:eastAsia="Calibri" w:hAnsi="Cambria" w:cs="Times New Roman"/>
          <w:color w:val="2E74B5"/>
          <w:sz w:val="26"/>
          <w:szCs w:val="26"/>
        </w:rPr>
        <w:t xml:space="preserve">. </w:t>
      </w:r>
      <w:r w:rsidR="0045598F" w:rsidRPr="00530906">
        <w:rPr>
          <w:rFonts w:ascii="Cambria" w:eastAsia="Calibri" w:hAnsi="Cambria" w:cs="Times New Roman"/>
          <w:color w:val="2E74B5"/>
          <w:sz w:val="26"/>
          <w:szCs w:val="26"/>
        </w:rPr>
        <w:t>Self-transformative Consumption Vision (</w:t>
      </w:r>
      <w:r w:rsidRPr="00530906">
        <w:rPr>
          <w:rFonts w:ascii="Cambria" w:eastAsia="Calibri" w:hAnsi="Cambria" w:cs="Times New Roman"/>
          <w:color w:val="2E74B5"/>
          <w:sz w:val="26"/>
          <w:szCs w:val="26"/>
        </w:rPr>
        <w:t>SCV</w:t>
      </w:r>
      <w:r w:rsidR="0045598F" w:rsidRPr="00530906">
        <w:rPr>
          <w:rFonts w:ascii="Cambria" w:eastAsia="Calibri" w:hAnsi="Cambria" w:cs="Times New Roman"/>
          <w:color w:val="2E74B5"/>
          <w:sz w:val="26"/>
          <w:szCs w:val="26"/>
        </w:rPr>
        <w:t>)</w:t>
      </w:r>
      <w:bookmarkEnd w:id="37"/>
    </w:p>
    <w:p w14:paraId="0E752430" w14:textId="640A94F1" w:rsidR="00C7217E" w:rsidRPr="00D94CDB"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w:t>
      </w:r>
      <w:r w:rsidRPr="00530906">
        <w:rPr>
          <w:rFonts w:ascii="Cambria" w:eastAsia="Calibri" w:hAnsi="Cambria" w:cs="Times New Roman"/>
          <w:i/>
          <w:iCs/>
          <w:sz w:val="24"/>
          <w:szCs w:val="24"/>
        </w:rPr>
        <w:t>As a person's mental visualization process of creating a self–involved imaginative future incident, story or narrative about a product or service in which the consumption outcome is envisioned. The self–transformation occurs as a person allows himself or herself to mentally experience the personal consumption to such a degree that the incident may in some cases be so vivid as to be perceived as having actually occurred.”</w:t>
      </w:r>
      <w:r w:rsidRPr="00530906">
        <w:rPr>
          <w:rFonts w:ascii="Cambria" w:eastAsia="Calibri" w:hAnsi="Cambria" w:cs="Times New Roman"/>
          <w:sz w:val="24"/>
          <w:szCs w:val="24"/>
        </w:rPr>
        <w:t xml:space="preserve"> (Yim et al 2018, p. 2). Consumers tend to envision themselves in the tentative future consumption, which is a series of vivid mental images of product related behaviour and the resulting outcome. Thus, they can </w:t>
      </w:r>
      <w:r w:rsidRPr="00D94CDB">
        <w:rPr>
          <w:rFonts w:ascii="Cambria" w:eastAsia="Calibri" w:hAnsi="Cambria" w:cs="Times New Roman"/>
          <w:sz w:val="24"/>
          <w:szCs w:val="24"/>
        </w:rPr>
        <w:t xml:space="preserve">predict the actual outcome of the computation more accurately (Phillips et al 1995). This in turn influence the actual purchase behaviour of the consumers (Phillips 1996). Since consumption vision is a way to evaluate the products, it is particularly important for which consumers have limited experience or where the consumption problem is inadequately defined or where consumption is associated with motional consideration (Phillips et al 1995). Each of these scenario fits with the issues faced while promoting </w:t>
      </w:r>
      <w:r w:rsidR="00C16626" w:rsidRPr="00D94CDB">
        <w:rPr>
          <w:rFonts w:ascii="Cambria" w:eastAsia="Times New Roman" w:hAnsi="Cambria" w:cs="Times New Roman"/>
          <w:sz w:val="24"/>
          <w:szCs w:val="24"/>
        </w:rPr>
        <w:t>products with sustainability association</w:t>
      </w:r>
      <w:r w:rsidRPr="00D94CDB">
        <w:rPr>
          <w:rFonts w:ascii="Cambria" w:eastAsia="Calibri" w:hAnsi="Cambria" w:cs="Times New Roman"/>
          <w:sz w:val="24"/>
          <w:szCs w:val="24"/>
        </w:rPr>
        <w:t>, because consumers also have limited experience with th</w:t>
      </w:r>
      <w:r w:rsidR="00C16626" w:rsidRPr="00D94CDB">
        <w:rPr>
          <w:rFonts w:ascii="Cambria" w:eastAsia="Calibri" w:hAnsi="Cambria" w:cs="Times New Roman"/>
          <w:sz w:val="24"/>
          <w:szCs w:val="24"/>
        </w:rPr>
        <w:t xml:space="preserve">ese </w:t>
      </w:r>
      <w:r w:rsidRPr="00D94CDB">
        <w:rPr>
          <w:rFonts w:ascii="Cambria" w:eastAsia="Calibri" w:hAnsi="Cambria" w:cs="Times New Roman"/>
          <w:sz w:val="24"/>
          <w:szCs w:val="24"/>
        </w:rPr>
        <w:t xml:space="preserve">products (Axsen et al 2013). Hence, consumers’ evaluation process of a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is assessed from the lance of SCV.</w:t>
      </w:r>
    </w:p>
    <w:p w14:paraId="3EF9F312" w14:textId="77777777" w:rsidR="00C7217E" w:rsidRPr="00D94CDB" w:rsidRDefault="00C7217E">
      <w:pPr>
        <w:spacing w:line="360" w:lineRule="auto"/>
        <w:ind w:right="95"/>
        <w:jc w:val="both"/>
        <w:rPr>
          <w:rFonts w:ascii="Cambria" w:eastAsia="Calibri" w:hAnsi="Cambria" w:cs="Times New Roman"/>
          <w:sz w:val="24"/>
          <w:szCs w:val="24"/>
        </w:rPr>
      </w:pPr>
      <w:r w:rsidRPr="00D94CDB">
        <w:rPr>
          <w:rFonts w:ascii="Cambria" w:eastAsia="Calibri" w:hAnsi="Cambria" w:cs="Times New Roman"/>
          <w:sz w:val="24"/>
          <w:szCs w:val="24"/>
        </w:rPr>
        <w:t xml:space="preserve">Yim et al (2018) has introduced SCV based on theories like– consumption vision, mental imagery process, self–projection etc. </w:t>
      </w:r>
      <w:bookmarkStart w:id="38" w:name="_Hlk67585740"/>
      <w:r w:rsidRPr="00D94CDB">
        <w:rPr>
          <w:rFonts w:ascii="Cambria" w:eastAsia="Calibri" w:hAnsi="Cambria" w:cs="Times New Roman"/>
          <w:sz w:val="24"/>
          <w:szCs w:val="24"/>
        </w:rPr>
        <w:t xml:space="preserve">Phillips et al (1995) </w:t>
      </w:r>
      <w:bookmarkEnd w:id="38"/>
      <w:r w:rsidRPr="00D94CDB">
        <w:rPr>
          <w:rFonts w:ascii="Cambria" w:eastAsia="Calibri" w:hAnsi="Cambria" w:cs="Times New Roman"/>
          <w:sz w:val="24"/>
          <w:szCs w:val="24"/>
        </w:rPr>
        <w:t>indicated that consumption vison may also take narrative form– “From a narrative perspective, consumption visions are "stories" created by the decision–making consumer” (p: 281). It implies there are similar concepts like SCV in literatures like– ‘narrative transportation’ (Green and Brock 2000; Phillips and McQuarrie 2010; Nielsen et al 2018; Escalas 2004; Phillips and McQuarrie 2010), ‘mental imagery’ (</w:t>
      </w:r>
      <w:bookmarkStart w:id="39" w:name="_Hlk67425332"/>
      <w:r w:rsidRPr="00D94CDB">
        <w:rPr>
          <w:rFonts w:ascii="Cambria" w:eastAsia="Calibri" w:hAnsi="Cambria" w:cs="Times New Roman"/>
          <w:sz w:val="24"/>
          <w:szCs w:val="24"/>
        </w:rPr>
        <w:t>Barsalou, 2008</w:t>
      </w:r>
      <w:bookmarkEnd w:id="39"/>
      <w:r w:rsidRPr="00D94CDB">
        <w:rPr>
          <w:rFonts w:ascii="Cambria" w:eastAsia="Calibri" w:hAnsi="Cambria" w:cs="Times New Roman"/>
          <w:sz w:val="24"/>
          <w:szCs w:val="24"/>
        </w:rPr>
        <w:t xml:space="preserve">; Shiv and Huber 2000), consumption vision’ (Phillips 1996; Phillips et al 1995), ‘anticipatory mental image’ (Christensen et al 2004), ‘evoked imagery’ (Bone and Ellen 1992) etc. </w:t>
      </w:r>
    </w:p>
    <w:p w14:paraId="15EEC4C5" w14:textId="436C2104" w:rsidR="00C7217E" w:rsidRPr="00D94CDB" w:rsidRDefault="00C7217E">
      <w:pPr>
        <w:spacing w:line="360" w:lineRule="auto"/>
        <w:ind w:right="95"/>
        <w:jc w:val="both"/>
        <w:rPr>
          <w:rFonts w:ascii="Cambria" w:eastAsia="Calibri" w:hAnsi="Cambria" w:cs="Times New Roman"/>
          <w:sz w:val="24"/>
          <w:szCs w:val="24"/>
        </w:rPr>
      </w:pPr>
      <w:r w:rsidRPr="00D94CDB">
        <w:rPr>
          <w:rFonts w:ascii="Cambria" w:eastAsia="Calibri" w:hAnsi="Cambria" w:cs="Times New Roman"/>
          <w:sz w:val="24"/>
          <w:szCs w:val="24"/>
        </w:rPr>
        <w:t>Yim et al (2018) have tested other theoretical constructs similar to SCV like– mental imagery, existing consumption vision, presence, and immersion against SCV and proved that SCV has greater empirical application than those afore mentioned constructs. Moreover, SCV is distinguished from those constructs for two reasons. Firstly, most constructs representing mental imagery have been defined as the individual visualising him/ herself in the act (Chang 2012; Christensen et al 2004; Christensen et al 2004;</w:t>
      </w:r>
      <w:bookmarkStart w:id="40" w:name="_Hlk67511816"/>
      <w:r w:rsidRPr="00D94CDB">
        <w:rPr>
          <w:rFonts w:ascii="Cambria" w:eastAsia="Calibri" w:hAnsi="Cambria" w:cs="Times New Roman"/>
          <w:sz w:val="24"/>
          <w:szCs w:val="24"/>
        </w:rPr>
        <w:t xml:space="preserve"> Hirschman 1983</w:t>
      </w:r>
      <w:bookmarkEnd w:id="40"/>
      <w:r w:rsidRPr="00D94CDB">
        <w:rPr>
          <w:rFonts w:ascii="Cambria" w:eastAsia="Calibri" w:hAnsi="Cambria" w:cs="Times New Roman"/>
          <w:sz w:val="24"/>
          <w:szCs w:val="24"/>
        </w:rPr>
        <w:t>; Nielson et al 2018; Phillips 1996; Phillips et al 1995), yet the items did not focus on ‘self’. The underlying assumption of SCV construct is that</w:t>
      </w:r>
      <w:r w:rsidR="00094B70">
        <w:rPr>
          <w:rFonts w:ascii="Cambria" w:eastAsia="Calibri" w:hAnsi="Cambria" w:cs="Times New Roman"/>
          <w:sz w:val="24"/>
          <w:szCs w:val="24"/>
        </w:rPr>
        <w:t>,</w:t>
      </w:r>
      <w:r w:rsidRPr="00D94CDB">
        <w:rPr>
          <w:rFonts w:ascii="Cambria" w:eastAsia="Calibri" w:hAnsi="Cambria" w:cs="Times New Roman"/>
          <w:sz w:val="24"/>
          <w:szCs w:val="24"/>
        </w:rPr>
        <w:t xml:space="preserve"> consumers are capable of producing self–related imagery with their subjective cognitive and affective mental resources</w:t>
      </w:r>
      <w:r w:rsidR="006F4FFF" w:rsidRPr="00D94CDB">
        <w:rPr>
          <w:rFonts w:ascii="Cambria" w:eastAsia="Calibri" w:hAnsi="Cambria" w:cs="Times New Roman"/>
          <w:sz w:val="24"/>
          <w:szCs w:val="24"/>
        </w:rPr>
        <w:t>.</w:t>
      </w:r>
      <w:r w:rsidRPr="00D94CDB">
        <w:rPr>
          <w:rFonts w:ascii="Cambria" w:eastAsia="Calibri" w:hAnsi="Cambria" w:cs="Times New Roman"/>
          <w:sz w:val="24"/>
          <w:szCs w:val="24"/>
        </w:rPr>
        <w:t xml:space="preserve"> </w:t>
      </w:r>
      <w:r w:rsidR="006F4FFF" w:rsidRPr="00D94CDB">
        <w:rPr>
          <w:rFonts w:ascii="Cambria" w:eastAsia="Calibri" w:hAnsi="Cambria" w:cs="Times New Roman"/>
          <w:sz w:val="24"/>
          <w:szCs w:val="24"/>
        </w:rPr>
        <w:t xml:space="preserve">SCV focuses on ‘self–projection of the expected scenario, which might facilitate reliable redirection of future consumption intention </w:t>
      </w:r>
      <w:r w:rsidRPr="00D94CDB">
        <w:rPr>
          <w:rFonts w:ascii="Cambria" w:eastAsia="Calibri" w:hAnsi="Cambria" w:cs="Times New Roman"/>
          <w:sz w:val="24"/>
          <w:szCs w:val="24"/>
        </w:rPr>
        <w:t xml:space="preserve">(Yim et al 2018). When an individual can imagine themselves in the evoked consumption vision/ image, they can create greater imagery (Bone and Ellen 1992).  Secondly, unlike broad range of imagery measures of prior theoretical constructs, the sub–dimensions of SCV are designed to capture the vividness of self–relevant physiological mental state and conditions (for example, engagement with the stimuli/ advertisement). The subdivisions are– image quality, mental fluency, engrossment, and self–projection (Yim et al 2018). </w:t>
      </w:r>
    </w:p>
    <w:p w14:paraId="03FF7B22" w14:textId="77777777" w:rsidR="00C7217E" w:rsidRPr="00D94CDB" w:rsidRDefault="00C7217E">
      <w:pPr>
        <w:spacing w:line="360" w:lineRule="auto"/>
        <w:ind w:left="567" w:hanging="567"/>
        <w:jc w:val="both"/>
        <w:rPr>
          <w:rFonts w:ascii="Cambria" w:eastAsia="Calibri" w:hAnsi="Cambria" w:cs="Times New Roman"/>
          <w:sz w:val="24"/>
          <w:szCs w:val="24"/>
        </w:rPr>
      </w:pPr>
      <w:r w:rsidRPr="00D94CDB">
        <w:rPr>
          <w:rFonts w:ascii="Cambria" w:eastAsia="Calibri" w:hAnsi="Cambria" w:cs="Times New Roman"/>
          <w:sz w:val="24"/>
          <w:szCs w:val="24"/>
        </w:rPr>
        <w:t xml:space="preserve">Image quality: This dimension refers to the vividness of the mental projection. The more vividly a consumer can imagine the actual experience the more the advertise will help the judge the product (Bone and Ellen 1992; Schlosser 2003). </w:t>
      </w:r>
    </w:p>
    <w:p w14:paraId="7B23785A" w14:textId="77777777" w:rsidR="00C7217E" w:rsidRPr="00D94CDB" w:rsidRDefault="00C7217E">
      <w:pPr>
        <w:spacing w:line="360" w:lineRule="auto"/>
        <w:ind w:left="567" w:hanging="567"/>
        <w:jc w:val="both"/>
        <w:rPr>
          <w:rFonts w:ascii="Cambria" w:eastAsia="Calibri" w:hAnsi="Cambria" w:cs="Times New Roman"/>
          <w:sz w:val="24"/>
          <w:szCs w:val="24"/>
        </w:rPr>
      </w:pPr>
      <w:r w:rsidRPr="00D94CDB">
        <w:rPr>
          <w:rFonts w:ascii="Cambria" w:eastAsia="Calibri" w:hAnsi="Cambria" w:cs="Times New Roman"/>
          <w:sz w:val="24"/>
          <w:szCs w:val="24"/>
        </w:rPr>
        <w:t xml:space="preserve">Mental fluency: This dimension refers to the required effort of the individual to generate the image (ease of comprehension). The more relevant the marketing communication information is to the customer the more easily they can invest their cognitive resources for imagery processing (Kidwell et al 2013). </w:t>
      </w:r>
    </w:p>
    <w:p w14:paraId="1ACD0CF5" w14:textId="77777777" w:rsidR="00C7217E" w:rsidRPr="00D94CDB" w:rsidRDefault="00C7217E">
      <w:pPr>
        <w:spacing w:line="360" w:lineRule="auto"/>
        <w:ind w:left="567" w:hanging="567"/>
        <w:jc w:val="both"/>
        <w:rPr>
          <w:rFonts w:ascii="Cambria" w:eastAsia="Calibri" w:hAnsi="Cambria" w:cs="Times New Roman"/>
          <w:sz w:val="24"/>
          <w:szCs w:val="24"/>
        </w:rPr>
      </w:pPr>
      <w:r w:rsidRPr="00D94CDB">
        <w:rPr>
          <w:rFonts w:ascii="Cambria" w:eastAsia="Calibri" w:hAnsi="Cambria" w:cs="Times New Roman"/>
          <w:sz w:val="24"/>
          <w:szCs w:val="24"/>
        </w:rPr>
        <w:t>Engrossment: This dimension denotes the heightened state of attention toward the stimuli that dissociate the person from the reality to some extent (Yim et al 2018). This dimension is similar to the concept ‘narrative transportation’, which denotes individual’s escape from reality to the story world; in many cases advertisement (Seo et al 2018)</w:t>
      </w:r>
    </w:p>
    <w:p w14:paraId="4776DB03" w14:textId="77777777" w:rsidR="00C7217E" w:rsidRPr="00D94CDB" w:rsidRDefault="00C7217E">
      <w:pPr>
        <w:spacing w:line="360" w:lineRule="auto"/>
        <w:ind w:left="567" w:hanging="567"/>
        <w:jc w:val="both"/>
        <w:rPr>
          <w:rFonts w:ascii="Cambria" w:eastAsia="Calibri" w:hAnsi="Cambria" w:cs="Times New Roman"/>
          <w:sz w:val="24"/>
          <w:szCs w:val="24"/>
        </w:rPr>
      </w:pPr>
      <w:r w:rsidRPr="00D94CDB">
        <w:rPr>
          <w:rFonts w:ascii="Cambria" w:eastAsia="Calibri" w:hAnsi="Cambria" w:cs="Times New Roman"/>
          <w:sz w:val="24"/>
          <w:szCs w:val="24"/>
        </w:rPr>
        <w:t xml:space="preserve">Self–projection: this distinguishing dimension which separates SCV with other mental imagery theories, represents the extent to which the consumers can envision themselves in the consumption situation (Yim et al 2018). </w:t>
      </w:r>
    </w:p>
    <w:p w14:paraId="35BCCAEC" w14:textId="77777777" w:rsidR="00C7217E" w:rsidRPr="00D94CDB"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Previous studies looked into mental vision through different aspects, like– visual imagery was used to look into moral dilemma (Amit and Greene 2012), evoked imagery/ consumption vision/ mental stimulation was proved responsible for enhancing ad attitude (Bone and Ellen 1992; </w:t>
      </w:r>
      <w:bookmarkStart w:id="41" w:name="_Hlk67485113"/>
      <w:r w:rsidRPr="00D94CDB">
        <w:rPr>
          <w:rFonts w:ascii="Cambria" w:eastAsia="Calibri" w:hAnsi="Cambria" w:cs="Times New Roman"/>
          <w:sz w:val="24"/>
          <w:szCs w:val="24"/>
        </w:rPr>
        <w:t>Chang 2012</w:t>
      </w:r>
      <w:bookmarkEnd w:id="41"/>
      <w:r w:rsidRPr="00D94CDB">
        <w:rPr>
          <w:rFonts w:ascii="Cambria" w:eastAsia="Calibri" w:hAnsi="Cambria" w:cs="Times New Roman"/>
          <w:sz w:val="24"/>
          <w:szCs w:val="24"/>
        </w:rPr>
        <w:t xml:space="preserve">; Escalas 2004), and strategies that can evoke mental imagery (Walter et al 2007). Consumers formulate the consumption vision depending on the relevancy of that vision to themselves (Chang 2012; </w:t>
      </w:r>
      <w:bookmarkStart w:id="42" w:name="_Hlk67497612"/>
      <w:r w:rsidRPr="00D94CDB">
        <w:rPr>
          <w:rFonts w:ascii="Cambria" w:eastAsia="Calibri" w:hAnsi="Cambria" w:cs="Times New Roman"/>
          <w:sz w:val="24"/>
          <w:szCs w:val="24"/>
        </w:rPr>
        <w:t>Christensen et al 2004</w:t>
      </w:r>
      <w:bookmarkEnd w:id="42"/>
      <w:r w:rsidRPr="00D94CDB">
        <w:rPr>
          <w:rFonts w:ascii="Cambria" w:eastAsia="Calibri" w:hAnsi="Cambria" w:cs="Times New Roman"/>
          <w:sz w:val="24"/>
          <w:szCs w:val="24"/>
        </w:rPr>
        <w:t xml:space="preserve">). The intensity of evoked imagery from and ad has proved to positively effect ad attitude, which in turn increase the possibility of buying intention of the brand (Bone and Ellen 1992; Phillips 1996). Specially for hedonic aspect of a product, the imaginal response results into purchase intention through affective response (Lacher and Mizerski 1994; Chang 2012). Escalas (2004), Phillips and McQuarrie (2010), and Nielsen et al (2018) have considered the impact narrative transportation (immersion/ engrossed into the text/ ad) and found that people engaged in mental stimulation have the possibility to transport themselves in their self–generated stories. Hirschman (1983) suggested that the consumer use product in their self–included imagination to generate pleasant feelings. Nielsen et al (2018) have studied the effect of consumers’ engrossment in relation to new product and the subsequent generation of positive emotion. </w:t>
      </w:r>
    </w:p>
    <w:p w14:paraId="26C1887E" w14:textId="7BD88B2F" w:rsidR="00C7217E" w:rsidRPr="00D94CDB"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It has been argued that mental imagery offers the best explanation of the working mechanism of a stimulation (</w:t>
      </w:r>
      <w:r w:rsidRPr="00D94CDB">
        <w:rPr>
          <w:rFonts w:ascii="Cambria" w:eastAsiaTheme="minorEastAsia" w:hAnsi="Cambria" w:cs="JansonText-Roman"/>
          <w:sz w:val="24"/>
          <w:szCs w:val="24"/>
        </w:rPr>
        <w:t>Barsalou 2007</w:t>
      </w:r>
      <w:r w:rsidRPr="00D94CDB">
        <w:rPr>
          <w:rFonts w:ascii="Cambria" w:eastAsia="Calibri" w:hAnsi="Cambria" w:cs="Times New Roman"/>
          <w:sz w:val="24"/>
          <w:szCs w:val="24"/>
        </w:rPr>
        <w:t xml:space="preserve">). SCV can provide substantial rigor to assess the underlying mechanism to be engaged in social media on </w:t>
      </w:r>
      <w:r w:rsidR="002F50A5"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2F50A5" w:rsidRPr="00D94CDB">
        <w:rPr>
          <w:rFonts w:ascii="Cambria" w:eastAsia="Calibri" w:hAnsi="Cambria" w:cs="Adobe Devanagari"/>
          <w:sz w:val="24"/>
          <w:szCs w:val="24"/>
        </w:rPr>
        <w:t xml:space="preserve"> message</w:t>
      </w:r>
      <w:r w:rsidRPr="00D94CDB">
        <w:rPr>
          <w:rFonts w:ascii="Cambria" w:eastAsia="Calibri" w:hAnsi="Cambria" w:cs="Times New Roman"/>
          <w:sz w:val="24"/>
          <w:szCs w:val="24"/>
        </w:rPr>
        <w:t xml:space="preserve">, because of two reasons– firstly, </w:t>
      </w:r>
      <w:r w:rsidR="002F50A5"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2F50A5" w:rsidRPr="00D94CDB">
        <w:rPr>
          <w:rFonts w:ascii="Cambria" w:eastAsia="Calibri" w:hAnsi="Cambria" w:cs="Adobe Devanagari"/>
          <w:sz w:val="24"/>
          <w:szCs w:val="24"/>
        </w:rPr>
        <w:t xml:space="preserve"> message</w:t>
      </w:r>
      <w:r w:rsidR="002F50A5"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has rejected in the fear of attempting ‘greenwashing’. Secondly, consumers are uncertain about the sustainability products, since information may be ambiguous to the consumers. SCV may address both issues. For sustainable products with new, </w:t>
      </w:r>
      <w:r w:rsidR="00094B70" w:rsidRPr="00D94CDB">
        <w:rPr>
          <w:rFonts w:ascii="Cambria" w:eastAsia="Calibri" w:hAnsi="Cambria" w:cs="Times New Roman"/>
          <w:sz w:val="24"/>
          <w:szCs w:val="24"/>
        </w:rPr>
        <w:t>uncertain,</w:t>
      </w:r>
      <w:r w:rsidRPr="00D94CDB">
        <w:rPr>
          <w:rFonts w:ascii="Cambria" w:eastAsia="Calibri" w:hAnsi="Cambria" w:cs="Times New Roman"/>
          <w:sz w:val="24"/>
          <w:szCs w:val="24"/>
        </w:rPr>
        <w:t xml:space="preserve"> and ambiguous properties, consumers will evaluate the product more favourably, when they have evoked image (Nielson et al 2018). The ‘greenwashing’ stigma of </w:t>
      </w:r>
      <w:r w:rsidR="00CB7978"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CB7978" w:rsidRPr="00D94CDB">
        <w:rPr>
          <w:rFonts w:ascii="Cambria" w:eastAsia="Calibri" w:hAnsi="Cambria" w:cs="Adobe Devanagari"/>
          <w:sz w:val="24"/>
          <w:szCs w:val="24"/>
        </w:rPr>
        <w:t xml:space="preserve"> message</w:t>
      </w:r>
      <w:r w:rsidR="00CB7978" w:rsidRPr="00D94CDB">
        <w:rPr>
          <w:rFonts w:ascii="Cambria" w:eastAsia="Calibri" w:hAnsi="Cambria" w:cs="Times New Roman"/>
          <w:sz w:val="24"/>
          <w:szCs w:val="24"/>
        </w:rPr>
        <w:t xml:space="preserve"> </w:t>
      </w:r>
      <w:r w:rsidRPr="00D94CDB">
        <w:rPr>
          <w:rFonts w:ascii="Cambria" w:eastAsia="Calibri" w:hAnsi="Cambria" w:cs="Times New Roman"/>
          <w:sz w:val="24"/>
          <w:szCs w:val="24"/>
        </w:rPr>
        <w:t>can also be explained by SCV, because, if consumers perceived the ad to a persuasive one, their resistance to it do not allow them to immerse/ engross in the ad, which confine them from evaluating the product (</w:t>
      </w:r>
      <w:r w:rsidR="00CB7978" w:rsidRPr="00D94CDB">
        <w:rPr>
          <w:rFonts w:ascii="Cambria" w:eastAsia="Calibri" w:hAnsi="Cambria" w:cs="Times New Roman"/>
          <w:sz w:val="24"/>
          <w:szCs w:val="24"/>
        </w:rPr>
        <w:t xml:space="preserve">see </w:t>
      </w:r>
      <w:r w:rsidRPr="00D94CDB">
        <w:rPr>
          <w:rFonts w:ascii="Cambria" w:eastAsia="Calibri" w:hAnsi="Cambria" w:cs="Times New Roman"/>
          <w:sz w:val="24"/>
          <w:szCs w:val="24"/>
        </w:rPr>
        <w:t>Phillips and McQuarrie 2010). Any difficulty in creating the mental imagery do not produce preference towards the product (Shiv and Huber 2000).</w:t>
      </w:r>
    </w:p>
    <w:p w14:paraId="699E0B8F" w14:textId="458C4F5B" w:rsidR="00C7217E" w:rsidRPr="00530906"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Mental image is activated consciously or unconsciously and initiate visual and cognitive process. As a result, the mental imagery generate knowledge. More elaborately speaking, when a conceptual knowledge about an object is presented through stimulation (in this case the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Pr="00D94CDB">
        <w:rPr>
          <w:rFonts w:ascii="Cambria" w:eastAsia="Calibri" w:hAnsi="Cambria" w:cs="Times New Roman"/>
          <w:sz w:val="24"/>
          <w:szCs w:val="24"/>
        </w:rPr>
        <w:t>) the brain is activated to perceive its properties (</w:t>
      </w:r>
      <w:r w:rsidRPr="00D94CDB">
        <w:rPr>
          <w:rFonts w:ascii="Cambria" w:eastAsiaTheme="minorEastAsia" w:hAnsi="Cambria" w:cs="JansonText-Roman"/>
          <w:sz w:val="24"/>
          <w:szCs w:val="24"/>
        </w:rPr>
        <w:t>Barsalou 200</w:t>
      </w:r>
      <w:r w:rsidR="00986CA4" w:rsidRPr="00D94CDB">
        <w:rPr>
          <w:rFonts w:ascii="Cambria" w:eastAsiaTheme="minorEastAsia" w:hAnsi="Cambria" w:cs="JansonText-Roman"/>
          <w:sz w:val="24"/>
          <w:szCs w:val="24"/>
        </w:rPr>
        <w:t>8</w:t>
      </w:r>
      <w:r w:rsidRPr="00D94CDB">
        <w:rPr>
          <w:rFonts w:ascii="Cambria" w:eastAsiaTheme="minorEastAsia" w:hAnsi="Cambria" w:cs="JansonText-Roman"/>
          <w:sz w:val="24"/>
          <w:szCs w:val="24"/>
        </w:rPr>
        <w:t xml:space="preserve">; </w:t>
      </w:r>
      <w:bookmarkStart w:id="43" w:name="_Hlk67580897"/>
      <w:r w:rsidRPr="00D94CDB">
        <w:rPr>
          <w:rFonts w:ascii="Cambria" w:eastAsia="Calibri" w:hAnsi="Cambria" w:cs="Times New Roman"/>
          <w:sz w:val="24"/>
          <w:szCs w:val="24"/>
        </w:rPr>
        <w:t>Phillips and McQuarrie 2010</w:t>
      </w:r>
      <w:bookmarkEnd w:id="43"/>
      <w:r w:rsidRPr="00D94CDB">
        <w:rPr>
          <w:rFonts w:ascii="Cambria" w:eastAsiaTheme="minorEastAsia" w:hAnsi="Cambria" w:cs="JansonText-Roman"/>
          <w:sz w:val="24"/>
          <w:szCs w:val="24"/>
        </w:rPr>
        <w:t>)</w:t>
      </w:r>
      <w:r w:rsidRPr="00D94CDB">
        <w:rPr>
          <w:rFonts w:ascii="Cambria" w:eastAsia="Calibri" w:hAnsi="Cambria" w:cs="Times New Roman"/>
          <w:sz w:val="24"/>
          <w:szCs w:val="24"/>
        </w:rPr>
        <w:t xml:space="preserve">. </w:t>
      </w:r>
      <w:bookmarkStart w:id="44" w:name="_Hlk85224422"/>
      <w:r w:rsidRPr="00D94CDB">
        <w:rPr>
          <w:rFonts w:ascii="Cambria" w:eastAsia="Calibri" w:hAnsi="Cambria" w:cs="Times New Roman"/>
          <w:sz w:val="24"/>
          <w:szCs w:val="24"/>
        </w:rPr>
        <w:t xml:space="preserve">Prior knowledge, experience, </w:t>
      </w:r>
      <w:r w:rsidR="005373EE" w:rsidRPr="00D94CDB">
        <w:rPr>
          <w:rFonts w:ascii="Cambria" w:eastAsia="Calibri" w:hAnsi="Cambria" w:cs="Times New Roman"/>
          <w:sz w:val="24"/>
          <w:szCs w:val="24"/>
        </w:rPr>
        <w:t>importance,</w:t>
      </w:r>
      <w:r w:rsidRPr="00D94CDB">
        <w:rPr>
          <w:rFonts w:ascii="Cambria" w:eastAsia="Calibri" w:hAnsi="Cambria" w:cs="Times New Roman"/>
          <w:sz w:val="24"/>
          <w:szCs w:val="24"/>
        </w:rPr>
        <w:t xml:space="preserve"> and involvement level significantly affect the willingness of the consumers to envision themselves </w:t>
      </w:r>
      <w:bookmarkEnd w:id="44"/>
      <w:r w:rsidRPr="00D94CDB">
        <w:rPr>
          <w:rFonts w:ascii="Cambria" w:eastAsia="Calibri" w:hAnsi="Cambria" w:cs="Times New Roman"/>
          <w:sz w:val="24"/>
          <w:szCs w:val="24"/>
        </w:rPr>
        <w:t xml:space="preserve">(Yim et al 2018; Chang 2012). Substantial knowledge of sustainability may generate more vivid SCV, because more knowledge and familiarity an induvial have on the promoted scene the more easily and vividly they will be able to process the imagery (Bone and Ellen 1992).  In the same line of thinking, mental imagery formed by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should denote how the consumers are perceiving the </w:t>
      </w:r>
      <w:r w:rsidR="00C16626" w:rsidRPr="00D94CDB">
        <w:rPr>
          <w:rFonts w:ascii="Cambria" w:eastAsia="Times New Roman" w:hAnsi="Cambria" w:cs="Times New Roman"/>
          <w:sz w:val="24"/>
          <w:szCs w:val="24"/>
        </w:rPr>
        <w:t>products with sustainability association.</w:t>
      </w:r>
      <w:r w:rsidR="00C16626"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The more congruent the ad is with the consumers belief, value and moral the more easily the consumer can comprehend the message (Kidwell et </w:t>
      </w:r>
      <w:r w:rsidRPr="00530906">
        <w:rPr>
          <w:rFonts w:ascii="Cambria" w:eastAsia="Calibri" w:hAnsi="Cambria" w:cs="Times New Roman"/>
          <w:sz w:val="24"/>
          <w:szCs w:val="24"/>
        </w:rPr>
        <w:t xml:space="preserve">al 2013).  In other words, the relevancy of the sustainability may generate greater SCV (Chang 2012; Christensen et al 2004). Even consumers tend to be more favourable to the new products because of the product category knowledge and the extent of how vividly consumers can picture themselves in the evoked imagination of using that product (Nielsen et al 2018). </w:t>
      </w:r>
    </w:p>
    <w:p w14:paraId="6F2E5938" w14:textId="6F7520A0" w:rsidR="00C7217E" w:rsidRPr="00D94CDB" w:rsidRDefault="0097103B">
      <w:pPr>
        <w:spacing w:line="360" w:lineRule="auto"/>
        <w:jc w:val="both"/>
        <w:rPr>
          <w:rFonts w:ascii="Cambria" w:eastAsia="Calibri" w:hAnsi="Cambria" w:cs="Times New Roman"/>
          <w:sz w:val="24"/>
          <w:szCs w:val="24"/>
        </w:rPr>
      </w:pPr>
      <w:r w:rsidRPr="00D94CDB">
        <w:rPr>
          <w:rFonts w:ascii="Cambria" w:hAnsi="Cambria"/>
          <w:noProof/>
          <w:sz w:val="24"/>
          <w:szCs w:val="24"/>
        </w:rPr>
        <mc:AlternateContent>
          <mc:Choice Requires="wpg">
            <w:drawing>
              <wp:anchor distT="0" distB="0" distL="114300" distR="114300" simplePos="0" relativeHeight="251657284" behindDoc="0" locked="0" layoutInCell="1" allowOverlap="1" wp14:anchorId="13A67089" wp14:editId="403AFB6A">
                <wp:simplePos x="0" y="0"/>
                <wp:positionH relativeFrom="column">
                  <wp:posOffset>2753995</wp:posOffset>
                </wp:positionH>
                <wp:positionV relativeFrom="paragraph">
                  <wp:posOffset>66675</wp:posOffset>
                </wp:positionV>
                <wp:extent cx="2876550" cy="4226560"/>
                <wp:effectExtent l="38100" t="0" r="19050" b="2540"/>
                <wp:wrapSquare wrapText="bothSides"/>
                <wp:docPr id="443" name="Group 443"/>
                <wp:cNvGraphicFramePr/>
                <a:graphic xmlns:a="http://schemas.openxmlformats.org/drawingml/2006/main">
                  <a:graphicData uri="http://schemas.microsoft.com/office/word/2010/wordprocessingGroup">
                    <wpg:wgp>
                      <wpg:cNvGrpSpPr/>
                      <wpg:grpSpPr>
                        <a:xfrm>
                          <a:off x="0" y="0"/>
                          <a:ext cx="2876550" cy="4226560"/>
                          <a:chOff x="0" y="-159385"/>
                          <a:chExt cx="2876550" cy="4142740"/>
                        </a:xfrm>
                      </wpg:grpSpPr>
                      <wpg:grpSp>
                        <wpg:cNvPr id="444" name="Group 444"/>
                        <wpg:cNvGrpSpPr/>
                        <wpg:grpSpPr>
                          <a:xfrm>
                            <a:off x="0" y="-159385"/>
                            <a:ext cx="2876550" cy="4142740"/>
                            <a:chOff x="133350" y="-159385"/>
                            <a:chExt cx="2876550" cy="4142740"/>
                          </a:xfrm>
                        </wpg:grpSpPr>
                        <wpg:grpSp>
                          <wpg:cNvPr id="445" name="Group 445"/>
                          <wpg:cNvGrpSpPr>
                            <a:grpSpLocks/>
                          </wpg:cNvGrpSpPr>
                          <wpg:grpSpPr bwMode="auto">
                            <a:xfrm>
                              <a:off x="133350" y="-159385"/>
                              <a:ext cx="2876550" cy="4142740"/>
                              <a:chOff x="6300" y="8732"/>
                              <a:chExt cx="4530" cy="6524"/>
                            </a:xfrm>
                          </wpg:grpSpPr>
                          <wps:wsp>
                            <wps:cNvPr id="446" name="Text Box 403"/>
                            <wps:cNvSpPr txBox="1">
                              <a:spLocks noChangeArrowheads="1"/>
                            </wps:cNvSpPr>
                            <wps:spPr bwMode="auto">
                              <a:xfrm>
                                <a:off x="9360" y="9733"/>
                                <a:ext cx="1470" cy="705"/>
                              </a:xfrm>
                              <a:prstGeom prst="rect">
                                <a:avLst/>
                              </a:prstGeom>
                              <a:solidFill>
                                <a:srgbClr val="D9B6A3"/>
                              </a:solidFill>
                              <a:ln w="6350">
                                <a:solidFill>
                                  <a:srgbClr val="000000"/>
                                </a:solidFill>
                                <a:miter lim="800000"/>
                                <a:headEnd/>
                                <a:tailEnd/>
                              </a:ln>
                            </wps:spPr>
                            <wps:txbx>
                              <w:txbxContent>
                                <w:p w14:paraId="100A7B14" w14:textId="77777777" w:rsidR="00D34F1C" w:rsidRDefault="00D34F1C" w:rsidP="00604C16">
                                  <w:r>
                                    <w:t>Involvement with the ad</w:t>
                                  </w:r>
                                </w:p>
                              </w:txbxContent>
                            </wps:txbx>
                            <wps:bodyPr rot="0" vert="horz" wrap="square" lIns="91440" tIns="45720" rIns="91440" bIns="45720" anchor="t" anchorCtr="0" upright="1">
                              <a:noAutofit/>
                            </wps:bodyPr>
                          </wps:wsp>
                          <wpg:grpSp>
                            <wpg:cNvPr id="447" name="Group 202"/>
                            <wpg:cNvGrpSpPr>
                              <a:grpSpLocks/>
                            </wpg:cNvGrpSpPr>
                            <wpg:grpSpPr bwMode="auto">
                              <a:xfrm>
                                <a:off x="6300" y="8732"/>
                                <a:ext cx="4530" cy="6524"/>
                                <a:chOff x="6390" y="8659"/>
                                <a:chExt cx="4530" cy="6524"/>
                              </a:xfrm>
                            </wpg:grpSpPr>
                            <wps:wsp>
                              <wps:cNvPr id="512" name="Straight Connector 476"/>
                              <wps:cNvCnPr>
                                <a:cxnSpLocks noChangeShapeType="1"/>
                              </wps:cNvCnPr>
                              <wps:spPr bwMode="auto">
                                <a:xfrm flipH="1">
                                  <a:off x="6420" y="9270"/>
                                  <a:ext cx="645"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513" name="Straight Connector 477"/>
                              <wps:cNvCnPr>
                                <a:cxnSpLocks noChangeShapeType="1"/>
                              </wps:cNvCnPr>
                              <wps:spPr bwMode="auto">
                                <a:xfrm>
                                  <a:off x="6390" y="9225"/>
                                  <a:ext cx="30" cy="2505"/>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514" name="Straight Arrow Connector 478"/>
                              <wps:cNvCnPr>
                                <a:cxnSpLocks noChangeShapeType="1"/>
                              </wps:cNvCnPr>
                              <wps:spPr bwMode="auto">
                                <a:xfrm>
                                  <a:off x="6420" y="11700"/>
                                  <a:ext cx="1350" cy="16"/>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515" name="Straight Arrow Connector 406"/>
                              <wps:cNvCnPr>
                                <a:cxnSpLocks noChangeShapeType="1"/>
                              </wps:cNvCnPr>
                              <wps:spPr bwMode="auto">
                                <a:xfrm flipH="1">
                                  <a:off x="9240" y="10365"/>
                                  <a:ext cx="533" cy="43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516" name="Text Box 387"/>
                              <wps:cNvSpPr txBox="1">
                                <a:spLocks noChangeArrowheads="1"/>
                              </wps:cNvSpPr>
                              <wps:spPr bwMode="auto">
                                <a:xfrm>
                                  <a:off x="8490" y="10800"/>
                                  <a:ext cx="795" cy="420"/>
                                </a:xfrm>
                                <a:prstGeom prst="rect">
                                  <a:avLst/>
                                </a:prstGeom>
                                <a:solidFill>
                                  <a:srgbClr val="B4C6E7"/>
                                </a:solidFill>
                                <a:ln w="6350">
                                  <a:solidFill>
                                    <a:srgbClr val="000000"/>
                                  </a:solidFill>
                                  <a:miter lim="800000"/>
                                  <a:headEnd/>
                                  <a:tailEnd/>
                                </a:ln>
                              </wps:spPr>
                              <wps:txbx>
                                <w:txbxContent>
                                  <w:p w14:paraId="7D2060C4" w14:textId="77777777" w:rsidR="00D34F1C" w:rsidRDefault="00D34F1C" w:rsidP="00604C16">
                                    <w:r>
                                      <w:t>SCV</w:t>
                                    </w:r>
                                  </w:p>
                                </w:txbxContent>
                              </wps:txbx>
                              <wps:bodyPr rot="0" vert="horz" wrap="square" lIns="91440" tIns="45720" rIns="91440" bIns="45720" anchor="t" anchorCtr="0" upright="1">
                                <a:noAutofit/>
                              </wps:bodyPr>
                            </wps:wsp>
                            <wps:wsp>
                              <wps:cNvPr id="517" name="Straight Arrow Connector 405"/>
                              <wps:cNvCnPr>
                                <a:cxnSpLocks noChangeShapeType="1"/>
                              </wps:cNvCnPr>
                              <wps:spPr bwMode="auto">
                                <a:xfrm>
                                  <a:off x="8910" y="11235"/>
                                  <a:ext cx="0" cy="212"/>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518" name="Text Box 400"/>
                              <wps:cNvSpPr txBox="1">
                                <a:spLocks noChangeArrowheads="1"/>
                              </wps:cNvSpPr>
                              <wps:spPr bwMode="auto">
                                <a:xfrm>
                                  <a:off x="6594" y="9915"/>
                                  <a:ext cx="1878" cy="709"/>
                                </a:xfrm>
                                <a:prstGeom prst="rect">
                                  <a:avLst/>
                                </a:prstGeom>
                                <a:solidFill>
                                  <a:srgbClr val="C5C4A0"/>
                                </a:solidFill>
                                <a:ln w="6350">
                                  <a:solidFill>
                                    <a:srgbClr val="000000"/>
                                  </a:solidFill>
                                  <a:miter lim="800000"/>
                                  <a:headEnd/>
                                  <a:tailEnd/>
                                </a:ln>
                              </wps:spPr>
                              <wps:txbx>
                                <w:txbxContent>
                                  <w:p w14:paraId="5E2D2960" w14:textId="77777777" w:rsidR="00D34F1C" w:rsidRDefault="00D34F1C" w:rsidP="00604C16">
                                    <w:r>
                                      <w:t xml:space="preserve">Source expertise High </w:t>
                                    </w:r>
                                    <w:r>
                                      <w:tab/>
                                      <w:t xml:space="preserve">    Low </w:t>
                                    </w:r>
                                  </w:p>
                                </w:txbxContent>
                              </wps:txbx>
                              <wps:bodyPr rot="0" vert="horz" wrap="square" lIns="91440" tIns="45720" rIns="91440" bIns="45720" anchor="t" anchorCtr="0" upright="1">
                                <a:noAutofit/>
                              </wps:bodyPr>
                            </wps:wsp>
                            <wps:wsp>
                              <wps:cNvPr id="519" name="Straight Arrow Connector 402"/>
                              <wps:cNvCnPr>
                                <a:cxnSpLocks noChangeShapeType="1"/>
                              </wps:cNvCnPr>
                              <wps:spPr bwMode="auto">
                                <a:xfrm>
                                  <a:off x="8472" y="10199"/>
                                  <a:ext cx="457" cy="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520" name="Straight Arrow Connector 398"/>
                              <wps:cNvCnPr>
                                <a:cxnSpLocks noChangeShapeType="1"/>
                              </wps:cNvCnPr>
                              <wps:spPr bwMode="auto">
                                <a:xfrm>
                                  <a:off x="8928" y="9598"/>
                                  <a:ext cx="1" cy="1202"/>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521" name="Text Box 397"/>
                              <wps:cNvSpPr txBox="1">
                                <a:spLocks noChangeArrowheads="1"/>
                              </wps:cNvSpPr>
                              <wps:spPr bwMode="auto">
                                <a:xfrm>
                                  <a:off x="6420" y="14441"/>
                                  <a:ext cx="4500" cy="7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9308E" w14:textId="3057A99F" w:rsidR="00D34F1C" w:rsidRDefault="00D34F1C" w:rsidP="00604C16">
                                    <w:pPr>
                                      <w:jc w:val="center"/>
                                    </w:pPr>
                                    <w:r>
                                      <w:t>Fig 1</w:t>
                                    </w:r>
                                    <w:r w:rsidR="00A26F6C">
                                      <w:t>1</w:t>
                                    </w:r>
                                    <w:r>
                                      <w:t>: Role of SCV on Social media engagement</w:t>
                                    </w:r>
                                  </w:p>
                                </w:txbxContent>
                              </wps:txbx>
                              <wps:bodyPr rot="0" vert="horz" wrap="square" lIns="91440" tIns="45720" rIns="91440" bIns="45720" anchor="t" anchorCtr="0" upright="1">
                                <a:noAutofit/>
                              </wps:bodyPr>
                            </wps:wsp>
                            <wps:wsp>
                              <wps:cNvPr id="522" name="Text Box 393"/>
                              <wps:cNvSpPr txBox="1">
                                <a:spLocks noChangeArrowheads="1"/>
                              </wps:cNvSpPr>
                              <wps:spPr bwMode="auto">
                                <a:xfrm>
                                  <a:off x="7095" y="8659"/>
                                  <a:ext cx="2970" cy="937"/>
                                </a:xfrm>
                                <a:prstGeom prst="rect">
                                  <a:avLst/>
                                </a:prstGeom>
                                <a:solidFill>
                                  <a:srgbClr val="A9CBB7"/>
                                </a:solidFill>
                                <a:ln w="6350">
                                  <a:solidFill>
                                    <a:srgbClr val="000000"/>
                                  </a:solidFill>
                                  <a:miter lim="800000"/>
                                  <a:headEnd/>
                                  <a:tailEnd/>
                                </a:ln>
                              </wps:spPr>
                              <wps:txbx>
                                <w:txbxContent>
                                  <w:p w14:paraId="3630CB3F" w14:textId="049D3287" w:rsidR="002B17DB" w:rsidRDefault="002B17DB" w:rsidP="002B17DB">
                                    <w:pPr>
                                      <w:pStyle w:val="NoSpacing"/>
                                    </w:pPr>
                                    <w:r>
                                      <w:t xml:space="preserve">Positive vs negative caption accompanying </w:t>
                                    </w:r>
                                    <w:r w:rsidRPr="003311FC">
                                      <w:t xml:space="preserve">ad with </w:t>
                                    </w:r>
                                    <w:r w:rsidR="009C2AE9" w:rsidRPr="003311FC">
                                      <w:t>sustainability</w:t>
                                    </w:r>
                                    <w:r w:rsidRPr="003311FC">
                                      <w:t xml:space="preserve"> message</w:t>
                                    </w:r>
                                  </w:p>
                                  <w:p w14:paraId="4DF306E8" w14:textId="6C7095D4" w:rsidR="00D34F1C" w:rsidRDefault="00D34F1C" w:rsidP="00604C16">
                                    <w:pPr>
                                      <w:pStyle w:val="NoSpacing"/>
                                    </w:pPr>
                                  </w:p>
                                </w:txbxContent>
                              </wps:txbx>
                              <wps:bodyPr rot="0" vert="horz" wrap="square" lIns="91440" tIns="45720" rIns="91440" bIns="45720" anchor="t" anchorCtr="0" upright="1">
                                <a:noAutofit/>
                              </wps:bodyPr>
                            </wps:wsp>
                            <wps:wsp>
                              <wps:cNvPr id="523" name="Text Box 394"/>
                              <wps:cNvSpPr txBox="1">
                                <a:spLocks noChangeArrowheads="1"/>
                              </wps:cNvSpPr>
                              <wps:spPr bwMode="auto">
                                <a:xfrm>
                                  <a:off x="7755" y="11447"/>
                                  <a:ext cx="2648" cy="732"/>
                                </a:xfrm>
                                <a:prstGeom prst="rect">
                                  <a:avLst/>
                                </a:prstGeom>
                                <a:solidFill>
                                  <a:srgbClr val="C7ABFF"/>
                                </a:solidFill>
                                <a:ln w="6350">
                                  <a:solidFill>
                                    <a:srgbClr val="000000"/>
                                  </a:solidFill>
                                  <a:miter lim="800000"/>
                                  <a:headEnd/>
                                  <a:tailEnd/>
                                </a:ln>
                              </wps:spPr>
                              <wps:txbx>
                                <w:txbxContent>
                                  <w:p w14:paraId="7F5CE452" w14:textId="77777777" w:rsidR="00D34F1C" w:rsidRDefault="00D34F1C" w:rsidP="00604C16">
                                    <w:r>
                                      <w:t>Social–media engagement with the ad</w:t>
                                    </w:r>
                                  </w:p>
                                </w:txbxContent>
                              </wps:txbx>
                              <wps:bodyPr rot="0" vert="horz" wrap="square" lIns="91440" tIns="45720" rIns="91440" bIns="45720" anchor="t" anchorCtr="0" upright="1">
                                <a:noAutofit/>
                              </wps:bodyPr>
                            </wps:wsp>
                            <wps:wsp>
                              <wps:cNvPr id="524" name="Text Box 395"/>
                              <wps:cNvSpPr txBox="1">
                                <a:spLocks noChangeArrowheads="1"/>
                              </wps:cNvSpPr>
                              <wps:spPr bwMode="auto">
                                <a:xfrm>
                                  <a:off x="7995" y="12615"/>
                                  <a:ext cx="2399" cy="675"/>
                                </a:xfrm>
                                <a:prstGeom prst="rect">
                                  <a:avLst/>
                                </a:prstGeom>
                                <a:solidFill>
                                  <a:srgbClr val="C5E0B3"/>
                                </a:solidFill>
                                <a:ln w="6350">
                                  <a:solidFill>
                                    <a:srgbClr val="000000"/>
                                  </a:solidFill>
                                  <a:miter lim="800000"/>
                                  <a:headEnd/>
                                  <a:tailEnd/>
                                </a:ln>
                              </wps:spPr>
                              <wps:txbx>
                                <w:txbxContent>
                                  <w:p w14:paraId="29B0092A" w14:textId="77777777" w:rsidR="00D34F1C" w:rsidRDefault="00D34F1C" w:rsidP="00604C16">
                                    <w:r>
                                      <w:t>Purchase intention of the advertised product</w:t>
                                    </w:r>
                                  </w:p>
                                  <w:p w14:paraId="615C4EF9" w14:textId="77777777" w:rsidR="00D34F1C" w:rsidRDefault="00D34F1C" w:rsidP="00604C16"/>
                                </w:txbxContent>
                              </wps:txbx>
                              <wps:bodyPr rot="0" vert="horz" wrap="square" lIns="91440" tIns="45720" rIns="91440" bIns="45720" anchor="t" anchorCtr="0" upright="1">
                                <a:noAutofit/>
                              </wps:bodyPr>
                            </wps:wsp>
                            <wps:wsp>
                              <wps:cNvPr id="525" name="Straight Arrow Connector 396"/>
                              <wps:cNvCnPr>
                                <a:cxnSpLocks noChangeShapeType="1"/>
                              </wps:cNvCnPr>
                              <wps:spPr bwMode="auto">
                                <a:xfrm>
                                  <a:off x="8984" y="12209"/>
                                  <a:ext cx="0" cy="419"/>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526" name="Straight Arrow Connector 526"/>
                          <wps:cNvCnPr/>
                          <wps:spPr>
                            <a:xfrm flipH="1">
                              <a:off x="134816" y="819638"/>
                              <a:ext cx="129540" cy="0"/>
                            </a:xfrm>
                            <a:prstGeom prst="straightConnector1">
                              <a:avLst/>
                            </a:prstGeom>
                            <a:noFill/>
                            <a:ln w="19050" cap="flat" cmpd="sng" algn="ctr">
                              <a:solidFill>
                                <a:sysClr val="window" lastClr="FFFFFF">
                                  <a:lumMod val="50000"/>
                                </a:sysClr>
                              </a:solidFill>
                              <a:prstDash val="solid"/>
                              <a:miter lim="800000"/>
                              <a:tailEnd type="triangle"/>
                            </a:ln>
                            <a:effectLst/>
                          </wps:spPr>
                          <wps:bodyPr/>
                        </wps:wsp>
                      </wpg:grpSp>
                      <wpg:grpSp>
                        <wpg:cNvPr id="527" name="Group 527"/>
                        <wpg:cNvGrpSpPr/>
                        <wpg:grpSpPr>
                          <a:xfrm>
                            <a:off x="895350" y="2781300"/>
                            <a:ext cx="1591310" cy="688975"/>
                            <a:chOff x="0" y="0"/>
                            <a:chExt cx="1591310" cy="688975"/>
                          </a:xfrm>
                        </wpg:grpSpPr>
                        <wps:wsp>
                          <wps:cNvPr id="528"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2D4E8192" w14:textId="77777777" w:rsidR="00D34F1C" w:rsidRDefault="00D34F1C" w:rsidP="00604C16">
                                <w:r>
                                  <w:t>Sustainable behaviour intention</w:t>
                                </w:r>
                              </w:p>
                              <w:p w14:paraId="37CD9315" w14:textId="77777777" w:rsidR="00D34F1C" w:rsidRDefault="00D34F1C" w:rsidP="00604C16"/>
                            </w:txbxContent>
                          </wps:txbx>
                          <wps:bodyPr rot="0" vert="horz" wrap="square" lIns="91440" tIns="45720" rIns="91440" bIns="45720" anchor="t" anchorCtr="0" upright="1">
                            <a:noAutofit/>
                          </wps:bodyPr>
                        </wps:wsp>
                        <wps:wsp>
                          <wps:cNvPr id="529"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13A67089" id="Group 443" o:spid="_x0000_s1128" style="position:absolute;left:0;text-align:left;margin-left:216.85pt;margin-top:5.25pt;width:226.5pt;height:332.8pt;z-index:251657284;mso-height-relative:margin" coordorigin=",-1593" coordsize="28765,4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">
                <v:group id="Group 444" o:spid="_x0000_s1129" style="position:absolute;top:-1593;width:28765;height:41426" coordorigin="1333,-1593" coordsize="28765,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 445" o:spid="_x0000_s1130" style="position:absolute;left:1333;top:-1593;width:28766;height:41426" coordorigin="6300,8732" coordsize="4530,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Text Box 403" o:spid="_x0000_s1131" type="#_x0000_t202" style="position:absolute;left:9360;top:9733;width:14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" fillcolor="#d9b6a3" strokeweight=".5pt">
                      <v:textbox>
                        <w:txbxContent>
                          <w:p w14:paraId="100A7B14" w14:textId="77777777" w:rsidR="00D34F1C" w:rsidRDefault="00D34F1C" w:rsidP="00604C16">
                            <w:r>
                              <w:t>Involvement with the ad</w:t>
                            </w:r>
                          </w:p>
                        </w:txbxContent>
                      </v:textbox>
                    </v:shape>
                    <v:group id="Group 202" o:spid="_x0000_s1132" style="position:absolute;left:6300;top:8732;width:4530;height:6524" coordorigin="6390,8659" coordsize="4530,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Straight Connector 476" o:spid="_x0000_s1133" style="position:absolute;flip:x;visibility:visible;mso-wrap-style:square" from="6420,9270" to="7065,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" strokecolor="gray" strokeweight="1.5pt">
                        <v:stroke joinstyle="miter"/>
                      </v:line>
                      <v:line id="Straight Connector 477" o:spid="_x0000_s1134" style="position:absolute;visibility:visible;mso-wrap-style:square" from="6390,9225" to="642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" strokecolor="gray" strokeweight="1.5pt">
                        <v:stroke joinstyle="miter"/>
                      </v:line>
                      <v:shape id="Straight Arrow Connector 478" o:spid="_x0000_s1135" type="#_x0000_t32" style="position:absolute;left:6420;top:11700;width:135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" strokecolor="gray" strokeweight="1.5pt">
                        <v:stroke endarrow="block" joinstyle="miter"/>
                      </v:shape>
                      <v:shape id="Straight Arrow Connector 406" o:spid="_x0000_s1136" type="#_x0000_t32" style="position:absolute;left:9240;top:10365;width:533;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" strokecolor="gray" strokeweight="1.5pt">
                        <v:stroke endarrow="block" joinstyle="miter"/>
                      </v:shape>
                      <v:shape id="Text Box 387" o:spid="_x0000_s1137" type="#_x0000_t202" style="position:absolute;left:8490;top:10800;width:7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" fillcolor="#b4c6e7" strokeweight=".5pt">
                        <v:textbox>
                          <w:txbxContent>
                            <w:p w14:paraId="7D2060C4" w14:textId="77777777" w:rsidR="00D34F1C" w:rsidRDefault="00D34F1C" w:rsidP="00604C16">
                              <w:r>
                                <w:t>SCV</w:t>
                              </w:r>
                            </w:p>
                          </w:txbxContent>
                        </v:textbox>
                      </v:shape>
                      <v:shape id="Straight Arrow Connector 405" o:spid="_x0000_s1138" type="#_x0000_t32" style="position:absolute;left:8910;top:11235;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" strokecolor="gray" strokeweight="1.5pt">
                        <v:stroke endarrow="block" joinstyle="miter"/>
                      </v:shape>
                      <v:shape id="Text Box 400" o:spid="_x0000_s1139" type="#_x0000_t202" style="position:absolute;left:6594;top:9915;width:187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" fillcolor="#c5c4a0" strokeweight=".5pt">
                        <v:textbox>
                          <w:txbxContent>
                            <w:p w14:paraId="5E2D2960" w14:textId="77777777" w:rsidR="00D34F1C" w:rsidRDefault="00D34F1C" w:rsidP="00604C16">
                              <w:r>
                                <w:t xml:space="preserve">Source expertise High </w:t>
                              </w:r>
                              <w:r>
                                <w:tab/>
                                <w:t xml:space="preserve">    Low </w:t>
                              </w:r>
                            </w:p>
                          </w:txbxContent>
                        </v:textbox>
                      </v:shape>
                      <v:shape id="Straight Arrow Connector 402" o:spid="_x0000_s1140" type="#_x0000_t32" style="position:absolute;left:8472;top:10199;width:4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" strokecolor="gray" strokeweight="1.5pt">
                        <v:stroke endarrow="block" joinstyle="miter"/>
                      </v:shape>
                      <v:shape id="Straight Arrow Connector 398" o:spid="_x0000_s1141" type="#_x0000_t32" style="position:absolute;left:8928;top:9598;width:1;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" strokecolor="gray" strokeweight="1.5pt">
                        <v:stroke endarrow="block" joinstyle="miter"/>
                      </v:shape>
                      <v:shape id="Text Box 397" o:spid="_x0000_s1142" type="#_x0000_t202" style="position:absolute;left:6420;top:14441;width:450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" stroked="f" strokeweight=".5pt">
                        <v:textbox>
                          <w:txbxContent>
                            <w:p w14:paraId="0599308E" w14:textId="3057A99F" w:rsidR="00D34F1C" w:rsidRDefault="00D34F1C" w:rsidP="00604C16">
                              <w:pPr>
                                <w:jc w:val="center"/>
                              </w:pPr>
                              <w:r>
                                <w:t>Fig 1</w:t>
                              </w:r>
                              <w:r w:rsidR="00A26F6C">
                                <w:t>1</w:t>
                              </w:r>
                              <w:r>
                                <w:t>: Role of SCV on Social media engagement</w:t>
                              </w:r>
                            </w:p>
                          </w:txbxContent>
                        </v:textbox>
                      </v:shape>
                      <v:shape id="Text Box 393" o:spid="_x0000_s1143" type="#_x0000_t202" style="position:absolute;left:7095;top:8659;width:297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" fillcolor="#a9cbb7" strokeweight=".5pt">
                        <v:textbox>
                          <w:txbxContent>
                            <w:p w14:paraId="3630CB3F" w14:textId="049D3287" w:rsidR="002B17DB" w:rsidRDefault="002B17DB" w:rsidP="002B17DB">
                              <w:pPr>
                                <w:pStyle w:val="NoSpacing"/>
                              </w:pPr>
                              <w:r>
                                <w:t xml:space="preserve">Positive vs negative caption accompanying </w:t>
                              </w:r>
                              <w:r w:rsidRPr="003311FC">
                                <w:t xml:space="preserve">ad with </w:t>
                              </w:r>
                              <w:r w:rsidR="009C2AE9" w:rsidRPr="003311FC">
                                <w:t>sustainability</w:t>
                              </w:r>
                              <w:r w:rsidRPr="003311FC">
                                <w:t xml:space="preserve"> message</w:t>
                              </w:r>
                            </w:p>
                            <w:p w14:paraId="4DF306E8" w14:textId="6C7095D4" w:rsidR="00D34F1C" w:rsidRDefault="00D34F1C" w:rsidP="00604C16">
                              <w:pPr>
                                <w:pStyle w:val="NoSpacing"/>
                              </w:pPr>
                            </w:p>
                          </w:txbxContent>
                        </v:textbox>
                      </v:shape>
                      <v:shape id="Text Box 394" o:spid="_x0000_s1144" type="#_x0000_t202" style="position:absolute;left:7755;top:11447;width:264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" fillcolor="#c7abff" strokeweight=".5pt">
                        <v:textbox>
                          <w:txbxContent>
                            <w:p w14:paraId="7F5CE452" w14:textId="77777777" w:rsidR="00D34F1C" w:rsidRDefault="00D34F1C" w:rsidP="00604C16">
                              <w:r>
                                <w:t>Social–media engagement with the ad</w:t>
                              </w:r>
                            </w:p>
                          </w:txbxContent>
                        </v:textbox>
                      </v:shape>
                      <v:shape id="Text Box 395" o:spid="_x0000_s1145" type="#_x0000_t202" style="position:absolute;left:7995;top:12615;width:239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" fillcolor="#c5e0b3" strokeweight=".5pt">
                        <v:textbox>
                          <w:txbxContent>
                            <w:p w14:paraId="29B0092A" w14:textId="77777777" w:rsidR="00D34F1C" w:rsidRDefault="00D34F1C" w:rsidP="00604C16">
                              <w:r>
                                <w:t>Purchase intention of the advertised product</w:t>
                              </w:r>
                            </w:p>
                            <w:p w14:paraId="615C4EF9" w14:textId="77777777" w:rsidR="00D34F1C" w:rsidRDefault="00D34F1C" w:rsidP="00604C16"/>
                          </w:txbxContent>
                        </v:textbox>
                      </v:shape>
                      <v:shape id="Straight Arrow Connector 396" o:spid="_x0000_s1146" type="#_x0000_t32" style="position:absolute;left:8984;top:12209;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" strokecolor="gray" strokeweight="1.5pt">
                        <v:stroke endarrow="block" joinstyle="miter"/>
                      </v:shape>
                    </v:group>
                  </v:group>
                  <v:shape id="Straight Arrow Connector 526" o:spid="_x0000_s1147" type="#_x0000_t32" style="position:absolute;left:1348;top:8196;width:12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" strokecolor="#7f7f7f" strokeweight="1.5pt">
                    <v:stroke endarrow="block" joinstyle="miter"/>
                  </v:shape>
                </v:group>
                <v:group id="Group 527" o:spid="_x0000_s1148" style="position:absolute;left:8953;top:27813;width:15913;height:6889"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25" o:spid="_x0000_s1149"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" fillcolor="#a5a5a5" strokeweight=".25pt">
                    <v:textbox>
                      <w:txbxContent>
                        <w:p w14:paraId="2D4E8192" w14:textId="77777777" w:rsidR="00D34F1C" w:rsidRDefault="00D34F1C" w:rsidP="00604C16">
                          <w:r>
                            <w:t>Sustainable behaviour intention</w:t>
                          </w:r>
                        </w:p>
                        <w:p w14:paraId="37CD9315" w14:textId="77777777" w:rsidR="00D34F1C" w:rsidRDefault="00D34F1C" w:rsidP="00604C16"/>
                      </w:txbxContent>
                    </v:textbox>
                  </v:rect>
                  <v:shape id="AutoShape 13" o:spid="_x0000_s1150"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" strokecolor="#7f7f7f" strokeweight="2.25pt">
                    <v:stroke endarrow="block"/>
                    <v:path arrowok="f"/>
                    <o:lock v:ext="edit" shapetype="f"/>
                  </v:shape>
                </v:group>
                <w10:wrap type="square"/>
              </v:group>
            </w:pict>
          </mc:Fallback>
        </mc:AlternateContent>
      </w:r>
      <w:r w:rsidR="00C7217E" w:rsidRPr="00D94CDB">
        <w:rPr>
          <w:rFonts w:ascii="Cambria" w:eastAsia="Calibri" w:hAnsi="Cambria" w:cs="Times New Roman"/>
          <w:sz w:val="24"/>
          <w:szCs w:val="24"/>
        </w:rPr>
        <w:t xml:space="preserve">Same argument can be made for </w:t>
      </w:r>
      <w:r w:rsidR="00A626BA" w:rsidRPr="00D94CDB">
        <w:rPr>
          <w:rFonts w:ascii="Cambria" w:eastAsia="Calibri" w:hAnsi="Cambria" w:cs="Adobe Devanagari"/>
          <w:sz w:val="24"/>
          <w:szCs w:val="24"/>
        </w:rPr>
        <w:t>ads with sustainability message</w:t>
      </w:r>
      <w:r w:rsidR="00C7217E" w:rsidRPr="00D94CDB">
        <w:rPr>
          <w:rFonts w:ascii="Cambria" w:eastAsia="Calibri" w:hAnsi="Cambria" w:cs="Times New Roman"/>
          <w:sz w:val="24"/>
          <w:szCs w:val="24"/>
        </w:rPr>
        <w:t xml:space="preserve">. Mental stimulation like SCV has the potentiality to generate favourable mind set for the ad and in turn to be more persuasive (Yim et al 2018). This is also true for the ads in social–media (Seo, et al 2018). The phenomenon occurs, because the SCV triggers emotional and cognitive response and in turn contribute to purchase behaviour intention (Amit and Greene 2012; Escalas 2004; Walters, et al 2007). Since, visual imagery tends to heighten the focus on moral consideration, an </w:t>
      </w:r>
      <w:r w:rsidR="00E008F7" w:rsidRPr="00D94CDB">
        <w:rPr>
          <w:rFonts w:ascii="Cambria" w:eastAsia="Calibri" w:hAnsi="Cambria" w:cs="Adobe Devanagari"/>
          <w:sz w:val="24"/>
          <w:szCs w:val="24"/>
        </w:rPr>
        <w:t>ad with sustainability message</w:t>
      </w:r>
      <w:r w:rsidR="00C7217E" w:rsidRPr="00D94CDB">
        <w:rPr>
          <w:rFonts w:ascii="Cambria" w:eastAsia="Calibri" w:hAnsi="Cambria" w:cs="Times New Roman"/>
          <w:sz w:val="24"/>
          <w:szCs w:val="24"/>
        </w:rPr>
        <w:t xml:space="preserve"> has the possibility to enhance the salience of th</w:t>
      </w:r>
      <w:r w:rsidR="00342C1A" w:rsidRPr="00D94CDB">
        <w:rPr>
          <w:rFonts w:ascii="Cambria" w:eastAsia="Calibri" w:hAnsi="Cambria" w:cs="Times New Roman"/>
          <w:sz w:val="24"/>
          <w:szCs w:val="24"/>
        </w:rPr>
        <w:t xml:space="preserve">at </w:t>
      </w:r>
      <w:r w:rsidR="00C7217E" w:rsidRPr="00D94CDB">
        <w:rPr>
          <w:rFonts w:ascii="Cambria" w:eastAsia="Calibri" w:hAnsi="Cambria" w:cs="Times New Roman"/>
          <w:sz w:val="24"/>
          <w:szCs w:val="24"/>
        </w:rPr>
        <w:t xml:space="preserve">ad (Amit and Green 2012).  This behavioural intention will be influenced in even greater way for video advertisement than paper advertisement, since it will facilitate SCV in terms of 4 dimensions (Yim et al 2018; Chang 2012). </w:t>
      </w:r>
      <w:bookmarkStart w:id="45" w:name="_Hlk85224543"/>
      <w:r w:rsidR="00C7217E" w:rsidRPr="00D94CDB">
        <w:rPr>
          <w:rFonts w:ascii="Cambria" w:eastAsia="Calibri" w:hAnsi="Cambria" w:cs="Times New Roman"/>
          <w:sz w:val="24"/>
          <w:szCs w:val="24"/>
        </w:rPr>
        <w:t xml:space="preserve">Since consumers use consumer vision for product adoption decision, the underlying </w:t>
      </w:r>
      <w:r w:rsidR="00615FE1" w:rsidRPr="00D94CDB">
        <w:rPr>
          <w:rFonts w:ascii="Cambria" w:eastAsia="Calibri" w:hAnsi="Cambria" w:cs="Times New Roman"/>
          <w:sz w:val="24"/>
          <w:szCs w:val="24"/>
        </w:rPr>
        <w:t xml:space="preserve">adoption </w:t>
      </w:r>
      <w:r w:rsidR="00C7217E" w:rsidRPr="00D94CDB">
        <w:rPr>
          <w:rFonts w:ascii="Cambria" w:eastAsia="Calibri" w:hAnsi="Cambria" w:cs="Times New Roman"/>
          <w:sz w:val="24"/>
          <w:szCs w:val="24"/>
        </w:rPr>
        <w:t xml:space="preserve">process of </w:t>
      </w:r>
      <w:r w:rsidR="00615FE1" w:rsidRPr="00D94CDB">
        <w:rPr>
          <w:rFonts w:ascii="Cambria" w:eastAsia="Calibri" w:hAnsi="Cambria" w:cs="Times New Roman"/>
          <w:sz w:val="24"/>
          <w:szCs w:val="24"/>
        </w:rPr>
        <w:t xml:space="preserve">the products with sustainability association </w:t>
      </w:r>
      <w:r w:rsidR="00C7217E" w:rsidRPr="00D94CDB">
        <w:rPr>
          <w:rFonts w:ascii="Cambria" w:eastAsia="Calibri" w:hAnsi="Cambria" w:cs="Times New Roman"/>
          <w:sz w:val="24"/>
          <w:szCs w:val="24"/>
        </w:rPr>
        <w:t xml:space="preserve">can be effectively analysed from the lens of SCV </w:t>
      </w:r>
      <w:bookmarkEnd w:id="45"/>
      <w:r w:rsidR="00C7217E" w:rsidRPr="00D94CDB">
        <w:rPr>
          <w:rFonts w:ascii="Cambria" w:eastAsia="Calibri" w:hAnsi="Cambria" w:cs="Times New Roman"/>
          <w:sz w:val="24"/>
          <w:szCs w:val="24"/>
        </w:rPr>
        <w:t>(Yim and Yoo 2020). SCV stimulates behavioural response, like purchase intention (Yim 2018; Seo et al 2018). Similarly, as a behavioural construct (Dolan et al 2016; Verhoef et al 2010), social–media–engagement should also be influenced (Fig 1</w:t>
      </w:r>
      <w:r w:rsidR="0071579E">
        <w:rPr>
          <w:rFonts w:ascii="Cambria" w:eastAsia="Calibri" w:hAnsi="Cambria" w:cs="Times New Roman"/>
          <w:sz w:val="24"/>
          <w:szCs w:val="24"/>
        </w:rPr>
        <w:t>1</w:t>
      </w:r>
      <w:r w:rsidR="00C7217E" w:rsidRPr="00D94CDB">
        <w:rPr>
          <w:rFonts w:ascii="Cambria" w:eastAsia="Calibri" w:hAnsi="Cambria" w:cs="Times New Roman"/>
          <w:sz w:val="24"/>
          <w:szCs w:val="24"/>
        </w:rPr>
        <w:t>).</w:t>
      </w:r>
    </w:p>
    <w:p w14:paraId="6021A53D" w14:textId="00E54829" w:rsidR="00C7217E" w:rsidRPr="00D94CDB"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To what extent the ad in social–media may induce a narrative transportation or engrossment influence the users’ engagement with the ad. As a form of engagement, the number of ‘likes’ or </w:t>
      </w:r>
      <w:r w:rsidR="00094B70">
        <w:rPr>
          <w:rFonts w:ascii="Cambria" w:eastAsia="Calibri" w:hAnsi="Cambria" w:cs="Times New Roman"/>
          <w:sz w:val="24"/>
          <w:szCs w:val="24"/>
        </w:rPr>
        <w:t>‘</w:t>
      </w:r>
      <w:r w:rsidRPr="00D94CDB">
        <w:rPr>
          <w:rFonts w:ascii="Cambria" w:eastAsia="Calibri" w:hAnsi="Cambria" w:cs="Times New Roman"/>
          <w:sz w:val="24"/>
          <w:szCs w:val="24"/>
        </w:rPr>
        <w:t>reviews</w:t>
      </w:r>
      <w:r w:rsidR="00094B70">
        <w:rPr>
          <w:rFonts w:ascii="Cambria" w:eastAsia="Calibri" w:hAnsi="Cambria" w:cs="Times New Roman"/>
          <w:sz w:val="24"/>
          <w:szCs w:val="24"/>
        </w:rPr>
        <w:t>’</w:t>
      </w:r>
      <w:r w:rsidRPr="00D94CDB">
        <w:rPr>
          <w:rFonts w:ascii="Cambria" w:eastAsia="Calibri" w:hAnsi="Cambria" w:cs="Times New Roman"/>
          <w:sz w:val="24"/>
          <w:szCs w:val="24"/>
        </w:rPr>
        <w:t xml:space="preserve"> affect the persuasiveness of the ad. This engagement causes mental stimulation and empathetic processing (Seo et al 2018). External stimulation like advertisement, make the consumers engage in forming CV (Nielsen et al 2018). As an interactive media, social–media can facilitate the stimulation /ad, which cause the CV to be more easily formed for digital media than the traditional media (Yim and Yoo 2018; Yim 2018). </w:t>
      </w:r>
    </w:p>
    <w:p w14:paraId="05CD0495" w14:textId="4B546959" w:rsidR="00C7217E" w:rsidRPr="00530906"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Consumption vision generated by ad has the potentiality to elicit emotions and thus the imagery processing affects the persuading power of the ad message (Phillips et al 1995; Green and Brock 2000; Hirschman 1983; Lacher and Mizerski 1994). Emotions are evoked by the informative as well as the transformative characteristics of an ad, shows how effective the ad is.  transformative characteristics represents the transformation of experience of using the product as portrayed in the ad in the mind of the consumer (Edell and Burke 1987; Nielson et al 2018). More importantly </w:t>
      </w:r>
      <w:bookmarkStart w:id="46" w:name="_Hlk85224576"/>
      <w:r w:rsidRPr="00D94CDB">
        <w:rPr>
          <w:rFonts w:ascii="Cambria" w:eastAsia="Calibri" w:hAnsi="Cambria" w:cs="Times New Roman"/>
          <w:sz w:val="24"/>
          <w:szCs w:val="24"/>
        </w:rPr>
        <w:t>positive and negative emotion may follow depending on the how (positively or negatively) the person has been mentally stimulated</w:t>
      </w:r>
      <w:bookmarkEnd w:id="46"/>
      <w:r w:rsidRPr="00D94CDB">
        <w:rPr>
          <w:rFonts w:ascii="Cambria" w:eastAsia="Calibri" w:hAnsi="Cambria" w:cs="Times New Roman"/>
          <w:sz w:val="24"/>
          <w:szCs w:val="24"/>
        </w:rPr>
        <w:t xml:space="preserve"> (Escalas 2004). Since, mental imagery or consumption vision shape the cognitive and emotional responses (Amit and Greene 2012; Christensen et al 2004; </w:t>
      </w:r>
      <w:r w:rsidR="00986CA4" w:rsidRPr="00D94CDB">
        <w:rPr>
          <w:rFonts w:ascii="Cambria" w:hAnsi="Cambria" w:cs="Segoe UI"/>
          <w:sz w:val="24"/>
          <w:szCs w:val="24"/>
        </w:rPr>
        <w:t>Batra</w:t>
      </w:r>
      <w:r w:rsidRPr="00D94CDB">
        <w:rPr>
          <w:rFonts w:ascii="Cambria" w:eastAsia="Calibri" w:hAnsi="Cambria" w:cs="Times New Roman"/>
          <w:sz w:val="24"/>
          <w:szCs w:val="24"/>
        </w:rPr>
        <w:t xml:space="preserve"> and Stephens 1994), which are desirable promote sustainable behaviour (Davari and Strutton 2014). So, it is required to understand to what extent the SCV generated by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can affect the consumers </w:t>
      </w:r>
      <w:r w:rsidRPr="00530906">
        <w:rPr>
          <w:rFonts w:ascii="Cambria" w:eastAsia="Calibri" w:hAnsi="Cambria" w:cs="Times New Roman"/>
          <w:sz w:val="24"/>
          <w:szCs w:val="24"/>
        </w:rPr>
        <w:t xml:space="preserve">emotionally. Mental imagery studies have mostly considered positive emotion (Lacher and Mizerski 1994; Hirschman 1983; Nielson et al 2018) except Phillips and McQuarrie (2010). This is apparent that, there is a paucity of research to consider both ends of emotion. Given the fact that, visual imagery produces emotional response (Amit and Greene 2012) and both positive and negative emotion can co–occur by an ad (Edell and Bruke 1987), it is important to consider overall spectrum of emotion. PAD theory of emotion may serve the purpose.  Yim et al (2018) has already tested the applicability of SCV theory on pleasure and learning, In the line of this argument, this research has extended SCV theory by examining all the dimensions of </w:t>
      </w:r>
      <w:r w:rsidRPr="0034466D">
        <w:rPr>
          <w:rFonts w:ascii="Cambria" w:eastAsia="Calibri" w:hAnsi="Cambria" w:cs="Times New Roman"/>
          <w:sz w:val="24"/>
          <w:szCs w:val="24"/>
        </w:rPr>
        <w:t>PAD theory of emotion like arousal (closely related to learning) and dominance along with pleasure.</w:t>
      </w:r>
      <w:r w:rsidR="001D40F2" w:rsidRPr="0034466D">
        <w:rPr>
          <w:rFonts w:ascii="Cambria" w:eastAsia="Calibri" w:hAnsi="Cambria" w:cs="Times New Roman"/>
          <w:sz w:val="24"/>
          <w:szCs w:val="24"/>
        </w:rPr>
        <w:t xml:space="preserve"> Though </w:t>
      </w:r>
      <w:r w:rsidR="00FE62C4" w:rsidRPr="0034466D">
        <w:rPr>
          <w:rFonts w:ascii="Cambria" w:eastAsia="Calibri" w:hAnsi="Cambria" w:cs="Times New Roman"/>
          <w:sz w:val="24"/>
          <w:szCs w:val="24"/>
        </w:rPr>
        <w:t xml:space="preserve">social media ad has proved to generate emotional </w:t>
      </w:r>
      <w:r w:rsidR="00DF677D" w:rsidRPr="0034466D">
        <w:rPr>
          <w:rFonts w:ascii="Cambria" w:eastAsia="Calibri" w:hAnsi="Cambria" w:cs="Times New Roman"/>
          <w:sz w:val="24"/>
          <w:szCs w:val="24"/>
        </w:rPr>
        <w:t>response</w:t>
      </w:r>
      <w:r w:rsidR="001D40F2" w:rsidRPr="0034466D">
        <w:rPr>
          <w:rFonts w:ascii="Cambria" w:eastAsia="Calibri" w:hAnsi="Cambria" w:cs="Times New Roman"/>
          <w:sz w:val="24"/>
          <w:szCs w:val="24"/>
        </w:rPr>
        <w:t xml:space="preserve"> (</w:t>
      </w:r>
      <w:r w:rsidR="001D40F2" w:rsidRPr="0034466D">
        <w:rPr>
          <w:rFonts w:ascii="Cambria" w:hAnsi="Cambria"/>
          <w:sz w:val="24"/>
          <w:szCs w:val="24"/>
        </w:rPr>
        <w:t>Burton et al 2019)</w:t>
      </w:r>
      <w:r w:rsidR="00DF677D" w:rsidRPr="0034466D">
        <w:rPr>
          <w:rFonts w:ascii="Cambria" w:hAnsi="Cambria"/>
          <w:sz w:val="24"/>
          <w:szCs w:val="24"/>
        </w:rPr>
        <w:t>, but this phenomen</w:t>
      </w:r>
      <w:r w:rsidR="0029743E" w:rsidRPr="0034466D">
        <w:rPr>
          <w:rFonts w:ascii="Cambria" w:hAnsi="Cambria"/>
          <w:sz w:val="24"/>
          <w:szCs w:val="24"/>
        </w:rPr>
        <w:t>on has never been examined through the lens of PAD and</w:t>
      </w:r>
      <w:r w:rsidRPr="0034466D">
        <w:rPr>
          <w:rFonts w:ascii="Cambria" w:eastAsia="Calibri" w:hAnsi="Cambria" w:cs="Times New Roman"/>
          <w:sz w:val="24"/>
          <w:szCs w:val="24"/>
        </w:rPr>
        <w:t xml:space="preserve"> has never been used in the context of sustainab</w:t>
      </w:r>
      <w:r w:rsidR="00D157B5" w:rsidRPr="0034466D">
        <w:rPr>
          <w:rFonts w:ascii="Cambria" w:eastAsia="Calibri" w:hAnsi="Cambria" w:cs="Times New Roman"/>
          <w:sz w:val="24"/>
          <w:szCs w:val="24"/>
        </w:rPr>
        <w:t>ility</w:t>
      </w:r>
      <w:r w:rsidRPr="0034466D">
        <w:rPr>
          <w:rFonts w:ascii="Cambria" w:eastAsia="Calibri" w:hAnsi="Cambria" w:cs="Times New Roman"/>
          <w:sz w:val="24"/>
          <w:szCs w:val="24"/>
        </w:rPr>
        <w:t xml:space="preserve">. Therefore, it has been included </w:t>
      </w:r>
      <w:r w:rsidRPr="00530906">
        <w:rPr>
          <w:rFonts w:ascii="Cambria" w:eastAsia="Calibri" w:hAnsi="Cambria" w:cs="Times New Roman"/>
          <w:sz w:val="24"/>
          <w:szCs w:val="24"/>
        </w:rPr>
        <w:t>to shed new perspective on the sustainab</w:t>
      </w:r>
      <w:r w:rsidR="00D157B5" w:rsidRPr="00530906">
        <w:rPr>
          <w:rFonts w:ascii="Cambria" w:eastAsia="Calibri" w:hAnsi="Cambria" w:cs="Times New Roman"/>
          <w:sz w:val="24"/>
          <w:szCs w:val="24"/>
        </w:rPr>
        <w:t>ility</w:t>
      </w:r>
      <w:r w:rsidRPr="00530906">
        <w:rPr>
          <w:rFonts w:ascii="Cambria" w:eastAsia="Calibri" w:hAnsi="Cambria" w:cs="Times New Roman"/>
          <w:sz w:val="24"/>
          <w:szCs w:val="24"/>
        </w:rPr>
        <w:t xml:space="preserve"> advertisement literature. </w:t>
      </w:r>
    </w:p>
    <w:p w14:paraId="25357F6E" w14:textId="53E4785A"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6"/>
          <w:szCs w:val="26"/>
        </w:rPr>
      </w:pPr>
      <w:bookmarkStart w:id="47" w:name="_Toc115726229"/>
      <w:r w:rsidRPr="00530906">
        <w:rPr>
          <w:rFonts w:ascii="Cambria" w:eastAsia="Calibri" w:hAnsi="Cambria" w:cs="Times New Roman"/>
          <w:color w:val="2E74B5"/>
          <w:sz w:val="26"/>
          <w:szCs w:val="26"/>
        </w:rPr>
        <w:t>2.1</w:t>
      </w:r>
      <w:r w:rsidR="00D04819" w:rsidRPr="00530906">
        <w:rPr>
          <w:rFonts w:ascii="Cambria" w:eastAsia="Calibri" w:hAnsi="Cambria" w:cs="Times New Roman"/>
          <w:color w:val="2E74B5"/>
          <w:sz w:val="26"/>
          <w:szCs w:val="26"/>
        </w:rPr>
        <w:t>0</w:t>
      </w:r>
      <w:r w:rsidRPr="00530906">
        <w:rPr>
          <w:rFonts w:ascii="Cambria" w:eastAsia="Calibri" w:hAnsi="Cambria" w:cs="Times New Roman"/>
          <w:color w:val="2E74B5"/>
          <w:sz w:val="26"/>
          <w:szCs w:val="26"/>
        </w:rPr>
        <w:t xml:space="preserve">. </w:t>
      </w:r>
      <w:r w:rsidR="0045598F" w:rsidRPr="00530906">
        <w:rPr>
          <w:rFonts w:ascii="Cambria" w:eastAsia="Calibri" w:hAnsi="Cambria" w:cs="Times New Roman"/>
          <w:color w:val="2E74B5"/>
          <w:sz w:val="26"/>
          <w:szCs w:val="26"/>
        </w:rPr>
        <w:t>Pleasure Arousal Dominance (</w:t>
      </w:r>
      <w:r w:rsidRPr="00530906">
        <w:rPr>
          <w:rFonts w:ascii="Cambria" w:eastAsia="Calibri" w:hAnsi="Cambria" w:cs="Times New Roman"/>
          <w:color w:val="2E74B5"/>
          <w:sz w:val="26"/>
          <w:szCs w:val="26"/>
        </w:rPr>
        <w:t>PAD</w:t>
      </w:r>
      <w:r w:rsidR="0045598F" w:rsidRPr="00530906">
        <w:rPr>
          <w:rFonts w:ascii="Cambria" w:eastAsia="Calibri" w:hAnsi="Cambria" w:cs="Times New Roman"/>
          <w:color w:val="2E74B5"/>
          <w:sz w:val="26"/>
          <w:szCs w:val="26"/>
        </w:rPr>
        <w:t>) model</w:t>
      </w:r>
      <w:bookmarkEnd w:id="47"/>
    </w:p>
    <w:p w14:paraId="10665463" w14:textId="11A5A94D" w:rsidR="00C7217E" w:rsidRPr="00D94CDB" w:rsidRDefault="00C7217E">
      <w:pPr>
        <w:autoSpaceDE w:val="0"/>
        <w:autoSpaceDN w:val="0"/>
        <w:adjustRightInd w:val="0"/>
        <w:spacing w:after="0"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Emotion is deemed as an affective construct and closely related with other affective constructs like– feelings, moods, drives or other general affects (Erevelles 1998; Aaker et al 1988; </w:t>
      </w:r>
      <w:r w:rsidR="00986CA4" w:rsidRPr="00530906">
        <w:rPr>
          <w:rFonts w:ascii="Cambria" w:hAnsi="Cambria" w:cs="Segoe UI"/>
          <w:sz w:val="24"/>
          <w:szCs w:val="24"/>
        </w:rPr>
        <w:t>Batra</w:t>
      </w:r>
      <w:r w:rsidRPr="00530906">
        <w:rPr>
          <w:rFonts w:ascii="Cambria" w:eastAsia="Calibri" w:hAnsi="Cambria" w:cs="Times New Roman"/>
          <w:sz w:val="24"/>
          <w:szCs w:val="24"/>
        </w:rPr>
        <w:t xml:space="preserve"> and Holbrook 1990). In many instances, ‘emotion’ has been used synonymously as ‘affect’, ‘mood’, ‘feelings’ etc. However, consumption emotions are different in character from ‘emotions’ experienced in other contexts (Chamberlain and Broderick 2007, Russel et al 1981). “……emotional responses are relatively brief, phasic events that </w:t>
      </w:r>
      <w:r w:rsidRPr="00D94CDB">
        <w:rPr>
          <w:rFonts w:ascii="Cambria" w:eastAsia="Calibri" w:hAnsi="Cambria" w:cs="Times New Roman"/>
          <w:sz w:val="24"/>
          <w:szCs w:val="24"/>
        </w:rPr>
        <w:t xml:space="preserve">are accompanied by physiological processes, often expressed physically (for example, in gestures, posture, facial features) and may result in specific actions to affirm or cope with the emotion depending on its nature and meaning for the person experiencing the emotion” (Chamberlain and Broderick 2007, P 202). Bowden (2009) has emphasised on emotional response to customer consumption situation, which is especially true for </w:t>
      </w:r>
      <w:r w:rsidR="00342C1A"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42C1A" w:rsidRPr="00D94CDB">
        <w:rPr>
          <w:rFonts w:ascii="Cambria" w:eastAsia="Calibri" w:hAnsi="Cambria" w:cs="Adobe Devanagari"/>
          <w:sz w:val="24"/>
          <w:szCs w:val="24"/>
        </w:rPr>
        <w:t xml:space="preserve"> message</w:t>
      </w:r>
      <w:r w:rsidR="00342C1A"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context, because, it has been argued </w:t>
      </w:r>
      <w:r w:rsidR="004C100F" w:rsidRPr="00D94CDB">
        <w:rPr>
          <w:rFonts w:ascii="Cambria" w:eastAsia="Calibri" w:hAnsi="Cambria" w:cs="Times New Roman"/>
          <w:sz w:val="24"/>
          <w:szCs w:val="24"/>
        </w:rPr>
        <w:t>that</w:t>
      </w:r>
      <w:r w:rsidRPr="00D94CDB">
        <w:rPr>
          <w:rFonts w:ascii="Cambria" w:eastAsia="Calibri" w:hAnsi="Cambria" w:cs="Times New Roman"/>
          <w:sz w:val="24"/>
          <w:szCs w:val="24"/>
        </w:rPr>
        <w:t xml:space="preserve"> emotional appeal is more influential than intellectual argument to promote sustainability (Martin and Schouten 2012; Binder and Blankenberg, 2017). </w:t>
      </w:r>
    </w:p>
    <w:p w14:paraId="25BEB7F8" w14:textId="4AF7494F" w:rsidR="00C7217E" w:rsidRPr="00D94CDB"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The term ‘affect’ encompasses almost all the typology of emotions like– emotions, mood, feelings, drive etc. However, independently, each of these typologies is incomplete. Studies of emotional categories cannot include all categories. In addition to that, these typologies differ depending on the objective, </w:t>
      </w:r>
      <w:r w:rsidR="00DE6DD7" w:rsidRPr="00D94CDB">
        <w:rPr>
          <w:rFonts w:ascii="Cambria" w:eastAsia="Calibri" w:hAnsi="Cambria" w:cs="Times New Roman"/>
          <w:sz w:val="24"/>
          <w:szCs w:val="24"/>
        </w:rPr>
        <w:t>method,</w:t>
      </w:r>
      <w:r w:rsidRPr="00D94CDB">
        <w:rPr>
          <w:rFonts w:ascii="Cambria" w:eastAsia="Calibri" w:hAnsi="Cambria" w:cs="Times New Roman"/>
          <w:sz w:val="24"/>
          <w:szCs w:val="24"/>
        </w:rPr>
        <w:t xml:space="preserve"> and other stimulus domains. Hence, in order to address their multidimensionality, the affective responses generated by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have been studied from dimensional point. However, too many dimensions to categorise the emotional responses may not serve the purpose (</w:t>
      </w:r>
      <w:r w:rsidR="00986CA4" w:rsidRPr="00D94CDB">
        <w:rPr>
          <w:rFonts w:ascii="Cambria" w:hAnsi="Cambria" w:cs="Segoe UI"/>
          <w:sz w:val="24"/>
          <w:szCs w:val="24"/>
        </w:rPr>
        <w:t>Batra</w:t>
      </w:r>
      <w:r w:rsidRPr="00D94CDB">
        <w:rPr>
          <w:rFonts w:ascii="Cambria" w:eastAsia="Calibri" w:hAnsi="Cambria" w:cs="Times New Roman"/>
          <w:sz w:val="24"/>
          <w:szCs w:val="24"/>
        </w:rPr>
        <w:t xml:space="preserve"> and Ray 198</w:t>
      </w:r>
      <w:r w:rsidR="00F24B2C" w:rsidRPr="00D94CDB">
        <w:rPr>
          <w:rFonts w:ascii="Cambria" w:eastAsia="Calibri" w:hAnsi="Cambria" w:cs="Times New Roman"/>
          <w:sz w:val="24"/>
          <w:szCs w:val="24"/>
        </w:rPr>
        <w:t>6</w:t>
      </w:r>
      <w:r w:rsidRPr="00D94CDB">
        <w:rPr>
          <w:rFonts w:ascii="Cambria" w:eastAsia="Calibri" w:hAnsi="Cambria" w:cs="Times New Roman"/>
          <w:sz w:val="24"/>
          <w:szCs w:val="24"/>
        </w:rPr>
        <w:t xml:space="preserve">). </w:t>
      </w:r>
      <w:r w:rsidR="00986CA4" w:rsidRPr="00D94CDB">
        <w:rPr>
          <w:rFonts w:ascii="Cambria" w:hAnsi="Cambria" w:cs="Segoe UI"/>
          <w:sz w:val="24"/>
          <w:szCs w:val="24"/>
        </w:rPr>
        <w:t>Batra</w:t>
      </w:r>
      <w:r w:rsidRPr="00D94CDB">
        <w:rPr>
          <w:rFonts w:ascii="Cambria" w:eastAsia="Calibri" w:hAnsi="Cambria" w:cs="Times New Roman"/>
          <w:sz w:val="24"/>
          <w:szCs w:val="24"/>
        </w:rPr>
        <w:t xml:space="preserve"> and Holbrook (1990) have classified affective responses elicited from an ad in 12 types and stated that, only 3 types together can explain majority of the responses. The 3–dimensional emotional theory– PAD suggests that affective/ emotional responses to any stimuli have its core in three independent dimensions– pleasure, </w:t>
      </w:r>
      <w:r w:rsidR="005420F5" w:rsidRPr="00D94CDB">
        <w:rPr>
          <w:rFonts w:ascii="Cambria" w:eastAsia="Calibri" w:hAnsi="Cambria" w:cs="Times New Roman"/>
          <w:sz w:val="24"/>
          <w:szCs w:val="24"/>
        </w:rPr>
        <w:t>arousal,</w:t>
      </w:r>
      <w:r w:rsidRPr="00D94CDB">
        <w:rPr>
          <w:rFonts w:ascii="Cambria" w:eastAsia="Calibri" w:hAnsi="Cambria" w:cs="Times New Roman"/>
          <w:sz w:val="24"/>
          <w:szCs w:val="24"/>
        </w:rPr>
        <w:t xml:space="preserve"> and dominance. PAD theory posits that individuals’ emotional state is the result of physical and social stimuli in the environment, which affect their behaviour (</w:t>
      </w:r>
      <w:r w:rsidR="00FF1761" w:rsidRPr="00D94CDB">
        <w:rPr>
          <w:rFonts w:ascii="Cambria" w:hAnsi="Cambria"/>
          <w:sz w:val="24"/>
          <w:szCs w:val="24"/>
        </w:rPr>
        <w:t>Mehrabian</w:t>
      </w:r>
      <w:r w:rsidRPr="00D94CDB">
        <w:rPr>
          <w:rFonts w:ascii="Cambria" w:eastAsia="Calibri" w:hAnsi="Cambria" w:cs="Times New Roman"/>
          <w:sz w:val="24"/>
          <w:szCs w:val="24"/>
        </w:rPr>
        <w:t xml:space="preserve"> and Russell 1974) and can be adequately described by these three dimensions (Mehrbian 1996). </w:t>
      </w:r>
    </w:p>
    <w:p w14:paraId="20A47D10" w14:textId="77777777" w:rsidR="00C7217E" w:rsidRPr="00D94CDB" w:rsidRDefault="00C7217E">
      <w:pPr>
        <w:spacing w:after="200" w:line="360" w:lineRule="auto"/>
        <w:ind w:left="567" w:hanging="567"/>
        <w:contextualSpacing/>
        <w:jc w:val="both"/>
        <w:rPr>
          <w:rFonts w:ascii="Cambria" w:eastAsia="Calibri" w:hAnsi="Cambria" w:cs="Times New Roman"/>
          <w:sz w:val="24"/>
          <w:szCs w:val="24"/>
        </w:rPr>
      </w:pPr>
      <w:r w:rsidRPr="00D94CDB">
        <w:rPr>
          <w:rFonts w:ascii="Cambria" w:eastAsia="Calibri" w:hAnsi="Cambria" w:cs="Times New Roman"/>
          <w:b/>
          <w:bCs/>
          <w:sz w:val="24"/>
          <w:szCs w:val="24"/>
        </w:rPr>
        <w:t>Pleasure–</w:t>
      </w:r>
      <w:r w:rsidRPr="00D94CDB">
        <w:rPr>
          <w:rFonts w:ascii="Cambria" w:eastAsia="Calibri" w:hAnsi="Cambria" w:cs="Times New Roman"/>
          <w:sz w:val="24"/>
          <w:szCs w:val="24"/>
        </w:rPr>
        <w:t xml:space="preserve"> refers to the extent of positive or negative feelings toward a stimulus and is associated with cognition and affection (Mehrbian 1996; Bakker et al 2014). It is related with the feelings of satisfaction, contentment, or happiness (Richard and Chebat 2016)</w:t>
      </w:r>
    </w:p>
    <w:p w14:paraId="615E8BBA" w14:textId="30EAC598" w:rsidR="00C7217E" w:rsidRPr="00D94CDB" w:rsidRDefault="00C7217E">
      <w:pPr>
        <w:spacing w:after="200" w:line="360" w:lineRule="auto"/>
        <w:ind w:left="567" w:hanging="567"/>
        <w:contextualSpacing/>
        <w:jc w:val="both"/>
        <w:rPr>
          <w:rFonts w:ascii="Cambria" w:eastAsia="Calibri" w:hAnsi="Cambria" w:cs="Times New Roman"/>
          <w:sz w:val="24"/>
          <w:szCs w:val="24"/>
        </w:rPr>
      </w:pPr>
      <w:r w:rsidRPr="00D94CDB">
        <w:rPr>
          <w:rFonts w:ascii="Cambria" w:eastAsia="Calibri" w:hAnsi="Cambria" w:cs="Times New Roman"/>
          <w:b/>
          <w:bCs/>
          <w:sz w:val="24"/>
          <w:szCs w:val="24"/>
        </w:rPr>
        <w:t>Arousal–</w:t>
      </w:r>
      <w:r w:rsidRPr="00D94CDB">
        <w:rPr>
          <w:rFonts w:ascii="Cambria" w:eastAsia="Calibri" w:hAnsi="Cambria" w:cs="Times New Roman"/>
          <w:sz w:val="24"/>
          <w:szCs w:val="24"/>
        </w:rPr>
        <w:t xml:space="preserve"> refers to the level of mental alertness or mental activities </w:t>
      </w:r>
      <w:r w:rsidR="00991F77" w:rsidRPr="00D94CDB">
        <w:rPr>
          <w:rFonts w:ascii="Cambria" w:eastAsia="Calibri" w:hAnsi="Cambria" w:cs="Times New Roman"/>
          <w:sz w:val="24"/>
          <w:szCs w:val="24"/>
        </w:rPr>
        <w:t>along with c</w:t>
      </w:r>
      <w:r w:rsidRPr="00D94CDB">
        <w:rPr>
          <w:rFonts w:ascii="Cambria" w:eastAsia="Calibri" w:hAnsi="Cambria" w:cs="Times New Roman"/>
          <w:sz w:val="24"/>
          <w:szCs w:val="24"/>
        </w:rPr>
        <w:t>ognition for being connected with thinking ang thoughts (Mehrbian 1996; Bakker et al 2014). In other words, it represents the feelings of being stimulated or excited in comparison to feeling relaxed, sleepy</w:t>
      </w:r>
      <w:r w:rsidR="00965565" w:rsidRPr="00D94CDB">
        <w:rPr>
          <w:rFonts w:ascii="Cambria" w:eastAsia="Calibri" w:hAnsi="Cambria" w:cs="Times New Roman"/>
          <w:sz w:val="24"/>
          <w:szCs w:val="24"/>
        </w:rPr>
        <w:t>,</w:t>
      </w:r>
      <w:r w:rsidRPr="00D94CDB">
        <w:rPr>
          <w:rFonts w:ascii="Cambria" w:eastAsia="Calibri" w:hAnsi="Cambria" w:cs="Times New Roman"/>
          <w:sz w:val="24"/>
          <w:szCs w:val="24"/>
        </w:rPr>
        <w:t xml:space="preserve"> or bored (Richard and Chebat 2016).</w:t>
      </w:r>
    </w:p>
    <w:p w14:paraId="03235243" w14:textId="39AB28C4" w:rsidR="00C7217E" w:rsidRPr="00D94CDB" w:rsidRDefault="00C7217E">
      <w:pPr>
        <w:spacing w:after="200" w:line="360" w:lineRule="auto"/>
        <w:ind w:left="567" w:hanging="567"/>
        <w:contextualSpacing/>
        <w:jc w:val="both"/>
        <w:rPr>
          <w:rFonts w:ascii="Cambria" w:eastAsia="Calibri" w:hAnsi="Cambria" w:cs="Times New Roman"/>
          <w:sz w:val="24"/>
          <w:szCs w:val="24"/>
        </w:rPr>
      </w:pPr>
      <w:r w:rsidRPr="00D94CDB">
        <w:rPr>
          <w:rFonts w:ascii="Cambria" w:eastAsia="Calibri" w:hAnsi="Cambria" w:cs="Times New Roman"/>
          <w:b/>
          <w:bCs/>
          <w:sz w:val="24"/>
          <w:szCs w:val="24"/>
        </w:rPr>
        <w:t>Dominance–</w:t>
      </w:r>
      <w:r w:rsidRPr="00D94CDB">
        <w:rPr>
          <w:rFonts w:ascii="Cambria" w:eastAsia="Calibri" w:hAnsi="Cambria" w:cs="Times New Roman"/>
          <w:sz w:val="24"/>
          <w:szCs w:val="24"/>
        </w:rPr>
        <w:t xml:space="preserve"> this dimension denotes the feeling of control or influence over an individual’s circumstances caused by physical and social barrier. This makes it a conative dimension for being related to freedom or limitations of individual’s behaviours (Mehrbian 1996; Bakker et al 2014). It represents the feelings of being important, in control and autonomous (Richard and Chebat 2016). </w:t>
      </w:r>
    </w:p>
    <w:p w14:paraId="7D179932" w14:textId="1377BCAC" w:rsidR="00C7217E" w:rsidRPr="00D94CDB"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Point to be noted, PAD theory focuses on the emotional response of an environmental stimuli, in this case,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in social–media environment (Chamberlain and Broderick 2007). PAD model has been successfully used to investigate the reactions to concepts and compare the objects and events (Mehrbian 1996). This study aspires to analyse and compare the reactions of different situations arouse by being exposed to positive or negative caption accompanying </w:t>
      </w:r>
      <w:r w:rsidR="00384EA0"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84EA0" w:rsidRPr="00D94CDB">
        <w:rPr>
          <w:rFonts w:ascii="Cambria" w:eastAsia="Calibri" w:hAnsi="Cambria" w:cs="Adobe Devanagari"/>
          <w:sz w:val="24"/>
          <w:szCs w:val="24"/>
        </w:rPr>
        <w:t xml:space="preserve"> message</w:t>
      </w:r>
      <w:r w:rsidR="00384EA0"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in social–media environment. Therefore, in order to assess how the </w:t>
      </w:r>
      <w:r w:rsidR="002A65EC">
        <w:rPr>
          <w:rFonts w:ascii="Cambria" w:eastAsia="Calibri" w:hAnsi="Cambria" w:cs="Times New Roman"/>
          <w:sz w:val="24"/>
          <w:szCs w:val="24"/>
        </w:rPr>
        <w:t xml:space="preserve">ad with </w:t>
      </w:r>
      <w:r w:rsidRPr="00D94CDB">
        <w:rPr>
          <w:rFonts w:ascii="Cambria" w:eastAsia="Calibri" w:hAnsi="Cambria" w:cs="Times New Roman"/>
          <w:sz w:val="24"/>
          <w:szCs w:val="24"/>
        </w:rPr>
        <w:t>sustainab</w:t>
      </w:r>
      <w:r w:rsidR="002A65EC">
        <w:rPr>
          <w:rFonts w:ascii="Cambria" w:eastAsia="Calibri" w:hAnsi="Cambria" w:cs="Times New Roman"/>
          <w:sz w:val="24"/>
          <w:szCs w:val="24"/>
        </w:rPr>
        <w:t>ility message</w:t>
      </w:r>
      <w:r w:rsidRPr="00D94CDB">
        <w:rPr>
          <w:rFonts w:ascii="Cambria" w:eastAsia="Calibri" w:hAnsi="Cambria" w:cs="Times New Roman"/>
          <w:sz w:val="24"/>
          <w:szCs w:val="24"/>
        </w:rPr>
        <w:t xml:space="preserve"> elicit different emotional response depending on situations in social media, this thesis is grounded on Pleasure–Arousal–dominance (PAD) model. Moreover, as seen in the critical literature review, previous research on sustainable–consumption used theories like– ABC (Attitude behaviour and context), TPB, TRA, VBN (Value belief and norm), DSP (Dominant social paradigm), ELM (Elaboration Likelihood Model), SCT (Social cognitive theory), construal level theory etc. Each of them shows how sustainable consumers act in a given context, rather than investigating the reason of acting like a certain way. In other words, mechanism of sustainable choices has never been tested. </w:t>
      </w:r>
      <w:r w:rsidR="009F5CD2" w:rsidRPr="00D94CDB">
        <w:rPr>
          <w:rFonts w:ascii="Cambria" w:eastAsia="Calibri" w:hAnsi="Cambria" w:cs="Times New Roman"/>
          <w:sz w:val="24"/>
          <w:szCs w:val="24"/>
        </w:rPr>
        <w:t>Rowe et al (2019) has tested only pride and guilt; Gonçalves et al (2016) and Koller et al (2011) have examined emotional value along with other values; Perera et al (2018) mentioned about resulting positive emotion for sustainable product</w:t>
      </w:r>
      <w:r w:rsidR="007B5E04" w:rsidRPr="00D94CDB">
        <w:rPr>
          <w:rFonts w:ascii="Cambria" w:eastAsia="Calibri" w:hAnsi="Cambria" w:cs="Times New Roman"/>
          <w:sz w:val="24"/>
          <w:szCs w:val="24"/>
        </w:rPr>
        <w:t>s</w:t>
      </w:r>
      <w:r w:rsidR="009F5CD2" w:rsidRPr="00D94CDB">
        <w:rPr>
          <w:rFonts w:ascii="Cambria" w:eastAsia="Calibri" w:hAnsi="Cambria" w:cs="Times New Roman"/>
          <w:sz w:val="24"/>
          <w:szCs w:val="24"/>
        </w:rPr>
        <w:t xml:space="preserve">. </w:t>
      </w:r>
      <w:r w:rsidR="00BB13C7" w:rsidRPr="00D94CDB">
        <w:rPr>
          <w:rFonts w:ascii="Cambria" w:eastAsia="Calibri" w:hAnsi="Cambria" w:cs="Times New Roman"/>
          <w:sz w:val="24"/>
          <w:szCs w:val="24"/>
        </w:rPr>
        <w:t xml:space="preserve">To the best of knowledge, specific emotions like– distress, guilt, pride, and confidence has been taken into consideration in sustainability context before (Luchs and Kumar 2017; Luchs et al. 2012); but they are treated as the outcome of choosing sustainable products rather than how emotion influences the adaptation of sustainable products. </w:t>
      </w:r>
      <w:r w:rsidR="009F5CD2" w:rsidRPr="00D94CDB">
        <w:rPr>
          <w:rFonts w:ascii="Cambria" w:eastAsia="Calibri" w:hAnsi="Cambria" w:cs="Times New Roman"/>
          <w:sz w:val="24"/>
          <w:szCs w:val="24"/>
        </w:rPr>
        <w:t xml:space="preserve">Though influence of underlying emotions on sustainable consumption has been investigated, but in a very limited context. </w:t>
      </w:r>
      <w:r w:rsidRPr="00D94CDB">
        <w:rPr>
          <w:rFonts w:ascii="Cambria" w:eastAsia="Calibri" w:hAnsi="Cambria" w:cs="Times New Roman"/>
          <w:sz w:val="24"/>
          <w:szCs w:val="24"/>
        </w:rPr>
        <w:t xml:space="preserve">Steenhaut and Kenhove (2006) have only considered guilt as an influencing factor of choosing </w:t>
      </w:r>
      <w:r w:rsidR="004C54E4" w:rsidRPr="00D94CDB">
        <w:rPr>
          <w:rFonts w:ascii="Cambria" w:eastAsia="Calibri" w:hAnsi="Cambria" w:cs="Times New Roman"/>
          <w:sz w:val="24"/>
          <w:szCs w:val="24"/>
        </w:rPr>
        <w:t>sustainable products</w:t>
      </w:r>
      <w:r w:rsidRPr="00D94CDB">
        <w:rPr>
          <w:rFonts w:ascii="Cambria" w:eastAsia="Calibri" w:hAnsi="Cambria" w:cs="Times New Roman"/>
          <w:sz w:val="24"/>
          <w:szCs w:val="24"/>
        </w:rPr>
        <w:t xml:space="preserve">. </w:t>
      </w:r>
      <w:r w:rsidR="007B5E04" w:rsidRPr="00D94CDB">
        <w:rPr>
          <w:rFonts w:ascii="Cambria" w:eastAsia="Calibri" w:hAnsi="Cambria" w:cs="Times New Roman"/>
          <w:sz w:val="24"/>
          <w:szCs w:val="24"/>
        </w:rPr>
        <w:t>P</w:t>
      </w:r>
      <w:r w:rsidR="009F5CD2" w:rsidRPr="00D94CDB">
        <w:rPr>
          <w:rFonts w:ascii="Cambria" w:eastAsia="Calibri" w:hAnsi="Cambria" w:cs="Times New Roman"/>
          <w:sz w:val="24"/>
          <w:szCs w:val="24"/>
        </w:rPr>
        <w:t>oint to be noted that,</w:t>
      </w:r>
      <w:r w:rsidRPr="00D94CDB">
        <w:rPr>
          <w:rFonts w:ascii="Cambria" w:eastAsia="Calibri" w:hAnsi="Cambria" w:cs="Times New Roman"/>
          <w:sz w:val="24"/>
          <w:szCs w:val="24"/>
        </w:rPr>
        <w:t xml:space="preserve"> indefinite number of emotional responses make it impractical to include them separately in studies on advertisement (</w:t>
      </w:r>
      <w:r w:rsidR="00027DA3" w:rsidRPr="00D94CDB">
        <w:rPr>
          <w:rFonts w:ascii="Cambria" w:eastAsia="Calibri" w:hAnsi="Cambria" w:cs="Times New Roman"/>
          <w:sz w:val="24"/>
          <w:szCs w:val="24"/>
        </w:rPr>
        <w:t xml:space="preserve">see </w:t>
      </w:r>
      <w:r w:rsidRPr="00D94CDB">
        <w:rPr>
          <w:rFonts w:ascii="Cambria" w:eastAsia="Calibri" w:hAnsi="Cambria" w:cs="Times New Roman"/>
          <w:sz w:val="24"/>
          <w:szCs w:val="24"/>
        </w:rPr>
        <w:t xml:space="preserve">Holbrook and Batra 1987). In order to understand the underlying reason of creating a favourable mind set of the consumer, a wholesome picture of the role of emotion is required. </w:t>
      </w:r>
      <w:r w:rsidRPr="00D94CDB">
        <w:rPr>
          <w:rFonts w:ascii="Cambria" w:eastAsia="Times New Roman" w:hAnsi="Cambria" w:cs="Times New Roman"/>
          <w:sz w:val="24"/>
          <w:szCs w:val="24"/>
        </w:rPr>
        <w:t xml:space="preserve">PAD theory is known for explaining all emotion related concepts (Huang 2001), which makes it suitable for obtaining a comprehensive picture. </w:t>
      </w:r>
      <w:r w:rsidRPr="00D94CDB">
        <w:rPr>
          <w:rFonts w:ascii="Cambria" w:eastAsia="Calibri" w:hAnsi="Cambria" w:cs="Times New Roman"/>
          <w:sz w:val="24"/>
          <w:szCs w:val="24"/>
        </w:rPr>
        <w:t xml:space="preserve">It is also evident from critical literature review on sustainable behaviour, emotion has hardly been considered let alone using PAD theory of emotion. Especially the models used to explain sustainable behaviour, are predominantly focused on cognitive multi–attribute model, which are not adequate to explain purchase decisions. Moreover, there is hardly any research seeks to explore consumers’ internal mechanism of choice. Richer understanding is required to formulate marketing theory, which can come by considering ‘affect’. </w:t>
      </w:r>
    </w:p>
    <w:p w14:paraId="0D5D109A" w14:textId="70012C6F" w:rsidR="00C7217E" w:rsidRPr="00D94CDB" w:rsidRDefault="00C7217E">
      <w:pPr>
        <w:spacing w:after="200" w:line="360" w:lineRule="auto"/>
        <w:contextualSpacing/>
        <w:jc w:val="both"/>
        <w:rPr>
          <w:rFonts w:ascii="Cambria" w:eastAsia="Calibri" w:hAnsi="Cambria" w:cs="Times New Roman"/>
          <w:sz w:val="24"/>
          <w:szCs w:val="24"/>
        </w:rPr>
      </w:pPr>
      <w:r w:rsidRPr="00D94CDB">
        <w:rPr>
          <w:rFonts w:ascii="Cambria" w:eastAsia="Calibri" w:hAnsi="Cambria" w:cs="Times New Roman"/>
          <w:sz w:val="24"/>
          <w:szCs w:val="24"/>
        </w:rPr>
        <w:t xml:space="preserve">Though other theories of emotions like– differential emotions theory, PANAS (Positive and Negative Affect Schedule), circular model of emotions, affective responses to Ad Categories, Ad Feeling Clusters, consumption emotions set (CES), Ad feeling dimensions etc. have been used in marketing, they have mostly identified various types of emotions and categorising them or have been used as a scale. In comparison to that, PAD dimensions characterise all emotional stages like– moods, emotions, feelings, </w:t>
      </w:r>
      <w:r w:rsidR="00027DA3" w:rsidRPr="00D94CDB">
        <w:rPr>
          <w:rFonts w:ascii="Cambria" w:eastAsia="Calibri" w:hAnsi="Cambria" w:cs="Times New Roman"/>
          <w:sz w:val="24"/>
          <w:szCs w:val="24"/>
        </w:rPr>
        <w:t>drivers,</w:t>
      </w:r>
      <w:r w:rsidRPr="00D94CDB">
        <w:rPr>
          <w:rFonts w:ascii="Cambria" w:eastAsia="Calibri" w:hAnsi="Cambria" w:cs="Times New Roman"/>
          <w:sz w:val="24"/>
          <w:szCs w:val="24"/>
        </w:rPr>
        <w:t xml:space="preserve"> and any other feeling–related concepts (Huang 2001). According to Batra &amp; Holbrook (1990) all emotional responses can be organised in PAD dimensions, which gives PAD the ability to represent all other theories of emotions. So, PAD is more appropriate to understand the underlying mechanism of eliciting emotions by ad and its’ effect on ad attitude.</w:t>
      </w:r>
    </w:p>
    <w:p w14:paraId="46528AAF" w14:textId="77777777" w:rsidR="00C7217E" w:rsidRPr="00D94CDB" w:rsidRDefault="00C7217E">
      <w:pPr>
        <w:spacing w:after="200" w:line="360" w:lineRule="auto"/>
        <w:contextualSpacing/>
        <w:jc w:val="both"/>
        <w:rPr>
          <w:rFonts w:ascii="Cambria" w:eastAsia="Calibri" w:hAnsi="Cambria" w:cs="Times New Roman"/>
          <w:sz w:val="24"/>
          <w:szCs w:val="24"/>
        </w:rPr>
      </w:pPr>
      <w:r w:rsidRPr="00D94CDB">
        <w:rPr>
          <w:rFonts w:ascii="Cambria" w:eastAsia="Calibri" w:hAnsi="Cambria" w:cs="Times New Roman"/>
          <w:sz w:val="24"/>
          <w:szCs w:val="24"/>
        </w:rPr>
        <w:t xml:space="preserve"> In addition to that, as a product of environmental psychology PAD has been successfully measured the impact of emotions on social experience, the perception of the online environment (websites), and other marketing stimuli (Mazaheri et al 2011; Huang et al 2017; </w:t>
      </w:r>
      <w:bookmarkStart w:id="48" w:name="_Hlk67743821"/>
      <w:r w:rsidRPr="00D94CDB">
        <w:rPr>
          <w:rFonts w:ascii="Cambria" w:eastAsia="Calibri" w:hAnsi="Cambria" w:cs="Times New Roman"/>
          <w:sz w:val="24"/>
          <w:szCs w:val="24"/>
        </w:rPr>
        <w:t>Foxall et al 2005</w:t>
      </w:r>
      <w:bookmarkEnd w:id="48"/>
      <w:r w:rsidRPr="00D94CDB">
        <w:rPr>
          <w:rFonts w:ascii="Cambria" w:eastAsia="Calibri" w:hAnsi="Cambria" w:cs="Times New Roman"/>
          <w:sz w:val="24"/>
          <w:szCs w:val="24"/>
        </w:rPr>
        <w:t>). PAD theory has been successfully used in online environment (Miniero et al 2014; Richard and Chebat 2014). PAD theory is used to explain the impact of stimuli presented in website environment on people’s purchase intention and subsequent behaviour (Huang et al 2017). Similarly, this thesis attempts to explore the scope of formation and effect of emotions in social–media environment (Bakker et al 2014).</w:t>
      </w:r>
    </w:p>
    <w:p w14:paraId="679F31E4" w14:textId="1614BCF8" w:rsidR="00C7217E" w:rsidRPr="00D94CDB" w:rsidRDefault="00C7217E">
      <w:pPr>
        <w:spacing w:after="200" w:line="360" w:lineRule="auto"/>
        <w:contextualSpacing/>
        <w:jc w:val="both"/>
        <w:rPr>
          <w:rFonts w:ascii="Cambria" w:eastAsia="Calibri" w:hAnsi="Cambria" w:cs="Times New Roman"/>
          <w:sz w:val="24"/>
          <w:szCs w:val="24"/>
        </w:rPr>
      </w:pPr>
      <w:r w:rsidRPr="00D94CDB">
        <w:rPr>
          <w:rFonts w:ascii="Cambria" w:eastAsia="Calibri" w:hAnsi="Cambria" w:cs="Times New Roman"/>
          <w:sz w:val="24"/>
          <w:szCs w:val="24"/>
        </w:rPr>
        <w:t>Environment</w:t>
      </w:r>
      <w:r w:rsidR="00187CA4" w:rsidRPr="00D94CDB">
        <w:rPr>
          <w:rFonts w:ascii="Cambria" w:eastAsia="Calibri" w:hAnsi="Cambria" w:cs="Times New Roman"/>
          <w:sz w:val="24"/>
          <w:szCs w:val="24"/>
        </w:rPr>
        <w:t xml:space="preserve"> or situational setting</w:t>
      </w:r>
      <w:r w:rsidRPr="00D94CDB">
        <w:rPr>
          <w:rFonts w:ascii="Cambria" w:eastAsia="Calibri" w:hAnsi="Cambria" w:cs="Times New Roman"/>
          <w:sz w:val="24"/>
          <w:szCs w:val="24"/>
        </w:rPr>
        <w:t xml:space="preserve"> has a significant effect on emotional responses (Foxall et al 2005; Foxall and Yani–de–Soriano 2005). This is especially true because social</w:t>
      </w:r>
      <w:r w:rsidR="00027DA3"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media presents a unique environment in terms of other actors’ disposition and characteristics of the platform itself (Li et al 2018). Users’ online behaviour depend on the positivity or negativity of their psychological state arouse from environmental contingencies, stimuli, pictures, words, film clips, perception and situation they come </w:t>
      </w:r>
      <w:r w:rsidR="00027DA3" w:rsidRPr="00D94CDB">
        <w:rPr>
          <w:rFonts w:ascii="Cambria" w:eastAsia="Calibri" w:hAnsi="Cambria" w:cs="Times New Roman"/>
          <w:sz w:val="24"/>
          <w:szCs w:val="24"/>
        </w:rPr>
        <w:t>across</w:t>
      </w:r>
      <w:r w:rsidRPr="00D94CDB">
        <w:rPr>
          <w:rFonts w:ascii="Cambria" w:eastAsia="Calibri" w:hAnsi="Cambria" w:cs="Times New Roman"/>
          <w:sz w:val="24"/>
          <w:szCs w:val="24"/>
        </w:rPr>
        <w:t xml:space="preserve"> (Li et al 2018). Since emotions are subject to specific marketing context (Erevelles, 1998), an emotional theory generated from environmental psychology (Mehrbian 1996), PAD should be most suitable to translate the process of how ads in social–media environment influence ad attitude. PAD theory has been successfully used to in study for website environment and taken situational context into account (Mazaheri et al 2011; Huang et al 2017). “Empirical studies on the social transmission in social media suggest that messages that induce both positive and negative ends of the emotional spectrum spread faster across the social network than those in the middle” (Lee et al 2013, p: 796).</w:t>
      </w:r>
    </w:p>
    <w:p w14:paraId="6149DB42" w14:textId="6D71A76C" w:rsidR="00C7217E" w:rsidRPr="00530906" w:rsidRDefault="00C7217E">
      <w:pPr>
        <w:spacing w:after="200" w:line="360" w:lineRule="auto"/>
        <w:contextualSpacing/>
        <w:jc w:val="both"/>
        <w:rPr>
          <w:rFonts w:ascii="Cambria" w:eastAsia="Calibri" w:hAnsi="Cambria" w:cs="Times New Roman"/>
          <w:sz w:val="24"/>
          <w:szCs w:val="24"/>
        </w:rPr>
      </w:pPr>
      <w:r w:rsidRPr="00D94CDB">
        <w:rPr>
          <w:rFonts w:ascii="Cambria" w:eastAsia="Calibri" w:hAnsi="Cambria" w:cs="Times New Roman"/>
          <w:sz w:val="24"/>
          <w:szCs w:val="24"/>
        </w:rPr>
        <w:t>Though PAD model has limited predictability of shopping behaviour in store setting (Massara et al 2010), that is not an issue for this thesis, because it is based on social</w:t>
      </w:r>
      <w:r w:rsidR="00ED0632"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media, not a retail shop. Moreover, rather than focusing on shopping behaviour, PAD is considered as a preceding construct of social–media–engagement behaviour. Another limitation of PAD is that it only measures the extent of emotions rather than distinguishing among them (Massara et al 2010). But this makes it especially suitable for this thesis, because the aim is to find the extent of generated emotions from </w:t>
      </w:r>
      <w:r w:rsidR="008B3D35"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8B3D35" w:rsidRPr="00D94CDB">
        <w:rPr>
          <w:rFonts w:ascii="Cambria" w:eastAsia="Calibri" w:hAnsi="Cambria" w:cs="Adobe Devanagari"/>
          <w:sz w:val="24"/>
          <w:szCs w:val="24"/>
        </w:rPr>
        <w:t xml:space="preserve"> message</w:t>
      </w:r>
      <w:r w:rsidR="008B3D35"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within different condition. PAD has been criticised for not considering other environmental (situational) variables (Massara et al 2010), which is also not true for this study since it has considered other influential variables of social–media–engagement like– source expertise, and involvement. On the top of that in this thesis, as claimed in the introduction, academics are emphasising on applied knowledge to motivate consumers in sustainable behaviour (Lin and Hsu 2015; Kilbourne et al 2002).  PAD theory of emotion is applied to understand the underlying cause of </w:t>
      </w:r>
      <w:r w:rsidR="00342C1A"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42C1A" w:rsidRPr="00D94CDB">
        <w:rPr>
          <w:rFonts w:ascii="Cambria" w:eastAsia="Calibri" w:hAnsi="Cambria" w:cs="Adobe Devanagari"/>
          <w:sz w:val="24"/>
          <w:szCs w:val="24"/>
        </w:rPr>
        <w:t xml:space="preserve"> message</w:t>
      </w:r>
      <w:r w:rsidR="00342C1A"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to have any impact of the consumers’ behaviour, therefore last criticism of PAD’s application for not being studied properly </w:t>
      </w:r>
      <w:r w:rsidRPr="00530906">
        <w:rPr>
          <w:rFonts w:ascii="Cambria" w:eastAsia="Calibri" w:hAnsi="Cambria" w:cs="Times New Roman"/>
          <w:sz w:val="24"/>
          <w:szCs w:val="24"/>
        </w:rPr>
        <w:t xml:space="preserve">(Massara et al 2010), is also refuted. </w:t>
      </w:r>
    </w:p>
    <w:p w14:paraId="696D4E3D" w14:textId="05488978" w:rsidR="00C7217E" w:rsidRPr="00D94CDB"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Earlier studies showed that the dimensions of PAD theory may not act similarly to each other (Foxall et al 2005). Among the three dimensions, ‘dominance’ has proved to act differently than the other two dimensions (Russel et al 1981).  A linear relationship has been found for pleasure and arousal, but not with dominance. This leads a number of studies to consider only pleasure and arousal dimension (Poel and Dewitte 2008; Desmet 2010). It is assumed that ‘dominance’ dimension is different than the ‘pleasure’ and ‘arousal’, because </w:t>
      </w:r>
      <w:r w:rsidRPr="00D94CDB">
        <w:rPr>
          <w:rFonts w:ascii="Cambria" w:eastAsia="Calibri" w:hAnsi="Cambria" w:cs="Times New Roman"/>
          <w:sz w:val="24"/>
          <w:szCs w:val="24"/>
        </w:rPr>
        <w:t>unlike the latter two dimensions, it requires an interpretation of the stimuli (Desmet 2010). On the flip side, Miniero et al (2014) found that, arousal and dominance evoke pleasure which leads to future recommendation. Actually, it is hard to compare between research findings about PAD. Yet</w:t>
      </w:r>
      <w:r w:rsidR="00687F37" w:rsidRPr="00D94CDB">
        <w:rPr>
          <w:rFonts w:ascii="Cambria" w:eastAsia="Calibri" w:hAnsi="Cambria" w:cs="Times New Roman"/>
          <w:sz w:val="24"/>
          <w:szCs w:val="24"/>
        </w:rPr>
        <w:t>,</w:t>
      </w:r>
      <w:r w:rsidRPr="00D94CDB">
        <w:rPr>
          <w:rFonts w:ascii="Cambria" w:eastAsia="Calibri" w:hAnsi="Cambria" w:cs="Times New Roman"/>
          <w:sz w:val="24"/>
          <w:szCs w:val="24"/>
        </w:rPr>
        <w:t xml:space="preserve"> in order to assess complete gamut of human responses, all three dimensions should be included (Bakker et al 2014). But this thesis will consider dominance along with pleasure and arousal to have a complete account of emotional responses. </w:t>
      </w:r>
    </w:p>
    <w:p w14:paraId="215F5D25" w14:textId="021B773D" w:rsidR="00C7217E" w:rsidRPr="00D94CDB" w:rsidRDefault="00CA3F48">
      <w:pPr>
        <w:autoSpaceDE w:val="0"/>
        <w:autoSpaceDN w:val="0"/>
        <w:adjustRightInd w:val="0"/>
        <w:spacing w:after="0" w:line="360" w:lineRule="auto"/>
        <w:jc w:val="both"/>
        <w:rPr>
          <w:rFonts w:ascii="Cambria" w:eastAsia="Calibri" w:hAnsi="Cambria" w:cs="Times New Roman"/>
          <w:sz w:val="24"/>
          <w:szCs w:val="24"/>
        </w:rPr>
      </w:pPr>
      <w:r w:rsidRPr="00D94CDB">
        <w:rPr>
          <w:rFonts w:ascii="Cambria" w:hAnsi="Cambria"/>
          <w:noProof/>
          <w:sz w:val="24"/>
          <w:szCs w:val="24"/>
        </w:rPr>
        <mc:AlternateContent>
          <mc:Choice Requires="wpg">
            <w:drawing>
              <wp:anchor distT="0" distB="0" distL="114300" distR="114300" simplePos="0" relativeHeight="251657285" behindDoc="0" locked="0" layoutInCell="1" allowOverlap="1" wp14:anchorId="3DB5F9DB" wp14:editId="31CBE7FA">
                <wp:simplePos x="0" y="0"/>
                <wp:positionH relativeFrom="column">
                  <wp:posOffset>2380735</wp:posOffset>
                </wp:positionH>
                <wp:positionV relativeFrom="paragraph">
                  <wp:posOffset>-186707</wp:posOffset>
                </wp:positionV>
                <wp:extent cx="3762375" cy="4765675"/>
                <wp:effectExtent l="38100" t="0" r="9525" b="0"/>
                <wp:wrapSquare wrapText="bothSides"/>
                <wp:docPr id="530" name="Group 530"/>
                <wp:cNvGraphicFramePr/>
                <a:graphic xmlns:a="http://schemas.openxmlformats.org/drawingml/2006/main">
                  <a:graphicData uri="http://schemas.microsoft.com/office/word/2010/wordprocessingGroup">
                    <wpg:wgp>
                      <wpg:cNvGrpSpPr/>
                      <wpg:grpSpPr>
                        <a:xfrm>
                          <a:off x="0" y="0"/>
                          <a:ext cx="3762375" cy="4765675"/>
                          <a:chOff x="0" y="-123826"/>
                          <a:chExt cx="3762375" cy="4765676"/>
                        </a:xfrm>
                      </wpg:grpSpPr>
                      <wpg:grpSp>
                        <wpg:cNvPr id="531" name="Group 531"/>
                        <wpg:cNvGrpSpPr/>
                        <wpg:grpSpPr>
                          <a:xfrm>
                            <a:off x="0" y="-123826"/>
                            <a:ext cx="3762375" cy="4765676"/>
                            <a:chOff x="0" y="-123826"/>
                            <a:chExt cx="3762375" cy="4765676"/>
                          </a:xfrm>
                        </wpg:grpSpPr>
                        <wpg:grpSp>
                          <wpg:cNvPr id="532" name="Group 532"/>
                          <wpg:cNvGrpSpPr>
                            <a:grpSpLocks/>
                          </wpg:cNvGrpSpPr>
                          <wpg:grpSpPr bwMode="auto">
                            <a:xfrm>
                              <a:off x="0" y="-123826"/>
                              <a:ext cx="3762375" cy="4765676"/>
                              <a:chOff x="0" y="-1191"/>
                              <a:chExt cx="37639" cy="45838"/>
                            </a:xfrm>
                          </wpg:grpSpPr>
                          <wpg:grpSp>
                            <wpg:cNvPr id="533" name="Group 533"/>
                            <wpg:cNvGrpSpPr>
                              <a:grpSpLocks/>
                            </wpg:cNvGrpSpPr>
                            <wpg:grpSpPr bwMode="auto">
                              <a:xfrm>
                                <a:off x="1619" y="-1191"/>
                                <a:ext cx="36020" cy="45838"/>
                                <a:chOff x="3810" y="-1191"/>
                                <a:chExt cx="36019" cy="45838"/>
                              </a:xfrm>
                            </wpg:grpSpPr>
                            <wpg:grpSp>
                              <wpg:cNvPr id="534" name="Group 412"/>
                              <wpg:cNvGrpSpPr>
                                <a:grpSpLocks/>
                              </wpg:cNvGrpSpPr>
                              <wpg:grpSpPr bwMode="auto">
                                <a:xfrm>
                                  <a:off x="3810" y="-1191"/>
                                  <a:ext cx="36019" cy="45838"/>
                                  <a:chOff x="3810" y="-1191"/>
                                  <a:chExt cx="36019" cy="45838"/>
                                </a:xfrm>
                              </wpg:grpSpPr>
                              <wpg:grpSp>
                                <wpg:cNvPr id="535" name="Group 242"/>
                                <wpg:cNvGrpSpPr>
                                  <a:grpSpLocks/>
                                </wpg:cNvGrpSpPr>
                                <wpg:grpSpPr bwMode="auto">
                                  <a:xfrm>
                                    <a:off x="3810" y="-1191"/>
                                    <a:ext cx="36019" cy="45838"/>
                                    <a:chOff x="3810" y="-1191"/>
                                    <a:chExt cx="36019" cy="45838"/>
                                  </a:xfrm>
                                </wpg:grpSpPr>
                                <wpg:grpSp>
                                  <wpg:cNvPr id="675" name="Group 243"/>
                                  <wpg:cNvGrpSpPr>
                                    <a:grpSpLocks/>
                                  </wpg:cNvGrpSpPr>
                                  <wpg:grpSpPr bwMode="auto">
                                    <a:xfrm>
                                      <a:off x="3810" y="-1191"/>
                                      <a:ext cx="36019" cy="45838"/>
                                      <a:chOff x="3810" y="-1191"/>
                                      <a:chExt cx="36019" cy="45838"/>
                                    </a:xfrm>
                                  </wpg:grpSpPr>
                                  <wps:wsp>
                                    <wps:cNvPr id="683" name="Text Box 244"/>
                                    <wps:cNvSpPr txBox="1">
                                      <a:spLocks noChangeArrowheads="1"/>
                                    </wps:cNvSpPr>
                                    <wps:spPr bwMode="auto">
                                      <a:xfrm>
                                        <a:off x="18002" y="14192"/>
                                        <a:ext cx="5047" cy="2666"/>
                                      </a:xfrm>
                                      <a:prstGeom prst="rect">
                                        <a:avLst/>
                                      </a:prstGeom>
                                      <a:solidFill>
                                        <a:srgbClr val="B4C6E7"/>
                                      </a:solidFill>
                                      <a:ln w="6350">
                                        <a:solidFill>
                                          <a:srgbClr val="000000"/>
                                        </a:solidFill>
                                        <a:miter lim="800000"/>
                                        <a:headEnd/>
                                        <a:tailEnd/>
                                      </a:ln>
                                    </wps:spPr>
                                    <wps:txbx>
                                      <w:txbxContent>
                                        <w:p w14:paraId="28B31EBE" w14:textId="77777777" w:rsidR="00D34F1C" w:rsidRDefault="00D34F1C" w:rsidP="00604C16">
                                          <w:r>
                                            <w:t>SCV</w:t>
                                          </w:r>
                                        </w:p>
                                      </w:txbxContent>
                                    </wps:txbx>
                                    <wps:bodyPr rot="0" vert="horz" wrap="square" lIns="91440" tIns="45720" rIns="91440" bIns="45720" anchor="t" anchorCtr="0" upright="1">
                                      <a:noAutofit/>
                                    </wps:bodyPr>
                                  </wps:wsp>
                                  <wpg:grpSp>
                                    <wpg:cNvPr id="684" name="Group 245"/>
                                    <wpg:cNvGrpSpPr>
                                      <a:grpSpLocks/>
                                    </wpg:cNvGrpSpPr>
                                    <wpg:grpSpPr bwMode="auto">
                                      <a:xfrm>
                                        <a:off x="3810" y="-1191"/>
                                        <a:ext cx="36019" cy="45838"/>
                                        <a:chOff x="3810" y="-1191"/>
                                        <a:chExt cx="36023" cy="45847"/>
                                      </a:xfrm>
                                    </wpg:grpSpPr>
                                    <wpg:grpSp>
                                      <wpg:cNvPr id="685" name="Group 246"/>
                                      <wpg:cNvGrpSpPr>
                                        <a:grpSpLocks/>
                                      </wpg:cNvGrpSpPr>
                                      <wpg:grpSpPr bwMode="auto">
                                        <a:xfrm>
                                          <a:off x="3810" y="-1191"/>
                                          <a:ext cx="36023" cy="45847"/>
                                          <a:chOff x="3810" y="-1191"/>
                                          <a:chExt cx="36023" cy="45855"/>
                                        </a:xfrm>
                                      </wpg:grpSpPr>
                                      <wpg:grpSp>
                                        <wpg:cNvPr id="686" name="Group 247"/>
                                        <wpg:cNvGrpSpPr>
                                          <a:grpSpLocks/>
                                        </wpg:cNvGrpSpPr>
                                        <wpg:grpSpPr bwMode="auto">
                                          <a:xfrm>
                                            <a:off x="7812" y="-1191"/>
                                            <a:ext cx="32021" cy="45855"/>
                                            <a:chOff x="859" y="1118"/>
                                            <a:chExt cx="32024" cy="27615"/>
                                          </a:xfrm>
                                        </wpg:grpSpPr>
                                        <wpg:grpSp>
                                          <wpg:cNvPr id="687" name="Group 248"/>
                                          <wpg:cNvGrpSpPr>
                                            <a:grpSpLocks/>
                                          </wpg:cNvGrpSpPr>
                                          <wpg:grpSpPr bwMode="auto">
                                            <a:xfrm>
                                              <a:off x="859" y="1118"/>
                                              <a:ext cx="32024" cy="27615"/>
                                              <a:chOff x="859" y="1118"/>
                                              <a:chExt cx="32024" cy="27614"/>
                                            </a:xfrm>
                                          </wpg:grpSpPr>
                                          <wpg:grpSp>
                                            <wpg:cNvPr id="688" name="Group 249"/>
                                            <wpg:cNvGrpSpPr>
                                              <a:grpSpLocks/>
                                            </wpg:cNvGrpSpPr>
                                            <wpg:grpSpPr bwMode="auto">
                                              <a:xfrm>
                                                <a:off x="4476" y="1118"/>
                                                <a:ext cx="17637" cy="21317"/>
                                                <a:chOff x="4476" y="1118"/>
                                                <a:chExt cx="17637" cy="21317"/>
                                              </a:xfrm>
                                            </wpg:grpSpPr>
                                            <wps:wsp>
                                              <wps:cNvPr id="689" name="Text Box 250"/>
                                              <wps:cNvSpPr txBox="1">
                                                <a:spLocks noChangeArrowheads="1"/>
                                              </wps:cNvSpPr>
                                              <wps:spPr bwMode="auto">
                                                <a:xfrm>
                                                  <a:off x="4476" y="1118"/>
                                                  <a:ext cx="17637" cy="3347"/>
                                                </a:xfrm>
                                                <a:prstGeom prst="rect">
                                                  <a:avLst/>
                                                </a:prstGeom>
                                                <a:solidFill>
                                                  <a:srgbClr val="A9CBB7"/>
                                                </a:solidFill>
                                                <a:ln w="6350">
                                                  <a:solidFill>
                                                    <a:srgbClr val="000000"/>
                                                  </a:solidFill>
                                                  <a:miter lim="800000"/>
                                                  <a:headEnd/>
                                                  <a:tailEnd/>
                                                </a:ln>
                                              </wps:spPr>
                                              <wps:txbx>
                                                <w:txbxContent>
                                                  <w:p w14:paraId="5BD76872" w14:textId="50A916C7" w:rsidR="007848B7" w:rsidRDefault="007848B7" w:rsidP="007848B7">
                                                    <w:pPr>
                                                      <w:pStyle w:val="NoSpacing"/>
                                                    </w:pPr>
                                                    <w:r>
                                                      <w:t xml:space="preserve">Positive vs negative caption accompanying </w:t>
                                                    </w:r>
                                                    <w:r w:rsidRPr="003311FC">
                                                      <w:t xml:space="preserve">ad with </w:t>
                                                    </w:r>
                                                    <w:r w:rsidR="009C2AE9" w:rsidRPr="003311FC">
                                                      <w:t>sustainability</w:t>
                                                    </w:r>
                                                    <w:r w:rsidRPr="003311FC">
                                                      <w:t xml:space="preserve"> message</w:t>
                                                    </w:r>
                                                  </w:p>
                                                  <w:p w14:paraId="2D9899CE" w14:textId="77777777" w:rsidR="00D34F1C" w:rsidRDefault="00D34F1C" w:rsidP="00604C16">
                                                    <w:pPr>
                                                      <w:pStyle w:val="NoSpacing"/>
                                                    </w:pPr>
                                                  </w:p>
                                                </w:txbxContent>
                                              </wps:txbx>
                                              <wps:bodyPr rot="0" vert="horz" wrap="square" lIns="91440" tIns="45720" rIns="91440" bIns="45720" anchor="t" anchorCtr="0" upright="1">
                                                <a:noAutofit/>
                                              </wps:bodyPr>
                                            </wps:wsp>
                                            <wps:wsp>
                                              <wps:cNvPr id="690" name="Text Box 251"/>
                                              <wps:cNvSpPr txBox="1">
                                                <a:spLocks noChangeArrowheads="1"/>
                                              </wps:cNvSpPr>
                                              <wps:spPr bwMode="auto">
                                                <a:xfrm>
                                                  <a:off x="5091" y="15215"/>
                                                  <a:ext cx="16822" cy="2799"/>
                                                </a:xfrm>
                                                <a:prstGeom prst="rect">
                                                  <a:avLst/>
                                                </a:prstGeom>
                                                <a:solidFill>
                                                  <a:srgbClr val="C7ABFF"/>
                                                </a:solidFill>
                                                <a:ln w="6350">
                                                  <a:solidFill>
                                                    <a:srgbClr val="000000"/>
                                                  </a:solidFill>
                                                  <a:miter lim="800000"/>
                                                  <a:headEnd/>
                                                  <a:tailEnd/>
                                                </a:ln>
                                              </wps:spPr>
                                              <wps:txbx>
                                                <w:txbxContent>
                                                  <w:p w14:paraId="5251467B" w14:textId="77777777" w:rsidR="00D34F1C" w:rsidRDefault="00D34F1C" w:rsidP="00604C16">
                                                    <w:r>
                                                      <w:t>Social–media engagement with the ad</w:t>
                                                    </w:r>
                                                  </w:p>
                                                </w:txbxContent>
                                              </wps:txbx>
                                              <wps:bodyPr rot="0" vert="horz" wrap="square" lIns="91440" tIns="45720" rIns="91440" bIns="45720" anchor="t" anchorCtr="0" upright="1">
                                                <a:noAutofit/>
                                              </wps:bodyPr>
                                            </wps:wsp>
                                            <wps:wsp>
                                              <wps:cNvPr id="691" name="Text Box 252"/>
                                              <wps:cNvSpPr txBox="1">
                                                <a:spLocks noChangeArrowheads="1"/>
                                              </wps:cNvSpPr>
                                              <wps:spPr bwMode="auto">
                                                <a:xfrm>
                                                  <a:off x="6191" y="19599"/>
                                                  <a:ext cx="15238" cy="2836"/>
                                                </a:xfrm>
                                                <a:prstGeom prst="rect">
                                                  <a:avLst/>
                                                </a:prstGeom>
                                                <a:solidFill>
                                                  <a:srgbClr val="C5E0B3"/>
                                                </a:solidFill>
                                                <a:ln w="6350">
                                                  <a:solidFill>
                                                    <a:srgbClr val="000000"/>
                                                  </a:solidFill>
                                                  <a:miter lim="800000"/>
                                                  <a:headEnd/>
                                                  <a:tailEnd/>
                                                </a:ln>
                                              </wps:spPr>
                                              <wps:txbx>
                                                <w:txbxContent>
                                                  <w:p w14:paraId="1309C3F0" w14:textId="77777777" w:rsidR="00D34F1C" w:rsidRDefault="00D34F1C" w:rsidP="00604C16">
                                                    <w:r>
                                                      <w:t>Purchase intention of the advertised product</w:t>
                                                    </w:r>
                                                  </w:p>
                                                  <w:p w14:paraId="78AE8D33" w14:textId="77777777" w:rsidR="00D34F1C" w:rsidRDefault="00D34F1C" w:rsidP="00604C16"/>
                                                </w:txbxContent>
                                              </wps:txbx>
                                              <wps:bodyPr rot="0" vert="horz" wrap="square" lIns="91440" tIns="45720" rIns="91440" bIns="45720" anchor="t" anchorCtr="0" upright="1">
                                                <a:noAutofit/>
                                              </wps:bodyPr>
                                            </wps:wsp>
                                            <wps:wsp>
                                              <wps:cNvPr id="692" name="Straight Arrow Connector 253"/>
                                              <wps:cNvCnPr>
                                                <a:cxnSpLocks noChangeShapeType="1"/>
                                              </wps:cNvCnPr>
                                              <wps:spPr bwMode="auto">
                                                <a:xfrm>
                                                  <a:off x="13840" y="18071"/>
                                                  <a:ext cx="0" cy="160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93" name="Text Box 254"/>
                                            <wps:cNvSpPr txBox="1">
                                              <a:spLocks noChangeArrowheads="1"/>
                                            </wps:cNvSpPr>
                                            <wps:spPr bwMode="auto">
                                              <a:xfrm>
                                                <a:off x="859" y="26557"/>
                                                <a:ext cx="32024" cy="2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6BD483" w14:textId="29031A8E" w:rsidR="00D34F1C" w:rsidRDefault="00D34F1C" w:rsidP="00604C16">
                                                  <w:r>
                                                    <w:t>Fig 1</w:t>
                                                  </w:r>
                                                  <w:r w:rsidR="00A26F6C">
                                                    <w:t>2</w:t>
                                                  </w:r>
                                                  <w:r>
                                                    <w:t xml:space="preserve">: Role of emotion on Social media engagement </w:t>
                                                  </w:r>
                                                </w:p>
                                              </w:txbxContent>
                                            </wps:txbx>
                                            <wps:bodyPr rot="0" vert="horz" wrap="square" lIns="91440" tIns="45720" rIns="91440" bIns="45720" anchor="t" anchorCtr="0" upright="1">
                                              <a:noAutofit/>
                                            </wps:bodyPr>
                                          </wps:wsp>
                                        </wpg:grpSp>
                                        <wps:wsp>
                                          <wps:cNvPr id="694" name="Straight Arrow Connector 255"/>
                                          <wps:cNvCnPr>
                                            <a:cxnSpLocks noChangeShapeType="1"/>
                                          </wps:cNvCnPr>
                                          <wps:spPr bwMode="auto">
                                            <a:xfrm>
                                              <a:off x="13840" y="4589"/>
                                              <a:ext cx="0" cy="5863"/>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95" name="Text Box 320"/>
                                        <wps:cNvSpPr txBox="1">
                                          <a:spLocks noChangeArrowheads="1"/>
                                        </wps:cNvSpPr>
                                        <wps:spPr bwMode="auto">
                                          <a:xfrm>
                                            <a:off x="3810" y="4762"/>
                                            <a:ext cx="15303" cy="4471"/>
                                          </a:xfrm>
                                          <a:prstGeom prst="rect">
                                            <a:avLst/>
                                          </a:prstGeom>
                                          <a:noFill/>
                                          <a:ln>
                                            <a:noFill/>
                                          </a:ln>
                                          <a:extLst>
                                            <a:ext uri="{909E8E84-426E-40DD-AFC4-6F175D3DCCD1}">
                                              <a14:hiddenFill xmlns:a14="http://schemas.microsoft.com/office/drawing/2010/main">
                                                <a:solidFill>
                                                  <a:srgbClr val="C5C4A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49083" w14:textId="77777777" w:rsidR="00D34F1C" w:rsidRDefault="00D34F1C" w:rsidP="00604C16"/>
                                          </w:txbxContent>
                                        </wps:txbx>
                                        <wps:bodyPr rot="0" vert="horz" wrap="square" lIns="91440" tIns="45720" rIns="91440" bIns="45720" anchor="t" anchorCtr="0" upright="1">
                                          <a:noAutofit/>
                                        </wps:bodyPr>
                                      </wps:wsp>
                                      <wps:wsp>
                                        <wps:cNvPr id="696" name="Text Box 321"/>
                                        <wps:cNvSpPr txBox="1">
                                          <a:spLocks noChangeArrowheads="1"/>
                                        </wps:cNvSpPr>
                                        <wps:spPr bwMode="auto">
                                          <a:xfrm>
                                            <a:off x="4266" y="7113"/>
                                            <a:ext cx="11926" cy="4502"/>
                                          </a:xfrm>
                                          <a:prstGeom prst="rect">
                                            <a:avLst/>
                                          </a:prstGeom>
                                          <a:solidFill>
                                            <a:srgbClr val="C5C4A0"/>
                                          </a:solidFill>
                                          <a:ln w="6350">
                                            <a:solidFill>
                                              <a:srgbClr val="000000"/>
                                            </a:solidFill>
                                            <a:miter lim="800000"/>
                                            <a:headEnd/>
                                            <a:tailEnd/>
                                          </a:ln>
                                        </wps:spPr>
                                        <wps:txbx>
                                          <w:txbxContent>
                                            <w:p w14:paraId="59E8D325" w14:textId="77777777" w:rsidR="00D34F1C" w:rsidRDefault="00D34F1C" w:rsidP="00604C16">
                                              <w:r>
                                                <w:t xml:space="preserve">Source expertise High </w:t>
                                              </w:r>
                                              <w:r>
                                                <w:tab/>
                                                <w:t xml:space="preserve">    Low </w:t>
                                              </w:r>
                                            </w:p>
                                          </w:txbxContent>
                                        </wps:txbx>
                                        <wps:bodyPr rot="0" vert="horz" wrap="square" lIns="91440" tIns="45720" rIns="91440" bIns="45720" anchor="t" anchorCtr="0" upright="1">
                                          <a:noAutofit/>
                                        </wps:bodyPr>
                                      </wps:wsp>
                                      <wps:wsp>
                                        <wps:cNvPr id="697" name="Straight Arrow Connector 322"/>
                                        <wps:cNvCnPr>
                                          <a:cxnSpLocks noChangeShapeType="1"/>
                                        </wps:cNvCnPr>
                                        <wps:spPr bwMode="auto">
                                          <a:xfrm>
                                            <a:off x="19242" y="6762"/>
                                            <a:ext cx="1408"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808080"/>
                                                </a:solidFill>
                                                <a:miter lim="800000"/>
                                                <a:headEnd/>
                                                <a:tailEnd type="triangle" w="med" len="med"/>
                                              </a14:hiddenLine>
                                            </a:ext>
                                          </a:extLst>
                                        </wps:spPr>
                                        <wps:bodyPr/>
                                      </wps:wsp>
                                      <wps:wsp>
                                        <wps:cNvPr id="698" name="Straight Arrow Connector 323"/>
                                        <wps:cNvCnPr>
                                          <a:cxnSpLocks noChangeShapeType="1"/>
                                        </wps:cNvCnPr>
                                        <wps:spPr bwMode="auto">
                                          <a:xfrm>
                                            <a:off x="16288" y="9608"/>
                                            <a:ext cx="4694"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99" name="Text Box 324"/>
                                      <wps:cNvSpPr txBox="1">
                                        <a:spLocks noChangeArrowheads="1"/>
                                      </wps:cNvSpPr>
                                      <wps:spPr bwMode="auto">
                                        <a:xfrm>
                                          <a:off x="23526" y="7238"/>
                                          <a:ext cx="9338" cy="4194"/>
                                        </a:xfrm>
                                        <a:prstGeom prst="rect">
                                          <a:avLst/>
                                        </a:prstGeom>
                                        <a:solidFill>
                                          <a:srgbClr val="D9B6A3"/>
                                        </a:solidFill>
                                        <a:ln w="6350">
                                          <a:solidFill>
                                            <a:srgbClr val="000000"/>
                                          </a:solidFill>
                                          <a:miter lim="800000"/>
                                          <a:headEnd/>
                                          <a:tailEnd/>
                                        </a:ln>
                                      </wps:spPr>
                                      <wps:txbx>
                                        <w:txbxContent>
                                          <w:p w14:paraId="53F91F50" w14:textId="77777777" w:rsidR="00D34F1C" w:rsidRDefault="00D34F1C" w:rsidP="00604C16">
                                            <w:r>
                                              <w:t>Involvement with the ad</w:t>
                                            </w:r>
                                          </w:p>
                                        </w:txbxContent>
                                      </wps:txbx>
                                      <wps:bodyPr rot="0" vert="horz" wrap="square" lIns="91440" tIns="45720" rIns="91440" bIns="45720" anchor="t" anchorCtr="0" upright="1">
                                        <a:noAutofit/>
                                      </wps:bodyPr>
                                    </wps:wsp>
                                    <wps:wsp>
                                      <wps:cNvPr id="700" name="Straight Arrow Connector 325"/>
                                      <wps:cNvCnPr>
                                        <a:cxnSpLocks noChangeShapeType="1"/>
                                      </wps:cNvCnPr>
                                      <wps:spPr bwMode="auto">
                                        <a:xfrm>
                                          <a:off x="24860" y="4572"/>
                                          <a:ext cx="2668" cy="2667"/>
                                        </a:xfrm>
                                        <a:prstGeom prst="straightConnector1">
                                          <a:avLst/>
                                        </a:prstGeom>
                                        <a:noFill/>
                                        <a:ln w="19050">
                                          <a:solidFill>
                                            <a:sysClr val="window" lastClr="FFFFFF">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701" name="Straight Arrow Connector 327"/>
                                  <wps:cNvCnPr>
                                    <a:cxnSpLocks noChangeShapeType="1"/>
                                  </wps:cNvCnPr>
                                  <wps:spPr bwMode="auto">
                                    <a:xfrm flipH="1">
                                      <a:off x="22764" y="11430"/>
                                      <a:ext cx="3715" cy="2762"/>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02" name="Group 411"/>
                                <wpg:cNvGrpSpPr>
                                  <a:grpSpLocks/>
                                </wpg:cNvGrpSpPr>
                                <wpg:grpSpPr bwMode="auto">
                                  <a:xfrm>
                                    <a:off x="8477" y="16668"/>
                                    <a:ext cx="25146" cy="5540"/>
                                    <a:chOff x="0" y="1047"/>
                                    <a:chExt cx="25146" cy="5539"/>
                                  </a:xfrm>
                                </wpg:grpSpPr>
                                <wps:wsp>
                                  <wps:cNvPr id="703" name="Text Box 328"/>
                                  <wps:cNvSpPr txBox="1">
                                    <a:spLocks noChangeArrowheads="1"/>
                                  </wps:cNvSpPr>
                                  <wps:spPr bwMode="auto">
                                    <a:xfrm>
                                      <a:off x="0" y="2952"/>
                                      <a:ext cx="7809" cy="2474"/>
                                    </a:xfrm>
                                    <a:prstGeom prst="rect">
                                      <a:avLst/>
                                    </a:prstGeom>
                                    <a:solidFill>
                                      <a:srgbClr val="FFE599"/>
                                    </a:solidFill>
                                    <a:ln w="6350">
                                      <a:solidFill>
                                        <a:srgbClr val="000000"/>
                                      </a:solidFill>
                                      <a:miter lim="800000"/>
                                      <a:headEnd/>
                                      <a:tailEnd/>
                                    </a:ln>
                                  </wps:spPr>
                                  <wps:txbx>
                                    <w:txbxContent>
                                      <w:p w14:paraId="173316FB" w14:textId="77777777" w:rsidR="00D34F1C" w:rsidRDefault="00D34F1C" w:rsidP="00604C16">
                                        <w:r>
                                          <w:t>Pleasure</w:t>
                                        </w:r>
                                      </w:p>
                                    </w:txbxContent>
                                  </wps:txbx>
                                  <wps:bodyPr rot="0" vert="horz" wrap="square" lIns="91440" tIns="45720" rIns="91440" bIns="45720" anchor="t" anchorCtr="0" upright="1">
                                    <a:noAutofit/>
                                  </wps:bodyPr>
                                </wps:wsp>
                                <wps:wsp>
                                  <wps:cNvPr id="704" name="Text Box 329"/>
                                  <wps:cNvSpPr txBox="1">
                                    <a:spLocks noChangeArrowheads="1"/>
                                  </wps:cNvSpPr>
                                  <wps:spPr bwMode="auto">
                                    <a:xfrm>
                                      <a:off x="9048" y="2952"/>
                                      <a:ext cx="6477" cy="2470"/>
                                    </a:xfrm>
                                    <a:prstGeom prst="rect">
                                      <a:avLst/>
                                    </a:prstGeom>
                                    <a:solidFill>
                                      <a:srgbClr val="FFE599"/>
                                    </a:solidFill>
                                    <a:ln w="6350">
                                      <a:solidFill>
                                        <a:srgbClr val="000000"/>
                                      </a:solidFill>
                                      <a:miter lim="800000"/>
                                      <a:headEnd/>
                                      <a:tailEnd/>
                                    </a:ln>
                                  </wps:spPr>
                                  <wps:txbx>
                                    <w:txbxContent>
                                      <w:p w14:paraId="1E0569A3" w14:textId="77777777" w:rsidR="00D34F1C" w:rsidRDefault="00D34F1C" w:rsidP="00604C16">
                                        <w:r>
                                          <w:t>Arousal</w:t>
                                        </w:r>
                                      </w:p>
                                    </w:txbxContent>
                                  </wps:txbx>
                                  <wps:bodyPr rot="0" vert="horz" wrap="square" lIns="91440" tIns="45720" rIns="91440" bIns="45720" anchor="t" anchorCtr="0" upright="1">
                                    <a:noAutofit/>
                                  </wps:bodyPr>
                                </wps:wsp>
                                <wps:wsp>
                                  <wps:cNvPr id="705" name="Text Box 330"/>
                                  <wps:cNvSpPr txBox="1">
                                    <a:spLocks noChangeArrowheads="1"/>
                                  </wps:cNvSpPr>
                                  <wps:spPr bwMode="auto">
                                    <a:xfrm>
                                      <a:off x="16573" y="2952"/>
                                      <a:ext cx="8573" cy="2470"/>
                                    </a:xfrm>
                                    <a:prstGeom prst="rect">
                                      <a:avLst/>
                                    </a:prstGeom>
                                    <a:solidFill>
                                      <a:srgbClr val="FFE599"/>
                                    </a:solidFill>
                                    <a:ln w="6350">
                                      <a:solidFill>
                                        <a:srgbClr val="000000"/>
                                      </a:solidFill>
                                      <a:miter lim="800000"/>
                                      <a:headEnd/>
                                      <a:tailEnd/>
                                    </a:ln>
                                  </wps:spPr>
                                  <wps:txbx>
                                    <w:txbxContent>
                                      <w:p w14:paraId="50B24C82" w14:textId="77777777" w:rsidR="00D34F1C" w:rsidRDefault="00D34F1C" w:rsidP="00604C16">
                                        <w:r>
                                          <w:t xml:space="preserve">Dominance </w:t>
                                        </w:r>
                                      </w:p>
                                    </w:txbxContent>
                                  </wps:txbx>
                                  <wps:bodyPr rot="0" vert="horz" wrap="square" lIns="91440" tIns="45720" rIns="91440" bIns="45720" anchor="t" anchorCtr="0" upright="1">
                                    <a:noAutofit/>
                                  </wps:bodyPr>
                                </wps:wsp>
                                <wps:wsp>
                                  <wps:cNvPr id="706" name="Straight Arrow Connector 331"/>
                                  <wps:cNvCnPr>
                                    <a:cxnSpLocks noChangeShapeType="1"/>
                                  </wps:cNvCnPr>
                                  <wps:spPr bwMode="auto">
                                    <a:xfrm flipH="1">
                                      <a:off x="6286" y="1333"/>
                                      <a:ext cx="3143" cy="1524"/>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07" name="Straight Arrow Connector 332"/>
                                  <wps:cNvCnPr>
                                    <a:cxnSpLocks noChangeShapeType="1"/>
                                  </wps:cNvCnPr>
                                  <wps:spPr bwMode="auto">
                                    <a:xfrm>
                                      <a:off x="14668" y="1047"/>
                                      <a:ext cx="3715" cy="200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08" name="Straight Arrow Connector 333"/>
                                  <wps:cNvCnPr>
                                    <a:cxnSpLocks noChangeShapeType="1"/>
                                  </wps:cNvCnPr>
                                  <wps:spPr bwMode="auto">
                                    <a:xfrm>
                                      <a:off x="12287" y="1238"/>
                                      <a:ext cx="0" cy="181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09" name="Straight Arrow Connector 334"/>
                                  <wps:cNvCnPr>
                                    <a:cxnSpLocks noChangeShapeType="1"/>
                                  </wps:cNvCnPr>
                                  <wps:spPr bwMode="auto">
                                    <a:xfrm>
                                      <a:off x="4953" y="5524"/>
                                      <a:ext cx="1333" cy="1054"/>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10" name="Straight Arrow Connector 335"/>
                                  <wps:cNvCnPr>
                                    <a:cxnSpLocks noChangeShapeType="1"/>
                                  </wps:cNvCnPr>
                                  <wps:spPr bwMode="auto">
                                    <a:xfrm>
                                      <a:off x="12477" y="5429"/>
                                      <a:ext cx="0" cy="1158"/>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11" name="Straight Arrow Connector 336"/>
                                  <wps:cNvCnPr>
                                    <a:cxnSpLocks noChangeShapeType="1"/>
                                  </wps:cNvCnPr>
                                  <wps:spPr bwMode="auto">
                                    <a:xfrm flipH="1">
                                      <a:off x="18669" y="5619"/>
                                      <a:ext cx="1524" cy="96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712" name="Group 415"/>
                              <wpg:cNvGrpSpPr>
                                <a:grpSpLocks/>
                              </wpg:cNvGrpSpPr>
                              <wpg:grpSpPr bwMode="auto">
                                <a:xfrm>
                                  <a:off x="6381" y="15716"/>
                                  <a:ext cx="10948" cy="9906"/>
                                  <a:chOff x="0" y="0"/>
                                  <a:chExt cx="10947" cy="9906"/>
                                </a:xfrm>
                              </wpg:grpSpPr>
                              <wps:wsp>
                                <wps:cNvPr id="713" name="Arc 413"/>
                                <wps:cNvSpPr>
                                  <a:spLocks/>
                                </wps:cNvSpPr>
                                <wps:spPr bwMode="auto">
                                  <a:xfrm rot="10800000">
                                    <a:off x="0" y="0"/>
                                    <a:ext cx="10947" cy="9906"/>
                                  </a:xfrm>
                                  <a:custGeom>
                                    <a:avLst/>
                                    <a:gdLst>
                                      <a:gd name="T0" fmla="*/ 547370 w 1094740"/>
                                      <a:gd name="T1" fmla="*/ 0 h 990600"/>
                                      <a:gd name="T2" fmla="*/ 1094645 w 1094740"/>
                                      <a:gd name="T3" fmla="*/ 486049 h 990600"/>
                                      <a:gd name="T4" fmla="*/ 564112 w 1094740"/>
                                      <a:gd name="T5" fmla="*/ 990368 h 990600"/>
                                      <a:gd name="T6" fmla="*/ 0 60000 65536"/>
                                      <a:gd name="T7" fmla="*/ 0 60000 65536"/>
                                      <a:gd name="T8" fmla="*/ 0 60000 65536"/>
                                    </a:gdLst>
                                    <a:ahLst/>
                                    <a:cxnLst>
                                      <a:cxn ang="T6">
                                        <a:pos x="T0" y="T1"/>
                                      </a:cxn>
                                      <a:cxn ang="T7">
                                        <a:pos x="T2" y="T3"/>
                                      </a:cxn>
                                      <a:cxn ang="T8">
                                        <a:pos x="T4" y="T5"/>
                                      </a:cxn>
                                    </a:cxnLst>
                                    <a:rect l="0" t="0" r="r" b="b"/>
                                    <a:pathLst>
                                      <a:path w="1094740" h="990600" stroke="0">
                                        <a:moveTo>
                                          <a:pt x="547370" y="0"/>
                                        </a:moveTo>
                                        <a:cubicBezTo>
                                          <a:pt x="845689" y="0"/>
                                          <a:pt x="1089073" y="216156"/>
                                          <a:pt x="1094645" y="486049"/>
                                        </a:cubicBezTo>
                                        <a:cubicBezTo>
                                          <a:pt x="1100244" y="757247"/>
                                          <a:pt x="863733" y="982072"/>
                                          <a:pt x="564112" y="990368"/>
                                        </a:cubicBezTo>
                                        <a:lnTo>
                                          <a:pt x="547370" y="495300"/>
                                        </a:lnTo>
                                        <a:lnTo>
                                          <a:pt x="547370" y="0"/>
                                        </a:lnTo>
                                        <a:close/>
                                      </a:path>
                                      <a:path w="1094740" h="990600" fill="none">
                                        <a:moveTo>
                                          <a:pt x="547370" y="0"/>
                                        </a:moveTo>
                                        <a:cubicBezTo>
                                          <a:pt x="845689" y="0"/>
                                          <a:pt x="1089073" y="216156"/>
                                          <a:pt x="1094645" y="486049"/>
                                        </a:cubicBezTo>
                                        <a:cubicBezTo>
                                          <a:pt x="1100244" y="757247"/>
                                          <a:pt x="863733" y="982072"/>
                                          <a:pt x="564112" y="990368"/>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4" name="Straight Arrow Connector 414"/>
                                <wps:cNvCnPr>
                                  <a:cxnSpLocks noChangeShapeType="1"/>
                                </wps:cNvCnPr>
                                <wps:spPr bwMode="auto">
                                  <a:xfrm>
                                    <a:off x="5429" y="9906"/>
                                    <a:ext cx="232" cy="0"/>
                                  </a:xfrm>
                                  <a:prstGeom prst="straightConnector1">
                                    <a:avLst/>
                                  </a:prstGeom>
                                  <a:noFill/>
                                  <a:ln w="63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15" name="Straight Connector 203"/>
                              <wps:cNvCnPr>
                                <a:cxnSpLocks noChangeShapeType="1"/>
                              </wps:cNvCnPr>
                              <wps:spPr bwMode="auto">
                                <a:xfrm>
                                  <a:off x="11334" y="15716"/>
                                  <a:ext cx="6668"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g:grpSp>
                          <wps:wsp>
                            <wps:cNvPr id="716" name="Straight Connector 205"/>
                            <wps:cNvCnPr>
                              <a:cxnSpLocks noChangeShapeType="1"/>
                            </wps:cNvCnPr>
                            <wps:spPr bwMode="auto">
                              <a:xfrm flipH="1">
                                <a:off x="0" y="2183"/>
                                <a:ext cx="9236" cy="103"/>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17" name="Straight Connector 211"/>
                            <wps:cNvCnPr>
                              <a:cxnSpLocks noChangeShapeType="1"/>
                            </wps:cNvCnPr>
                            <wps:spPr bwMode="auto">
                              <a:xfrm>
                                <a:off x="0" y="2286"/>
                                <a:ext cx="0" cy="23812"/>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18" name="Straight Arrow Connector 214"/>
                            <wps:cNvCnPr>
                              <a:cxnSpLocks noChangeShapeType="1"/>
                            </wps:cNvCnPr>
                            <wps:spPr bwMode="auto">
                              <a:xfrm>
                                <a:off x="0" y="26003"/>
                                <a:ext cx="9852"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19" name="Group 719"/>
                          <wpg:cNvGrpSpPr/>
                          <wpg:grpSpPr>
                            <a:xfrm>
                              <a:off x="1066800" y="3552825"/>
                              <a:ext cx="1591310" cy="688975"/>
                              <a:chOff x="0" y="0"/>
                              <a:chExt cx="1591310" cy="688975"/>
                            </a:xfrm>
                          </wpg:grpSpPr>
                          <wps:wsp>
                            <wps:cNvPr id="720"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632DFD34" w14:textId="77777777" w:rsidR="00D34F1C" w:rsidRDefault="00D34F1C" w:rsidP="00604C16">
                                  <w:r>
                                    <w:t>Sustainable behaviour intention</w:t>
                                  </w:r>
                                </w:p>
                                <w:p w14:paraId="765795E5" w14:textId="77777777" w:rsidR="00D34F1C" w:rsidRDefault="00D34F1C" w:rsidP="00604C16"/>
                              </w:txbxContent>
                            </wps:txbx>
                            <wps:bodyPr rot="0" vert="horz" wrap="square" lIns="91440" tIns="45720" rIns="91440" bIns="45720" anchor="t" anchorCtr="0" upright="1">
                              <a:noAutofit/>
                            </wps:bodyPr>
                          </wps:wsp>
                          <wps:wsp>
                            <wps:cNvPr id="721"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grpSp>
                      <wps:wsp>
                        <wps:cNvPr id="722" name="Straight Arrow Connector 722"/>
                        <wps:cNvCnPr/>
                        <wps:spPr>
                          <a:xfrm flipH="1">
                            <a:off x="0" y="1000125"/>
                            <a:ext cx="207412" cy="0"/>
                          </a:xfrm>
                          <a:prstGeom prst="straightConnector1">
                            <a:avLst/>
                          </a:prstGeom>
                          <a:ln w="19050">
                            <a:solidFill>
                              <a:schemeClr val="bg1">
                                <a:lumMod val="50000"/>
                              </a:schemeClr>
                            </a:solidFill>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14:sizeRelV relativeFrom="margin">
                  <wp14:pctHeight>0</wp14:pctHeight>
                </wp14:sizeRelV>
              </wp:anchor>
            </w:drawing>
          </mc:Choice>
          <mc:Fallback>
            <w:pict>
              <v:group w14:anchorId="3DB5F9DB" id="Group 530" o:spid="_x0000_s1151" style="position:absolute;left:0;text-align:left;margin-left:187.45pt;margin-top:-14.7pt;width:296.25pt;height:375.25pt;z-index:251657285;mso-height-relative:margin" coordorigin=",-1238" coordsize="37623,4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">
                <v:group id="Group 531" o:spid="_x0000_s1152" style="position:absolute;top:-1238;width:37623;height:47656" coordorigin=",-1238" coordsize="37623,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532" o:spid="_x0000_s1153" style="position:absolute;top:-1238;width:37623;height:47656" coordorigin=",-1191" coordsize="37639,4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group id="Group 533" o:spid="_x0000_s1154" style="position:absolute;left:1619;top:-1191;width:36020;height:45838" coordorigin="3810,-1191" coordsize="36019,4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Group 412" o:spid="_x0000_s1155" style="position:absolute;left:3810;top:-1191;width:36019;height:45838" coordorigin="3810,-1191" coordsize="36019,4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 242" o:spid="_x0000_s1156" style="position:absolute;left:3810;top:-1191;width:36019;height:45838" coordorigin="3810,-1191" coordsize="36019,4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Group 243" o:spid="_x0000_s1157" style="position:absolute;left:3810;top:-1191;width:36019;height:45838" coordorigin="3810,-1191" coordsize="36019,4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Text Box 244" o:spid="_x0000_s1158" type="#_x0000_t202" style="position:absolute;left:18002;top:14192;width:504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" fillcolor="#b4c6e7" strokeweight=".5pt">
                              <v:textbox>
                                <w:txbxContent>
                                  <w:p w14:paraId="28B31EBE" w14:textId="77777777" w:rsidR="00D34F1C" w:rsidRDefault="00D34F1C" w:rsidP="00604C16">
                                    <w:r>
                                      <w:t>SCV</w:t>
                                    </w:r>
                                  </w:p>
                                </w:txbxContent>
                              </v:textbox>
                            </v:shape>
                            <v:group id="Group 245" o:spid="_x0000_s1159" style="position:absolute;left:3810;top:-1191;width:36019;height:45838" coordorigin="3810,-1191" coordsize="3602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Group 246" o:spid="_x0000_s1160" style="position:absolute;left:3810;top:-1191;width:36023;height:45847" coordorigin="3810,-1191" coordsize="36023,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Group 247" o:spid="_x0000_s1161" style="position:absolute;left:7812;top:-1191;width:32021;height:45855" coordorigin="859,1118" coordsize="32024,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248" o:spid="_x0000_s1162" style="position:absolute;left:859;top:1118;width:32024;height:27615" coordorigin="859,1118" coordsize="32024,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249" o:spid="_x0000_s1163" style="position:absolute;left:4476;top:1118;width:17637;height:21317" coordorigin="4476,1118" coordsize="1763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 Box 250" o:spid="_x0000_s1164" type="#_x0000_t202" style="position:absolute;left:4476;top:1118;width:17637;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" fillcolor="#a9cbb7" strokeweight=".5pt">
                                        <v:textbox>
                                          <w:txbxContent>
                                            <w:p w14:paraId="5BD76872" w14:textId="50A916C7" w:rsidR="007848B7" w:rsidRDefault="007848B7" w:rsidP="007848B7">
                                              <w:pPr>
                                                <w:pStyle w:val="NoSpacing"/>
                                              </w:pPr>
                                              <w:r>
                                                <w:t xml:space="preserve">Positive vs negative caption accompanying </w:t>
                                              </w:r>
                                              <w:r w:rsidRPr="003311FC">
                                                <w:t xml:space="preserve">ad with </w:t>
                                              </w:r>
                                              <w:r w:rsidR="009C2AE9" w:rsidRPr="003311FC">
                                                <w:t>sustainability</w:t>
                                              </w:r>
                                              <w:r w:rsidRPr="003311FC">
                                                <w:t xml:space="preserve"> message</w:t>
                                              </w:r>
                                            </w:p>
                                            <w:p w14:paraId="2D9899CE" w14:textId="77777777" w:rsidR="00D34F1C" w:rsidRDefault="00D34F1C" w:rsidP="00604C16">
                                              <w:pPr>
                                                <w:pStyle w:val="NoSpacing"/>
                                              </w:pPr>
                                            </w:p>
                                          </w:txbxContent>
                                        </v:textbox>
                                      </v:shape>
                                      <v:shape id="Text Box 251" o:spid="_x0000_s1165" type="#_x0000_t202" style="position:absolute;left:5091;top:15215;width:16822;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" fillcolor="#c7abff" strokeweight=".5pt">
                                        <v:textbox>
                                          <w:txbxContent>
                                            <w:p w14:paraId="5251467B" w14:textId="77777777" w:rsidR="00D34F1C" w:rsidRDefault="00D34F1C" w:rsidP="00604C16">
                                              <w:r>
                                                <w:t>Social–media engagement with the ad</w:t>
                                              </w:r>
                                            </w:p>
                                          </w:txbxContent>
                                        </v:textbox>
                                      </v:shape>
                                      <v:shape id="Text Box 252" o:spid="_x0000_s1166" type="#_x0000_t202" style="position:absolute;left:6191;top:19599;width:15238;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" fillcolor="#c5e0b3" strokeweight=".5pt">
                                        <v:textbox>
                                          <w:txbxContent>
                                            <w:p w14:paraId="1309C3F0" w14:textId="77777777" w:rsidR="00D34F1C" w:rsidRDefault="00D34F1C" w:rsidP="00604C16">
                                              <w:r>
                                                <w:t>Purchase intention of the advertised product</w:t>
                                              </w:r>
                                            </w:p>
                                            <w:p w14:paraId="78AE8D33" w14:textId="77777777" w:rsidR="00D34F1C" w:rsidRDefault="00D34F1C" w:rsidP="00604C16"/>
                                          </w:txbxContent>
                                        </v:textbox>
                                      </v:shape>
                                      <v:shape id="Straight Arrow Connector 253" o:spid="_x0000_s1167" type="#_x0000_t32" style="position:absolute;left:13840;top:18071;width:0;height:1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" strokecolor="gray" strokeweight="1.5pt">
                                        <v:stroke endarrow="block" joinstyle="miter"/>
                                      </v:shape>
                                    </v:group>
                                    <v:shape id="Text Box 254" o:spid="_x0000_s1168" type="#_x0000_t202" style="position:absolute;left:859;top:26557;width:3202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" stroked="f" strokeweight=".5pt">
                                      <v:textbox>
                                        <w:txbxContent>
                                          <w:p w14:paraId="5B6BD483" w14:textId="29031A8E" w:rsidR="00D34F1C" w:rsidRDefault="00D34F1C" w:rsidP="00604C16">
                                            <w:r>
                                              <w:t>Fig 1</w:t>
                                            </w:r>
                                            <w:r w:rsidR="00A26F6C">
                                              <w:t>2</w:t>
                                            </w:r>
                                            <w:r>
                                              <w:t xml:space="preserve">: Role of emotion on Social media engagement </w:t>
                                            </w:r>
                                          </w:p>
                                        </w:txbxContent>
                                      </v:textbox>
                                    </v:shape>
                                  </v:group>
                                  <v:shape id="Straight Arrow Connector 255" o:spid="_x0000_s1169" type="#_x0000_t32" style="position:absolute;left:13840;top:4589;width:0;height:5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" strokecolor="gray" strokeweight="1.5pt">
                                    <v:stroke endarrow="block" joinstyle="miter"/>
                                  </v:shape>
                                </v:group>
                                <v:shape id="Text Box 320" o:spid="_x0000_s1170" type="#_x0000_t202" style="position:absolute;left:3810;top:4762;width:1530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" filled="f" fillcolor="#c5c4a0" stroked="f" strokeweight=".5pt">
                                  <v:textbox>
                                    <w:txbxContent>
                                      <w:p w14:paraId="52C49083" w14:textId="77777777" w:rsidR="00D34F1C" w:rsidRDefault="00D34F1C" w:rsidP="00604C16"/>
                                    </w:txbxContent>
                                  </v:textbox>
                                </v:shape>
                                <v:shape id="Text Box 321" o:spid="_x0000_s1171" type="#_x0000_t202" style="position:absolute;left:4266;top:7113;width:1192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" fillcolor="#c5c4a0" strokeweight=".5pt">
                                  <v:textbox>
                                    <w:txbxContent>
                                      <w:p w14:paraId="59E8D325" w14:textId="77777777" w:rsidR="00D34F1C" w:rsidRDefault="00D34F1C" w:rsidP="00604C16">
                                        <w:r>
                                          <w:t xml:space="preserve">Source expertise High </w:t>
                                        </w:r>
                                        <w:r>
                                          <w:tab/>
                                          <w:t xml:space="preserve">    Low </w:t>
                                        </w:r>
                                      </w:p>
                                    </w:txbxContent>
                                  </v:textbox>
                                </v:shape>
                                <v:shape id="Straight Arrow Connector 322" o:spid="_x0000_s1172" type="#_x0000_t32" style="position:absolute;left:19242;top:6762;width:1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" stroked="f" strokecolor="gray" strokeweight="1.5pt">
                                  <v:stroke endarrow="block" joinstyle="miter"/>
                                </v:shape>
                                <v:shape id="Straight Arrow Connector 323" o:spid="_x0000_s1173" type="#_x0000_t32" style="position:absolute;left:16288;top:9608;width:4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" strokecolor="gray" strokeweight="1.5pt">
                                  <v:stroke endarrow="block" joinstyle="miter"/>
                                </v:shape>
                              </v:group>
                              <v:shape id="Text Box 324" o:spid="_x0000_s1174" type="#_x0000_t202" style="position:absolute;left:23526;top:7238;width:9338;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" fillcolor="#d9b6a3" strokeweight=".5pt">
                                <v:textbox>
                                  <w:txbxContent>
                                    <w:p w14:paraId="53F91F50" w14:textId="77777777" w:rsidR="00D34F1C" w:rsidRDefault="00D34F1C" w:rsidP="00604C16">
                                      <w:r>
                                        <w:t>Involvement with the ad</w:t>
                                      </w:r>
                                    </w:p>
                                  </w:txbxContent>
                                </v:textbox>
                              </v:shape>
                              <v:shape id="Straight Arrow Connector 325" o:spid="_x0000_s1175" type="#_x0000_t32" style="position:absolute;left:24860;top:4572;width:2668;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" strokecolor="white" strokeweight="1.5pt">
                                <v:stroke endarrow="block" joinstyle="miter"/>
                              </v:shape>
                            </v:group>
                          </v:group>
                          <v:shape id="Straight Arrow Connector 327" o:spid="_x0000_s1176" type="#_x0000_t32" style="position:absolute;left:22764;top:11430;width:3715;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" strokecolor="gray" strokeweight="1.5pt">
                            <v:stroke endarrow="block" joinstyle="miter"/>
                          </v:shape>
                        </v:group>
                        <v:group id="Group 411" o:spid="_x0000_s1177" style="position:absolute;left:8477;top:16668;width:25146;height:5540" coordorigin=",1047" coordsize="25146,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Text Box 328" o:spid="_x0000_s1178" type="#_x0000_t202" style="position:absolute;top:2952;width:78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" fillcolor="#ffe599" strokeweight=".5pt">
                            <v:textbox>
                              <w:txbxContent>
                                <w:p w14:paraId="173316FB" w14:textId="77777777" w:rsidR="00D34F1C" w:rsidRDefault="00D34F1C" w:rsidP="00604C16">
                                  <w:r>
                                    <w:t>Pleasure</w:t>
                                  </w:r>
                                </w:p>
                              </w:txbxContent>
                            </v:textbox>
                          </v:shape>
                          <v:shape id="Text Box 329" o:spid="_x0000_s1179" type="#_x0000_t202" style="position:absolute;left:9048;top:2952;width:647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" fillcolor="#ffe599" strokeweight=".5pt">
                            <v:textbox>
                              <w:txbxContent>
                                <w:p w14:paraId="1E0569A3" w14:textId="77777777" w:rsidR="00D34F1C" w:rsidRDefault="00D34F1C" w:rsidP="00604C16">
                                  <w:r>
                                    <w:t>Arousal</w:t>
                                  </w:r>
                                </w:p>
                              </w:txbxContent>
                            </v:textbox>
                          </v:shape>
                          <v:shape id="Text Box 330" o:spid="_x0000_s1180" type="#_x0000_t202" style="position:absolute;left:16573;top:2952;width:857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" fillcolor="#ffe599" strokeweight=".5pt">
                            <v:textbox>
                              <w:txbxContent>
                                <w:p w14:paraId="50B24C82" w14:textId="77777777" w:rsidR="00D34F1C" w:rsidRDefault="00D34F1C" w:rsidP="00604C16">
                                  <w:r>
                                    <w:t xml:space="preserve">Dominance </w:t>
                                  </w:r>
                                </w:p>
                              </w:txbxContent>
                            </v:textbox>
                          </v:shape>
                          <v:shape id="Straight Arrow Connector 331" o:spid="_x0000_s1181" type="#_x0000_t32" style="position:absolute;left:6286;top:1333;width:314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" strokecolor="gray" strokeweight="1.5pt">
                            <v:stroke endarrow="block" joinstyle="miter"/>
                          </v:shape>
                          <v:shape id="Straight Arrow Connector 332" o:spid="_x0000_s1182" type="#_x0000_t32" style="position:absolute;left:14668;top:1047;width:3715;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" strokecolor="gray" strokeweight="1.5pt">
                            <v:stroke endarrow="block" joinstyle="miter"/>
                          </v:shape>
                          <v:shape id="Straight Arrow Connector 333" o:spid="_x0000_s1183" type="#_x0000_t32" style="position:absolute;left:12287;top:123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" strokecolor="gray" strokeweight="1.5pt">
                            <v:stroke endarrow="block" joinstyle="miter"/>
                          </v:shape>
                          <v:shape id="Straight Arrow Connector 334" o:spid="_x0000_s1184" type="#_x0000_t32" style="position:absolute;left:4953;top:5524;width:1333;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" strokecolor="gray" strokeweight="1.5pt">
                            <v:stroke endarrow="block" joinstyle="miter"/>
                          </v:shape>
                          <v:shape id="Straight Arrow Connector 335" o:spid="_x0000_s1185" type="#_x0000_t32" style="position:absolute;left:12477;top:5429;width:0;height:1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" strokecolor="gray" strokeweight="1.5pt">
                            <v:stroke endarrow="block" joinstyle="miter"/>
                          </v:shape>
                          <v:shape id="Straight Arrow Connector 336" o:spid="_x0000_s1186" type="#_x0000_t32" style="position:absolute;left:18669;top:5619;width:1524;height: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" strokecolor="gray" strokeweight="1.5pt">
                            <v:stroke endarrow="block" joinstyle="miter"/>
                          </v:shape>
                        </v:group>
                      </v:group>
                      <v:group id="Group 415" o:spid="_x0000_s1187" style="position:absolute;left:6381;top:15716;width:10948;height:9906" coordsize="1094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Arc 413" o:spid="_x0000_s1188" style="position:absolute;width:10947;height:9906;rotation:180;visibility:visible;mso-wrap-style:square;v-text-anchor:middle" coordsize="10947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" path="m547370,nsc845689,,1089073,216156,1094645,486049v5599,271198,-230912,496023,-530533,504319l547370,495300,547370,xem547370,nfc845689,,1089073,216156,1094645,486049v5599,271198,-230912,496023,-530533,504319e" filled="f" strokecolor="gray" strokeweight="1.5pt">
                          <v:stroke joinstyle="miter"/>
                          <v:path arrowok="t" o:connecttype="custom" o:connectlocs="5474,0;10946,4860;5641,9904" o:connectangles="0,0,0"/>
                        </v:shape>
                        <v:shape id="Straight Arrow Connector 414" o:spid="_x0000_s1189" type="#_x0000_t32" style="position:absolute;left:5429;top:9906;width: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" strokecolor="gray" strokeweight=".5pt">
                          <v:stroke endarrow="block" joinstyle="miter"/>
                        </v:shape>
                      </v:group>
                      <v:line id="Straight Connector 203" o:spid="_x0000_s1190" style="position:absolute;visibility:visible;mso-wrap-style:square" from="11334,15716" to="18002,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" strokecolor="gray" strokeweight="1.5pt">
                        <v:stroke joinstyle="miter"/>
                      </v:line>
                    </v:group>
                    <v:line id="Straight Connector 205" o:spid="_x0000_s1191" style="position:absolute;flip:x;visibility:visible;mso-wrap-style:square" from="0,2183" to="923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" strokecolor="gray" strokeweight="1.5pt">
                      <v:stroke joinstyle="miter"/>
                    </v:line>
                    <v:line id="Straight Connector 211" o:spid="_x0000_s1192" style="position:absolute;visibility:visible;mso-wrap-style:square" from="0,2286" to="0,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" strokecolor="gray" strokeweight="1.5pt">
                      <v:stroke joinstyle="miter"/>
                    </v:line>
                    <v:shape id="Straight Arrow Connector 214" o:spid="_x0000_s1193" type="#_x0000_t32" style="position:absolute;top:26003;width:9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" strokecolor="gray" strokeweight="1.5pt">
                      <v:stroke endarrow="block" joinstyle="miter"/>
                    </v:shape>
                  </v:group>
                  <v:group id="Group 719" o:spid="_x0000_s1194" style="position:absolute;left:10668;top:35528;width:15913;height:6890"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25" o:spid="_x0000_s1195"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" fillcolor="#a5a5a5" strokeweight=".25pt">
                      <v:textbox>
                        <w:txbxContent>
                          <w:p w14:paraId="632DFD34" w14:textId="77777777" w:rsidR="00D34F1C" w:rsidRDefault="00D34F1C" w:rsidP="00604C16">
                            <w:r>
                              <w:t>Sustainable behaviour intention</w:t>
                            </w:r>
                          </w:p>
                          <w:p w14:paraId="765795E5" w14:textId="77777777" w:rsidR="00D34F1C" w:rsidRDefault="00D34F1C" w:rsidP="00604C16"/>
                        </w:txbxContent>
                      </v:textbox>
                    </v:rect>
                    <v:shape id="AutoShape 13" o:spid="_x0000_s1196"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" strokecolor="#7f7f7f" strokeweight="2.25pt">
                      <v:stroke endarrow="block"/>
                      <v:path arrowok="f"/>
                      <o:lock v:ext="edit" shapetype="f"/>
                    </v:shape>
                  </v:group>
                </v:group>
                <v:shape id="Straight Arrow Connector 722" o:spid="_x0000_s1197" type="#_x0000_t32" style="position:absolute;top:10001;width:20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" strokecolor="#7f7f7f [1612]" strokeweight="1.5pt">
                  <v:stroke endarrow="block" joinstyle="miter"/>
                </v:shape>
                <w10:wrap type="square"/>
              </v:group>
            </w:pict>
          </mc:Fallback>
        </mc:AlternateContent>
      </w:r>
      <w:r w:rsidR="00ED0632" w:rsidRPr="00D94CDB">
        <w:rPr>
          <w:rFonts w:ascii="Cambria" w:eastAsia="Calibri" w:hAnsi="Cambria" w:cs="Times New Roman"/>
          <w:sz w:val="24"/>
          <w:szCs w:val="24"/>
        </w:rPr>
        <w:t xml:space="preserve">Koller et al (2011) have found that, higher ecological value results into higher emotional value. </w:t>
      </w:r>
      <w:r w:rsidR="00C7217E" w:rsidRPr="00D94CDB">
        <w:rPr>
          <w:rFonts w:ascii="Cambria" w:eastAsia="Calibri" w:hAnsi="Cambria" w:cs="Times New Roman"/>
          <w:sz w:val="24"/>
          <w:szCs w:val="24"/>
        </w:rPr>
        <w:t>Choice for sustainability product or behaviour is emotional in nature (Bansal and Roth 2000; Rowe et al 2019).</w:t>
      </w:r>
      <w:r w:rsidR="00ED0632" w:rsidRPr="00D94CDB">
        <w:rPr>
          <w:rFonts w:ascii="Cambria" w:eastAsia="Calibri" w:hAnsi="Cambria" w:cs="Times New Roman"/>
          <w:sz w:val="24"/>
          <w:szCs w:val="24"/>
        </w:rPr>
        <w:t xml:space="preserve"> Problem is,</w:t>
      </w:r>
      <w:r w:rsidR="00C7217E" w:rsidRPr="00D94CDB">
        <w:rPr>
          <w:rFonts w:ascii="Cambria" w:eastAsia="Calibri" w:hAnsi="Cambria" w:cs="Times New Roman"/>
          <w:sz w:val="24"/>
          <w:szCs w:val="24"/>
        </w:rPr>
        <w:t xml:space="preserve"> majority of consumers value short term benefits over long–term benefits of products</w:t>
      </w:r>
      <w:r w:rsidR="00C5403A" w:rsidRPr="00D94CDB">
        <w:rPr>
          <w:rFonts w:ascii="Cambria" w:eastAsia="Calibri" w:hAnsi="Cambria" w:cs="Times New Roman"/>
          <w:sz w:val="24"/>
          <w:szCs w:val="24"/>
        </w:rPr>
        <w:t xml:space="preserve"> with sustainability </w:t>
      </w:r>
      <w:r w:rsidR="005420F5" w:rsidRPr="00D94CDB">
        <w:rPr>
          <w:rFonts w:ascii="Cambria" w:eastAsia="Calibri" w:hAnsi="Cambria" w:cs="Times New Roman"/>
          <w:sz w:val="24"/>
          <w:szCs w:val="24"/>
        </w:rPr>
        <w:t>association</w:t>
      </w:r>
      <w:r w:rsidR="00C7217E" w:rsidRPr="00D94CDB">
        <w:rPr>
          <w:rFonts w:ascii="Cambria" w:eastAsia="Calibri" w:hAnsi="Cambria" w:cs="Times New Roman"/>
          <w:sz w:val="24"/>
          <w:szCs w:val="24"/>
        </w:rPr>
        <w:t xml:space="preserve">, they do not choose the later. Promotion for sustainable goods can be successful if the </w:t>
      </w:r>
      <w:r w:rsidR="0053132C"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53132C" w:rsidRPr="00D94CDB">
        <w:rPr>
          <w:rFonts w:ascii="Cambria" w:eastAsia="Calibri" w:hAnsi="Cambria" w:cs="Adobe Devanagari"/>
          <w:sz w:val="24"/>
          <w:szCs w:val="24"/>
        </w:rPr>
        <w:t xml:space="preserve"> message</w:t>
      </w:r>
      <w:r w:rsidR="0053132C" w:rsidRPr="00D94CDB">
        <w:rPr>
          <w:rFonts w:ascii="Cambria" w:eastAsia="Calibri" w:hAnsi="Cambria" w:cs="Times New Roman"/>
          <w:sz w:val="24"/>
          <w:szCs w:val="24"/>
        </w:rPr>
        <w:t xml:space="preserve"> </w:t>
      </w:r>
      <w:r w:rsidR="00C7217E" w:rsidRPr="00D94CDB">
        <w:rPr>
          <w:rFonts w:ascii="Cambria" w:eastAsia="Calibri" w:hAnsi="Cambria" w:cs="Times New Roman"/>
          <w:sz w:val="24"/>
          <w:szCs w:val="24"/>
        </w:rPr>
        <w:t xml:space="preserve">can generate emotion in the consumers and convey the value, (Davari and Strutton 2014; Accenture 2018; Aaker et al 1988). Question comes to what extent emotion generated by </w:t>
      </w:r>
      <w:r w:rsidR="00A61D9F" w:rsidRPr="00D94CDB">
        <w:rPr>
          <w:rFonts w:ascii="Cambria" w:eastAsia="Calibri" w:hAnsi="Cambria" w:cs="Adobe Devanagari"/>
          <w:sz w:val="24"/>
          <w:szCs w:val="24"/>
        </w:rPr>
        <w:t>ad with sustainability message</w:t>
      </w:r>
      <w:r w:rsidR="00A61D9F" w:rsidRPr="00D94CDB">
        <w:rPr>
          <w:rFonts w:ascii="Cambria" w:eastAsia="Calibri" w:hAnsi="Cambria" w:cs="Times New Roman"/>
          <w:sz w:val="24"/>
          <w:szCs w:val="24"/>
        </w:rPr>
        <w:t xml:space="preserve"> </w:t>
      </w:r>
      <w:r w:rsidR="00C7217E" w:rsidRPr="00D94CDB">
        <w:rPr>
          <w:rFonts w:ascii="Cambria" w:eastAsia="Calibri" w:hAnsi="Cambria" w:cs="Times New Roman"/>
          <w:sz w:val="24"/>
          <w:szCs w:val="24"/>
        </w:rPr>
        <w:t xml:space="preserve">has the capability influence subsequent behaviour. </w:t>
      </w:r>
      <w:r w:rsidR="00ED0632" w:rsidRPr="00D94CDB">
        <w:rPr>
          <w:rFonts w:ascii="Cambria" w:eastAsia="Calibri" w:hAnsi="Cambria" w:cs="Times New Roman"/>
          <w:sz w:val="24"/>
          <w:szCs w:val="24"/>
        </w:rPr>
        <w:t>B</w:t>
      </w:r>
      <w:r w:rsidR="00C7217E" w:rsidRPr="00D94CDB">
        <w:rPr>
          <w:rFonts w:ascii="Cambria" w:eastAsia="Calibri" w:hAnsi="Cambria" w:cs="Times New Roman"/>
          <w:sz w:val="24"/>
          <w:szCs w:val="24"/>
        </w:rPr>
        <w:t>rands use online media to evoke emotion, co–create consumption experience and encourage brand–related behaviour e.g. positive word of mouth (WOM) (Gambetti at al. 2012). Hedonic benefit or experiential benefit associated with sustainable products may influences pleasure, arousal and dominance and be positively related with the intention to engage in social</w:t>
      </w:r>
      <w:r w:rsidR="00ED0632" w:rsidRPr="00D94CDB">
        <w:rPr>
          <w:rFonts w:ascii="Cambria" w:eastAsia="Calibri" w:hAnsi="Cambria" w:cs="Times New Roman"/>
          <w:sz w:val="24"/>
          <w:szCs w:val="24"/>
        </w:rPr>
        <w:t xml:space="preserve"> </w:t>
      </w:r>
      <w:r w:rsidR="00C7217E" w:rsidRPr="00D94CDB">
        <w:rPr>
          <w:rFonts w:ascii="Cambria" w:eastAsia="Calibri" w:hAnsi="Cambria" w:cs="Times New Roman"/>
          <w:sz w:val="24"/>
          <w:szCs w:val="24"/>
        </w:rPr>
        <w:t>media (see Carlson et al 2018</w:t>
      </w:r>
      <w:r w:rsidR="00404EDF" w:rsidRPr="00D94CDB">
        <w:rPr>
          <w:rFonts w:ascii="Cambria" w:eastAsia="Calibri" w:hAnsi="Cambria" w:cs="Times New Roman"/>
          <w:sz w:val="24"/>
          <w:szCs w:val="24"/>
        </w:rPr>
        <w:t>;</w:t>
      </w:r>
      <w:r w:rsidR="00C7217E" w:rsidRPr="00D94CDB">
        <w:rPr>
          <w:rFonts w:ascii="Cambria" w:eastAsia="Calibri" w:hAnsi="Cambria" w:cs="Times New Roman"/>
          <w:sz w:val="24"/>
          <w:szCs w:val="24"/>
        </w:rPr>
        <w:t xml:space="preserve"> Huang et al 2017). Since emotion can predict behavioural change by acting as a mediator (Desmet 2010</w:t>
      </w:r>
      <w:r w:rsidR="00404EDF" w:rsidRPr="00D94CDB">
        <w:rPr>
          <w:rFonts w:ascii="Cambria" w:eastAsia="Calibri" w:hAnsi="Cambria" w:cs="Times New Roman"/>
          <w:sz w:val="24"/>
          <w:szCs w:val="24"/>
        </w:rPr>
        <w:t>;</w:t>
      </w:r>
      <w:r w:rsidR="00C7217E" w:rsidRPr="00D94CDB">
        <w:rPr>
          <w:rFonts w:ascii="Cambria" w:eastAsia="Calibri" w:hAnsi="Cambria" w:cs="Times New Roman"/>
          <w:sz w:val="24"/>
          <w:szCs w:val="24"/>
        </w:rPr>
        <w:t xml:space="preserve"> Yani–de–Soriano et al 2013</w:t>
      </w:r>
      <w:r w:rsidR="00404EDF" w:rsidRPr="00D94CDB">
        <w:rPr>
          <w:rFonts w:ascii="Cambria" w:eastAsia="Calibri" w:hAnsi="Cambria" w:cs="Times New Roman"/>
          <w:sz w:val="24"/>
          <w:szCs w:val="24"/>
        </w:rPr>
        <w:t>;</w:t>
      </w:r>
      <w:r w:rsidR="00C7217E" w:rsidRPr="00D94CDB">
        <w:rPr>
          <w:rFonts w:ascii="Cambria" w:eastAsia="Calibri" w:hAnsi="Cambria" w:cs="Times New Roman"/>
          <w:sz w:val="24"/>
          <w:szCs w:val="24"/>
        </w:rPr>
        <w:t xml:space="preserve"> Erevelles 1998), social–media–engagement behaviour and resulting sustainable–behaviour has been examined through the lens of PAD theory of emotion (Fig 1</w:t>
      </w:r>
      <w:r w:rsidR="0034466D">
        <w:rPr>
          <w:rFonts w:ascii="Cambria" w:eastAsia="Calibri" w:hAnsi="Cambria" w:cs="Times New Roman"/>
          <w:sz w:val="24"/>
          <w:szCs w:val="24"/>
        </w:rPr>
        <w:t>2</w:t>
      </w:r>
      <w:r w:rsidR="00C7217E" w:rsidRPr="00D94CDB">
        <w:rPr>
          <w:rFonts w:ascii="Cambria" w:eastAsia="Calibri" w:hAnsi="Cambria" w:cs="Times New Roman"/>
          <w:sz w:val="24"/>
          <w:szCs w:val="24"/>
        </w:rPr>
        <w:t>).</w:t>
      </w:r>
    </w:p>
    <w:p w14:paraId="4DD6BF29" w14:textId="67705C53" w:rsidR="00604C16" w:rsidRPr="00D94CDB" w:rsidRDefault="00604C16">
      <w:pPr>
        <w:autoSpaceDE w:val="0"/>
        <w:autoSpaceDN w:val="0"/>
        <w:adjustRightInd w:val="0"/>
        <w:spacing w:after="0" w:line="360" w:lineRule="auto"/>
        <w:jc w:val="both"/>
        <w:rPr>
          <w:rFonts w:ascii="Cambria" w:eastAsia="Calibri" w:hAnsi="Cambria" w:cs="Times New Roman"/>
          <w:sz w:val="24"/>
          <w:szCs w:val="24"/>
        </w:rPr>
      </w:pPr>
    </w:p>
    <w:p w14:paraId="628505E4" w14:textId="60A48BBF" w:rsidR="00C7217E" w:rsidRPr="00530906"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Depending on the situation presented in social–media environment, as an emotional response to the </w:t>
      </w:r>
      <w:r w:rsidR="00C21A38" w:rsidRPr="00D94CDB">
        <w:rPr>
          <w:rFonts w:ascii="Cambria" w:eastAsia="Calibri" w:hAnsi="Cambria" w:cs="Adobe Devanagari"/>
          <w:sz w:val="24"/>
          <w:szCs w:val="24"/>
        </w:rPr>
        <w:t>ad with sustainability message</w:t>
      </w:r>
      <w:r w:rsidR="00C21A38" w:rsidRPr="00D94CDB">
        <w:rPr>
          <w:rFonts w:ascii="Cambria" w:eastAsia="Calibri" w:hAnsi="Cambria" w:cs="Times New Roman"/>
          <w:sz w:val="24"/>
          <w:szCs w:val="24"/>
        </w:rPr>
        <w:t>,</w:t>
      </w:r>
      <w:r w:rsidRPr="00D94CDB">
        <w:rPr>
          <w:rFonts w:ascii="Cambria" w:eastAsia="Calibri" w:hAnsi="Cambria" w:cs="Times New Roman"/>
          <w:sz w:val="24"/>
          <w:szCs w:val="24"/>
        </w:rPr>
        <w:t xml:space="preserve"> people may be motivated to engage in social media, but the emotions generated by the ad do not affect purchase behaviour directly (Desmet, 2010). It has been observed that, due to pleasure and arousal, users of social–media become motivated to share social–media content and engage with the brands and recommend it to others (Kim and Johnson 2016; Miniero et al 2014).  Emotions elicited by an ad influence behaviour though ad attitude. Previous research ha</w:t>
      </w:r>
      <w:r w:rsidR="00B82074" w:rsidRPr="00D94CDB">
        <w:rPr>
          <w:rFonts w:ascii="Cambria" w:eastAsia="Calibri" w:hAnsi="Cambria" w:cs="Times New Roman"/>
          <w:sz w:val="24"/>
          <w:szCs w:val="24"/>
        </w:rPr>
        <w:t>s</w:t>
      </w:r>
      <w:r w:rsidRPr="00D94CDB">
        <w:rPr>
          <w:rFonts w:ascii="Cambria" w:eastAsia="Calibri" w:hAnsi="Cambria" w:cs="Times New Roman"/>
          <w:sz w:val="24"/>
          <w:szCs w:val="24"/>
        </w:rPr>
        <w:t xml:space="preserve"> noted that, attitude is formed as a result of elicited emotion/ feelings by being exposed to an ad (Erevelles 1998</w:t>
      </w:r>
      <w:r w:rsidR="00CC2CB3" w:rsidRPr="00D94CDB">
        <w:rPr>
          <w:rFonts w:ascii="Cambria" w:eastAsia="Calibri" w:hAnsi="Cambria" w:cs="Times New Roman"/>
          <w:sz w:val="24"/>
          <w:szCs w:val="24"/>
        </w:rPr>
        <w:t>;</w:t>
      </w:r>
      <w:r w:rsidRPr="00D94CDB">
        <w:rPr>
          <w:rFonts w:ascii="Cambria" w:eastAsia="Calibri" w:hAnsi="Cambria" w:cs="Times New Roman"/>
          <w:sz w:val="24"/>
          <w:szCs w:val="24"/>
        </w:rPr>
        <w:t xml:space="preserve"> Aaker et al 1988; Edell and Bruke 1987; Holbrook and Batra 1987; Richard and Chebat 2016; Priester and petty 2003; </w:t>
      </w:r>
      <w:r w:rsidR="00986CA4" w:rsidRPr="00D94CDB">
        <w:rPr>
          <w:rFonts w:ascii="Cambria" w:eastAsia="Calibri" w:hAnsi="Cambria" w:cs="Times New Roman"/>
          <w:sz w:val="24"/>
          <w:szCs w:val="24"/>
        </w:rPr>
        <w:t>Batra</w:t>
      </w:r>
      <w:r w:rsidRPr="00D94CDB">
        <w:rPr>
          <w:rFonts w:ascii="Cambria" w:eastAsia="Calibri" w:hAnsi="Cambria" w:cs="Times New Roman"/>
          <w:sz w:val="24"/>
          <w:szCs w:val="24"/>
        </w:rPr>
        <w:t xml:space="preserve"> and Stephens 1994) and favourable attitude leads to purchase behaviour (Berkowitz, 1986). Likewise, emotion can influence another behavioural construct– social–media–engagement (Dolan et al 2016</w:t>
      </w:r>
      <w:r w:rsidR="00CC2CB3" w:rsidRPr="00D94CDB">
        <w:rPr>
          <w:rFonts w:ascii="Cambria" w:eastAsia="Calibri" w:hAnsi="Cambria" w:cs="Times New Roman"/>
          <w:sz w:val="24"/>
          <w:szCs w:val="24"/>
        </w:rPr>
        <w:t>;</w:t>
      </w:r>
      <w:r w:rsidRPr="00D94CDB">
        <w:rPr>
          <w:rFonts w:ascii="Cambria" w:eastAsia="Calibri" w:hAnsi="Cambria" w:cs="Times New Roman"/>
          <w:sz w:val="24"/>
          <w:szCs w:val="24"/>
        </w:rPr>
        <w:t xml:space="preserve"> Verhoef et al 2010) through ad attitude. Emotional response correspondent to these antecedents may mediate the engagement behaviour in social media, which is the result of the attitude to the stimuli or advertisement (Yani–de–Soriano et al 2013). PAD theory has already been successfully incorporated with attitude theory ABC (Affect, cognition</w:t>
      </w:r>
      <w:r w:rsidR="00CC2CB3" w:rsidRPr="00D94CDB">
        <w:rPr>
          <w:rFonts w:ascii="Cambria" w:eastAsia="Calibri" w:hAnsi="Cambria" w:cs="Times New Roman"/>
          <w:sz w:val="24"/>
          <w:szCs w:val="24"/>
        </w:rPr>
        <w:t>,</w:t>
      </w:r>
      <w:r w:rsidRPr="00D94CDB">
        <w:rPr>
          <w:rFonts w:ascii="Cambria" w:eastAsia="Calibri" w:hAnsi="Cambria" w:cs="Times New Roman"/>
          <w:sz w:val="24"/>
          <w:szCs w:val="24"/>
        </w:rPr>
        <w:t xml:space="preserve"> and behaviour/ conation) (Bakker et al (2014). In their research on online consumer behaviour, Mazaheri et al (2011) and Richard a</w:t>
      </w:r>
      <w:r w:rsidR="007B0BE4" w:rsidRPr="00D94CDB">
        <w:rPr>
          <w:rFonts w:ascii="Cambria" w:eastAsia="Calibri" w:hAnsi="Cambria" w:cs="Times New Roman"/>
          <w:sz w:val="24"/>
          <w:szCs w:val="24"/>
        </w:rPr>
        <w:t>n</w:t>
      </w:r>
      <w:r w:rsidRPr="00D94CDB">
        <w:rPr>
          <w:rFonts w:ascii="Cambria" w:eastAsia="Calibri" w:hAnsi="Cambria" w:cs="Times New Roman"/>
          <w:sz w:val="24"/>
          <w:szCs w:val="24"/>
        </w:rPr>
        <w:t xml:space="preserve">d Chebat (2016) found that, PAD dimensions are responsible for developing attitude for the product and the site, which leads to developing purchase behaviour intentions. Emotions, generated from advertisements (Havlena et al 1989; Holbrookand Batra 1987), are deemed to be the antecedent of basic cognitive judgement or developing attitude or preference (Mehrbian 1996; Desmet, 2010). The features of an ad tend to induce emotional response (Poel and Dewitte 2008; Edell and Bruke 1987).  Holbrook and Batra (1987) “have found that pleasure, arousal, and domination clearly mediate the effects of ad content on ad attitude” (p: 417). This indicates the types of </w:t>
      </w:r>
      <w:r w:rsidR="002102F3" w:rsidRPr="00D94CDB">
        <w:rPr>
          <w:rFonts w:ascii="Cambria" w:eastAsia="Calibri" w:hAnsi="Cambria" w:cs="Times New Roman"/>
          <w:sz w:val="24"/>
          <w:szCs w:val="24"/>
        </w:rPr>
        <w:t>captions</w:t>
      </w:r>
      <w:r w:rsidRPr="00D94CDB">
        <w:rPr>
          <w:rFonts w:ascii="Cambria" w:eastAsia="Calibri" w:hAnsi="Cambria" w:cs="Times New Roman"/>
          <w:sz w:val="24"/>
          <w:szCs w:val="24"/>
        </w:rPr>
        <w:t xml:space="preserve"> with </w:t>
      </w:r>
      <w:r w:rsidR="00342C1A"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342C1A" w:rsidRPr="00D94CDB">
        <w:rPr>
          <w:rFonts w:ascii="Cambria" w:eastAsia="Calibri" w:hAnsi="Cambria" w:cs="Adobe Devanagari"/>
          <w:sz w:val="24"/>
          <w:szCs w:val="24"/>
        </w:rPr>
        <w:t xml:space="preserve"> message</w:t>
      </w:r>
      <w:r w:rsidR="00342C1A"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may also produce different attitude in the consumers. In this case, emotions </w:t>
      </w:r>
      <w:r w:rsidRPr="00530906">
        <w:rPr>
          <w:rFonts w:ascii="Cambria" w:eastAsia="Calibri" w:hAnsi="Cambria" w:cs="Times New Roman"/>
          <w:sz w:val="24"/>
          <w:szCs w:val="24"/>
        </w:rPr>
        <w:t xml:space="preserve">evoked by the advertisement or stimuli, act as a mediator, which affects the attitude towards the advertisement (Holbrook and Batra 1987; Mehrbian 1996). </w:t>
      </w:r>
    </w:p>
    <w:p w14:paraId="243FF789" w14:textId="6FE98A02"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6"/>
          <w:szCs w:val="26"/>
        </w:rPr>
      </w:pPr>
      <w:bookmarkStart w:id="49" w:name="_Toc115726230"/>
      <w:r w:rsidRPr="00530906">
        <w:rPr>
          <w:rFonts w:ascii="Cambria" w:eastAsia="Calibri" w:hAnsi="Cambria" w:cs="Times New Roman"/>
          <w:color w:val="2E74B5"/>
          <w:sz w:val="26"/>
          <w:szCs w:val="26"/>
        </w:rPr>
        <w:t>2.1</w:t>
      </w:r>
      <w:r w:rsidR="00D04819" w:rsidRPr="00530906">
        <w:rPr>
          <w:rFonts w:ascii="Cambria" w:eastAsia="Calibri" w:hAnsi="Cambria" w:cs="Times New Roman"/>
          <w:color w:val="2E74B5"/>
          <w:sz w:val="26"/>
          <w:szCs w:val="26"/>
        </w:rPr>
        <w:t>1</w:t>
      </w:r>
      <w:r w:rsidRPr="00530906">
        <w:rPr>
          <w:rFonts w:ascii="Cambria" w:eastAsia="Calibri" w:hAnsi="Cambria" w:cs="Times New Roman"/>
          <w:color w:val="2E74B5"/>
          <w:sz w:val="26"/>
          <w:szCs w:val="26"/>
        </w:rPr>
        <w:t>. Ad attitude:</w:t>
      </w:r>
      <w:bookmarkEnd w:id="49"/>
    </w:p>
    <w:p w14:paraId="45081856" w14:textId="34E5F92B" w:rsidR="00C7217E" w:rsidRPr="00530906" w:rsidRDefault="00C7217E">
      <w:pPr>
        <w:spacing w:after="200" w:line="360" w:lineRule="auto"/>
        <w:jc w:val="both"/>
        <w:rPr>
          <w:rFonts w:ascii="Cambria" w:eastAsia="Calibri" w:hAnsi="Cambria"/>
          <w:sz w:val="24"/>
          <w:szCs w:val="24"/>
        </w:rPr>
      </w:pPr>
      <w:r w:rsidRPr="00530906">
        <w:rPr>
          <w:rFonts w:ascii="Cambria" w:eastAsia="Calibri" w:hAnsi="Cambria" w:cs="Times New Roman"/>
          <w:sz w:val="24"/>
          <w:szCs w:val="24"/>
        </w:rPr>
        <w:t xml:space="preserve"> ‘</w:t>
      </w:r>
      <w:r w:rsidR="007B0BE4" w:rsidRPr="00530906">
        <w:rPr>
          <w:rFonts w:ascii="Cambria" w:eastAsia="Calibri" w:hAnsi="Cambria" w:cs="Times New Roman"/>
          <w:sz w:val="24"/>
          <w:szCs w:val="24"/>
        </w:rPr>
        <w:t>A</w:t>
      </w:r>
      <w:r w:rsidRPr="00530906">
        <w:rPr>
          <w:rFonts w:ascii="Cambria" w:eastAsia="Calibri" w:hAnsi="Cambria" w:cs="Times New Roman"/>
          <w:sz w:val="24"/>
          <w:szCs w:val="24"/>
        </w:rPr>
        <w:t xml:space="preserve">d attitude’ is an affective construct denotes consumers’ favourable or unfavourable feelings toward the ad. This construct has been deemed to show the effectiveness of advertisement (MacKenzie et al 1986). On the other hand, persuasion attempt like advertisements is directed to influence audiences’ attitudes, beliefs and behaviours (Petty and Cacioppo 2018). Feelings manifested by an ad influences ad attitude (Aaker et al 1988).  </w:t>
      </w:r>
      <w:r w:rsidRPr="00530906">
        <w:rPr>
          <w:rFonts w:ascii="Cambria" w:eastAsia="Calibri" w:hAnsi="Cambria"/>
          <w:sz w:val="24"/>
          <w:szCs w:val="24"/>
        </w:rPr>
        <w:t>Attitude denotes the general and persisting positive or negative feeling about some person, object, or issue, which is a summary of beliefs or information on that person, object or issue and servers as a predictor of behaviour/ action (Petty and Cacioppo 2018).</w:t>
      </w:r>
      <w:r w:rsidRPr="00530906">
        <w:rPr>
          <w:rFonts w:ascii="Cambria" w:eastAsia="Calibri" w:hAnsi="Cambria" w:cs="Times New Roman"/>
          <w:sz w:val="24"/>
          <w:szCs w:val="24"/>
        </w:rPr>
        <w:t xml:space="preserve"> According to Keller (2013) brand attitude is the evaluation of brand’s quality and level of satisfaction. Previous research has shown that stronger purchase intention is the result of more favourable attitude towards the ad which is an emotional and cognitive response of SCV or evoked mental imagery (Amit and Greene 2012; Escalas 2004; Walters, et al 2007; Yim et al 2018; MacKenzie et al 1986</w:t>
      </w:r>
      <w:r w:rsidR="00AF29FE" w:rsidRPr="00530906">
        <w:rPr>
          <w:rFonts w:ascii="Cambria" w:eastAsia="Calibri" w:hAnsi="Cambria" w:cs="Times New Roman"/>
          <w:sz w:val="24"/>
          <w:szCs w:val="24"/>
        </w:rPr>
        <w:t>)</w:t>
      </w:r>
    </w:p>
    <w:p w14:paraId="629A85B7" w14:textId="69DDBD3B" w:rsidR="00C7217E" w:rsidRPr="00D94CDB"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Smith (1998) has argued that in order to bridge the gap between environment concern and the sustainability behaviour marketing should motivate the concerned consumers to moderately change their consumption behaviour and adopt sustainable–consumption behaviour</w:t>
      </w:r>
      <w:r w:rsidRPr="00D94CDB">
        <w:rPr>
          <w:rFonts w:ascii="Cambria" w:eastAsia="Calibri" w:hAnsi="Cambria" w:cs="Times New Roman"/>
          <w:sz w:val="24"/>
          <w:szCs w:val="24"/>
        </w:rPr>
        <w:t xml:space="preserve">. Therefore, “Marketers should seek to change consumers’ attitudes so that they can influence consumers’ decision making and behaviour” (Pickett–Baker and Ozaki 2008, p 282). The possibility to adopt sustainable behaviour will increase if the </w:t>
      </w:r>
      <w:r w:rsidR="0053132C"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53132C" w:rsidRPr="00D94CDB">
        <w:rPr>
          <w:rFonts w:ascii="Cambria" w:eastAsia="Calibri" w:hAnsi="Cambria" w:cs="Adobe Devanagari"/>
          <w:sz w:val="24"/>
          <w:szCs w:val="24"/>
        </w:rPr>
        <w:t xml:space="preserve"> message</w:t>
      </w:r>
      <w:r w:rsidR="0053132C" w:rsidRPr="00D94CDB">
        <w:rPr>
          <w:rFonts w:ascii="Cambria" w:eastAsia="Calibri" w:hAnsi="Cambria" w:cs="Times New Roman"/>
          <w:sz w:val="24"/>
          <w:szCs w:val="24"/>
        </w:rPr>
        <w:t xml:space="preserve"> </w:t>
      </w:r>
      <w:r w:rsidRPr="00D94CDB">
        <w:rPr>
          <w:rFonts w:ascii="Cambria" w:eastAsia="Calibri" w:hAnsi="Cambria" w:cs="Times New Roman"/>
          <w:sz w:val="24"/>
          <w:szCs w:val="24"/>
        </w:rPr>
        <w:t>can produce favourable attitude for the product</w:t>
      </w:r>
      <w:r w:rsidR="00377436" w:rsidRPr="00D94CDB">
        <w:rPr>
          <w:rFonts w:ascii="Cambria" w:eastAsia="Calibri" w:hAnsi="Cambria" w:cs="Times New Roman"/>
          <w:sz w:val="24"/>
          <w:szCs w:val="24"/>
        </w:rPr>
        <w:t>s with sustaina</w:t>
      </w:r>
      <w:r w:rsidR="00BC697F" w:rsidRPr="00D94CDB">
        <w:rPr>
          <w:rFonts w:ascii="Cambria" w:eastAsia="Calibri" w:hAnsi="Cambria" w:cs="Times New Roman"/>
          <w:sz w:val="24"/>
          <w:szCs w:val="24"/>
        </w:rPr>
        <w:t>bility</w:t>
      </w:r>
      <w:r w:rsidR="00377436" w:rsidRPr="00D94CDB">
        <w:rPr>
          <w:rFonts w:ascii="Cambria" w:eastAsia="Calibri" w:hAnsi="Cambria" w:cs="Times New Roman"/>
          <w:sz w:val="24"/>
          <w:szCs w:val="24"/>
        </w:rPr>
        <w:t xml:space="preserve"> association</w:t>
      </w:r>
      <w:r w:rsidRPr="00D94CDB">
        <w:rPr>
          <w:rFonts w:ascii="Cambria" w:eastAsia="Calibri" w:hAnsi="Cambria" w:cs="Times New Roman"/>
          <w:sz w:val="24"/>
          <w:szCs w:val="24"/>
        </w:rPr>
        <w:t xml:space="preserve"> (see Voorveld et al 2018). </w:t>
      </w:r>
    </w:p>
    <w:p w14:paraId="5D089B97" w14:textId="7AB17DDC" w:rsidR="00C7217E" w:rsidRPr="00D94CDB" w:rsidRDefault="00C60F0B">
      <w:pPr>
        <w:spacing w:line="360" w:lineRule="auto"/>
        <w:jc w:val="both"/>
        <w:rPr>
          <w:rFonts w:ascii="Cambria" w:eastAsia="Calibri" w:hAnsi="Cambria" w:cs="Times New Roman"/>
          <w:sz w:val="24"/>
          <w:szCs w:val="24"/>
        </w:rPr>
      </w:pPr>
      <w:r w:rsidRPr="00D94CDB">
        <w:rPr>
          <w:noProof/>
        </w:rPr>
        <mc:AlternateContent>
          <mc:Choice Requires="wpg">
            <w:drawing>
              <wp:anchor distT="0" distB="0" distL="114300" distR="114300" simplePos="0" relativeHeight="251657286" behindDoc="0" locked="0" layoutInCell="1" allowOverlap="1" wp14:anchorId="1ACA6AC1" wp14:editId="768F2CD2">
                <wp:simplePos x="0" y="0"/>
                <wp:positionH relativeFrom="margin">
                  <wp:posOffset>2182495</wp:posOffset>
                </wp:positionH>
                <wp:positionV relativeFrom="paragraph">
                  <wp:posOffset>3656330</wp:posOffset>
                </wp:positionV>
                <wp:extent cx="3346450" cy="4775200"/>
                <wp:effectExtent l="19050" t="0" r="6350" b="6350"/>
                <wp:wrapSquare wrapText="bothSides"/>
                <wp:docPr id="723" name="Group 723"/>
                <wp:cNvGraphicFramePr/>
                <a:graphic xmlns:a="http://schemas.openxmlformats.org/drawingml/2006/main">
                  <a:graphicData uri="http://schemas.microsoft.com/office/word/2010/wordprocessingGroup">
                    <wpg:wgp>
                      <wpg:cNvGrpSpPr/>
                      <wpg:grpSpPr>
                        <a:xfrm>
                          <a:off x="0" y="0"/>
                          <a:ext cx="3346450" cy="4775200"/>
                          <a:chOff x="0" y="-190534"/>
                          <a:chExt cx="3346450" cy="4775234"/>
                        </a:xfrm>
                      </wpg:grpSpPr>
                      <wpg:grpSp>
                        <wpg:cNvPr id="724" name="Group 724"/>
                        <wpg:cNvGrpSpPr/>
                        <wpg:grpSpPr>
                          <a:xfrm>
                            <a:off x="9525" y="-190534"/>
                            <a:ext cx="3336925" cy="4775234"/>
                            <a:chOff x="0" y="-190534"/>
                            <a:chExt cx="3336925" cy="4775234"/>
                          </a:xfrm>
                        </wpg:grpSpPr>
                        <wpg:grpSp>
                          <wpg:cNvPr id="725" name="Group 725"/>
                          <wpg:cNvGrpSpPr>
                            <a:grpSpLocks/>
                          </wpg:cNvGrpSpPr>
                          <wpg:grpSpPr bwMode="auto">
                            <a:xfrm>
                              <a:off x="0" y="-190534"/>
                              <a:ext cx="3336925" cy="4775234"/>
                              <a:chOff x="0" y="-305"/>
                              <a:chExt cx="33395" cy="47769"/>
                            </a:xfrm>
                          </wpg:grpSpPr>
                          <wps:wsp>
                            <wps:cNvPr id="726" name="Straight Connector 462"/>
                            <wps:cNvCnPr>
                              <a:cxnSpLocks noChangeShapeType="1"/>
                            </wps:cNvCnPr>
                            <wps:spPr bwMode="auto">
                              <a:xfrm flipH="1">
                                <a:off x="23336" y="23622"/>
                                <a:ext cx="3143"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g:grpSp>
                            <wpg:cNvPr id="727" name="Group 464"/>
                            <wpg:cNvGrpSpPr>
                              <a:grpSpLocks/>
                            </wpg:cNvGrpSpPr>
                            <wpg:grpSpPr bwMode="auto">
                              <a:xfrm>
                                <a:off x="0" y="-305"/>
                                <a:ext cx="33395" cy="47769"/>
                                <a:chOff x="0" y="-305"/>
                                <a:chExt cx="33395" cy="47769"/>
                              </a:xfrm>
                            </wpg:grpSpPr>
                            <wpg:grpSp>
                              <wpg:cNvPr id="728" name="Group 460"/>
                              <wpg:cNvGrpSpPr>
                                <a:grpSpLocks/>
                              </wpg:cNvGrpSpPr>
                              <wpg:grpSpPr bwMode="auto">
                                <a:xfrm>
                                  <a:off x="0" y="-305"/>
                                  <a:ext cx="33395" cy="47769"/>
                                  <a:chOff x="0" y="-305"/>
                                  <a:chExt cx="33395" cy="47769"/>
                                </a:xfrm>
                              </wpg:grpSpPr>
                              <wpg:grpSp>
                                <wpg:cNvPr id="729" name="Group 417"/>
                                <wpg:cNvGrpSpPr>
                                  <a:grpSpLocks/>
                                </wpg:cNvGrpSpPr>
                                <wpg:grpSpPr bwMode="auto">
                                  <a:xfrm>
                                    <a:off x="0" y="-305"/>
                                    <a:ext cx="33395" cy="47769"/>
                                    <a:chOff x="0" y="-305"/>
                                    <a:chExt cx="33395" cy="47769"/>
                                  </a:xfrm>
                                </wpg:grpSpPr>
                                <wpg:grpSp>
                                  <wpg:cNvPr id="730" name="Group 418"/>
                                  <wpg:cNvGrpSpPr>
                                    <a:grpSpLocks/>
                                  </wpg:cNvGrpSpPr>
                                  <wpg:grpSpPr bwMode="auto">
                                    <a:xfrm>
                                      <a:off x="1471" y="-305"/>
                                      <a:ext cx="31924" cy="47769"/>
                                      <a:chOff x="3662" y="-305"/>
                                      <a:chExt cx="31924" cy="47769"/>
                                    </a:xfrm>
                                  </wpg:grpSpPr>
                                  <wpg:grpSp>
                                    <wpg:cNvPr id="731" name="Group 419"/>
                                    <wpg:cNvGrpSpPr>
                                      <a:grpSpLocks/>
                                    </wpg:cNvGrpSpPr>
                                    <wpg:grpSpPr bwMode="auto">
                                      <a:xfrm>
                                        <a:off x="3662" y="-305"/>
                                        <a:ext cx="31924" cy="47769"/>
                                        <a:chOff x="3662" y="-305"/>
                                        <a:chExt cx="31924" cy="47769"/>
                                      </a:xfrm>
                                    </wpg:grpSpPr>
                                    <wpg:grpSp>
                                      <wpg:cNvPr id="732" name="Group 420"/>
                                      <wpg:cNvGrpSpPr>
                                        <a:grpSpLocks/>
                                      </wpg:cNvGrpSpPr>
                                      <wpg:grpSpPr bwMode="auto">
                                        <a:xfrm>
                                          <a:off x="3662" y="-305"/>
                                          <a:ext cx="31924" cy="47769"/>
                                          <a:chOff x="3662" y="-305"/>
                                          <a:chExt cx="31924" cy="47769"/>
                                        </a:xfrm>
                                      </wpg:grpSpPr>
                                      <wpg:grpSp>
                                        <wpg:cNvPr id="733" name="Group 421"/>
                                        <wpg:cNvGrpSpPr>
                                          <a:grpSpLocks/>
                                        </wpg:cNvGrpSpPr>
                                        <wpg:grpSpPr bwMode="auto">
                                          <a:xfrm>
                                            <a:off x="3662" y="-305"/>
                                            <a:ext cx="31924" cy="47769"/>
                                            <a:chOff x="3662" y="-305"/>
                                            <a:chExt cx="31924" cy="47769"/>
                                          </a:xfrm>
                                        </wpg:grpSpPr>
                                        <wps:wsp>
                                          <wps:cNvPr id="734" name="Text Box 422"/>
                                          <wps:cNvSpPr txBox="1">
                                            <a:spLocks noChangeArrowheads="1"/>
                                          </wps:cNvSpPr>
                                          <wps:spPr bwMode="auto">
                                            <a:xfrm>
                                              <a:off x="18002" y="14192"/>
                                              <a:ext cx="5047" cy="2666"/>
                                            </a:xfrm>
                                            <a:prstGeom prst="rect">
                                              <a:avLst/>
                                            </a:prstGeom>
                                            <a:solidFill>
                                              <a:srgbClr val="B4C6E7"/>
                                            </a:solidFill>
                                            <a:ln w="6350">
                                              <a:solidFill>
                                                <a:srgbClr val="000000"/>
                                              </a:solidFill>
                                              <a:miter lim="800000"/>
                                              <a:headEnd/>
                                              <a:tailEnd/>
                                            </a:ln>
                                          </wps:spPr>
                                          <wps:txbx>
                                            <w:txbxContent>
                                              <w:p w14:paraId="55036DDA" w14:textId="77777777" w:rsidR="00D34F1C" w:rsidRDefault="00D34F1C" w:rsidP="002D4FF1">
                                                <w:r>
                                                  <w:t>SCV</w:t>
                                                </w:r>
                                              </w:p>
                                            </w:txbxContent>
                                          </wps:txbx>
                                          <wps:bodyPr rot="0" vert="horz" wrap="square" lIns="91440" tIns="45720" rIns="91440" bIns="45720" anchor="t" anchorCtr="0" upright="1">
                                            <a:noAutofit/>
                                          </wps:bodyPr>
                                        </wps:wsp>
                                        <wpg:grpSp>
                                          <wpg:cNvPr id="735" name="Group 423"/>
                                          <wpg:cNvGrpSpPr>
                                            <a:grpSpLocks/>
                                          </wpg:cNvGrpSpPr>
                                          <wpg:grpSpPr bwMode="auto">
                                            <a:xfrm>
                                              <a:off x="3662" y="-305"/>
                                              <a:ext cx="31924" cy="47769"/>
                                              <a:chOff x="3662" y="-305"/>
                                              <a:chExt cx="31927" cy="47778"/>
                                            </a:xfrm>
                                          </wpg:grpSpPr>
                                          <wpg:grpSp>
                                            <wpg:cNvPr id="736" name="Group 424"/>
                                            <wpg:cNvGrpSpPr>
                                              <a:grpSpLocks/>
                                            </wpg:cNvGrpSpPr>
                                            <wpg:grpSpPr bwMode="auto">
                                              <a:xfrm>
                                                <a:off x="3662" y="-305"/>
                                                <a:ext cx="31927" cy="47778"/>
                                                <a:chOff x="3662" y="-305"/>
                                                <a:chExt cx="31926" cy="47786"/>
                                              </a:xfrm>
                                            </wpg:grpSpPr>
                                            <wpg:grpSp>
                                              <wpg:cNvPr id="737" name="Group 425"/>
                                              <wpg:cNvGrpSpPr>
                                                <a:grpSpLocks/>
                                              </wpg:cNvGrpSpPr>
                                              <wpg:grpSpPr bwMode="auto">
                                                <a:xfrm>
                                                  <a:off x="3662" y="-305"/>
                                                  <a:ext cx="31926" cy="47786"/>
                                                  <a:chOff x="-3290" y="1651"/>
                                                  <a:chExt cx="31929" cy="28778"/>
                                                </a:xfrm>
                                              </wpg:grpSpPr>
                                              <wpg:grpSp>
                                                <wpg:cNvPr id="738" name="Group 426"/>
                                                <wpg:cNvGrpSpPr>
                                                  <a:grpSpLocks/>
                                                </wpg:cNvGrpSpPr>
                                                <wpg:grpSpPr bwMode="auto">
                                                  <a:xfrm>
                                                    <a:off x="-3290" y="1651"/>
                                                    <a:ext cx="31929" cy="28778"/>
                                                    <a:chOff x="-3290" y="1651"/>
                                                    <a:chExt cx="31930" cy="28777"/>
                                                  </a:xfrm>
                                                </wpg:grpSpPr>
                                                <wpg:grpSp>
                                                  <wpg:cNvPr id="739" name="Group 427"/>
                                                  <wpg:cNvGrpSpPr>
                                                    <a:grpSpLocks/>
                                                  </wpg:cNvGrpSpPr>
                                                  <wpg:grpSpPr bwMode="auto">
                                                    <a:xfrm>
                                                      <a:off x="152" y="1651"/>
                                                      <a:ext cx="21856" cy="22335"/>
                                                      <a:chOff x="152" y="1651"/>
                                                      <a:chExt cx="21856" cy="22335"/>
                                                    </a:xfrm>
                                                  </wpg:grpSpPr>
                                                  <wps:wsp>
                                                    <wps:cNvPr id="740" name="Text Box 428"/>
                                                    <wps:cNvSpPr txBox="1">
                                                      <a:spLocks noChangeArrowheads="1"/>
                                                    </wps:cNvSpPr>
                                                    <wps:spPr bwMode="auto">
                                                      <a:xfrm>
                                                        <a:off x="152" y="1651"/>
                                                        <a:ext cx="18731" cy="3778"/>
                                                      </a:xfrm>
                                                      <a:prstGeom prst="rect">
                                                        <a:avLst/>
                                                      </a:prstGeom>
                                                      <a:solidFill>
                                                        <a:srgbClr val="A9CBB7"/>
                                                      </a:solidFill>
                                                      <a:ln w="6350">
                                                        <a:solidFill>
                                                          <a:srgbClr val="000000"/>
                                                        </a:solidFill>
                                                        <a:miter lim="800000"/>
                                                        <a:headEnd/>
                                                        <a:tailEnd/>
                                                      </a:ln>
                                                    </wps:spPr>
                                                    <wps:txbx>
                                                      <w:txbxContent>
                                                        <w:p w14:paraId="28E3A56B" w14:textId="43AF19FC" w:rsidR="007848B7" w:rsidRDefault="007848B7" w:rsidP="007848B7">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5A70038C" w14:textId="77777777" w:rsidR="00D34F1C" w:rsidRPr="00B86079" w:rsidRDefault="00D34F1C" w:rsidP="002D4FF1">
                                                          <w:pPr>
                                                            <w:pStyle w:val="NoSpacing"/>
                                                          </w:pPr>
                                                          <w:r>
                                                            <w:t>ad</w:t>
                                                          </w:r>
                                                        </w:p>
                                                        <w:p w14:paraId="1644F6A4" w14:textId="77777777" w:rsidR="00D34F1C" w:rsidRDefault="00D34F1C" w:rsidP="002D4FF1">
                                                          <w:pPr>
                                                            <w:pStyle w:val="NoSpacing"/>
                                                          </w:pPr>
                                                        </w:p>
                                                      </w:txbxContent>
                                                    </wps:txbx>
                                                    <wps:bodyPr rot="0" vert="horz" wrap="square" lIns="91440" tIns="45720" rIns="91440" bIns="45720" anchor="t" anchorCtr="0" upright="1">
                                                      <a:noAutofit/>
                                                    </wps:bodyPr>
                                                  </wps:wsp>
                                                  <wps:wsp>
                                                    <wps:cNvPr id="741" name="Text Box 429"/>
                                                    <wps:cNvSpPr txBox="1">
                                                      <a:spLocks noChangeArrowheads="1"/>
                                                    </wps:cNvSpPr>
                                                    <wps:spPr bwMode="auto">
                                                      <a:xfrm>
                                                        <a:off x="5187" y="17739"/>
                                                        <a:ext cx="16821" cy="2798"/>
                                                      </a:xfrm>
                                                      <a:prstGeom prst="rect">
                                                        <a:avLst/>
                                                      </a:prstGeom>
                                                      <a:solidFill>
                                                        <a:srgbClr val="C7ABFF"/>
                                                      </a:solidFill>
                                                      <a:ln w="6350">
                                                        <a:solidFill>
                                                          <a:srgbClr val="000000"/>
                                                        </a:solidFill>
                                                        <a:miter lim="800000"/>
                                                        <a:headEnd/>
                                                        <a:tailEnd/>
                                                      </a:ln>
                                                    </wps:spPr>
                                                    <wps:txbx>
                                                      <w:txbxContent>
                                                        <w:p w14:paraId="6EB6B0D1" w14:textId="77777777" w:rsidR="00D34F1C" w:rsidRDefault="00D34F1C" w:rsidP="002D4FF1">
                                                          <w:r>
                                                            <w:t>Social–media engagement with the ad</w:t>
                                                          </w:r>
                                                        </w:p>
                                                      </w:txbxContent>
                                                    </wps:txbx>
                                                    <wps:bodyPr rot="0" vert="horz" wrap="square" lIns="91440" tIns="45720" rIns="91440" bIns="45720" anchor="t" anchorCtr="0" upright="1">
                                                      <a:noAutofit/>
                                                    </wps:bodyPr>
                                                  </wps:wsp>
                                                  <wps:wsp>
                                                    <wps:cNvPr id="742" name="Text Box 430"/>
                                                    <wps:cNvSpPr txBox="1">
                                                      <a:spLocks noChangeArrowheads="1"/>
                                                    </wps:cNvSpPr>
                                                    <wps:spPr bwMode="auto">
                                                      <a:xfrm>
                                                        <a:off x="6675" y="21509"/>
                                                        <a:ext cx="15238" cy="2477"/>
                                                      </a:xfrm>
                                                      <a:prstGeom prst="rect">
                                                        <a:avLst/>
                                                      </a:prstGeom>
                                                      <a:solidFill>
                                                        <a:srgbClr val="C5E0B3"/>
                                                      </a:solidFill>
                                                      <a:ln w="6350">
                                                        <a:solidFill>
                                                          <a:srgbClr val="000000"/>
                                                        </a:solidFill>
                                                        <a:miter lim="800000"/>
                                                        <a:headEnd/>
                                                        <a:tailEnd/>
                                                      </a:ln>
                                                    </wps:spPr>
                                                    <wps:txbx>
                                                      <w:txbxContent>
                                                        <w:p w14:paraId="71AA2773" w14:textId="77777777" w:rsidR="00D34F1C" w:rsidRDefault="00D34F1C" w:rsidP="002D4FF1">
                                                          <w:r>
                                                            <w:t>Purchase intention of the advertised product</w:t>
                                                          </w:r>
                                                        </w:p>
                                                        <w:p w14:paraId="27B86BC7" w14:textId="77777777" w:rsidR="00D34F1C" w:rsidRDefault="00D34F1C" w:rsidP="002D4FF1"/>
                                                      </w:txbxContent>
                                                    </wps:txbx>
                                                    <wps:bodyPr rot="0" vert="horz" wrap="square" lIns="91440" tIns="45720" rIns="91440" bIns="45720" anchor="t" anchorCtr="0" upright="1">
                                                      <a:noAutofit/>
                                                    </wps:bodyPr>
                                                  </wps:wsp>
                                                  <wps:wsp>
                                                    <wps:cNvPr id="743" name="Straight Arrow Connector 431"/>
                                                    <wps:cNvCnPr>
                                                      <a:cxnSpLocks noChangeShapeType="1"/>
                                                    </wps:cNvCnPr>
                                                    <wps:spPr bwMode="auto">
                                                      <a:xfrm>
                                                        <a:off x="14221" y="20830"/>
                                                        <a:ext cx="0" cy="679"/>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44" name="Text Box 432"/>
                                                  <wps:cNvSpPr txBox="1">
                                                    <a:spLocks noChangeArrowheads="1"/>
                                                  </wps:cNvSpPr>
                                                  <wps:spPr bwMode="auto">
                                                    <a:xfrm>
                                                      <a:off x="-3290" y="28805"/>
                                                      <a:ext cx="31930" cy="16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0B74A7" w14:textId="690AE54A" w:rsidR="00D34F1C" w:rsidRDefault="00D34F1C" w:rsidP="002D4FF1">
                                                        <w:r>
                                                          <w:t>Fig 1</w:t>
                                                        </w:r>
                                                        <w:r w:rsidR="00A26F6C">
                                                          <w:t>3</w:t>
                                                        </w:r>
                                                        <w:r>
                                                          <w:t>: Role of emotion on Social media engagement</w:t>
                                                        </w:r>
                                                      </w:p>
                                                    </w:txbxContent>
                                                  </wps:txbx>
                                                  <wps:bodyPr rot="0" vert="horz" wrap="square" lIns="91440" tIns="45720" rIns="91440" bIns="45720" anchor="t" anchorCtr="0" upright="1">
                                                    <a:noAutofit/>
                                                  </wps:bodyPr>
                                                </wps:wsp>
                                              </wpg:grpSp>
                                              <wps:wsp>
                                                <wps:cNvPr id="745" name="Straight Arrow Connector 433"/>
                                                <wps:cNvCnPr>
                                                  <a:cxnSpLocks noChangeShapeType="1"/>
                                                </wps:cNvCnPr>
                                                <wps:spPr bwMode="auto">
                                                  <a:xfrm>
                                                    <a:off x="13840" y="5429"/>
                                                    <a:ext cx="0" cy="5023"/>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46" name="Text Box 435"/>
                                              <wps:cNvSpPr txBox="1">
                                                <a:spLocks noChangeArrowheads="1"/>
                                              </wps:cNvSpPr>
                                              <wps:spPr bwMode="auto">
                                                <a:xfrm>
                                                  <a:off x="4191" y="8483"/>
                                                  <a:ext cx="11926" cy="4502"/>
                                                </a:xfrm>
                                                <a:prstGeom prst="rect">
                                                  <a:avLst/>
                                                </a:prstGeom>
                                                <a:solidFill>
                                                  <a:srgbClr val="C5C4A0"/>
                                                </a:solidFill>
                                                <a:ln w="6350">
                                                  <a:solidFill>
                                                    <a:srgbClr val="000000"/>
                                                  </a:solidFill>
                                                  <a:miter lim="800000"/>
                                                  <a:headEnd/>
                                                  <a:tailEnd/>
                                                </a:ln>
                                              </wps:spPr>
                                              <wps:txbx>
                                                <w:txbxContent>
                                                  <w:p w14:paraId="77870FD1" w14:textId="77777777" w:rsidR="00D34F1C" w:rsidRDefault="00D34F1C" w:rsidP="002D4FF1">
                                                    <w:r>
                                                      <w:t xml:space="preserve">Source expertise High </w:t>
                                                    </w:r>
                                                    <w:r>
                                                      <w:tab/>
                                                      <w:t xml:space="preserve">    Low </w:t>
                                                    </w:r>
                                                  </w:p>
                                                </w:txbxContent>
                                              </wps:txbx>
                                              <wps:bodyPr rot="0" vert="horz" wrap="square" lIns="91440" tIns="45720" rIns="91440" bIns="45720" anchor="t" anchorCtr="0" upright="1">
                                                <a:noAutofit/>
                                              </wps:bodyPr>
                                            </wps:wsp>
                                            <wps:wsp>
                                              <wps:cNvPr id="747" name="Straight Arrow Connector 437"/>
                                              <wps:cNvCnPr>
                                                <a:cxnSpLocks noChangeShapeType="1"/>
                                              </wps:cNvCnPr>
                                              <wps:spPr bwMode="auto">
                                                <a:xfrm>
                                                  <a:off x="16097" y="10451"/>
                                                  <a:ext cx="4694"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48" name="Text Box 438"/>
                                            <wps:cNvSpPr txBox="1">
                                              <a:spLocks noChangeArrowheads="1"/>
                                            </wps:cNvSpPr>
                                            <wps:spPr bwMode="auto">
                                              <a:xfrm>
                                                <a:off x="24288" y="6613"/>
                                                <a:ext cx="9338" cy="5100"/>
                                              </a:xfrm>
                                              <a:prstGeom prst="rect">
                                                <a:avLst/>
                                              </a:prstGeom>
                                              <a:solidFill>
                                                <a:srgbClr val="D9B6A3"/>
                                              </a:solidFill>
                                              <a:ln w="6350">
                                                <a:solidFill>
                                                  <a:srgbClr val="000000"/>
                                                </a:solidFill>
                                                <a:miter lim="800000"/>
                                                <a:headEnd/>
                                                <a:tailEnd/>
                                              </a:ln>
                                            </wps:spPr>
                                            <wps:txbx>
                                              <w:txbxContent>
                                                <w:p w14:paraId="1376CD60" w14:textId="77777777" w:rsidR="00D34F1C" w:rsidRDefault="00D34F1C" w:rsidP="002D4FF1">
                                                  <w:r>
                                                    <w:t>Involvement with the ad</w:t>
                                                  </w:r>
                                                </w:p>
                                              </w:txbxContent>
                                            </wps:txbx>
                                            <wps:bodyPr rot="0" vert="horz" wrap="square" lIns="91440" tIns="45720" rIns="91440" bIns="45720" anchor="t" anchorCtr="0" upright="1">
                                              <a:noAutofit/>
                                            </wps:bodyPr>
                                          </wps:wsp>
                                        </wpg:grpSp>
                                      </wpg:grpSp>
                                      <wps:wsp>
                                        <wps:cNvPr id="749" name="Straight Arrow Connector 440"/>
                                        <wps:cNvCnPr>
                                          <a:cxnSpLocks noChangeShapeType="1"/>
                                        </wps:cNvCnPr>
                                        <wps:spPr bwMode="auto">
                                          <a:xfrm flipH="1">
                                            <a:off x="22764" y="11711"/>
                                            <a:ext cx="2763" cy="248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50" name="Group 441"/>
                                      <wpg:cNvGrpSpPr>
                                        <a:grpSpLocks/>
                                      </wpg:cNvGrpSpPr>
                                      <wpg:grpSpPr bwMode="auto">
                                        <a:xfrm>
                                          <a:off x="8477" y="16668"/>
                                          <a:ext cx="25146" cy="6382"/>
                                          <a:chOff x="0" y="1047"/>
                                          <a:chExt cx="25146" cy="6381"/>
                                        </a:xfrm>
                                      </wpg:grpSpPr>
                                      <wps:wsp>
                                        <wps:cNvPr id="751" name="Text Box 442"/>
                                        <wps:cNvSpPr txBox="1">
                                          <a:spLocks noChangeArrowheads="1"/>
                                        </wps:cNvSpPr>
                                        <wps:spPr bwMode="auto">
                                          <a:xfrm>
                                            <a:off x="0" y="2952"/>
                                            <a:ext cx="7809" cy="2474"/>
                                          </a:xfrm>
                                          <a:prstGeom prst="rect">
                                            <a:avLst/>
                                          </a:prstGeom>
                                          <a:solidFill>
                                            <a:srgbClr val="FFE599"/>
                                          </a:solidFill>
                                          <a:ln w="6350">
                                            <a:solidFill>
                                              <a:srgbClr val="000000"/>
                                            </a:solidFill>
                                            <a:miter lim="800000"/>
                                            <a:headEnd/>
                                            <a:tailEnd/>
                                          </a:ln>
                                        </wps:spPr>
                                        <wps:txbx>
                                          <w:txbxContent>
                                            <w:p w14:paraId="4FB18682" w14:textId="77777777" w:rsidR="00D34F1C" w:rsidRDefault="00D34F1C" w:rsidP="002D4FF1">
                                              <w:r>
                                                <w:t>Pleasure</w:t>
                                              </w:r>
                                            </w:p>
                                          </w:txbxContent>
                                        </wps:txbx>
                                        <wps:bodyPr rot="0" vert="horz" wrap="square" lIns="91440" tIns="45720" rIns="91440" bIns="45720" anchor="t" anchorCtr="0" upright="1">
                                          <a:noAutofit/>
                                        </wps:bodyPr>
                                      </wps:wsp>
                                      <wps:wsp>
                                        <wps:cNvPr id="752" name="Text Box 443"/>
                                        <wps:cNvSpPr txBox="1">
                                          <a:spLocks noChangeArrowheads="1"/>
                                        </wps:cNvSpPr>
                                        <wps:spPr bwMode="auto">
                                          <a:xfrm>
                                            <a:off x="9048" y="2952"/>
                                            <a:ext cx="6477" cy="2470"/>
                                          </a:xfrm>
                                          <a:prstGeom prst="rect">
                                            <a:avLst/>
                                          </a:prstGeom>
                                          <a:solidFill>
                                            <a:srgbClr val="FFE599"/>
                                          </a:solidFill>
                                          <a:ln w="6350">
                                            <a:solidFill>
                                              <a:srgbClr val="000000"/>
                                            </a:solidFill>
                                            <a:miter lim="800000"/>
                                            <a:headEnd/>
                                            <a:tailEnd/>
                                          </a:ln>
                                        </wps:spPr>
                                        <wps:txbx>
                                          <w:txbxContent>
                                            <w:p w14:paraId="688210A0" w14:textId="77777777" w:rsidR="00D34F1C" w:rsidRDefault="00D34F1C" w:rsidP="002D4FF1">
                                              <w:r>
                                                <w:t>Arousal</w:t>
                                              </w:r>
                                            </w:p>
                                          </w:txbxContent>
                                        </wps:txbx>
                                        <wps:bodyPr rot="0" vert="horz" wrap="square" lIns="91440" tIns="45720" rIns="91440" bIns="45720" anchor="t" anchorCtr="0" upright="1">
                                          <a:noAutofit/>
                                        </wps:bodyPr>
                                      </wps:wsp>
                                      <wps:wsp>
                                        <wps:cNvPr id="753" name="Text Box 444"/>
                                        <wps:cNvSpPr txBox="1">
                                          <a:spLocks noChangeArrowheads="1"/>
                                        </wps:cNvSpPr>
                                        <wps:spPr bwMode="auto">
                                          <a:xfrm>
                                            <a:off x="16573" y="2952"/>
                                            <a:ext cx="8573" cy="2470"/>
                                          </a:xfrm>
                                          <a:prstGeom prst="rect">
                                            <a:avLst/>
                                          </a:prstGeom>
                                          <a:solidFill>
                                            <a:srgbClr val="FFE599"/>
                                          </a:solidFill>
                                          <a:ln w="6350">
                                            <a:solidFill>
                                              <a:srgbClr val="000000"/>
                                            </a:solidFill>
                                            <a:miter lim="800000"/>
                                            <a:headEnd/>
                                            <a:tailEnd/>
                                          </a:ln>
                                        </wps:spPr>
                                        <wps:txbx>
                                          <w:txbxContent>
                                            <w:p w14:paraId="60C4BD70" w14:textId="77777777" w:rsidR="00D34F1C" w:rsidRDefault="00D34F1C" w:rsidP="002D4FF1">
                                              <w:r>
                                                <w:t xml:space="preserve">Dominance </w:t>
                                              </w:r>
                                            </w:p>
                                          </w:txbxContent>
                                        </wps:txbx>
                                        <wps:bodyPr rot="0" vert="horz" wrap="square" lIns="91440" tIns="45720" rIns="91440" bIns="45720" anchor="t" anchorCtr="0" upright="1">
                                          <a:noAutofit/>
                                        </wps:bodyPr>
                                      </wps:wsp>
                                      <wps:wsp>
                                        <wps:cNvPr id="754" name="Straight Arrow Connector 445"/>
                                        <wps:cNvCnPr>
                                          <a:cxnSpLocks noChangeShapeType="1"/>
                                        </wps:cNvCnPr>
                                        <wps:spPr bwMode="auto">
                                          <a:xfrm flipH="1">
                                            <a:off x="6286" y="1333"/>
                                            <a:ext cx="3143" cy="1524"/>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55" name="Straight Arrow Connector 446"/>
                                        <wps:cNvCnPr>
                                          <a:cxnSpLocks noChangeShapeType="1"/>
                                        </wps:cNvCnPr>
                                        <wps:spPr bwMode="auto">
                                          <a:xfrm>
                                            <a:off x="14668" y="1047"/>
                                            <a:ext cx="3715" cy="200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56" name="Straight Arrow Connector 447"/>
                                        <wps:cNvCnPr>
                                          <a:cxnSpLocks noChangeShapeType="1"/>
                                        </wps:cNvCnPr>
                                        <wps:spPr bwMode="auto">
                                          <a:xfrm>
                                            <a:off x="12287" y="1238"/>
                                            <a:ext cx="0" cy="181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57" name="Straight Arrow Connector 448"/>
                                        <wps:cNvCnPr>
                                          <a:cxnSpLocks noChangeShapeType="1"/>
                                        </wps:cNvCnPr>
                                        <wps:spPr bwMode="auto">
                                          <a:xfrm>
                                            <a:off x="4953" y="5524"/>
                                            <a:ext cx="3048" cy="181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58" name="Straight Arrow Connector 449"/>
                                        <wps:cNvCnPr>
                                          <a:cxnSpLocks noChangeShapeType="1"/>
                                        </wps:cNvCnPr>
                                        <wps:spPr bwMode="auto">
                                          <a:xfrm>
                                            <a:off x="12477" y="5429"/>
                                            <a:ext cx="0" cy="1158"/>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59" name="Straight Arrow Connector 450"/>
                                        <wps:cNvCnPr>
                                          <a:cxnSpLocks noChangeShapeType="1"/>
                                        </wps:cNvCnPr>
                                        <wps:spPr bwMode="auto">
                                          <a:xfrm flipH="1">
                                            <a:off x="16948" y="5619"/>
                                            <a:ext cx="3245" cy="181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760" name="Group 451"/>
                                    <wpg:cNvGrpSpPr>
                                      <a:grpSpLocks/>
                                    </wpg:cNvGrpSpPr>
                                    <wpg:grpSpPr bwMode="auto">
                                      <a:xfrm>
                                        <a:off x="6762" y="15716"/>
                                        <a:ext cx="10567" cy="12096"/>
                                        <a:chOff x="381" y="0"/>
                                        <a:chExt cx="10566" cy="12096"/>
                                      </a:xfrm>
                                    </wpg:grpSpPr>
                                    <wps:wsp>
                                      <wps:cNvPr id="761" name="Arc 452"/>
                                      <wps:cNvSpPr>
                                        <a:spLocks/>
                                      </wps:cNvSpPr>
                                      <wps:spPr bwMode="auto">
                                        <a:xfrm rot="10800000">
                                          <a:off x="381" y="0"/>
                                          <a:ext cx="10566" cy="12096"/>
                                        </a:xfrm>
                                        <a:custGeom>
                                          <a:avLst/>
                                          <a:gdLst>
                                            <a:gd name="T0" fmla="*/ 528320 w 1056640"/>
                                            <a:gd name="T1" fmla="*/ 0 h 1209675"/>
                                            <a:gd name="T2" fmla="*/ 1056582 w 1056640"/>
                                            <a:gd name="T3" fmla="*/ 595909 h 1209675"/>
                                            <a:gd name="T4" fmla="*/ 548758 w 1056640"/>
                                            <a:gd name="T5" fmla="*/ 1209224 h 1209675"/>
                                            <a:gd name="T6" fmla="*/ 0 60000 65536"/>
                                            <a:gd name="T7" fmla="*/ 0 60000 65536"/>
                                            <a:gd name="T8" fmla="*/ 0 60000 65536"/>
                                          </a:gdLst>
                                          <a:ahLst/>
                                          <a:cxnLst>
                                            <a:cxn ang="T6">
                                              <a:pos x="T0" y="T1"/>
                                            </a:cxn>
                                            <a:cxn ang="T7">
                                              <a:pos x="T2" y="T3"/>
                                            </a:cxn>
                                            <a:cxn ang="T8">
                                              <a:pos x="T4" y="T5"/>
                                            </a:cxn>
                                          </a:cxnLst>
                                          <a:rect l="0" t="0" r="r" b="b"/>
                                          <a:pathLst>
                                            <a:path w="1056640" h="1209675" stroke="0">
                                              <a:moveTo>
                                                <a:pt x="528320" y="0"/>
                                              </a:moveTo>
                                              <a:cubicBezTo>
                                                <a:pt x="817062" y="0"/>
                                                <a:pt x="1052320" y="265384"/>
                                                <a:pt x="1056582" y="595909"/>
                                              </a:cubicBezTo>
                                              <a:cubicBezTo>
                                                <a:pt x="1060817" y="924277"/>
                                                <a:pt x="835401" y="1196519"/>
                                                <a:pt x="548758" y="1209224"/>
                                              </a:cubicBezTo>
                                              <a:lnTo>
                                                <a:pt x="528320" y="604838"/>
                                              </a:lnTo>
                                              <a:lnTo>
                                                <a:pt x="528320" y="0"/>
                                              </a:lnTo>
                                              <a:close/>
                                            </a:path>
                                            <a:path w="1056640" h="1209675" fill="none">
                                              <a:moveTo>
                                                <a:pt x="528320" y="0"/>
                                              </a:moveTo>
                                              <a:cubicBezTo>
                                                <a:pt x="817062" y="0"/>
                                                <a:pt x="1052320" y="265384"/>
                                                <a:pt x="1056582" y="595909"/>
                                              </a:cubicBezTo>
                                              <a:cubicBezTo>
                                                <a:pt x="1060817" y="924277"/>
                                                <a:pt x="835401" y="1196519"/>
                                                <a:pt x="548758" y="1209224"/>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2" name="Straight Arrow Connector 453"/>
                                      <wps:cNvCnPr>
                                        <a:cxnSpLocks noChangeShapeType="1"/>
                                      </wps:cNvCnPr>
                                      <wps:spPr bwMode="auto">
                                        <a:xfrm>
                                          <a:off x="5429" y="12001"/>
                                          <a:ext cx="232" cy="0"/>
                                        </a:xfrm>
                                        <a:prstGeom prst="straightConnector1">
                                          <a:avLst/>
                                        </a:prstGeom>
                                        <a:noFill/>
                                        <a:ln w="63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63" name="Straight Connector 454"/>
                                    <wps:cNvCnPr>
                                      <a:cxnSpLocks noChangeShapeType="1"/>
                                    </wps:cNvCnPr>
                                    <wps:spPr bwMode="auto">
                                      <a:xfrm>
                                        <a:off x="11334" y="15716"/>
                                        <a:ext cx="6668"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g:grpSp>
                                <wps:wsp>
                                  <wps:cNvPr id="764" name="Straight Connector 455"/>
                                  <wps:cNvCnPr>
                                    <a:cxnSpLocks noChangeShapeType="1"/>
                                  </wps:cNvCnPr>
                                  <wps:spPr bwMode="auto">
                                    <a:xfrm flipH="1">
                                      <a:off x="0" y="2286"/>
                                      <a:ext cx="4756"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65" name="Straight Connector 456"/>
                                  <wps:cNvCnPr>
                                    <a:cxnSpLocks noChangeShapeType="1"/>
                                  </wps:cNvCnPr>
                                  <wps:spPr bwMode="auto">
                                    <a:xfrm>
                                      <a:off x="0" y="2286"/>
                                      <a:ext cx="0" cy="26574"/>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66" name="Straight Arrow Connector 457"/>
                                  <wps:cNvCnPr>
                                    <a:cxnSpLocks noChangeShapeType="1"/>
                                  </wps:cNvCnPr>
                                  <wps:spPr bwMode="auto">
                                    <a:xfrm>
                                      <a:off x="95" y="28765"/>
                                      <a:ext cx="9852"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67" name="Text Box 458"/>
                                <wps:cNvSpPr txBox="1">
                                  <a:spLocks noChangeArrowheads="1"/>
                                </wps:cNvSpPr>
                                <wps:spPr bwMode="auto">
                                  <a:xfrm>
                                    <a:off x="14192" y="22193"/>
                                    <a:ext cx="9047" cy="2476"/>
                                  </a:xfrm>
                                  <a:prstGeom prst="rect">
                                    <a:avLst/>
                                  </a:prstGeom>
                                  <a:solidFill>
                                    <a:srgbClr val="DEEAF6"/>
                                  </a:solidFill>
                                  <a:ln w="6350">
                                    <a:solidFill>
                                      <a:srgbClr val="000000"/>
                                    </a:solidFill>
                                    <a:miter lim="800000"/>
                                    <a:headEnd/>
                                    <a:tailEnd/>
                                  </a:ln>
                                </wps:spPr>
                                <wps:txbx>
                                  <w:txbxContent>
                                    <w:p w14:paraId="76A4606E" w14:textId="77777777" w:rsidR="00D34F1C" w:rsidRDefault="00D34F1C" w:rsidP="002D4FF1">
                                      <w:r>
                                        <w:t>Ad attitude</w:t>
                                      </w:r>
                                    </w:p>
                                  </w:txbxContent>
                                </wps:txbx>
                                <wps:bodyPr rot="0" vert="horz" wrap="square" lIns="91440" tIns="45720" rIns="91440" bIns="45720" anchor="t" anchorCtr="0" upright="1">
                                  <a:noAutofit/>
                                </wps:bodyPr>
                              </wps:wsp>
                              <wps:wsp>
                                <wps:cNvPr id="768" name="Straight Arrow Connector 459"/>
                                <wps:cNvCnPr>
                                  <a:cxnSpLocks noChangeShapeType="1"/>
                                </wps:cNvCnPr>
                                <wps:spPr bwMode="auto">
                                  <a:xfrm>
                                    <a:off x="18573" y="24669"/>
                                    <a:ext cx="0" cy="173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69" name="Arc 461"/>
                              <wps:cNvSpPr>
                                <a:spLocks/>
                              </wps:cNvSpPr>
                              <wps:spPr bwMode="auto">
                                <a:xfrm>
                                  <a:off x="22860" y="23622"/>
                                  <a:ext cx="6572" cy="10382"/>
                                </a:xfrm>
                                <a:custGeom>
                                  <a:avLst/>
                                  <a:gdLst>
                                    <a:gd name="T0" fmla="*/ 328612 w 657225"/>
                                    <a:gd name="T1" fmla="*/ 0 h 1038225"/>
                                    <a:gd name="T2" fmla="*/ 656446 w 657225"/>
                                    <a:gd name="T3" fmla="*/ 483384 h 1038225"/>
                                    <a:gd name="T4" fmla="*/ 436745 w 657225"/>
                                    <a:gd name="T5" fmla="*/ 1009316 h 1038225"/>
                                    <a:gd name="T6" fmla="*/ 0 60000 65536"/>
                                    <a:gd name="T7" fmla="*/ 0 60000 65536"/>
                                    <a:gd name="T8" fmla="*/ 0 60000 65536"/>
                                  </a:gdLst>
                                  <a:ahLst/>
                                  <a:cxnLst>
                                    <a:cxn ang="T6">
                                      <a:pos x="T0" y="T1"/>
                                    </a:cxn>
                                    <a:cxn ang="T7">
                                      <a:pos x="T2" y="T3"/>
                                    </a:cxn>
                                    <a:cxn ang="T8">
                                      <a:pos x="T4" y="T5"/>
                                    </a:cxn>
                                  </a:cxnLst>
                                  <a:rect l="0" t="0" r="r" b="b"/>
                                  <a:pathLst>
                                    <a:path w="657225" h="1038225" stroke="0">
                                      <a:moveTo>
                                        <a:pt x="328612" y="0"/>
                                      </a:moveTo>
                                      <a:cubicBezTo>
                                        <a:pt x="501322" y="0"/>
                                        <a:pt x="644559" y="211200"/>
                                        <a:pt x="656446" y="483384"/>
                                      </a:cubicBezTo>
                                      <a:cubicBezTo>
                                        <a:pt x="666644" y="716890"/>
                                        <a:pt x="576661" y="932296"/>
                                        <a:pt x="436745" y="1009316"/>
                                      </a:cubicBezTo>
                                      <a:lnTo>
                                        <a:pt x="328613" y="519113"/>
                                      </a:lnTo>
                                      <a:cubicBezTo>
                                        <a:pt x="328613" y="346075"/>
                                        <a:pt x="328612" y="173038"/>
                                        <a:pt x="328612" y="0"/>
                                      </a:cubicBezTo>
                                      <a:close/>
                                    </a:path>
                                    <a:path w="657225" h="1038225" fill="none">
                                      <a:moveTo>
                                        <a:pt x="328612" y="0"/>
                                      </a:moveTo>
                                      <a:cubicBezTo>
                                        <a:pt x="501322" y="0"/>
                                        <a:pt x="644559" y="211200"/>
                                        <a:pt x="656446" y="483384"/>
                                      </a:cubicBezTo>
                                      <a:cubicBezTo>
                                        <a:pt x="666644" y="716890"/>
                                        <a:pt x="576661" y="932296"/>
                                        <a:pt x="436745" y="1009316"/>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0" name="Straight Arrow Connector 463"/>
                              <wps:cNvCnPr>
                                <a:cxnSpLocks noChangeShapeType="1"/>
                              </wps:cNvCnPr>
                              <wps:spPr bwMode="auto">
                                <a:xfrm flipH="1">
                                  <a:off x="26574" y="33623"/>
                                  <a:ext cx="667" cy="0"/>
                                </a:xfrm>
                                <a:prstGeom prst="straightConnector1">
                                  <a:avLst/>
                                </a:prstGeom>
                                <a:noFill/>
                                <a:ln w="63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771" name="Group 771"/>
                          <wpg:cNvGrpSpPr/>
                          <wpg:grpSpPr>
                            <a:xfrm>
                              <a:off x="1085850" y="3514725"/>
                              <a:ext cx="1591310" cy="688975"/>
                              <a:chOff x="0" y="0"/>
                              <a:chExt cx="1591310" cy="688975"/>
                            </a:xfrm>
                          </wpg:grpSpPr>
                          <wps:wsp>
                            <wps:cNvPr id="772"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1B1447A3" w14:textId="77777777" w:rsidR="00D34F1C" w:rsidRDefault="00D34F1C" w:rsidP="002D4FF1">
                                  <w:r>
                                    <w:t>Sustainable behaviour intention</w:t>
                                  </w:r>
                                </w:p>
                                <w:p w14:paraId="740CEC70" w14:textId="77777777" w:rsidR="00D34F1C" w:rsidRDefault="00D34F1C" w:rsidP="002D4FF1"/>
                              </w:txbxContent>
                            </wps:txbx>
                            <wps:bodyPr rot="0" vert="horz" wrap="square" lIns="91440" tIns="45720" rIns="91440" bIns="45720" anchor="t" anchorCtr="0" upright="1">
                              <a:noAutofit/>
                            </wps:bodyPr>
                          </wps:wsp>
                          <wps:wsp>
                            <wps:cNvPr id="773"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grpSp>
                      <wps:wsp>
                        <wps:cNvPr id="774" name="Straight Arrow Connector 774"/>
                        <wps:cNvCnPr/>
                        <wps:spPr>
                          <a:xfrm flipH="1">
                            <a:off x="0" y="904875"/>
                            <a:ext cx="207010" cy="0"/>
                          </a:xfrm>
                          <a:prstGeom prst="straightConnector1">
                            <a:avLst/>
                          </a:prstGeom>
                          <a:ln w="19050">
                            <a:solidFill>
                              <a:schemeClr val="bg1">
                                <a:lumMod val="50000"/>
                              </a:schemeClr>
                            </a:solidFill>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14:sizeRelV relativeFrom="margin">
                  <wp14:pctHeight>0</wp14:pctHeight>
                </wp14:sizeRelV>
              </wp:anchor>
            </w:drawing>
          </mc:Choice>
          <mc:Fallback>
            <w:pict>
              <v:group w14:anchorId="1ACA6AC1" id="Group 723" o:spid="_x0000_s1198" style="position:absolute;left:0;text-align:left;margin-left:171.85pt;margin-top:287.9pt;width:263.5pt;height:376pt;z-index:251657286;mso-position-horizontal-relative:margin;mso-height-relative:margin" coordorigin=",-1905" coordsize="33464,4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">
                <v:group id="Group 724" o:spid="_x0000_s1199" style="position:absolute;left:95;top:-1905;width:33369;height:47752" coordorigin=",-1905" coordsize="33369,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725" o:spid="_x0000_s1200" style="position:absolute;top:-1905;width:33369;height:47752" coordorigin=",-305" coordsize="33395,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line id="Straight Connector 462" o:spid="_x0000_s1201" style="position:absolute;flip:x;visibility:visible;mso-wrap-style:square" from="23336,23622" to="26479,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" strokecolor="gray" strokeweight="1.5pt">
                      <v:stroke joinstyle="miter"/>
                    </v:line>
                    <v:group id="Group 464" o:spid="_x0000_s1202" style="position:absolute;top:-305;width:33395;height:47769" coordorigin=",-305" coordsize="33395,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group id="Group 460" o:spid="_x0000_s1203" style="position:absolute;top:-305;width:33395;height:47769" coordorigin=",-305" coordsize="33395,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Group 417" o:spid="_x0000_s1204" style="position:absolute;top:-305;width:33395;height:47769" coordorigin=",-305" coordsize="33395,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Group 418" o:spid="_x0000_s1205" style="position:absolute;left:1471;top:-305;width:31924;height:47769" coordorigin="3662,-305" coordsize="31924,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group id="Group 419" o:spid="_x0000_s1206" style="position:absolute;left:3662;top:-305;width:31924;height:47769" coordorigin="3662,-305" coordsize="31924,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_x0000_s1207" style="position:absolute;left:3662;top:-305;width:31924;height:47769" coordorigin="3662,-305" coordsize="31924,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421" o:spid="_x0000_s1208" style="position:absolute;left:3662;top:-305;width:31924;height:47769" coordorigin="3662,-305" coordsize="31924,4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Text Box 422" o:spid="_x0000_s1209" type="#_x0000_t202" style="position:absolute;left:18002;top:14192;width:504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" fillcolor="#b4c6e7" strokeweight=".5pt">
                                    <v:textbox>
                                      <w:txbxContent>
                                        <w:p w14:paraId="55036DDA" w14:textId="77777777" w:rsidR="00D34F1C" w:rsidRDefault="00D34F1C" w:rsidP="002D4FF1">
                                          <w:r>
                                            <w:t>SCV</w:t>
                                          </w:r>
                                        </w:p>
                                      </w:txbxContent>
                                    </v:textbox>
                                  </v:shape>
                                  <v:group id="Group 423" o:spid="_x0000_s1210" style="position:absolute;left:3662;top:-305;width:31924;height:47769" coordorigin="3662,-305" coordsize="31927,4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Group 424" o:spid="_x0000_s1211" style="position:absolute;left:3662;top:-305;width:31927;height:47778" coordorigin="3662,-305" coordsize="31926,4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425" o:spid="_x0000_s1212" style="position:absolute;left:3662;top:-305;width:31926;height:47786" coordorigin="-3290,1651" coordsize="31929,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group id="Group 426" o:spid="_x0000_s1213" style="position:absolute;left:-3290;top:1651;width:31929;height:28778" coordorigin="-3290,1651" coordsize="31930,2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group id="Group 427" o:spid="_x0000_s1214" style="position:absolute;left:152;top:1651;width:21856;height:22335" coordorigin="152,1651" coordsize="2185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Text Box 428" o:spid="_x0000_s1215" type="#_x0000_t202" style="position:absolute;left:152;top:1651;width:1873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" fillcolor="#a9cbb7" strokeweight=".5pt">
                                              <v:textbox>
                                                <w:txbxContent>
                                                  <w:p w14:paraId="28E3A56B" w14:textId="43AF19FC" w:rsidR="007848B7" w:rsidRDefault="007848B7" w:rsidP="007848B7">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5A70038C" w14:textId="77777777" w:rsidR="00D34F1C" w:rsidRPr="00B86079" w:rsidRDefault="00D34F1C" w:rsidP="002D4FF1">
                                                    <w:pPr>
                                                      <w:pStyle w:val="NoSpacing"/>
                                                    </w:pPr>
                                                    <w:r>
                                                      <w:t>ad</w:t>
                                                    </w:r>
                                                  </w:p>
                                                  <w:p w14:paraId="1644F6A4" w14:textId="77777777" w:rsidR="00D34F1C" w:rsidRDefault="00D34F1C" w:rsidP="002D4FF1">
                                                    <w:pPr>
                                                      <w:pStyle w:val="NoSpacing"/>
                                                    </w:pPr>
                                                  </w:p>
                                                </w:txbxContent>
                                              </v:textbox>
                                            </v:shape>
                                            <v:shape id="Text Box 429" o:spid="_x0000_s1216" type="#_x0000_t202" style="position:absolute;left:5187;top:17739;width:16821;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" fillcolor="#c7abff" strokeweight=".5pt">
                                              <v:textbox>
                                                <w:txbxContent>
                                                  <w:p w14:paraId="6EB6B0D1" w14:textId="77777777" w:rsidR="00D34F1C" w:rsidRDefault="00D34F1C" w:rsidP="002D4FF1">
                                                    <w:r>
                                                      <w:t>Social–media engagement with the ad</w:t>
                                                    </w:r>
                                                  </w:p>
                                                </w:txbxContent>
                                              </v:textbox>
                                            </v:shape>
                                            <v:shape id="Text Box 430" o:spid="_x0000_s1217" type="#_x0000_t202" style="position:absolute;left:6675;top:21509;width:1523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" fillcolor="#c5e0b3" strokeweight=".5pt">
                                              <v:textbox>
                                                <w:txbxContent>
                                                  <w:p w14:paraId="71AA2773" w14:textId="77777777" w:rsidR="00D34F1C" w:rsidRDefault="00D34F1C" w:rsidP="002D4FF1">
                                                    <w:r>
                                                      <w:t>Purchase intention of the advertised product</w:t>
                                                    </w:r>
                                                  </w:p>
                                                  <w:p w14:paraId="27B86BC7" w14:textId="77777777" w:rsidR="00D34F1C" w:rsidRDefault="00D34F1C" w:rsidP="002D4FF1"/>
                                                </w:txbxContent>
                                              </v:textbox>
                                            </v:shape>
                                            <v:shape id="Straight Arrow Connector 431" o:spid="_x0000_s1218" type="#_x0000_t32" style="position:absolute;left:14221;top:20830;width:0;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" strokecolor="gray" strokeweight="1.5pt">
                                              <v:stroke endarrow="block" joinstyle="miter"/>
                                            </v:shape>
                                          </v:group>
                                          <v:shape id="Text Box 432" o:spid="_x0000_s1219" type="#_x0000_t202" style="position:absolute;left:-3290;top:28805;width:3193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" stroked="f" strokeweight=".5pt">
                                            <v:textbox>
                                              <w:txbxContent>
                                                <w:p w14:paraId="690B74A7" w14:textId="690AE54A" w:rsidR="00D34F1C" w:rsidRDefault="00D34F1C" w:rsidP="002D4FF1">
                                                  <w:r>
                                                    <w:t>Fig 1</w:t>
                                                  </w:r>
                                                  <w:r w:rsidR="00A26F6C">
                                                    <w:t>3</w:t>
                                                  </w:r>
                                                  <w:r>
                                                    <w:t>: Role of emotion on Social media engagement</w:t>
                                                  </w:r>
                                                </w:p>
                                              </w:txbxContent>
                                            </v:textbox>
                                          </v:shape>
                                        </v:group>
                                        <v:shape id="Straight Arrow Connector 433" o:spid="_x0000_s1220" type="#_x0000_t32" style="position:absolute;left:13840;top:5429;width:0;height:5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" strokecolor="gray" strokeweight="1.5pt">
                                          <v:stroke endarrow="block" joinstyle="miter"/>
                                        </v:shape>
                                      </v:group>
                                      <v:shape id="Text Box 435" o:spid="_x0000_s1221" type="#_x0000_t202" style="position:absolute;left:4191;top:8483;width:1192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" fillcolor="#c5c4a0" strokeweight=".5pt">
                                        <v:textbox>
                                          <w:txbxContent>
                                            <w:p w14:paraId="77870FD1" w14:textId="77777777" w:rsidR="00D34F1C" w:rsidRDefault="00D34F1C" w:rsidP="002D4FF1">
                                              <w:r>
                                                <w:t xml:space="preserve">Source expertise High </w:t>
                                              </w:r>
                                              <w:r>
                                                <w:tab/>
                                                <w:t xml:space="preserve">    Low </w:t>
                                              </w:r>
                                            </w:p>
                                          </w:txbxContent>
                                        </v:textbox>
                                      </v:shape>
                                      <v:shape id="Straight Arrow Connector 437" o:spid="_x0000_s1222" type="#_x0000_t32" style="position:absolute;left:16097;top:10451;width:4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" strokecolor="gray" strokeweight="1.5pt">
                                        <v:stroke endarrow="block" joinstyle="miter"/>
                                      </v:shape>
                                    </v:group>
                                    <v:shape id="Text Box 438" o:spid="_x0000_s1223" type="#_x0000_t202" style="position:absolute;left:24288;top:6613;width:933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" fillcolor="#d9b6a3" strokeweight=".5pt">
                                      <v:textbox>
                                        <w:txbxContent>
                                          <w:p w14:paraId="1376CD60" w14:textId="77777777" w:rsidR="00D34F1C" w:rsidRDefault="00D34F1C" w:rsidP="002D4FF1">
                                            <w:r>
                                              <w:t>Involvement with the ad</w:t>
                                            </w:r>
                                          </w:p>
                                        </w:txbxContent>
                                      </v:textbox>
                                    </v:shape>
                                  </v:group>
                                </v:group>
                                <v:shape id="Straight Arrow Connector 440" o:spid="_x0000_s1224" type="#_x0000_t32" style="position:absolute;left:22764;top:11711;width:2763;height:2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" strokecolor="gray" strokeweight="1.5pt">
                                  <v:stroke endarrow="block" joinstyle="miter"/>
                                </v:shape>
                              </v:group>
                              <v:group id="Group 441" o:spid="_x0000_s1225" style="position:absolute;left:8477;top:16668;width:25146;height:6382" coordorigin=",1047" coordsize="251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Text Box 442" o:spid="_x0000_s1226" type="#_x0000_t202" style="position:absolute;top:2952;width:78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" fillcolor="#ffe599" strokeweight=".5pt">
                                  <v:textbox>
                                    <w:txbxContent>
                                      <w:p w14:paraId="4FB18682" w14:textId="77777777" w:rsidR="00D34F1C" w:rsidRDefault="00D34F1C" w:rsidP="002D4FF1">
                                        <w:r>
                                          <w:t>Pleasure</w:t>
                                        </w:r>
                                      </w:p>
                                    </w:txbxContent>
                                  </v:textbox>
                                </v:shape>
                                <v:shape id="Text Box 443" o:spid="_x0000_s1227" type="#_x0000_t202" style="position:absolute;left:9048;top:2952;width:647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" fillcolor="#ffe599" strokeweight=".5pt">
                                  <v:textbox>
                                    <w:txbxContent>
                                      <w:p w14:paraId="688210A0" w14:textId="77777777" w:rsidR="00D34F1C" w:rsidRDefault="00D34F1C" w:rsidP="002D4FF1">
                                        <w:r>
                                          <w:t>Arousal</w:t>
                                        </w:r>
                                      </w:p>
                                    </w:txbxContent>
                                  </v:textbox>
                                </v:shape>
                                <v:shape id="Text Box 444" o:spid="_x0000_s1228" type="#_x0000_t202" style="position:absolute;left:16573;top:2952;width:857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" fillcolor="#ffe599" strokeweight=".5pt">
                                  <v:textbox>
                                    <w:txbxContent>
                                      <w:p w14:paraId="60C4BD70" w14:textId="77777777" w:rsidR="00D34F1C" w:rsidRDefault="00D34F1C" w:rsidP="002D4FF1">
                                        <w:r>
                                          <w:t xml:space="preserve">Dominance </w:t>
                                        </w:r>
                                      </w:p>
                                    </w:txbxContent>
                                  </v:textbox>
                                </v:shape>
                                <v:shape id="Straight Arrow Connector 445" o:spid="_x0000_s1229" type="#_x0000_t32" style="position:absolute;left:6286;top:1333;width:3143;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" strokecolor="gray" strokeweight="1.5pt">
                                  <v:stroke endarrow="block" joinstyle="miter"/>
                                </v:shape>
                                <v:shape id="Straight Arrow Connector 446" o:spid="_x0000_s1230" type="#_x0000_t32" style="position:absolute;left:14668;top:1047;width:3715;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" strokecolor="gray" strokeweight="1.5pt">
                                  <v:stroke endarrow="block" joinstyle="miter"/>
                                </v:shape>
                                <v:shape id="Straight Arrow Connector 447" o:spid="_x0000_s1231" type="#_x0000_t32" style="position:absolute;left:12287;top:123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" strokecolor="gray" strokeweight="1.5pt">
                                  <v:stroke endarrow="block" joinstyle="miter"/>
                                </v:shape>
                                <v:shape id="Straight Arrow Connector 448" o:spid="_x0000_s1232" type="#_x0000_t32" style="position:absolute;left:4953;top:5524;width:3048;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" strokecolor="gray" strokeweight="1.5pt">
                                  <v:stroke endarrow="block" joinstyle="miter"/>
                                </v:shape>
                                <v:shape id="Straight Arrow Connector 449" o:spid="_x0000_s1233" type="#_x0000_t32" style="position:absolute;left:12477;top:5429;width:0;height:1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" strokecolor="gray" strokeweight="1.5pt">
                                  <v:stroke endarrow="block" joinstyle="miter"/>
                                </v:shape>
                                <v:shape id="Straight Arrow Connector 450" o:spid="_x0000_s1234" type="#_x0000_t32" style="position:absolute;left:16948;top:5619;width:3245;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" strokecolor="gray" strokeweight="1.5pt">
                                  <v:stroke endarrow="block" joinstyle="miter"/>
                                </v:shape>
                              </v:group>
                            </v:group>
                            <v:group id="Group 451" o:spid="_x0000_s1235" style="position:absolute;left:6762;top:15716;width:10567;height:12096" coordorigin="381" coordsize="10566,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Arc 452" o:spid="_x0000_s1236" style="position:absolute;left:381;width:10566;height:12096;rotation:180;visibility:visible;mso-wrap-style:square;v-text-anchor:middle" coordsize="105664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" path="m528320,nsc817062,,1052320,265384,1056582,595909v4235,328368,-221181,600610,-507824,613315l528320,604838,528320,xem528320,nfc817062,,1052320,265384,1056582,595909v4235,328368,-221181,600610,-507824,613315e" filled="f" strokecolor="gray" strokeweight="1.5pt">
                                <v:stroke joinstyle="miter"/>
                                <v:path arrowok="t" o:connecttype="custom" o:connectlocs="5283,0;10565,5959;5487,12091" o:connectangles="0,0,0"/>
                              </v:shape>
                              <v:shape id="Straight Arrow Connector 453" o:spid="_x0000_s1237" type="#_x0000_t32" style="position:absolute;left:5429;top:12001;width: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" strokecolor="gray" strokeweight=".5pt">
                                <v:stroke endarrow="block" joinstyle="miter"/>
                              </v:shape>
                            </v:group>
                            <v:line id="Straight Connector 454" o:spid="_x0000_s1238" style="position:absolute;visibility:visible;mso-wrap-style:square" from="11334,15716" to="18002,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" strokecolor="gray" strokeweight="1.5pt">
                              <v:stroke joinstyle="miter"/>
                            </v:line>
                          </v:group>
                          <v:line id="Straight Connector 455" o:spid="_x0000_s1239" style="position:absolute;flip:x;visibility:visible;mso-wrap-style:square" from="0,2286" to="475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" strokecolor="gray" strokeweight="1.5pt">
                            <v:stroke joinstyle="miter"/>
                          </v:line>
                          <v:line id="Straight Connector 456" o:spid="_x0000_s1240" style="position:absolute;visibility:visible;mso-wrap-style:square" from="0,2286" to="0,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" strokecolor="gray" strokeweight="1.5pt">
                            <v:stroke joinstyle="miter"/>
                          </v:line>
                          <v:shape id="Straight Arrow Connector 457" o:spid="_x0000_s1241" type="#_x0000_t32" style="position:absolute;left:95;top:28765;width:9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" strokecolor="gray" strokeweight="1.5pt">
                            <v:stroke endarrow="block" joinstyle="miter"/>
                          </v:shape>
                        </v:group>
                        <v:shape id="Text Box 458" o:spid="_x0000_s1242" type="#_x0000_t202" style="position:absolute;left:14192;top:22193;width:904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" fillcolor="#deeaf6" strokeweight=".5pt">
                          <v:textbox>
                            <w:txbxContent>
                              <w:p w14:paraId="76A4606E" w14:textId="77777777" w:rsidR="00D34F1C" w:rsidRDefault="00D34F1C" w:rsidP="002D4FF1">
                                <w:r>
                                  <w:t>Ad attitude</w:t>
                                </w:r>
                              </w:p>
                            </w:txbxContent>
                          </v:textbox>
                        </v:shape>
                        <v:shape id="Straight Arrow Connector 459" o:spid="_x0000_s1243" type="#_x0000_t32" style="position:absolute;left:18573;top:24669;width:0;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" strokecolor="gray" strokeweight="1.5pt">
                          <v:stroke endarrow="block" joinstyle="miter"/>
                        </v:shape>
                      </v:group>
                      <v:shape id="Arc 461" o:spid="_x0000_s1244" style="position:absolute;left:22860;top:23622;width:6572;height:10382;visibility:visible;mso-wrap-style:square;v-text-anchor:middle" coordsize="65722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" path="m328612,nsc501322,,644559,211200,656446,483384v10198,233506,-79785,448912,-219701,525932l328613,519113v,-173038,-1,-346075,-1,-519113xem328612,nfc501322,,644559,211200,656446,483384v10198,233506,-79785,448912,-219701,525932e" filled="f" strokecolor="gray" strokeweight="1.5pt">
                        <v:stroke joinstyle="miter"/>
                        <v:path arrowok="t" o:connecttype="custom" o:connectlocs="3286,0;6564,4834;4367,10093" o:connectangles="0,0,0"/>
                      </v:shape>
                      <v:shape id="Straight Arrow Connector 463" o:spid="_x0000_s1245" type="#_x0000_t32" style="position:absolute;left:26574;top:33623;width: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" strokecolor="gray" strokeweight=".5pt">
                        <v:stroke endarrow="block" joinstyle="miter"/>
                      </v:shape>
                    </v:group>
                  </v:group>
                  <v:group id="Group 771" o:spid="_x0000_s1246" style="position:absolute;left:10858;top:35147;width:15913;height:6890"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25" o:spid="_x0000_s1247"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" fillcolor="#a5a5a5" strokeweight=".25pt">
                      <v:textbox>
                        <w:txbxContent>
                          <w:p w14:paraId="1B1447A3" w14:textId="77777777" w:rsidR="00D34F1C" w:rsidRDefault="00D34F1C" w:rsidP="002D4FF1">
                            <w:r>
                              <w:t>Sustainable behaviour intention</w:t>
                            </w:r>
                          </w:p>
                          <w:p w14:paraId="740CEC70" w14:textId="77777777" w:rsidR="00D34F1C" w:rsidRDefault="00D34F1C" w:rsidP="002D4FF1"/>
                        </w:txbxContent>
                      </v:textbox>
                    </v:rect>
                    <v:shape id="AutoShape 13" o:spid="_x0000_s1248"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" strokecolor="#7f7f7f" strokeweight="2.25pt">
                      <v:stroke endarrow="block"/>
                      <v:path arrowok="f"/>
                      <o:lock v:ext="edit" shapetype="f"/>
                    </v:shape>
                  </v:group>
                </v:group>
                <v:shape id="Straight Arrow Connector 774" o:spid="_x0000_s1249" type="#_x0000_t32" style="position:absolute;top:9048;width:20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" strokecolor="#7f7f7f [1612]" strokeweight="1.5pt">
                  <v:stroke endarrow="block" joinstyle="miter"/>
                </v:shape>
                <w10:wrap type="square" anchorx="margin"/>
              </v:group>
            </w:pict>
          </mc:Fallback>
        </mc:AlternateContent>
      </w:r>
      <w:r w:rsidR="00C7217E" w:rsidRPr="00D94CDB">
        <w:rPr>
          <w:rFonts w:ascii="Cambria" w:eastAsia="Calibri" w:hAnsi="Cambria" w:cs="Times New Roman"/>
          <w:sz w:val="24"/>
          <w:szCs w:val="24"/>
        </w:rPr>
        <w:t>Changed ad attitude caused by evoked emotion is an indicator of advertisement fulfilling its purpose (Richard and Chebat 2016; Holbrook and Batra 1987; Priester and petty 2003; Edell and Burke 1987). In the context of social media, emotions evoked by the advertisement or stimuli, affects the attitude towards the advertisement (Holbrook and Batra 1987; Mehrbian 1996) and reflected in the behavioural pattern of social–media–engagement in terms of like, share, comment etc. (Voorveld et al 2018). Point to be noted, heightened interaction do</w:t>
      </w:r>
      <w:r w:rsidR="007B0BE4" w:rsidRPr="00D94CDB">
        <w:rPr>
          <w:rFonts w:ascii="Cambria" w:eastAsia="Calibri" w:hAnsi="Cambria" w:cs="Times New Roman"/>
          <w:sz w:val="24"/>
          <w:szCs w:val="24"/>
        </w:rPr>
        <w:t>es</w:t>
      </w:r>
      <w:r w:rsidR="00C7217E" w:rsidRPr="00D94CDB">
        <w:rPr>
          <w:rFonts w:ascii="Cambria" w:eastAsia="Calibri" w:hAnsi="Cambria" w:cs="Times New Roman"/>
          <w:sz w:val="24"/>
          <w:szCs w:val="24"/>
        </w:rPr>
        <w:t xml:space="preserve"> not ensure favourable mindset toward the object (Andersen 2005). This attitude can also differ depending on brands of different product categories (Montororio et al 2008). In social–media environment, attitude formed due to the information presented affects consumer choice (Foxall and Yani–de –Soriano 2005). The positive or negative caption may also act as information for other users of social–media and thus affect their attitude and subsequent social–media–engagement behaviour (Fig 1</w:t>
      </w:r>
      <w:r w:rsidR="0034466D">
        <w:rPr>
          <w:rFonts w:ascii="Cambria" w:eastAsia="Calibri" w:hAnsi="Cambria" w:cs="Times New Roman"/>
          <w:sz w:val="24"/>
          <w:szCs w:val="24"/>
        </w:rPr>
        <w:t>3</w:t>
      </w:r>
      <w:r w:rsidR="00C7217E" w:rsidRPr="00D94CDB">
        <w:rPr>
          <w:rFonts w:ascii="Cambria" w:eastAsia="Calibri" w:hAnsi="Cambria" w:cs="Times New Roman"/>
          <w:sz w:val="24"/>
          <w:szCs w:val="24"/>
        </w:rPr>
        <w:t xml:space="preserve">). </w:t>
      </w:r>
    </w:p>
    <w:p w14:paraId="2E45CF17" w14:textId="3AC6925B" w:rsidR="00C7217E" w:rsidRPr="00530906" w:rsidRDefault="00C7217E">
      <w:pPr>
        <w:spacing w:line="360" w:lineRule="auto"/>
        <w:jc w:val="both"/>
        <w:rPr>
          <w:rFonts w:ascii="Cambria" w:eastAsia="Calibri" w:hAnsi="Cambria" w:cs="Times New Roman"/>
          <w:sz w:val="24"/>
          <w:szCs w:val="24"/>
        </w:rPr>
      </w:pPr>
      <w:r w:rsidRPr="00D94CDB">
        <w:rPr>
          <w:rFonts w:ascii="Cambria" w:eastAsia="Calibri" w:hAnsi="Cambria" w:cs="Times New Roman"/>
          <w:sz w:val="24"/>
          <w:szCs w:val="24"/>
        </w:rPr>
        <w:t xml:space="preserve">If marketers add new beliefs and target normative belief, they can affect consumers’ attitude and intensions by changing their evaluation (Pickett–Backer and Ozaki 2008). So, if </w:t>
      </w:r>
      <w:r w:rsidR="0053132C" w:rsidRPr="00D94CDB">
        <w:rPr>
          <w:rFonts w:ascii="Cambria" w:eastAsia="Calibri" w:hAnsi="Cambria" w:cs="Adobe Devanagari"/>
          <w:sz w:val="24"/>
          <w:szCs w:val="24"/>
        </w:rPr>
        <w:t xml:space="preserve">ad with </w:t>
      </w:r>
      <w:r w:rsidR="00E363FB" w:rsidRPr="00D94CDB">
        <w:rPr>
          <w:rFonts w:ascii="Cambria" w:eastAsia="Calibri" w:hAnsi="Cambria" w:cs="Adobe Devanagari"/>
          <w:sz w:val="24"/>
          <w:szCs w:val="24"/>
        </w:rPr>
        <w:t>sustainability</w:t>
      </w:r>
      <w:r w:rsidR="0053132C" w:rsidRPr="00D94CDB">
        <w:rPr>
          <w:rFonts w:ascii="Cambria" w:eastAsia="Calibri" w:hAnsi="Cambria" w:cs="Adobe Devanagari"/>
          <w:sz w:val="24"/>
          <w:szCs w:val="24"/>
        </w:rPr>
        <w:t xml:space="preserve"> message</w:t>
      </w:r>
      <w:r w:rsidR="0053132C" w:rsidRPr="00D94CDB">
        <w:rPr>
          <w:rFonts w:ascii="Cambria" w:eastAsia="Calibri" w:hAnsi="Cambria" w:cs="Times New Roman"/>
          <w:sz w:val="24"/>
          <w:szCs w:val="24"/>
        </w:rPr>
        <w:t xml:space="preserve"> </w:t>
      </w:r>
      <w:r w:rsidRPr="00D94CDB">
        <w:rPr>
          <w:rFonts w:ascii="Cambria" w:eastAsia="Calibri" w:hAnsi="Cambria" w:cs="Times New Roman"/>
          <w:sz w:val="24"/>
          <w:szCs w:val="24"/>
        </w:rPr>
        <w:t xml:space="preserve">with the positive or negative caption is exposed to a social–media users as information, it may be the </w:t>
      </w:r>
      <w:r w:rsidRPr="00530906">
        <w:rPr>
          <w:rFonts w:ascii="Cambria" w:eastAsia="Calibri" w:hAnsi="Cambria" w:cs="Times New Roman"/>
          <w:sz w:val="24"/>
          <w:szCs w:val="24"/>
        </w:rPr>
        <w:t>starting of new belief. With the increasing level of awareness regarding sustainability the symbolic meaning of sustainable</w:t>
      </w:r>
      <w:r w:rsidR="007B0BE4" w:rsidRPr="00530906">
        <w:rPr>
          <w:rFonts w:ascii="Cambria" w:eastAsia="Calibri" w:hAnsi="Cambria" w:cs="Times New Roman"/>
          <w:sz w:val="24"/>
          <w:szCs w:val="24"/>
        </w:rPr>
        <w:t xml:space="preserve"> </w:t>
      </w:r>
      <w:r w:rsidRPr="00530906">
        <w:rPr>
          <w:rFonts w:ascii="Cambria" w:eastAsia="Calibri" w:hAnsi="Cambria" w:cs="Times New Roman"/>
          <w:sz w:val="24"/>
          <w:szCs w:val="24"/>
        </w:rPr>
        <w:t>consumption may also be changed and become a new norm (</w:t>
      </w:r>
      <w:r w:rsidR="007B0BE4" w:rsidRPr="00530906">
        <w:rPr>
          <w:rFonts w:ascii="Cambria" w:eastAsia="Calibri" w:hAnsi="Cambria" w:cs="Times New Roman"/>
          <w:sz w:val="24"/>
          <w:szCs w:val="24"/>
        </w:rPr>
        <w:t xml:space="preserve">see </w:t>
      </w:r>
      <w:r w:rsidRPr="00530906">
        <w:rPr>
          <w:rFonts w:ascii="Cambria" w:eastAsia="Calibri" w:hAnsi="Cambria" w:cs="Times New Roman"/>
          <w:sz w:val="24"/>
          <w:szCs w:val="24"/>
        </w:rPr>
        <w:t>Brooks and Wilson 2015). The impediments of promoting sustainable</w:t>
      </w:r>
      <w:r w:rsidR="007B0BE4" w:rsidRPr="00530906">
        <w:rPr>
          <w:rFonts w:ascii="Cambria" w:eastAsia="Calibri" w:hAnsi="Cambria" w:cs="Times New Roman"/>
          <w:sz w:val="24"/>
          <w:szCs w:val="24"/>
        </w:rPr>
        <w:t xml:space="preserve"> </w:t>
      </w:r>
      <w:r w:rsidRPr="00530906">
        <w:rPr>
          <w:rFonts w:ascii="Cambria" w:eastAsia="Calibri" w:hAnsi="Cambria" w:cs="Times New Roman"/>
          <w:sz w:val="24"/>
          <w:szCs w:val="24"/>
        </w:rPr>
        <w:t xml:space="preserve">products like– consumers intention to prevail their existing practice (Chan et al 2008), reluctance to change consumption pattern (Lin and Hsu 2014), perception of </w:t>
      </w:r>
      <w:r w:rsidR="00BC697F" w:rsidRPr="00530906">
        <w:rPr>
          <w:rFonts w:ascii="Cambria" w:eastAsia="Calibri" w:hAnsi="Cambria" w:cs="Times New Roman"/>
          <w:sz w:val="24"/>
          <w:szCs w:val="24"/>
        </w:rPr>
        <w:t>products with sustainability association</w:t>
      </w:r>
      <w:r w:rsidRPr="00530906">
        <w:rPr>
          <w:rFonts w:ascii="Cambria" w:eastAsia="Calibri" w:hAnsi="Cambria" w:cs="Times New Roman"/>
          <w:sz w:val="24"/>
          <w:szCs w:val="24"/>
        </w:rPr>
        <w:t xml:space="preserve"> to be expensive (Davari and Strutton, 2014) and require effort and resource (Tanner and Kast 2013) or sustainable–consumption means less consumption (Brooks and Wilson 2015), can be overcomes with social interaction</w:t>
      </w:r>
      <w:r w:rsidR="007B0BE4" w:rsidRPr="00530906">
        <w:rPr>
          <w:rFonts w:ascii="Cambria" w:eastAsia="Calibri" w:hAnsi="Cambria" w:cs="Times New Roman"/>
          <w:sz w:val="24"/>
          <w:szCs w:val="24"/>
        </w:rPr>
        <w:t>. this is posited</w:t>
      </w:r>
      <w:r w:rsidRPr="00530906">
        <w:rPr>
          <w:rFonts w:ascii="Cambria" w:eastAsia="Calibri" w:hAnsi="Cambria" w:cs="Times New Roman"/>
          <w:sz w:val="24"/>
          <w:szCs w:val="24"/>
        </w:rPr>
        <w:t xml:space="preserve"> because “….participant perceptions change in part through social negotiation of meaning, lifestyle and identity” (Axsen et al 2013, p 96).</w:t>
      </w:r>
    </w:p>
    <w:p w14:paraId="47267A06" w14:textId="6B98EF5F"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Commitment arises when a customer’s values, self–image and attitude has matched with a product (Bowden 2009). So heightened concern for sustainability may</w:t>
      </w:r>
      <w:r w:rsidR="00BC697F" w:rsidRPr="00530906">
        <w:rPr>
          <w:rFonts w:ascii="Cambria" w:eastAsia="Calibri" w:hAnsi="Cambria" w:cs="Times New Roman"/>
          <w:sz w:val="24"/>
          <w:szCs w:val="24"/>
        </w:rPr>
        <w:t xml:space="preserve"> match</w:t>
      </w:r>
      <w:r w:rsidRPr="00530906">
        <w:rPr>
          <w:rFonts w:ascii="Cambria" w:eastAsia="Calibri" w:hAnsi="Cambria" w:cs="Times New Roman"/>
          <w:sz w:val="24"/>
          <w:szCs w:val="24"/>
        </w:rPr>
        <w:t xml:space="preserve"> position the </w:t>
      </w:r>
      <w:r w:rsidR="00BC697F" w:rsidRPr="00530906">
        <w:rPr>
          <w:rFonts w:ascii="Cambria" w:eastAsia="Calibri" w:hAnsi="Cambria" w:cs="Times New Roman"/>
          <w:sz w:val="24"/>
          <w:szCs w:val="24"/>
        </w:rPr>
        <w:t xml:space="preserve">products with sustainability association </w:t>
      </w:r>
      <w:r w:rsidRPr="00530906">
        <w:rPr>
          <w:rFonts w:ascii="Cambria" w:eastAsia="Calibri" w:hAnsi="Cambria" w:cs="Times New Roman"/>
          <w:sz w:val="24"/>
          <w:szCs w:val="24"/>
        </w:rPr>
        <w:t xml:space="preserve">with their value and self–image. If the consumers identify themselves with their peers online, their engagement will represent their level of agreement with the norm and objective of that virtual community (Venkatesh &amp; Brown 2001; Algesheimer et al 2005). Since, higher level of social pressure influences individual to perform or not perform a specific behaviour regardless their belief and attitude (Kaplan &amp; Miller, 1987), question </w:t>
      </w:r>
      <w:r w:rsidR="001E3CFE" w:rsidRPr="00530906">
        <w:rPr>
          <w:rFonts w:ascii="Cambria" w:eastAsia="Calibri" w:hAnsi="Cambria" w:cs="Times New Roman"/>
          <w:sz w:val="24"/>
          <w:szCs w:val="24"/>
        </w:rPr>
        <w:t>comes</w:t>
      </w:r>
      <w:r w:rsidRPr="00530906">
        <w:rPr>
          <w:rFonts w:ascii="Cambria" w:eastAsia="Calibri" w:hAnsi="Cambria" w:cs="Times New Roman"/>
          <w:sz w:val="24"/>
          <w:szCs w:val="24"/>
        </w:rPr>
        <w:t xml:space="preserve"> to what extent social–media–engagement behaviour may influence the purchase intention of advertised </w:t>
      </w:r>
      <w:r w:rsidR="00615FE1" w:rsidRPr="00530906">
        <w:rPr>
          <w:rFonts w:ascii="Cambria" w:eastAsia="Calibri" w:hAnsi="Cambria" w:cs="Times New Roman"/>
          <w:sz w:val="24"/>
          <w:szCs w:val="24"/>
        </w:rPr>
        <w:t>the products with sustainability association</w:t>
      </w:r>
      <w:r w:rsidRPr="00530906">
        <w:rPr>
          <w:rFonts w:ascii="Cambria" w:eastAsia="Calibri" w:hAnsi="Cambria" w:cs="Times New Roman"/>
          <w:sz w:val="24"/>
          <w:szCs w:val="24"/>
        </w:rPr>
        <w:t xml:space="preserve"> and other sustainable behaviour.</w:t>
      </w:r>
    </w:p>
    <w:p w14:paraId="2A241BC3" w14:textId="248A14DE" w:rsidR="00C7217E" w:rsidRPr="00530906" w:rsidRDefault="00C7217E" w:rsidP="008756B1">
      <w:pPr>
        <w:keepNext/>
        <w:keepLines/>
        <w:spacing w:before="200" w:after="0" w:line="276" w:lineRule="auto"/>
        <w:jc w:val="both"/>
        <w:outlineLvl w:val="1"/>
        <w:rPr>
          <w:rFonts w:ascii="Cambria" w:eastAsia="Calibri" w:hAnsi="Cambria" w:cs="Times New Roman"/>
          <w:color w:val="2E74B5"/>
          <w:sz w:val="26"/>
          <w:szCs w:val="26"/>
        </w:rPr>
      </w:pPr>
      <w:bookmarkStart w:id="50" w:name="_Toc115726231"/>
      <w:r w:rsidRPr="00530906">
        <w:rPr>
          <w:rFonts w:ascii="Cambria" w:eastAsia="Calibri" w:hAnsi="Cambria" w:cs="Times New Roman"/>
          <w:color w:val="2E74B5"/>
          <w:sz w:val="26"/>
          <w:szCs w:val="26"/>
        </w:rPr>
        <w:t>2.1</w:t>
      </w:r>
      <w:r w:rsidR="00D04819" w:rsidRPr="00530906">
        <w:rPr>
          <w:rFonts w:ascii="Cambria" w:eastAsia="Calibri" w:hAnsi="Cambria" w:cs="Times New Roman"/>
          <w:color w:val="2E74B5"/>
          <w:sz w:val="26"/>
          <w:szCs w:val="26"/>
        </w:rPr>
        <w:t>2</w:t>
      </w:r>
      <w:r w:rsidRPr="00530906">
        <w:rPr>
          <w:rFonts w:ascii="Cambria" w:eastAsia="Calibri" w:hAnsi="Cambria" w:cs="Times New Roman"/>
          <w:color w:val="2E74B5"/>
          <w:sz w:val="26"/>
          <w:szCs w:val="26"/>
        </w:rPr>
        <w:t>. Social influence theory by Deutsch and Gerard (1955):</w:t>
      </w:r>
      <w:bookmarkEnd w:id="50"/>
    </w:p>
    <w:p w14:paraId="4649CAAD" w14:textId="33487E5E" w:rsidR="00C7217E" w:rsidRPr="00C85E8D" w:rsidRDefault="00223058">
      <w:pPr>
        <w:spacing w:line="360" w:lineRule="auto"/>
        <w:jc w:val="both"/>
        <w:rPr>
          <w:rFonts w:ascii="Cambria" w:eastAsia="Calibri" w:hAnsi="Cambria" w:cs="Times New Roman"/>
          <w:sz w:val="24"/>
          <w:szCs w:val="24"/>
        </w:rPr>
      </w:pPr>
      <w:r>
        <w:rPr>
          <w:rFonts w:ascii="Cambria" w:eastAsia="Calibri" w:hAnsi="Cambria" w:cs="Times New Roman"/>
          <w:sz w:val="24"/>
          <w:szCs w:val="24"/>
        </w:rPr>
        <w:t xml:space="preserve">Adopting </w:t>
      </w:r>
      <w:r w:rsidR="00E3704E">
        <w:rPr>
          <w:rFonts w:ascii="Cambria" w:eastAsia="Calibri" w:hAnsi="Cambria" w:cs="Times New Roman"/>
          <w:sz w:val="24"/>
          <w:szCs w:val="24"/>
        </w:rPr>
        <w:t>s</w:t>
      </w:r>
      <w:r w:rsidR="004975B7" w:rsidRPr="00C85E8D">
        <w:rPr>
          <w:rFonts w:ascii="Cambria" w:eastAsia="Calibri" w:hAnsi="Cambria" w:cs="Times New Roman"/>
          <w:sz w:val="24"/>
          <w:szCs w:val="24"/>
        </w:rPr>
        <w:t>ustainab</w:t>
      </w:r>
      <w:r w:rsidR="00E3704E">
        <w:rPr>
          <w:rFonts w:ascii="Cambria" w:eastAsia="Calibri" w:hAnsi="Cambria" w:cs="Times New Roman"/>
          <w:sz w:val="24"/>
          <w:szCs w:val="24"/>
        </w:rPr>
        <w:t>le behaviour</w:t>
      </w:r>
      <w:r w:rsidR="004975B7" w:rsidRPr="00C85E8D">
        <w:rPr>
          <w:rFonts w:ascii="Cambria" w:eastAsia="Calibri" w:hAnsi="Cambria" w:cs="Times New Roman"/>
          <w:sz w:val="24"/>
          <w:szCs w:val="24"/>
        </w:rPr>
        <w:t xml:space="preserve"> </w:t>
      </w:r>
      <w:r>
        <w:rPr>
          <w:rFonts w:ascii="Cambria" w:eastAsia="Calibri" w:hAnsi="Cambria" w:cs="Times New Roman"/>
          <w:sz w:val="24"/>
          <w:szCs w:val="24"/>
        </w:rPr>
        <w:t>is</w:t>
      </w:r>
      <w:r w:rsidR="004975B7" w:rsidRPr="00C85E8D">
        <w:rPr>
          <w:rFonts w:ascii="Cambria" w:eastAsia="Calibri" w:hAnsi="Cambria" w:cs="Times New Roman"/>
          <w:sz w:val="24"/>
          <w:szCs w:val="24"/>
        </w:rPr>
        <w:t xml:space="preserve"> both intellectual and judgemental in nature, given the fact that, consumers require information about the attributes and the use of the products with sustainability association to adopt them (Lim 2017) as well as adaptation of sustainable behaviour is a social choice (</w:t>
      </w:r>
      <w:r w:rsidR="004975B7" w:rsidRPr="00C85E8D">
        <w:rPr>
          <w:rFonts w:ascii="Cambria" w:eastAsiaTheme="minorEastAsia" w:hAnsi="Cambria"/>
          <w:sz w:val="24"/>
          <w:szCs w:val="24"/>
        </w:rPr>
        <w:t>Aagerup and Nilsson 2016).</w:t>
      </w:r>
      <w:r w:rsidR="004975B7" w:rsidRPr="00C85E8D">
        <w:rPr>
          <w:rFonts w:ascii="Cambria" w:eastAsia="Calibri" w:hAnsi="Cambria" w:cs="Times New Roman"/>
          <w:sz w:val="24"/>
          <w:szCs w:val="24"/>
        </w:rPr>
        <w:t xml:space="preserve"> </w:t>
      </w:r>
      <w:r w:rsidR="00C7217E" w:rsidRPr="00C85E8D">
        <w:rPr>
          <w:rFonts w:ascii="Cambria" w:eastAsia="Calibri" w:hAnsi="Cambria" w:cs="Times New Roman"/>
          <w:sz w:val="24"/>
          <w:szCs w:val="24"/>
        </w:rPr>
        <w:t>Intellective issues (where the receiver of the message focuses on true or correct answer) are influenced by informative social influence</w:t>
      </w:r>
      <w:r w:rsidR="00B815E9" w:rsidRPr="00C85E8D">
        <w:rPr>
          <w:rFonts w:ascii="Cambria" w:eastAsia="Calibri" w:hAnsi="Cambria" w:cs="Times New Roman"/>
          <w:sz w:val="24"/>
          <w:szCs w:val="24"/>
        </w:rPr>
        <w:t xml:space="preserve">. On the other hand, </w:t>
      </w:r>
      <w:r w:rsidR="00C7217E" w:rsidRPr="00C85E8D">
        <w:rPr>
          <w:rFonts w:ascii="Cambria" w:eastAsia="Calibri" w:hAnsi="Cambria" w:cs="Times New Roman"/>
          <w:sz w:val="24"/>
          <w:szCs w:val="24"/>
        </w:rPr>
        <w:t>judgemental issues (where the receiver of the message focuses on moral valued and appropriate position) are influenced by normative social influence (Kaplan and Miller 1987). In other words, both social norm and information influence the intention to adopt sustainable</w:t>
      </w:r>
      <w:r w:rsidR="00A35417" w:rsidRPr="00C85E8D">
        <w:rPr>
          <w:rFonts w:ascii="Cambria" w:eastAsia="Calibri" w:hAnsi="Cambria" w:cs="Times New Roman"/>
          <w:sz w:val="24"/>
          <w:szCs w:val="24"/>
        </w:rPr>
        <w:t xml:space="preserve"> </w:t>
      </w:r>
      <w:r w:rsidR="00AF4CCE" w:rsidRPr="00C85E8D">
        <w:rPr>
          <w:rFonts w:ascii="Cambria" w:eastAsia="Calibri" w:hAnsi="Cambria" w:cs="Times New Roman"/>
          <w:sz w:val="24"/>
          <w:szCs w:val="24"/>
        </w:rPr>
        <w:t>behaviours</w:t>
      </w:r>
      <w:r w:rsidR="00C7217E" w:rsidRPr="00C85E8D">
        <w:rPr>
          <w:rFonts w:ascii="Cambria" w:eastAsia="Calibri" w:hAnsi="Cambria" w:cs="Times New Roman"/>
          <w:sz w:val="24"/>
          <w:szCs w:val="24"/>
        </w:rPr>
        <w:t xml:space="preserve"> (</w:t>
      </w:r>
      <w:r w:rsidR="00C7217E" w:rsidRPr="00C85E8D">
        <w:rPr>
          <w:rFonts w:ascii="Cambria" w:eastAsia="Times New Roman" w:hAnsi="Cambria" w:cs="Times New Roman"/>
          <w:sz w:val="24"/>
          <w:szCs w:val="24"/>
        </w:rPr>
        <w:t xml:space="preserve">Caprar and Neville 2012; Cho et al 2013; White, and Simpson 2013; Black et al 1985). Therefore, social influence theory </w:t>
      </w:r>
      <w:r w:rsidR="00C7217E" w:rsidRPr="00C85E8D">
        <w:rPr>
          <w:rFonts w:ascii="Cambria" w:eastAsia="Calibri" w:hAnsi="Cambria" w:cs="Times New Roman"/>
          <w:sz w:val="24"/>
          <w:szCs w:val="24"/>
        </w:rPr>
        <w:t>by Deutsch and Gerard (1955) is adopted to understand whether social–media–engagement can stimulate the behavioural intension to adopt sustainable practice. According to Deutsch and Gerard (1955)’s philosophy, though people are affected by social influence, but there are two distinctive types of social influence</w:t>
      </w:r>
      <w:r w:rsidR="00BE2E64" w:rsidRPr="00C85E8D">
        <w:rPr>
          <w:rFonts w:ascii="Cambria" w:eastAsia="Calibri" w:hAnsi="Cambria" w:cs="Times New Roman"/>
          <w:sz w:val="24"/>
          <w:szCs w:val="24"/>
        </w:rPr>
        <w:t>s</w:t>
      </w:r>
      <w:r w:rsidR="00C7217E" w:rsidRPr="00C85E8D">
        <w:rPr>
          <w:rFonts w:ascii="Cambria" w:eastAsia="Calibri" w:hAnsi="Cambria" w:cs="Times New Roman"/>
          <w:sz w:val="24"/>
          <w:szCs w:val="24"/>
        </w:rPr>
        <w:t xml:space="preserve">: </w:t>
      </w:r>
    </w:p>
    <w:p w14:paraId="17F12997" w14:textId="12242521" w:rsidR="00C7217E" w:rsidRPr="00C85E8D" w:rsidRDefault="00C7217E">
      <w:pPr>
        <w:spacing w:after="200" w:line="360" w:lineRule="auto"/>
        <w:contextualSpacing/>
        <w:jc w:val="both"/>
        <w:rPr>
          <w:rFonts w:ascii="Cambria" w:eastAsia="Times New Roman" w:hAnsi="Cambria" w:cs="Times New Roman"/>
          <w:sz w:val="24"/>
          <w:szCs w:val="24"/>
        </w:rPr>
      </w:pPr>
      <w:r w:rsidRPr="00C85E8D">
        <w:rPr>
          <w:rFonts w:ascii="Cambria" w:eastAsia="Times New Roman" w:hAnsi="Cambria" w:cs="Times New Roman"/>
          <w:b/>
          <w:bCs/>
          <w:sz w:val="24"/>
          <w:szCs w:val="24"/>
        </w:rPr>
        <w:t>Normative social influence:</w:t>
      </w:r>
      <w:r w:rsidRPr="00C85E8D">
        <w:rPr>
          <w:rFonts w:ascii="Cambria" w:eastAsia="Times New Roman" w:hAnsi="Cambria" w:cs="Times New Roman"/>
          <w:sz w:val="24"/>
          <w:szCs w:val="24"/>
        </w:rPr>
        <w:t xml:space="preserve"> </w:t>
      </w:r>
      <w:r w:rsidR="00FD00A1" w:rsidRPr="00C85E8D">
        <w:rPr>
          <w:rFonts w:ascii="Cambria" w:eastAsia="Times New Roman" w:hAnsi="Cambria" w:cs="Times New Roman"/>
          <w:sz w:val="24"/>
          <w:szCs w:val="24"/>
        </w:rPr>
        <w:t xml:space="preserve">It has been defined </w:t>
      </w:r>
      <w:r w:rsidRPr="00C85E8D">
        <w:rPr>
          <w:rFonts w:ascii="Cambria" w:eastAsia="Times New Roman" w:hAnsi="Cambria" w:cs="Times New Roman"/>
          <w:sz w:val="24"/>
          <w:szCs w:val="24"/>
        </w:rPr>
        <w:t>“as an influence to conform with the positive expectations of another” (Deutsch and Gerard 1955, p 629). This represents the social pressure to conform the expectations of colleagues, friends etc. The conformation of the norm occurs as means to receive a reward or avoid punishment (Lee et al 2011). This is the validation of one’s judgement and behaviour by the group members, who acts as a source of need satisfaction through prior experience. Confirmation of positive self–expectation results into positive feelings of self–esteem and self–approval and failing to conform results into anxiety and guilt (Deutsch and Gerard 1955). This compliance of behaviour is denoted as ‘subjective norm’ (Venkatesh and Devis 2000).</w:t>
      </w:r>
    </w:p>
    <w:p w14:paraId="19D5380F" w14:textId="61FFCDA9" w:rsidR="00C7217E" w:rsidRPr="00C85E8D" w:rsidRDefault="00C7217E">
      <w:pPr>
        <w:spacing w:after="200" w:line="360" w:lineRule="auto"/>
        <w:contextualSpacing/>
        <w:jc w:val="both"/>
        <w:rPr>
          <w:rFonts w:ascii="Cambria" w:eastAsia="Calibri" w:hAnsi="Cambria" w:cs="Times New Roman"/>
          <w:sz w:val="24"/>
          <w:szCs w:val="24"/>
        </w:rPr>
      </w:pPr>
      <w:r w:rsidRPr="00C85E8D">
        <w:rPr>
          <w:rFonts w:ascii="Cambria" w:eastAsia="Times New Roman" w:hAnsi="Cambria" w:cs="Times New Roman"/>
          <w:b/>
          <w:bCs/>
          <w:sz w:val="24"/>
          <w:szCs w:val="24"/>
        </w:rPr>
        <w:t>Informative social influence:</w:t>
      </w:r>
      <w:r w:rsidRPr="00C85E8D">
        <w:rPr>
          <w:rFonts w:ascii="Cambria" w:eastAsia="Times New Roman" w:hAnsi="Cambria" w:cs="Times New Roman"/>
          <w:sz w:val="24"/>
          <w:szCs w:val="24"/>
        </w:rPr>
        <w:t xml:space="preserve"> </w:t>
      </w:r>
      <w:r w:rsidR="00FD00A1" w:rsidRPr="00C85E8D">
        <w:rPr>
          <w:rFonts w:ascii="Cambria" w:eastAsia="Times New Roman" w:hAnsi="Cambria" w:cs="Times New Roman"/>
          <w:sz w:val="24"/>
          <w:szCs w:val="24"/>
        </w:rPr>
        <w:t xml:space="preserve">This refers to as </w:t>
      </w:r>
      <w:r w:rsidRPr="00C85E8D">
        <w:rPr>
          <w:rFonts w:ascii="Cambria" w:eastAsia="Times New Roman" w:hAnsi="Cambria" w:cs="Times New Roman"/>
          <w:sz w:val="24"/>
          <w:szCs w:val="24"/>
        </w:rPr>
        <w:t xml:space="preserve">“an influence to accept information obtained from another as evidence about reality” (Deutsch and Gerard 1955, p 629). This represents accepting information from others as a means to solve problem or to cope with some aspects of environment (Lee at al 2011). This acceptance of information </w:t>
      </w:r>
      <w:r w:rsidR="00166A10" w:rsidRPr="00C85E8D">
        <w:rPr>
          <w:rFonts w:ascii="Cambria" w:eastAsia="Times New Roman" w:hAnsi="Cambria" w:cs="Times New Roman"/>
          <w:sz w:val="24"/>
          <w:szCs w:val="24"/>
        </w:rPr>
        <w:t xml:space="preserve">has also been </w:t>
      </w:r>
      <w:r w:rsidRPr="00C85E8D">
        <w:rPr>
          <w:rFonts w:ascii="Cambria" w:eastAsia="Times New Roman" w:hAnsi="Cambria" w:cs="Times New Roman"/>
          <w:sz w:val="24"/>
          <w:szCs w:val="24"/>
        </w:rPr>
        <w:t>denoted as ‘internalisation’ (Venkatesh and Devis 2000). However</w:t>
      </w:r>
      <w:r w:rsidR="00853EE8" w:rsidRPr="00C85E8D">
        <w:rPr>
          <w:rFonts w:ascii="Cambria" w:eastAsia="Times New Roman" w:hAnsi="Cambria" w:cs="Times New Roman"/>
          <w:sz w:val="24"/>
          <w:szCs w:val="24"/>
        </w:rPr>
        <w:t>,</w:t>
      </w:r>
      <w:r w:rsidRPr="00C85E8D">
        <w:rPr>
          <w:rFonts w:ascii="Cambria" w:eastAsia="Times New Roman" w:hAnsi="Cambria" w:cs="Times New Roman"/>
          <w:sz w:val="24"/>
          <w:szCs w:val="24"/>
        </w:rPr>
        <w:t xml:space="preserve"> normative influence is not significant if the group members’ judgement is not a trustworthy source of information (Deutsch and Gerard 1955) and the receiver of the message re–evaluate their position in the group (Kaplan &amp; Miller 1987). </w:t>
      </w:r>
      <w:r w:rsidRPr="00C85E8D">
        <w:rPr>
          <w:rFonts w:ascii="Cambria" w:eastAsia="Calibri" w:hAnsi="Cambria" w:cs="Times New Roman"/>
          <w:sz w:val="24"/>
          <w:szCs w:val="24"/>
        </w:rPr>
        <w:t>Information disseminated through other users of the social media, has the capability to direct the consumers to purchase the product (Kim &amp; Johnson, 2016).</w:t>
      </w:r>
      <w:r w:rsidRPr="00C85E8D">
        <w:rPr>
          <w:rFonts w:ascii="Cambria" w:eastAsia="Times New Roman" w:hAnsi="Cambria" w:cs="Arial"/>
          <w:sz w:val="24"/>
          <w:szCs w:val="24"/>
          <w:shd w:val="clear" w:color="auto" w:fill="FFFFFF"/>
        </w:rPr>
        <w:t xml:space="preserve"> </w:t>
      </w:r>
      <w:r w:rsidRPr="00C85E8D">
        <w:rPr>
          <w:rFonts w:ascii="Cambria" w:eastAsia="Calibri" w:hAnsi="Cambria" w:cs="Times New Roman"/>
          <w:sz w:val="24"/>
          <w:szCs w:val="24"/>
        </w:rPr>
        <w:t xml:space="preserve"> </w:t>
      </w:r>
    </w:p>
    <w:p w14:paraId="647F3EB0" w14:textId="4537C639" w:rsidR="00411E10" w:rsidRPr="00C85E8D" w:rsidRDefault="00C32021" w:rsidP="00411E10">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 Social media has proved to be a tool to both provide information and inspire social bonding. </w:t>
      </w:r>
      <w:r w:rsidR="00411E10" w:rsidRPr="00C85E8D">
        <w:rPr>
          <w:rFonts w:ascii="Cambria" w:eastAsia="Calibri" w:hAnsi="Cambria" w:cs="Times New Roman"/>
          <w:sz w:val="24"/>
          <w:szCs w:val="24"/>
        </w:rPr>
        <w:t xml:space="preserve">“…… public media can influence human thinking, preferences and behaviour through two mechanisms: one prompts people to change directly through information, stimulation and guidance; the other uses the media to unite people into social networks and communities, further providing natural incentives and continued personalized guidance to create the anticipated desired change” (Lin and Hsu 2015 p, 328). </w:t>
      </w:r>
    </w:p>
    <w:p w14:paraId="4975A6F0" w14:textId="77777777" w:rsidR="00C32021" w:rsidRPr="00C85E8D" w:rsidRDefault="00C32021" w:rsidP="00424F6E">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People share contents online which are relevant to them or they perceived as worth sharing (Escobar et al 2014). 26% consumers reported that they talk brands, those took a stance on social issues to friends, family and online (Edelman 2018). In addition to that, the consumers do not prefer to patronise companies with non–sustainable practice (Davari and Strutton, 2014).  Depending on how people are engaging over a period of time with each other in a given situation, a pattern of people’ perception, thought and feelings is formed in an online community (Escobar et al 2014). As a means of social–media engagement, the actors share information and shape the knowledge and practice of that network, which in turn reformulate the standard and norms of the system or society (Li et al 2018). Thus, the information of social media might become the new norm (Bolton et al 2013). When consumers identify with new social situation which supports sustainable behaviour, they may also get motivated to purchase sustainable behaviour (Yang et al 2015), because society shapes the environmental belief, attitude and desires of consumers (Melville 2010). Social media can enhance and redefine the flow of information regarding environmental issues (Lyon and Montgomery 2014). The more consumers engage with each other, the more they are influenced by other consumers in social media which in turn change their behaviour (Bolton et al 2013; Venkatesh &amp; Brown, 2001). The phenomenon occurs, because consumers’ social–media–engagement may result into higher level of cognitive evaluation, which may influence their choice (Grimmer and Bingham 2013).</w:t>
      </w:r>
    </w:p>
    <w:p w14:paraId="5F9E49FD" w14:textId="41D5B853" w:rsidR="00424F6E" w:rsidRPr="00C85E8D" w:rsidRDefault="00424F6E" w:rsidP="00424F6E">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People’s behaviour may change towards sustainability because of the need to conform the social norms (Caprar and Neville 2012; Yang et al 2015), and attachment with the society (Minton et al 2012; Angus 2018). So, if users of social–media observe that their contacts are supporting sustainable–consumption behaviour, their attitude towards it should align with their peers (Leary et al 2014). The decision for green consumption is influenced by personal outcome expectation and social sanctions (Lin and Hsu 2015). Plus, probability of undertaking sustainable consumption behaviour increases with the perception of the consumers’ ability to influence other’s behaviour (Leary et al 2014). Personal variables and social norm play a significant role in adopting sustainable behaviour, especially, if the behaviour does not require much effort and resource (Balck et al 1985). For example, despite of public awareness, the predominant force of global plastic crisis– fast moving consumer </w:t>
      </w:r>
      <w:r w:rsidR="005010BB" w:rsidRPr="00C85E8D">
        <w:rPr>
          <w:rFonts w:ascii="Cambria" w:eastAsia="Calibri" w:hAnsi="Cambria" w:cs="Times New Roman"/>
          <w:sz w:val="24"/>
          <w:szCs w:val="24"/>
        </w:rPr>
        <w:t>g</w:t>
      </w:r>
      <w:r w:rsidRPr="00C85E8D">
        <w:rPr>
          <w:rFonts w:ascii="Cambria" w:eastAsia="Calibri" w:hAnsi="Cambria" w:cs="Times New Roman"/>
          <w:sz w:val="24"/>
          <w:szCs w:val="24"/>
        </w:rPr>
        <w:t>ood (FMCG) still prevails, because consumption pattern of the society is hard to change (</w:t>
      </w:r>
      <w:r w:rsidR="00FE1C8C" w:rsidRPr="00C85E8D">
        <w:rPr>
          <w:rFonts w:ascii="Cambria" w:eastAsia="Calibri" w:hAnsi="Cambria" w:cs="Times New Roman"/>
          <w:sz w:val="24"/>
          <w:szCs w:val="24"/>
        </w:rPr>
        <w:t>Greenpeace</w:t>
      </w:r>
      <w:r w:rsidRPr="00C85E8D">
        <w:rPr>
          <w:rFonts w:ascii="Cambria" w:eastAsia="Calibri" w:hAnsi="Cambria" w:cs="Times New Roman"/>
          <w:sz w:val="24"/>
          <w:szCs w:val="24"/>
        </w:rPr>
        <w:t xml:space="preserve"> international 2018). Problem is, since consumers do not think much to purchase these products, </w:t>
      </w:r>
      <w:r w:rsidR="001A7C3B"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A7C3B" w:rsidRPr="00C85E8D">
        <w:rPr>
          <w:rFonts w:ascii="Cambria" w:eastAsia="Calibri" w:hAnsi="Cambria" w:cs="Adobe Devanagari"/>
          <w:sz w:val="24"/>
          <w:szCs w:val="24"/>
        </w:rPr>
        <w:t xml:space="preserve"> message</w:t>
      </w:r>
      <w:r w:rsidR="001A7C3B" w:rsidRPr="00C85E8D">
        <w:rPr>
          <w:rFonts w:ascii="Cambria" w:eastAsia="Calibri" w:hAnsi="Cambria" w:cs="Times New Roman"/>
          <w:sz w:val="24"/>
          <w:szCs w:val="24"/>
        </w:rPr>
        <w:t xml:space="preserve"> </w:t>
      </w:r>
      <w:r w:rsidRPr="00C85E8D">
        <w:rPr>
          <w:rFonts w:ascii="Cambria" w:eastAsia="Calibri" w:hAnsi="Cambria" w:cs="Times New Roman"/>
          <w:sz w:val="24"/>
          <w:szCs w:val="24"/>
        </w:rPr>
        <w:t xml:space="preserve">or additional sustainable attributes to the products have proved to ineffective to inspire new consumers to adopt sustainable purchase behaviour (Thøgersen et al 2012). </w:t>
      </w:r>
      <w:r w:rsidR="00C32021" w:rsidRPr="00C85E8D">
        <w:rPr>
          <w:rFonts w:ascii="Cambria" w:eastAsia="Calibri" w:hAnsi="Cambria" w:cs="Times New Roman"/>
          <w:sz w:val="24"/>
          <w:szCs w:val="24"/>
        </w:rPr>
        <w:t>Nonetheless, social–media has the potentiality to influence the behavioural intention of its users (Fig 1</w:t>
      </w:r>
      <w:r w:rsidR="003953C6">
        <w:rPr>
          <w:rFonts w:ascii="Cambria" w:eastAsia="Calibri" w:hAnsi="Cambria" w:cs="Times New Roman"/>
          <w:sz w:val="24"/>
          <w:szCs w:val="24"/>
        </w:rPr>
        <w:t>4</w:t>
      </w:r>
      <w:r w:rsidR="00C32021" w:rsidRPr="00C85E8D">
        <w:rPr>
          <w:rFonts w:ascii="Cambria" w:eastAsia="Calibri" w:hAnsi="Cambria" w:cs="Times New Roman"/>
          <w:sz w:val="24"/>
          <w:szCs w:val="24"/>
        </w:rPr>
        <w:t>) (Muntinga et al., 2011; Hutter et al. 2013; Lyon and Montgomery 2013). Social–media has already changed the marketplace and society (Bolton et al 2013).</w:t>
      </w:r>
    </w:p>
    <w:p w14:paraId="2AD8B630" w14:textId="7285276B" w:rsidR="00411E10" w:rsidRPr="00C85E8D" w:rsidRDefault="00411E10" w:rsidP="00424F6E">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The goals of sustainable communication, in this case </w:t>
      </w:r>
      <w:r w:rsidR="00342C1A"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342C1A" w:rsidRPr="00C85E8D">
        <w:rPr>
          <w:rFonts w:ascii="Cambria" w:eastAsia="Calibri" w:hAnsi="Cambria" w:cs="Adobe Devanagari"/>
          <w:sz w:val="24"/>
          <w:szCs w:val="24"/>
        </w:rPr>
        <w:t xml:space="preserve"> message</w:t>
      </w:r>
      <w:r w:rsidRPr="00C85E8D">
        <w:rPr>
          <w:rFonts w:ascii="Cambria" w:eastAsia="Calibri" w:hAnsi="Cambria" w:cs="Times New Roman"/>
          <w:sz w:val="24"/>
          <w:szCs w:val="24"/>
        </w:rPr>
        <w:t xml:space="preserve">, are mainly focused on changing consumption practice and moving society from hyper consumption to a sustainable one (Kilbourne 2004). Sustainability behaviour changes depending on both normative and informational influences. Consumers will be motivated to purchase sustainable products if they have proper information about those. However, if they do not have sufficient information, other people’s actions may motivate consumers to adopt sustainable practice (White and Simpson 2013). Group role, prestige, status and validity are influential factors while choosing a product (Vaughn 1980). Adopting sustainable behaviour is susceptible to social settings (Perera et al 2018; Davies and Gutsche 2016; Phipps and Brace–Govan 2011). </w:t>
      </w:r>
    </w:p>
    <w:p w14:paraId="26504979" w14:textId="23F52C93" w:rsidR="00C7217E" w:rsidRPr="00530906" w:rsidRDefault="005010BB">
      <w:pPr>
        <w:spacing w:line="360" w:lineRule="auto"/>
        <w:jc w:val="both"/>
        <w:rPr>
          <w:rFonts w:ascii="Cambria" w:eastAsiaTheme="minorEastAsia" w:hAnsi="Cambria"/>
          <w:noProof/>
          <w:sz w:val="24"/>
          <w:szCs w:val="24"/>
        </w:rPr>
      </w:pPr>
      <w:r w:rsidRPr="00C85E8D">
        <w:rPr>
          <w:rFonts w:ascii="Cambria" w:eastAsia="Calibri" w:hAnsi="Cambria" w:cs="Times New Roman"/>
          <w:sz w:val="24"/>
          <w:szCs w:val="24"/>
        </w:rPr>
        <w:t xml:space="preserve">Intention of adopting sustainable behaviour is influenced on how much that behaviour is similar to other people (Cho et al 2013). Societies like USA, consumers achieve sense </w:t>
      </w:r>
      <w:r w:rsidR="00E3037C" w:rsidRPr="00C85E8D">
        <w:rPr>
          <w:rFonts w:ascii="Cambria" w:eastAsia="Calibri" w:hAnsi="Cambria" w:cs="Times New Roman"/>
          <w:sz w:val="24"/>
          <w:szCs w:val="24"/>
        </w:rPr>
        <w:t>of enhanced</w:t>
      </w:r>
      <w:r w:rsidRPr="00C85E8D">
        <w:rPr>
          <w:rFonts w:ascii="Cambria" w:eastAsia="Calibri" w:hAnsi="Cambria" w:cs="Times New Roman"/>
          <w:sz w:val="24"/>
          <w:szCs w:val="24"/>
        </w:rPr>
        <w:t xml:space="preserve"> self–image through materialism rather than environmentalism (Kilbourne and Pickett 2008). On the other hand, it is also true that, in order to preserve their self–image people do not prefer to be confronted with negative environmental consequences of their behaviour (Kilbourne and Pickett 2008). </w:t>
      </w:r>
      <w:r w:rsidR="00C7217E" w:rsidRPr="00C85E8D">
        <w:rPr>
          <w:rFonts w:ascii="Cambria" w:eastAsia="Calibri" w:hAnsi="Cambria" w:cs="Times New Roman"/>
          <w:sz w:val="24"/>
          <w:szCs w:val="24"/>
        </w:rPr>
        <w:t>Though consumers chose sustainable product to be socially fit, but it is also true that they chose it for self</w:t>
      </w:r>
      <w:r w:rsidR="004179CD" w:rsidRPr="00C85E8D">
        <w:rPr>
          <w:rFonts w:ascii="Cambria" w:eastAsia="Calibri" w:hAnsi="Cambria" w:cs="Times New Roman"/>
          <w:sz w:val="24"/>
          <w:szCs w:val="24"/>
        </w:rPr>
        <w:t>–</w:t>
      </w:r>
      <w:r w:rsidR="00C7217E" w:rsidRPr="00C85E8D">
        <w:rPr>
          <w:rFonts w:ascii="Cambria" w:eastAsia="Calibri" w:hAnsi="Cambria" w:cs="Times New Roman"/>
          <w:sz w:val="24"/>
          <w:szCs w:val="24"/>
        </w:rPr>
        <w:t>enhancement. Since sustainable product has desirable social meaning, by associating with it</w:t>
      </w:r>
      <w:r w:rsidR="00393465" w:rsidRPr="00C85E8D">
        <w:rPr>
          <w:rFonts w:ascii="Cambria" w:eastAsia="Calibri" w:hAnsi="Cambria" w:cs="Times New Roman"/>
          <w:sz w:val="24"/>
          <w:szCs w:val="24"/>
        </w:rPr>
        <w:t>,</w:t>
      </w:r>
      <w:r w:rsidR="00C7217E" w:rsidRPr="00C85E8D">
        <w:rPr>
          <w:rFonts w:ascii="Cambria" w:eastAsia="Calibri" w:hAnsi="Cambria" w:cs="Times New Roman"/>
          <w:sz w:val="24"/>
          <w:szCs w:val="24"/>
        </w:rPr>
        <w:t xml:space="preserve"> consumers experience self</w:t>
      </w:r>
      <w:r w:rsidR="004179CD" w:rsidRPr="00C85E8D">
        <w:rPr>
          <w:rFonts w:ascii="Cambria" w:eastAsia="Calibri" w:hAnsi="Cambria" w:cs="Times New Roman"/>
          <w:sz w:val="24"/>
          <w:szCs w:val="24"/>
        </w:rPr>
        <w:t>–</w:t>
      </w:r>
      <w:r w:rsidR="00C7217E" w:rsidRPr="00C85E8D">
        <w:rPr>
          <w:rFonts w:ascii="Cambria" w:eastAsia="Calibri" w:hAnsi="Cambria" w:cs="Times New Roman"/>
          <w:sz w:val="24"/>
          <w:szCs w:val="24"/>
        </w:rPr>
        <w:t xml:space="preserve">enhancement. This brings favourable </w:t>
      </w:r>
      <w:r w:rsidR="00C7217E" w:rsidRPr="00530906">
        <w:rPr>
          <w:rFonts w:ascii="Cambria" w:eastAsia="Calibri" w:hAnsi="Cambria" w:cs="Times New Roman"/>
          <w:sz w:val="24"/>
          <w:szCs w:val="24"/>
        </w:rPr>
        <w:t xml:space="preserve">reaction from other members of the society and maximise social reward </w:t>
      </w:r>
      <w:r w:rsidR="00C7217E" w:rsidRPr="00530906">
        <w:rPr>
          <w:rFonts w:ascii="Cambria" w:eastAsiaTheme="minorEastAsia" w:hAnsi="Cambria"/>
          <w:sz w:val="24"/>
          <w:szCs w:val="24"/>
        </w:rPr>
        <w:t>(Aagerup and Nilsson, 2016).</w:t>
      </w:r>
      <w:r w:rsidR="00C7217E" w:rsidRPr="00530906">
        <w:rPr>
          <w:rFonts w:ascii="Cambria" w:eastAsia="Calibri" w:hAnsi="Cambria" w:cs="Times New Roman"/>
          <w:sz w:val="24"/>
          <w:szCs w:val="24"/>
        </w:rPr>
        <w:t xml:space="preserve"> </w:t>
      </w:r>
    </w:p>
    <w:p w14:paraId="54E1CAF7" w14:textId="53CF35D8" w:rsidR="005010BB" w:rsidRPr="00530906" w:rsidRDefault="005010BB">
      <w:pPr>
        <w:spacing w:line="360" w:lineRule="auto"/>
        <w:jc w:val="both"/>
        <w:rPr>
          <w:rFonts w:ascii="Cambria" w:eastAsiaTheme="minorEastAsia" w:hAnsi="Cambria"/>
          <w:noProof/>
          <w:sz w:val="24"/>
          <w:szCs w:val="24"/>
        </w:rPr>
      </w:pPr>
      <w:r w:rsidRPr="00530906">
        <w:rPr>
          <w:noProof/>
          <w:color w:val="538135" w:themeColor="accent6" w:themeShade="BF"/>
        </w:rPr>
        <mc:AlternateContent>
          <mc:Choice Requires="wpg">
            <w:drawing>
              <wp:anchor distT="0" distB="0" distL="114300" distR="114300" simplePos="0" relativeHeight="251657288" behindDoc="0" locked="0" layoutInCell="1" allowOverlap="1" wp14:anchorId="5689520A" wp14:editId="6DB76DAC">
                <wp:simplePos x="0" y="0"/>
                <wp:positionH relativeFrom="column">
                  <wp:posOffset>-19050</wp:posOffset>
                </wp:positionH>
                <wp:positionV relativeFrom="paragraph">
                  <wp:posOffset>209550</wp:posOffset>
                </wp:positionV>
                <wp:extent cx="5276215" cy="5238750"/>
                <wp:effectExtent l="0" t="0" r="635" b="0"/>
                <wp:wrapTopAndBottom/>
                <wp:docPr id="775" name="Group 775"/>
                <wp:cNvGraphicFramePr/>
                <a:graphic xmlns:a="http://schemas.openxmlformats.org/drawingml/2006/main">
                  <a:graphicData uri="http://schemas.microsoft.com/office/word/2010/wordprocessingGroup">
                    <wpg:wgp>
                      <wpg:cNvGrpSpPr/>
                      <wpg:grpSpPr>
                        <a:xfrm>
                          <a:off x="0" y="0"/>
                          <a:ext cx="5276215" cy="5238750"/>
                          <a:chOff x="0" y="-161925"/>
                          <a:chExt cx="5276215" cy="5238750"/>
                        </a:xfrm>
                      </wpg:grpSpPr>
                      <wpg:grpSp>
                        <wpg:cNvPr id="776" name="Group 776"/>
                        <wpg:cNvGrpSpPr/>
                        <wpg:grpSpPr>
                          <a:xfrm>
                            <a:off x="0" y="-161925"/>
                            <a:ext cx="5276215" cy="5238750"/>
                            <a:chOff x="-1026160" y="-161925"/>
                            <a:chExt cx="5278120" cy="5238750"/>
                          </a:xfrm>
                        </wpg:grpSpPr>
                        <wpg:grpSp>
                          <wpg:cNvPr id="777" name="Group 777"/>
                          <wpg:cNvGrpSpPr>
                            <a:grpSpLocks/>
                          </wpg:cNvGrpSpPr>
                          <wpg:grpSpPr bwMode="auto">
                            <a:xfrm>
                              <a:off x="-1026160" y="-161925"/>
                              <a:ext cx="5278120" cy="5238750"/>
                              <a:chOff x="925" y="4050"/>
                              <a:chExt cx="8312" cy="8250"/>
                            </a:xfrm>
                          </wpg:grpSpPr>
                          <wps:wsp>
                            <wps:cNvPr id="778" name="Straight Connector 2"/>
                            <wps:cNvCnPr>
                              <a:cxnSpLocks noChangeShapeType="1"/>
                            </wps:cNvCnPr>
                            <wps:spPr bwMode="auto">
                              <a:xfrm>
                                <a:off x="6381" y="10065"/>
                                <a:ext cx="435"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79" name="Text Box 529"/>
                            <wps:cNvSpPr txBox="1">
                              <a:spLocks noChangeArrowheads="1"/>
                            </wps:cNvSpPr>
                            <wps:spPr bwMode="auto">
                              <a:xfrm>
                                <a:off x="2601" y="9090"/>
                                <a:ext cx="2130" cy="405"/>
                              </a:xfrm>
                              <a:prstGeom prst="rect">
                                <a:avLst/>
                              </a:prstGeom>
                              <a:solidFill>
                                <a:srgbClr val="F7CAAC"/>
                              </a:solidFill>
                              <a:ln w="6350">
                                <a:solidFill>
                                  <a:srgbClr val="000000"/>
                                </a:solidFill>
                                <a:miter lim="800000"/>
                                <a:headEnd/>
                                <a:tailEnd/>
                              </a:ln>
                            </wps:spPr>
                            <wps:txbx>
                              <w:txbxContent>
                                <w:p w14:paraId="0AD36F3C" w14:textId="77777777" w:rsidR="00424F6E" w:rsidRDefault="00424F6E" w:rsidP="00424F6E">
                                  <w:r>
                                    <w:t xml:space="preserve">Normative influence </w:t>
                                  </w:r>
                                </w:p>
                              </w:txbxContent>
                            </wps:txbx>
                            <wps:bodyPr rot="0" vert="horz" wrap="square" lIns="91440" tIns="45720" rIns="91440" bIns="45720" anchor="t" anchorCtr="0" upright="1">
                              <a:noAutofit/>
                            </wps:bodyPr>
                          </wps:wsp>
                          <wps:wsp>
                            <wps:cNvPr id="780" name="Text Box 531"/>
                            <wps:cNvSpPr txBox="1">
                              <a:spLocks noChangeArrowheads="1"/>
                            </wps:cNvSpPr>
                            <wps:spPr bwMode="auto">
                              <a:xfrm>
                                <a:off x="4821" y="9060"/>
                                <a:ext cx="2460" cy="405"/>
                              </a:xfrm>
                              <a:prstGeom prst="rect">
                                <a:avLst/>
                              </a:prstGeom>
                              <a:solidFill>
                                <a:srgbClr val="F7CAAC"/>
                              </a:solidFill>
                              <a:ln w="6350">
                                <a:solidFill>
                                  <a:srgbClr val="000000"/>
                                </a:solidFill>
                                <a:miter lim="800000"/>
                                <a:headEnd/>
                                <a:tailEnd/>
                              </a:ln>
                            </wps:spPr>
                            <wps:txbx>
                              <w:txbxContent>
                                <w:p w14:paraId="6C5EF97B" w14:textId="77777777" w:rsidR="00424F6E" w:rsidRDefault="00424F6E" w:rsidP="00424F6E">
                                  <w:r>
                                    <w:t xml:space="preserve">Informational influence </w:t>
                                  </w:r>
                                </w:p>
                              </w:txbxContent>
                            </wps:txbx>
                            <wps:bodyPr rot="0" vert="horz" wrap="square" lIns="91440" tIns="45720" rIns="91440" bIns="45720" anchor="t" anchorCtr="0" upright="1">
                              <a:noAutofit/>
                            </wps:bodyPr>
                          </wps:wsp>
                          <wps:wsp>
                            <wps:cNvPr id="781" name="Straight Arrow Connector 532"/>
                            <wps:cNvCnPr>
                              <a:cxnSpLocks noChangeShapeType="1"/>
                            </wps:cNvCnPr>
                            <wps:spPr bwMode="auto">
                              <a:xfrm flipH="1">
                                <a:off x="3756" y="8850"/>
                                <a:ext cx="450" cy="21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82" name="Straight Arrow Connector 533"/>
                            <wps:cNvCnPr>
                              <a:cxnSpLocks noChangeShapeType="1"/>
                            </wps:cNvCnPr>
                            <wps:spPr bwMode="auto">
                              <a:xfrm>
                                <a:off x="5391" y="8835"/>
                                <a:ext cx="570" cy="196"/>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83" name="Straight Arrow Connector 534"/>
                            <wps:cNvCnPr>
                              <a:cxnSpLocks noChangeShapeType="1"/>
                            </wps:cNvCnPr>
                            <wps:spPr bwMode="auto">
                              <a:xfrm>
                                <a:off x="3786" y="9510"/>
                                <a:ext cx="540" cy="196"/>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84" name="Straight Arrow Connector 535"/>
                            <wps:cNvCnPr>
                              <a:cxnSpLocks noChangeShapeType="1"/>
                            </wps:cNvCnPr>
                            <wps:spPr bwMode="auto">
                              <a:xfrm flipH="1">
                                <a:off x="5781" y="9465"/>
                                <a:ext cx="360" cy="241"/>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85" name="Straight Connector 481"/>
                            <wps:cNvCnPr>
                              <a:cxnSpLocks noChangeShapeType="1"/>
                            </wps:cNvCnPr>
                            <wps:spPr bwMode="auto">
                              <a:xfrm flipH="1">
                                <a:off x="6216" y="7650"/>
                                <a:ext cx="495"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86" name="Arc 527"/>
                            <wps:cNvSpPr>
                              <a:spLocks/>
                            </wps:cNvSpPr>
                            <wps:spPr bwMode="auto">
                              <a:xfrm>
                                <a:off x="5796" y="7650"/>
                                <a:ext cx="1785" cy="2430"/>
                              </a:xfrm>
                              <a:custGeom>
                                <a:avLst/>
                                <a:gdLst>
                                  <a:gd name="T0" fmla="*/ 566738 w 1133476"/>
                                  <a:gd name="T1" fmla="*/ 0 h 1543050"/>
                                  <a:gd name="T2" fmla="*/ 1133139 w 1133476"/>
                                  <a:gd name="T3" fmla="*/ 744920 h 1543050"/>
                                  <a:gd name="T4" fmla="*/ 638788 w 1133476"/>
                                  <a:gd name="T5" fmla="*/ 1536789 h 1543050"/>
                                  <a:gd name="T6" fmla="*/ 0 60000 65536"/>
                                  <a:gd name="T7" fmla="*/ 0 60000 65536"/>
                                  <a:gd name="T8" fmla="*/ 0 60000 65536"/>
                                </a:gdLst>
                                <a:ahLst/>
                                <a:cxnLst>
                                  <a:cxn ang="T6">
                                    <a:pos x="T0" y="T1"/>
                                  </a:cxn>
                                  <a:cxn ang="T7">
                                    <a:pos x="T2" y="T3"/>
                                  </a:cxn>
                                  <a:cxn ang="T8">
                                    <a:pos x="T4" y="T5"/>
                                  </a:cxn>
                                </a:cxnLst>
                                <a:rect l="0" t="0" r="r" b="b"/>
                                <a:pathLst>
                                  <a:path w="1133476" h="1543050" stroke="0">
                                    <a:moveTo>
                                      <a:pt x="566738" y="0"/>
                                    </a:moveTo>
                                    <a:cubicBezTo>
                                      <a:pt x="872132" y="0"/>
                                      <a:pt x="1122608" y="329421"/>
                                      <a:pt x="1133139" y="744920"/>
                                    </a:cubicBezTo>
                                    <a:cubicBezTo>
                                      <a:pt x="1143229" y="1143030"/>
                                      <a:pt x="929027" y="1486147"/>
                                      <a:pt x="638788" y="1536789"/>
                                    </a:cubicBezTo>
                                    <a:lnTo>
                                      <a:pt x="566738" y="771525"/>
                                    </a:lnTo>
                                    <a:lnTo>
                                      <a:pt x="566738" y="0"/>
                                    </a:lnTo>
                                    <a:close/>
                                  </a:path>
                                  <a:path w="1133476" h="1543050" fill="none">
                                    <a:moveTo>
                                      <a:pt x="566738" y="0"/>
                                    </a:moveTo>
                                    <a:cubicBezTo>
                                      <a:pt x="872132" y="0"/>
                                      <a:pt x="1122608" y="329421"/>
                                      <a:pt x="1133139" y="744920"/>
                                    </a:cubicBezTo>
                                    <a:cubicBezTo>
                                      <a:pt x="1143229" y="1143030"/>
                                      <a:pt x="929027" y="1486147"/>
                                      <a:pt x="638788" y="1536789"/>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7" name="Straight Arrow Connector 528"/>
                            <wps:cNvCnPr>
                              <a:cxnSpLocks noChangeShapeType="1"/>
                            </wps:cNvCnPr>
                            <wps:spPr bwMode="auto">
                              <a:xfrm flipH="1">
                                <a:off x="6276" y="10065"/>
                                <a:ext cx="120" cy="15"/>
                              </a:xfrm>
                              <a:prstGeom prst="straightConnector1">
                                <a:avLst/>
                              </a:prstGeom>
                              <a:noFill/>
                              <a:ln w="63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88" name="Text Box 525"/>
                            <wps:cNvSpPr txBox="1">
                              <a:spLocks noChangeArrowheads="1"/>
                            </wps:cNvSpPr>
                            <wps:spPr bwMode="auto">
                              <a:xfrm>
                                <a:off x="4776" y="7425"/>
                                <a:ext cx="1425" cy="390"/>
                              </a:xfrm>
                              <a:prstGeom prst="rect">
                                <a:avLst/>
                              </a:prstGeom>
                              <a:solidFill>
                                <a:srgbClr val="DEEAF6"/>
                              </a:solidFill>
                              <a:ln w="6350">
                                <a:solidFill>
                                  <a:srgbClr val="000000"/>
                                </a:solidFill>
                                <a:miter lim="800000"/>
                                <a:headEnd/>
                                <a:tailEnd/>
                              </a:ln>
                            </wps:spPr>
                            <wps:txbx>
                              <w:txbxContent>
                                <w:p w14:paraId="1295D5BA" w14:textId="77777777" w:rsidR="00424F6E" w:rsidRDefault="00424F6E" w:rsidP="00424F6E">
                                  <w:r>
                                    <w:t>Ad attitude</w:t>
                                  </w:r>
                                </w:p>
                              </w:txbxContent>
                            </wps:txbx>
                            <wps:bodyPr rot="0" vert="horz" wrap="square" lIns="91440" tIns="45720" rIns="91440" bIns="45720" anchor="t" anchorCtr="0" upright="1">
                              <a:noAutofit/>
                            </wps:bodyPr>
                          </wps:wsp>
                          <wps:wsp>
                            <wps:cNvPr id="789" name="Straight Arrow Connector 526"/>
                            <wps:cNvCnPr>
                              <a:cxnSpLocks noChangeShapeType="1"/>
                            </wps:cNvCnPr>
                            <wps:spPr bwMode="auto">
                              <a:xfrm>
                                <a:off x="5466" y="7815"/>
                                <a:ext cx="0" cy="272"/>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90" name="Straight Connector 522"/>
                            <wps:cNvCnPr>
                              <a:cxnSpLocks noChangeShapeType="1"/>
                            </wps:cNvCnPr>
                            <wps:spPr bwMode="auto">
                              <a:xfrm flipH="1">
                                <a:off x="2556" y="4680"/>
                                <a:ext cx="1169"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91" name="Straight Connector 523"/>
                            <wps:cNvCnPr>
                              <a:cxnSpLocks noChangeShapeType="1"/>
                            </wps:cNvCnPr>
                            <wps:spPr bwMode="auto">
                              <a:xfrm>
                                <a:off x="2541" y="4680"/>
                                <a:ext cx="0" cy="3795"/>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92" name="Straight Arrow Connector 524"/>
                            <wps:cNvCnPr>
                              <a:cxnSpLocks noChangeShapeType="1"/>
                            </wps:cNvCnPr>
                            <wps:spPr bwMode="auto">
                              <a:xfrm>
                                <a:off x="2556" y="8460"/>
                                <a:ext cx="1551"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93" name="Straight Connector 521"/>
                            <wps:cNvCnPr>
                              <a:cxnSpLocks noChangeShapeType="1"/>
                            </wps:cNvCnPr>
                            <wps:spPr bwMode="auto">
                              <a:xfrm>
                                <a:off x="3981" y="6405"/>
                                <a:ext cx="1050"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794" name="Arc 519"/>
                            <wps:cNvSpPr>
                              <a:spLocks/>
                            </wps:cNvSpPr>
                            <wps:spPr bwMode="auto">
                              <a:xfrm rot="10800000">
                                <a:off x="3261" y="6405"/>
                                <a:ext cx="1664" cy="1905"/>
                              </a:xfrm>
                              <a:custGeom>
                                <a:avLst/>
                                <a:gdLst>
                                  <a:gd name="T0" fmla="*/ 528320 w 1056640"/>
                                  <a:gd name="T1" fmla="*/ 0 h 1209675"/>
                                  <a:gd name="T2" fmla="*/ 1056582 w 1056640"/>
                                  <a:gd name="T3" fmla="*/ 595909 h 1209675"/>
                                  <a:gd name="T4" fmla="*/ 548758 w 1056640"/>
                                  <a:gd name="T5" fmla="*/ 1209224 h 1209675"/>
                                  <a:gd name="T6" fmla="*/ 0 60000 65536"/>
                                  <a:gd name="T7" fmla="*/ 0 60000 65536"/>
                                  <a:gd name="T8" fmla="*/ 0 60000 65536"/>
                                </a:gdLst>
                                <a:ahLst/>
                                <a:cxnLst>
                                  <a:cxn ang="T6">
                                    <a:pos x="T0" y="T1"/>
                                  </a:cxn>
                                  <a:cxn ang="T7">
                                    <a:pos x="T2" y="T3"/>
                                  </a:cxn>
                                  <a:cxn ang="T8">
                                    <a:pos x="T4" y="T5"/>
                                  </a:cxn>
                                </a:cxnLst>
                                <a:rect l="0" t="0" r="r" b="b"/>
                                <a:pathLst>
                                  <a:path w="1056640" h="1209675" stroke="0">
                                    <a:moveTo>
                                      <a:pt x="528320" y="0"/>
                                    </a:moveTo>
                                    <a:cubicBezTo>
                                      <a:pt x="817062" y="0"/>
                                      <a:pt x="1052320" y="265384"/>
                                      <a:pt x="1056582" y="595909"/>
                                    </a:cubicBezTo>
                                    <a:cubicBezTo>
                                      <a:pt x="1060817" y="924277"/>
                                      <a:pt x="835401" y="1196519"/>
                                      <a:pt x="548758" y="1209224"/>
                                    </a:cubicBezTo>
                                    <a:lnTo>
                                      <a:pt x="528320" y="604838"/>
                                    </a:lnTo>
                                    <a:lnTo>
                                      <a:pt x="528320" y="0"/>
                                    </a:lnTo>
                                    <a:close/>
                                  </a:path>
                                  <a:path w="1056640" h="1209675" fill="none">
                                    <a:moveTo>
                                      <a:pt x="528320" y="0"/>
                                    </a:moveTo>
                                    <a:cubicBezTo>
                                      <a:pt x="817062" y="0"/>
                                      <a:pt x="1052320" y="265384"/>
                                      <a:pt x="1056582" y="595909"/>
                                    </a:cubicBezTo>
                                    <a:cubicBezTo>
                                      <a:pt x="1060817" y="924277"/>
                                      <a:pt x="835401" y="1196519"/>
                                      <a:pt x="548758" y="1209224"/>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5" name="Straight Arrow Connector 507"/>
                            <wps:cNvCnPr>
                              <a:cxnSpLocks noChangeShapeType="1"/>
                            </wps:cNvCnPr>
                            <wps:spPr bwMode="auto">
                              <a:xfrm flipH="1">
                                <a:off x="5781" y="5730"/>
                                <a:ext cx="585" cy="43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796" name="Text Box 509"/>
                            <wps:cNvSpPr txBox="1">
                              <a:spLocks noChangeArrowheads="1"/>
                            </wps:cNvSpPr>
                            <wps:spPr bwMode="auto">
                              <a:xfrm>
                                <a:off x="3531" y="6855"/>
                                <a:ext cx="1230" cy="390"/>
                              </a:xfrm>
                              <a:prstGeom prst="rect">
                                <a:avLst/>
                              </a:prstGeom>
                              <a:solidFill>
                                <a:srgbClr val="FFE599"/>
                              </a:solidFill>
                              <a:ln w="6350">
                                <a:solidFill>
                                  <a:srgbClr val="000000"/>
                                </a:solidFill>
                                <a:miter lim="800000"/>
                                <a:headEnd/>
                                <a:tailEnd/>
                              </a:ln>
                            </wps:spPr>
                            <wps:txbx>
                              <w:txbxContent>
                                <w:p w14:paraId="193505BB" w14:textId="77777777" w:rsidR="00424F6E" w:rsidRDefault="00424F6E" w:rsidP="00424F6E">
                                  <w:r>
                                    <w:t>Pleasure</w:t>
                                  </w:r>
                                </w:p>
                              </w:txbxContent>
                            </wps:txbx>
                            <wps:bodyPr rot="0" vert="horz" wrap="square" lIns="91440" tIns="45720" rIns="91440" bIns="45720" anchor="t" anchorCtr="0" upright="1">
                              <a:noAutofit/>
                            </wps:bodyPr>
                          </wps:wsp>
                          <wps:wsp>
                            <wps:cNvPr id="797" name="Text Box 510"/>
                            <wps:cNvSpPr txBox="1">
                              <a:spLocks noChangeArrowheads="1"/>
                            </wps:cNvSpPr>
                            <wps:spPr bwMode="auto">
                              <a:xfrm>
                                <a:off x="4956" y="6855"/>
                                <a:ext cx="1020" cy="389"/>
                              </a:xfrm>
                              <a:prstGeom prst="rect">
                                <a:avLst/>
                              </a:prstGeom>
                              <a:solidFill>
                                <a:srgbClr val="FFE599"/>
                              </a:solidFill>
                              <a:ln w="6350">
                                <a:solidFill>
                                  <a:srgbClr val="000000"/>
                                </a:solidFill>
                                <a:miter lim="800000"/>
                                <a:headEnd/>
                                <a:tailEnd/>
                              </a:ln>
                            </wps:spPr>
                            <wps:txbx>
                              <w:txbxContent>
                                <w:p w14:paraId="2229A383" w14:textId="77777777" w:rsidR="00424F6E" w:rsidRDefault="00424F6E" w:rsidP="00424F6E">
                                  <w:r>
                                    <w:t>Arousal</w:t>
                                  </w:r>
                                </w:p>
                              </w:txbxContent>
                            </wps:txbx>
                            <wps:bodyPr rot="0" vert="horz" wrap="square" lIns="91440" tIns="45720" rIns="91440" bIns="45720" anchor="t" anchorCtr="0" upright="1">
                              <a:noAutofit/>
                            </wps:bodyPr>
                          </wps:wsp>
                          <wps:wsp>
                            <wps:cNvPr id="798" name="Text Box 511"/>
                            <wps:cNvSpPr txBox="1">
                              <a:spLocks noChangeArrowheads="1"/>
                            </wps:cNvSpPr>
                            <wps:spPr bwMode="auto">
                              <a:xfrm>
                                <a:off x="6141" y="6855"/>
                                <a:ext cx="1350" cy="389"/>
                              </a:xfrm>
                              <a:prstGeom prst="rect">
                                <a:avLst/>
                              </a:prstGeom>
                              <a:solidFill>
                                <a:srgbClr val="FFE599"/>
                              </a:solidFill>
                              <a:ln w="6350">
                                <a:solidFill>
                                  <a:srgbClr val="000000"/>
                                </a:solidFill>
                                <a:miter lim="800000"/>
                                <a:headEnd/>
                                <a:tailEnd/>
                              </a:ln>
                            </wps:spPr>
                            <wps:txbx>
                              <w:txbxContent>
                                <w:p w14:paraId="3272A47E" w14:textId="77777777" w:rsidR="00424F6E" w:rsidRDefault="00424F6E" w:rsidP="00424F6E">
                                  <w:r>
                                    <w:t xml:space="preserve">Dominance </w:t>
                                  </w:r>
                                </w:p>
                              </w:txbxContent>
                            </wps:txbx>
                            <wps:bodyPr rot="0" vert="horz" wrap="square" lIns="91440" tIns="45720" rIns="91440" bIns="45720" anchor="t" anchorCtr="0" upright="1">
                              <a:noAutofit/>
                            </wps:bodyPr>
                          </wps:wsp>
                          <wps:wsp>
                            <wps:cNvPr id="799" name="Straight Arrow Connector 512"/>
                            <wps:cNvCnPr>
                              <a:cxnSpLocks noChangeShapeType="1"/>
                            </wps:cNvCnPr>
                            <wps:spPr bwMode="auto">
                              <a:xfrm flipH="1">
                                <a:off x="4521" y="6600"/>
                                <a:ext cx="495" cy="24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0" name="Straight Arrow Connector 513"/>
                            <wps:cNvCnPr>
                              <a:cxnSpLocks noChangeShapeType="1"/>
                            </wps:cNvCnPr>
                            <wps:spPr bwMode="auto">
                              <a:xfrm>
                                <a:off x="5841" y="6555"/>
                                <a:ext cx="585" cy="31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1" name="Straight Arrow Connector 514"/>
                            <wps:cNvCnPr>
                              <a:cxnSpLocks noChangeShapeType="1"/>
                            </wps:cNvCnPr>
                            <wps:spPr bwMode="auto">
                              <a:xfrm>
                                <a:off x="5466" y="6585"/>
                                <a:ext cx="0" cy="28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2" name="Straight Arrow Connector 515"/>
                            <wps:cNvCnPr>
                              <a:cxnSpLocks noChangeShapeType="1"/>
                            </wps:cNvCnPr>
                            <wps:spPr bwMode="auto">
                              <a:xfrm>
                                <a:off x="4311" y="7260"/>
                                <a:ext cx="480" cy="28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3" name="Straight Arrow Connector 516"/>
                            <wps:cNvCnPr>
                              <a:cxnSpLocks noChangeShapeType="1"/>
                            </wps:cNvCnPr>
                            <wps:spPr bwMode="auto">
                              <a:xfrm>
                                <a:off x="5496" y="7245"/>
                                <a:ext cx="0" cy="183"/>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4" name="Straight Arrow Connector 517"/>
                            <wps:cNvCnPr>
                              <a:cxnSpLocks noChangeShapeType="1"/>
                            </wps:cNvCnPr>
                            <wps:spPr bwMode="auto">
                              <a:xfrm flipH="1">
                                <a:off x="6200" y="7275"/>
                                <a:ext cx="511" cy="28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5" name="Text Box 489"/>
                            <wps:cNvSpPr txBox="1">
                              <a:spLocks noChangeArrowheads="1"/>
                            </wps:cNvSpPr>
                            <wps:spPr bwMode="auto">
                              <a:xfrm>
                                <a:off x="5031" y="6165"/>
                                <a:ext cx="795" cy="420"/>
                              </a:xfrm>
                              <a:prstGeom prst="rect">
                                <a:avLst/>
                              </a:prstGeom>
                              <a:solidFill>
                                <a:srgbClr val="B4C6E7"/>
                              </a:solidFill>
                              <a:ln w="6350">
                                <a:solidFill>
                                  <a:srgbClr val="000000"/>
                                </a:solidFill>
                                <a:miter lim="800000"/>
                                <a:headEnd/>
                                <a:tailEnd/>
                              </a:ln>
                            </wps:spPr>
                            <wps:txbx>
                              <w:txbxContent>
                                <w:p w14:paraId="731D4FAF" w14:textId="77777777" w:rsidR="00424F6E" w:rsidRDefault="00424F6E" w:rsidP="00424F6E">
                                  <w:r>
                                    <w:t>SCV</w:t>
                                  </w:r>
                                </w:p>
                              </w:txbxContent>
                            </wps:txbx>
                            <wps:bodyPr rot="0" vert="horz" wrap="square" lIns="91440" tIns="45720" rIns="91440" bIns="45720" anchor="t" anchorCtr="0" upright="1">
                              <a:noAutofit/>
                            </wps:bodyPr>
                          </wps:wsp>
                          <wps:wsp>
                            <wps:cNvPr id="806" name="Text Box 505"/>
                            <wps:cNvSpPr txBox="1">
                              <a:spLocks noChangeArrowheads="1"/>
                            </wps:cNvSpPr>
                            <wps:spPr bwMode="auto">
                              <a:xfrm>
                                <a:off x="5901" y="5070"/>
                                <a:ext cx="1470" cy="660"/>
                              </a:xfrm>
                              <a:prstGeom prst="rect">
                                <a:avLst/>
                              </a:prstGeom>
                              <a:solidFill>
                                <a:srgbClr val="D9B6A3"/>
                              </a:solidFill>
                              <a:ln w="6350">
                                <a:solidFill>
                                  <a:srgbClr val="000000"/>
                                </a:solidFill>
                                <a:miter lim="800000"/>
                                <a:headEnd/>
                                <a:tailEnd/>
                              </a:ln>
                            </wps:spPr>
                            <wps:txbx>
                              <w:txbxContent>
                                <w:p w14:paraId="4686EB94" w14:textId="77777777" w:rsidR="00424F6E" w:rsidRDefault="00424F6E" w:rsidP="00424F6E">
                                  <w:r>
                                    <w:t>Involvement with the ad</w:t>
                                  </w:r>
                                </w:p>
                              </w:txbxContent>
                            </wps:txbx>
                            <wps:bodyPr rot="0" vert="horz" wrap="square" lIns="91440" tIns="45720" rIns="91440" bIns="45720" anchor="t" anchorCtr="0" upright="1">
                              <a:noAutofit/>
                            </wps:bodyPr>
                          </wps:wsp>
                          <wps:wsp>
                            <wps:cNvPr id="807" name="Text Box 502"/>
                            <wps:cNvSpPr txBox="1">
                              <a:spLocks noChangeArrowheads="1"/>
                            </wps:cNvSpPr>
                            <wps:spPr bwMode="auto">
                              <a:xfrm>
                                <a:off x="2856" y="5414"/>
                                <a:ext cx="1878" cy="709"/>
                              </a:xfrm>
                              <a:prstGeom prst="rect">
                                <a:avLst/>
                              </a:prstGeom>
                              <a:solidFill>
                                <a:srgbClr val="C5C4A0"/>
                              </a:solidFill>
                              <a:ln w="6350">
                                <a:solidFill>
                                  <a:srgbClr val="000000"/>
                                </a:solidFill>
                                <a:miter lim="800000"/>
                                <a:headEnd/>
                                <a:tailEnd/>
                              </a:ln>
                            </wps:spPr>
                            <wps:txbx>
                              <w:txbxContent>
                                <w:p w14:paraId="4108621C" w14:textId="77777777" w:rsidR="00424F6E" w:rsidRDefault="00424F6E" w:rsidP="00424F6E">
                                  <w:r>
                                    <w:t xml:space="preserve">Source expertise High </w:t>
                                  </w:r>
                                  <w:r>
                                    <w:tab/>
                                    <w:t xml:space="preserve">    Low </w:t>
                                  </w:r>
                                </w:p>
                              </w:txbxContent>
                            </wps:txbx>
                            <wps:bodyPr rot="0" vert="horz" wrap="square" lIns="91440" tIns="45720" rIns="91440" bIns="45720" anchor="t" anchorCtr="0" upright="1">
                              <a:noAutofit/>
                            </wps:bodyPr>
                          </wps:wsp>
                          <wps:wsp>
                            <wps:cNvPr id="808" name="Straight Arrow Connector 504"/>
                            <wps:cNvCnPr>
                              <a:cxnSpLocks noChangeShapeType="1"/>
                            </wps:cNvCnPr>
                            <wps:spPr bwMode="auto">
                              <a:xfrm>
                                <a:off x="4731" y="5774"/>
                                <a:ext cx="739"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09" name="Straight Arrow Connector 500"/>
                            <wps:cNvCnPr>
                              <a:cxnSpLocks noChangeShapeType="1"/>
                            </wps:cNvCnPr>
                            <wps:spPr bwMode="auto">
                              <a:xfrm>
                                <a:off x="5466" y="4995"/>
                                <a:ext cx="5" cy="1187"/>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810" name="Text Box 499"/>
                            <wps:cNvSpPr txBox="1">
                              <a:spLocks noChangeArrowheads="1"/>
                            </wps:cNvSpPr>
                            <wps:spPr bwMode="auto">
                              <a:xfrm>
                                <a:off x="925" y="11624"/>
                                <a:ext cx="8312" cy="6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A8A1BD" w14:textId="60BA80A3" w:rsidR="00424F6E" w:rsidRDefault="00424F6E" w:rsidP="00424F6E">
                                  <w:r>
                                    <w:t>Fig 1</w:t>
                                  </w:r>
                                  <w:r w:rsidR="00A26F6C">
                                    <w:t>4</w:t>
                                  </w:r>
                                  <w:r>
                                    <w:t>: Role of social influence on behavioural intention of adopting sustainable behaviour</w:t>
                                  </w:r>
                                </w:p>
                              </w:txbxContent>
                            </wps:txbx>
                            <wps:bodyPr rot="0" vert="horz" wrap="square" lIns="91440" tIns="45720" rIns="91440" bIns="45720" anchor="t" anchorCtr="0" upright="1">
                              <a:noAutofit/>
                            </wps:bodyPr>
                          </wps:wsp>
                          <wps:wsp>
                            <wps:cNvPr id="811" name="Text Box 495"/>
                            <wps:cNvSpPr txBox="1">
                              <a:spLocks noChangeArrowheads="1"/>
                            </wps:cNvSpPr>
                            <wps:spPr bwMode="auto">
                              <a:xfrm>
                                <a:off x="3741" y="4050"/>
                                <a:ext cx="2946" cy="942"/>
                              </a:xfrm>
                              <a:prstGeom prst="rect">
                                <a:avLst/>
                              </a:prstGeom>
                              <a:solidFill>
                                <a:srgbClr val="A9CBB7"/>
                              </a:solidFill>
                              <a:ln w="6350">
                                <a:solidFill>
                                  <a:srgbClr val="000000"/>
                                </a:solidFill>
                                <a:miter lim="800000"/>
                                <a:headEnd/>
                                <a:tailEnd/>
                              </a:ln>
                            </wps:spPr>
                            <wps:txbx>
                              <w:txbxContent>
                                <w:p w14:paraId="3970F75E" w14:textId="4EE1AA4B" w:rsidR="008D1E80" w:rsidRDefault="008D1E80" w:rsidP="008D1E80">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3B5E8889" w14:textId="77777777" w:rsidR="00424F6E" w:rsidRDefault="00424F6E" w:rsidP="00424F6E">
                                  <w:pPr>
                                    <w:pStyle w:val="NoSpacing"/>
                                  </w:pPr>
                                </w:p>
                              </w:txbxContent>
                            </wps:txbx>
                            <wps:bodyPr rot="0" vert="horz" wrap="square" lIns="91440" tIns="45720" rIns="91440" bIns="45720" anchor="t" anchorCtr="0" upright="1">
                              <a:noAutofit/>
                            </wps:bodyPr>
                          </wps:wsp>
                          <wps:wsp>
                            <wps:cNvPr id="812" name="Text Box 496"/>
                            <wps:cNvSpPr txBox="1">
                              <a:spLocks noChangeArrowheads="1"/>
                            </wps:cNvSpPr>
                            <wps:spPr bwMode="auto">
                              <a:xfrm>
                                <a:off x="4108" y="8087"/>
                                <a:ext cx="2648" cy="732"/>
                              </a:xfrm>
                              <a:prstGeom prst="rect">
                                <a:avLst/>
                              </a:prstGeom>
                              <a:solidFill>
                                <a:srgbClr val="C7ABFF"/>
                              </a:solidFill>
                              <a:ln w="6350">
                                <a:solidFill>
                                  <a:srgbClr val="000000"/>
                                </a:solidFill>
                                <a:miter lim="800000"/>
                                <a:headEnd/>
                                <a:tailEnd/>
                              </a:ln>
                            </wps:spPr>
                            <wps:txbx>
                              <w:txbxContent>
                                <w:p w14:paraId="34A8D5F9" w14:textId="77777777" w:rsidR="00424F6E" w:rsidRDefault="00424F6E" w:rsidP="00424F6E">
                                  <w:r>
                                    <w:t>Social–media engagement with the ad</w:t>
                                  </w:r>
                                </w:p>
                              </w:txbxContent>
                            </wps:txbx>
                            <wps:bodyPr rot="0" vert="horz" wrap="square" lIns="91440" tIns="45720" rIns="91440" bIns="45720" anchor="t" anchorCtr="0" upright="1">
                              <a:noAutofit/>
                            </wps:bodyPr>
                          </wps:wsp>
                          <wps:wsp>
                            <wps:cNvPr id="813" name="Text Box 497"/>
                            <wps:cNvSpPr txBox="1">
                              <a:spLocks noChangeArrowheads="1"/>
                            </wps:cNvSpPr>
                            <wps:spPr bwMode="auto">
                              <a:xfrm>
                                <a:off x="3756" y="9703"/>
                                <a:ext cx="2535" cy="693"/>
                              </a:xfrm>
                              <a:prstGeom prst="rect">
                                <a:avLst/>
                              </a:prstGeom>
                              <a:solidFill>
                                <a:srgbClr val="C5E0B3"/>
                              </a:solidFill>
                              <a:ln w="6350">
                                <a:solidFill>
                                  <a:srgbClr val="000000"/>
                                </a:solidFill>
                                <a:miter lim="800000"/>
                                <a:headEnd/>
                                <a:tailEnd/>
                              </a:ln>
                            </wps:spPr>
                            <wps:txbx>
                              <w:txbxContent>
                                <w:p w14:paraId="4C258201" w14:textId="77777777" w:rsidR="00424F6E" w:rsidRDefault="00424F6E" w:rsidP="00424F6E">
                                  <w:r>
                                    <w:t>Purchase intention of the advertised product</w:t>
                                  </w:r>
                                </w:p>
                                <w:p w14:paraId="55F94451" w14:textId="77777777" w:rsidR="00424F6E" w:rsidRDefault="00424F6E" w:rsidP="00424F6E"/>
                              </w:txbxContent>
                            </wps:txbx>
                            <wps:bodyPr rot="0" vert="horz" wrap="square" lIns="91440" tIns="45720" rIns="91440" bIns="45720" anchor="t" anchorCtr="0" upright="1">
                              <a:noAutofit/>
                            </wps:bodyPr>
                          </wps:wsp>
                          <wps:wsp>
                            <wps:cNvPr id="814" name="AutoShape 199"/>
                            <wps:cNvCnPr>
                              <a:cxnSpLocks noChangeShapeType="1"/>
                            </wps:cNvCnPr>
                            <wps:spPr bwMode="auto">
                              <a:xfrm>
                                <a:off x="3981" y="8295"/>
                                <a:ext cx="127" cy="0"/>
                              </a:xfrm>
                              <a:prstGeom prst="straightConnector1">
                                <a:avLst/>
                              </a:prstGeom>
                              <a:noFill/>
                              <a:ln w="28575">
                                <a:solidFill>
                                  <a:sysClr val="window" lastClr="FFFFFF">
                                    <a:lumMod val="50000"/>
                                    <a:lumOff val="0"/>
                                  </a:sysClr>
                                </a:solidFill>
                                <a:round/>
                                <a:headEnd/>
                                <a:tailEnd type="triangle" w="med" len="med"/>
                              </a:ln>
                              <a:extLst>
                                <a:ext uri="{909E8E84-426E-40DD-AFC4-6F175D3DCCD1}">
                                  <a14:hiddenFill xmlns:a14="http://schemas.microsoft.com/office/drawing/2010/main">
                                    <a:noFill/>
                                  </a14:hiddenFill>
                                </a:ext>
                              </a:extLst>
                            </wps:spPr>
                            <wps:bodyPr/>
                          </wps:wsp>
                        </wpg:grpSp>
                        <wps:wsp>
                          <wps:cNvPr id="815" name="Straight Arrow Connector 815"/>
                          <wps:cNvCnPr>
                            <a:cxnSpLocks noChangeShapeType="1"/>
                          </wps:cNvCnPr>
                          <wps:spPr bwMode="auto">
                            <a:xfrm flipH="1">
                              <a:off x="-6768" y="935048"/>
                              <a:ext cx="190500" cy="0"/>
                            </a:xfrm>
                            <a:prstGeom prst="straightConnector1">
                              <a:avLst/>
                            </a:prstGeom>
                            <a:noFill/>
                            <a:ln w="19050">
                              <a:solidFill>
                                <a:sysClr val="window" lastClr="FFFFFF">
                                  <a:lumMod val="50000"/>
                                  <a:lumOff val="0"/>
                                </a:sysClr>
                              </a:solidFill>
                              <a:round/>
                              <a:headEnd/>
                              <a:tailEnd type="triangle" w="med" len="med"/>
                            </a:ln>
                            <a:extLst>
                              <a:ext uri="{909E8E84-426E-40DD-AFC4-6F175D3DCCD1}">
                                <a14:hiddenFill xmlns:a14="http://schemas.microsoft.com/office/drawing/2010/main">
                                  <a:noFill/>
                                </a14:hiddenFill>
                              </a:ext>
                            </a:extLst>
                          </wps:spPr>
                          <wps:bodyPr/>
                        </wps:wsp>
                      </wpg:grpSp>
                      <wpg:grpSp>
                        <wpg:cNvPr id="816" name="Group 816"/>
                        <wpg:cNvGrpSpPr/>
                        <wpg:grpSpPr>
                          <a:xfrm>
                            <a:off x="1884783" y="3862873"/>
                            <a:ext cx="1591310" cy="688975"/>
                            <a:chOff x="0" y="0"/>
                            <a:chExt cx="1591310" cy="688975"/>
                          </a:xfrm>
                        </wpg:grpSpPr>
                        <wps:wsp>
                          <wps:cNvPr id="817" name="Rectangle 25"/>
                          <wps:cNvSpPr>
                            <a:spLocks noChangeArrowheads="1"/>
                          </wps:cNvSpPr>
                          <wps:spPr bwMode="auto">
                            <a:xfrm>
                              <a:off x="0" y="190500"/>
                              <a:ext cx="1591310" cy="498475"/>
                            </a:xfrm>
                            <a:prstGeom prst="rect">
                              <a:avLst/>
                            </a:prstGeom>
                            <a:solidFill>
                              <a:srgbClr val="A5A5A5"/>
                            </a:solidFill>
                            <a:ln w="3175">
                              <a:solidFill>
                                <a:srgbClr val="000000"/>
                              </a:solidFill>
                              <a:miter lim="800000"/>
                              <a:headEnd/>
                              <a:tailEnd/>
                            </a:ln>
                          </wps:spPr>
                          <wps:txbx>
                            <w:txbxContent>
                              <w:p w14:paraId="56BEBD1A" w14:textId="77777777" w:rsidR="00424F6E" w:rsidRDefault="00424F6E" w:rsidP="00424F6E">
                                <w:r>
                                  <w:t>Sustainable behaviour intention</w:t>
                                </w:r>
                              </w:p>
                              <w:p w14:paraId="6E697AF0" w14:textId="77777777" w:rsidR="00424F6E" w:rsidRDefault="00424F6E" w:rsidP="00424F6E"/>
                            </w:txbxContent>
                          </wps:txbx>
                          <wps:bodyPr rot="0" vert="horz" wrap="square" lIns="91440" tIns="45720" rIns="91440" bIns="45720" anchor="t" anchorCtr="0" upright="1">
                            <a:noAutofit/>
                          </wps:bodyPr>
                        </wps:wsp>
                        <wps:wsp>
                          <wps:cNvPr id="818" name="AutoShape 13"/>
                          <wps:cNvCnPr>
                            <a:cxnSpLocks noChangeArrowheads="1"/>
                          </wps:cNvCnPr>
                          <wps:spPr bwMode="auto">
                            <a:xfrm>
                              <a:off x="742950" y="0"/>
                              <a:ext cx="0" cy="197485"/>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5689520A" id="Group 775" o:spid="_x0000_s1250" style="position:absolute;left:0;text-align:left;margin-left:-1.5pt;margin-top:16.5pt;width:415.45pt;height:412.5pt;z-index:251657288;mso-height-relative:margin" coordorigin=",-1619" coordsize="5276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">
                <v:group id="Group 776" o:spid="_x0000_s1251" style="position:absolute;top:-1619;width:52762;height:52387" coordorigin="-10261,-1619" coordsize="52781,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Group 777" o:spid="_x0000_s1252" style="position:absolute;left:-10261;top:-1619;width:52780;height:52387" coordorigin="925,4050" coordsize="8312,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line id="Straight Connector 2" o:spid="_x0000_s1253" style="position:absolute;visibility:visible;mso-wrap-style:square" from="6381,10065" to="6816,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" strokecolor="gray" strokeweight="1.5pt">
                      <v:stroke joinstyle="miter"/>
                    </v:line>
                    <v:shape id="Text Box 529" o:spid="_x0000_s1254" type="#_x0000_t202" style="position:absolute;left:2601;top:9090;width:21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" fillcolor="#f7caac" strokeweight=".5pt">
                      <v:textbox>
                        <w:txbxContent>
                          <w:p w14:paraId="0AD36F3C" w14:textId="77777777" w:rsidR="00424F6E" w:rsidRDefault="00424F6E" w:rsidP="00424F6E">
                            <w:r>
                              <w:t xml:space="preserve">Normative influence </w:t>
                            </w:r>
                          </w:p>
                        </w:txbxContent>
                      </v:textbox>
                    </v:shape>
                    <v:shape id="Text Box 531" o:spid="_x0000_s1255" type="#_x0000_t202" style="position:absolute;left:4821;top:9060;width:24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" fillcolor="#f7caac" strokeweight=".5pt">
                      <v:textbox>
                        <w:txbxContent>
                          <w:p w14:paraId="6C5EF97B" w14:textId="77777777" w:rsidR="00424F6E" w:rsidRDefault="00424F6E" w:rsidP="00424F6E">
                            <w:r>
                              <w:t xml:space="preserve">Informational influence </w:t>
                            </w:r>
                          </w:p>
                        </w:txbxContent>
                      </v:textbox>
                    </v:shape>
                    <v:shape id="Straight Arrow Connector 532" o:spid="_x0000_s1256" type="#_x0000_t32" style="position:absolute;left:3756;top:8850;width:450;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" strokecolor="gray" strokeweight="1.5pt">
                      <v:stroke endarrow="block" joinstyle="miter"/>
                    </v:shape>
                    <v:shape id="Straight Arrow Connector 533" o:spid="_x0000_s1257" type="#_x0000_t32" style="position:absolute;left:5391;top:8835;width:570;height: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" strokecolor="gray" strokeweight="1.5pt">
                      <v:stroke endarrow="block" joinstyle="miter"/>
                    </v:shape>
                    <v:shape id="Straight Arrow Connector 534" o:spid="_x0000_s1258" type="#_x0000_t32" style="position:absolute;left:3786;top:9510;width:540;height: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" strokecolor="gray" strokeweight="1.5pt">
                      <v:stroke endarrow="block" joinstyle="miter"/>
                    </v:shape>
                    <v:shape id="Straight Arrow Connector 535" o:spid="_x0000_s1259" type="#_x0000_t32" style="position:absolute;left:5781;top:9465;width:360;height: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" strokecolor="gray" strokeweight="1.5pt">
                      <v:stroke endarrow="block" joinstyle="miter"/>
                    </v:shape>
                    <v:line id="Straight Connector 481" o:spid="_x0000_s1260" style="position:absolute;flip:x;visibility:visible;mso-wrap-style:square" from="6216,7650" to="6711,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" strokecolor="gray" strokeweight="1.5pt">
                      <v:stroke joinstyle="miter"/>
                    </v:line>
                    <v:shape id="Arc 527" o:spid="_x0000_s1261" style="position:absolute;left:5796;top:7650;width:1785;height:2430;visibility:visible;mso-wrap-style:square;v-text-anchor:middle" coordsize="1133476,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" path="m566738,nsc872132,,1122608,329421,1133139,744920v10090,398110,-204112,741227,-494351,791869l566738,771525,566738,xem566738,nfc872132,,1122608,329421,1133139,744920v10090,398110,-204112,741227,-494351,791869e" filled="f" strokecolor="gray" strokeweight="1.5pt">
                      <v:stroke joinstyle="miter"/>
                      <v:path arrowok="t" o:connecttype="custom" o:connectlocs="893,0;1784,1173;1006,2420" o:connectangles="0,0,0"/>
                    </v:shape>
                    <v:shape id="Straight Arrow Connector 528" o:spid="_x0000_s1262" type="#_x0000_t32" style="position:absolute;left:6276;top:10065;width:120;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" strokecolor="gray" strokeweight=".5pt">
                      <v:stroke endarrow="block" joinstyle="miter"/>
                    </v:shape>
                    <v:shape id="Text Box 525" o:spid="_x0000_s1263" type="#_x0000_t202" style="position:absolute;left:4776;top:7425;width:14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" fillcolor="#deeaf6" strokeweight=".5pt">
                      <v:textbox>
                        <w:txbxContent>
                          <w:p w14:paraId="1295D5BA" w14:textId="77777777" w:rsidR="00424F6E" w:rsidRDefault="00424F6E" w:rsidP="00424F6E">
                            <w:r>
                              <w:t>Ad attitude</w:t>
                            </w:r>
                          </w:p>
                        </w:txbxContent>
                      </v:textbox>
                    </v:shape>
                    <v:shape id="Straight Arrow Connector 526" o:spid="_x0000_s1264" type="#_x0000_t32" style="position:absolute;left:5466;top:7815;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" strokecolor="gray" strokeweight="1.5pt">
                      <v:stroke endarrow="block" joinstyle="miter"/>
                    </v:shape>
                    <v:line id="Straight Connector 522" o:spid="_x0000_s1265" style="position:absolute;flip:x;visibility:visible;mso-wrap-style:square" from="2556,4680" to="3725,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" strokecolor="gray" strokeweight="1.5pt">
                      <v:stroke joinstyle="miter"/>
                    </v:line>
                    <v:line id="Straight Connector 523" o:spid="_x0000_s1266" style="position:absolute;visibility:visible;mso-wrap-style:square" from="2541,4680" to="2541,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" strokecolor="gray" strokeweight="1.5pt">
                      <v:stroke joinstyle="miter"/>
                    </v:line>
                    <v:shape id="Straight Arrow Connector 524" o:spid="_x0000_s1267" type="#_x0000_t32" style="position:absolute;left:2556;top:8460;width:1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" strokecolor="gray" strokeweight="1.5pt">
                      <v:stroke endarrow="block" joinstyle="miter"/>
                    </v:shape>
                    <v:line id="Straight Connector 521" o:spid="_x0000_s1268" style="position:absolute;visibility:visible;mso-wrap-style:square" from="3981,6405" to="5031,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" strokecolor="gray" strokeweight="1.5pt">
                      <v:stroke joinstyle="miter"/>
                    </v:line>
                    <v:shape id="Arc 519" o:spid="_x0000_s1269" style="position:absolute;left:3261;top:6405;width:1664;height:1905;rotation:180;visibility:visible;mso-wrap-style:square;v-text-anchor:middle" coordsize="105664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" path="m528320,nsc817062,,1052320,265384,1056582,595909v4235,328368,-221181,600610,-507824,613315l528320,604838,528320,xem528320,nfc817062,,1052320,265384,1056582,595909v4235,328368,-221181,600610,-507824,613315e" filled="f" strokecolor="gray" strokeweight="1.5pt">
                      <v:stroke joinstyle="miter"/>
                      <v:path arrowok="t" o:connecttype="custom" o:connectlocs="832,0;1664,938;864,1904" o:connectangles="0,0,0"/>
                    </v:shape>
                    <v:shape id="Straight Arrow Connector 507" o:spid="_x0000_s1270" type="#_x0000_t32" style="position:absolute;left:5781;top:5730;width:585;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" strokecolor="gray" strokeweight="1.5pt">
                      <v:stroke endarrow="block" joinstyle="miter"/>
                    </v:shape>
                    <v:shape id="Text Box 509" o:spid="_x0000_s1271" type="#_x0000_t202" style="position:absolute;left:3531;top:6855;width:12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" fillcolor="#ffe599" strokeweight=".5pt">
                      <v:textbox>
                        <w:txbxContent>
                          <w:p w14:paraId="193505BB" w14:textId="77777777" w:rsidR="00424F6E" w:rsidRDefault="00424F6E" w:rsidP="00424F6E">
                            <w:r>
                              <w:t>Pleasure</w:t>
                            </w:r>
                          </w:p>
                        </w:txbxContent>
                      </v:textbox>
                    </v:shape>
                    <v:shape id="Text Box 510" o:spid="_x0000_s1272" type="#_x0000_t202" style="position:absolute;left:4956;top:6855;width:102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" fillcolor="#ffe599" strokeweight=".5pt">
                      <v:textbox>
                        <w:txbxContent>
                          <w:p w14:paraId="2229A383" w14:textId="77777777" w:rsidR="00424F6E" w:rsidRDefault="00424F6E" w:rsidP="00424F6E">
                            <w:r>
                              <w:t>Arousal</w:t>
                            </w:r>
                          </w:p>
                        </w:txbxContent>
                      </v:textbox>
                    </v:shape>
                    <v:shape id="Text Box 511" o:spid="_x0000_s1273" type="#_x0000_t202" style="position:absolute;left:6141;top:6855;width:135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" fillcolor="#ffe599" strokeweight=".5pt">
                      <v:textbox>
                        <w:txbxContent>
                          <w:p w14:paraId="3272A47E" w14:textId="77777777" w:rsidR="00424F6E" w:rsidRDefault="00424F6E" w:rsidP="00424F6E">
                            <w:r>
                              <w:t xml:space="preserve">Dominance </w:t>
                            </w:r>
                          </w:p>
                        </w:txbxContent>
                      </v:textbox>
                    </v:shape>
                    <v:shape id="Straight Arrow Connector 512" o:spid="_x0000_s1274" type="#_x0000_t32" style="position:absolute;left:4521;top:6600;width:49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" strokecolor="gray" strokeweight="1.5pt">
                      <v:stroke endarrow="block" joinstyle="miter"/>
                    </v:shape>
                    <v:shape id="Straight Arrow Connector 513" o:spid="_x0000_s1275" type="#_x0000_t32" style="position:absolute;left:5841;top:6555;width:585;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" strokecolor="gray" strokeweight="1.5pt">
                      <v:stroke endarrow="block" joinstyle="miter"/>
                    </v:shape>
                    <v:shape id="Straight Arrow Connector 514" o:spid="_x0000_s1276" type="#_x0000_t32" style="position:absolute;left:5466;top:658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" strokecolor="gray" strokeweight="1.5pt">
                      <v:stroke endarrow="block" joinstyle="miter"/>
                    </v:shape>
                    <v:shape id="Straight Arrow Connector 515" o:spid="_x0000_s1277" type="#_x0000_t32" style="position:absolute;left:4311;top:7260;width:48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" strokecolor="gray" strokeweight="1.5pt">
                      <v:stroke endarrow="block" joinstyle="miter"/>
                    </v:shape>
                    <v:shape id="Straight Arrow Connector 516" o:spid="_x0000_s1278" type="#_x0000_t32" style="position:absolute;left:5496;top:7245;width:0;height: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" strokecolor="gray" strokeweight="1.5pt">
                      <v:stroke endarrow="block" joinstyle="miter"/>
                    </v:shape>
                    <v:shape id="Straight Arrow Connector 517" o:spid="_x0000_s1279" type="#_x0000_t32" style="position:absolute;left:6200;top:7275;width:511;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" strokecolor="gray" strokeweight="1.5pt">
                      <v:stroke endarrow="block" joinstyle="miter"/>
                    </v:shape>
                    <v:shape id="Text Box 489" o:spid="_x0000_s1280" type="#_x0000_t202" style="position:absolute;left:5031;top:6165;width:7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" fillcolor="#b4c6e7" strokeweight=".5pt">
                      <v:textbox>
                        <w:txbxContent>
                          <w:p w14:paraId="731D4FAF" w14:textId="77777777" w:rsidR="00424F6E" w:rsidRDefault="00424F6E" w:rsidP="00424F6E">
                            <w:r>
                              <w:t>SCV</w:t>
                            </w:r>
                          </w:p>
                        </w:txbxContent>
                      </v:textbox>
                    </v:shape>
                    <v:shape id="Text Box 505" o:spid="_x0000_s1281" type="#_x0000_t202" style="position:absolute;left:5901;top:5070;width:14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" fillcolor="#d9b6a3" strokeweight=".5pt">
                      <v:textbox>
                        <w:txbxContent>
                          <w:p w14:paraId="4686EB94" w14:textId="77777777" w:rsidR="00424F6E" w:rsidRDefault="00424F6E" w:rsidP="00424F6E">
                            <w:r>
                              <w:t>Involvement with the ad</w:t>
                            </w:r>
                          </w:p>
                        </w:txbxContent>
                      </v:textbox>
                    </v:shape>
                    <v:shape id="Text Box 502" o:spid="_x0000_s1282" type="#_x0000_t202" style="position:absolute;left:2856;top:5414;width:187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" fillcolor="#c5c4a0" strokeweight=".5pt">
                      <v:textbox>
                        <w:txbxContent>
                          <w:p w14:paraId="4108621C" w14:textId="77777777" w:rsidR="00424F6E" w:rsidRDefault="00424F6E" w:rsidP="00424F6E">
                            <w:r>
                              <w:t xml:space="preserve">Source expertise High </w:t>
                            </w:r>
                            <w:r>
                              <w:tab/>
                              <w:t xml:space="preserve">    Low </w:t>
                            </w:r>
                          </w:p>
                        </w:txbxContent>
                      </v:textbox>
                    </v:shape>
                    <v:shape id="Straight Arrow Connector 504" o:spid="_x0000_s1283" type="#_x0000_t32" style="position:absolute;left:4731;top:5774;width: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" strokecolor="gray" strokeweight="1.5pt">
                      <v:stroke endarrow="block" joinstyle="miter"/>
                    </v:shape>
                    <v:shape id="Straight Arrow Connector 500" o:spid="_x0000_s1284" type="#_x0000_t32" style="position:absolute;left:5466;top:4995;width:5;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" strokecolor="gray" strokeweight="1.5pt">
                      <v:stroke endarrow="block" joinstyle="miter"/>
                    </v:shape>
                    <v:shape id="Text Box 499" o:spid="_x0000_s1285" type="#_x0000_t202" style="position:absolute;left:925;top:11624;width:8312;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" stroked="f" strokeweight=".5pt">
                      <v:textbox>
                        <w:txbxContent>
                          <w:p w14:paraId="79A8A1BD" w14:textId="60BA80A3" w:rsidR="00424F6E" w:rsidRDefault="00424F6E" w:rsidP="00424F6E">
                            <w:r>
                              <w:t>Fig 1</w:t>
                            </w:r>
                            <w:r w:rsidR="00A26F6C">
                              <w:t>4</w:t>
                            </w:r>
                            <w:r>
                              <w:t>: Role of social influence on behavioural intention of adopting sustainable behaviour</w:t>
                            </w:r>
                          </w:p>
                        </w:txbxContent>
                      </v:textbox>
                    </v:shape>
                    <v:shape id="Text Box 495" o:spid="_x0000_s1286" type="#_x0000_t202" style="position:absolute;left:3741;top:4050;width:2946;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" fillcolor="#a9cbb7" strokeweight=".5pt">
                      <v:textbox>
                        <w:txbxContent>
                          <w:p w14:paraId="3970F75E" w14:textId="4EE1AA4B" w:rsidR="008D1E80" w:rsidRDefault="008D1E80" w:rsidP="008D1E80">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3B5E8889" w14:textId="77777777" w:rsidR="00424F6E" w:rsidRDefault="00424F6E" w:rsidP="00424F6E">
                            <w:pPr>
                              <w:pStyle w:val="NoSpacing"/>
                            </w:pPr>
                          </w:p>
                        </w:txbxContent>
                      </v:textbox>
                    </v:shape>
                    <v:shape id="Text Box 496" o:spid="_x0000_s1287" type="#_x0000_t202" style="position:absolute;left:4108;top:8087;width:264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" fillcolor="#c7abff" strokeweight=".5pt">
                      <v:textbox>
                        <w:txbxContent>
                          <w:p w14:paraId="34A8D5F9" w14:textId="77777777" w:rsidR="00424F6E" w:rsidRDefault="00424F6E" w:rsidP="00424F6E">
                            <w:r>
                              <w:t>Social–media engagement with the ad</w:t>
                            </w:r>
                          </w:p>
                        </w:txbxContent>
                      </v:textbox>
                    </v:shape>
                    <v:shape id="Text Box 497" o:spid="_x0000_s1288" type="#_x0000_t202" style="position:absolute;left:3756;top:9703;width:253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" fillcolor="#c5e0b3" strokeweight=".5pt">
                      <v:textbox>
                        <w:txbxContent>
                          <w:p w14:paraId="4C258201" w14:textId="77777777" w:rsidR="00424F6E" w:rsidRDefault="00424F6E" w:rsidP="00424F6E">
                            <w:r>
                              <w:t>Purchase intention of the advertised product</w:t>
                            </w:r>
                          </w:p>
                          <w:p w14:paraId="55F94451" w14:textId="77777777" w:rsidR="00424F6E" w:rsidRDefault="00424F6E" w:rsidP="00424F6E"/>
                        </w:txbxContent>
                      </v:textbox>
                    </v:shape>
                    <v:shape id="AutoShape 199" o:spid="_x0000_s1289" type="#_x0000_t32" style="position:absolute;left:3981;top:8295;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" strokecolor="#7f7f7f" strokeweight="2.25pt">
                      <v:stroke endarrow="block"/>
                    </v:shape>
                  </v:group>
                  <v:shape id="Straight Arrow Connector 815" o:spid="_x0000_s1290" type="#_x0000_t32" style="position:absolute;left:-67;top:9350;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" strokecolor="#7f7f7f" strokeweight="1.5pt">
                    <v:stroke endarrow="block"/>
                  </v:shape>
                </v:group>
                <v:group id="Group 816" o:spid="_x0000_s1291" style="position:absolute;left:18847;top:38628;width:15913;height:6890" coordsize="1591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ect id="Rectangle 25" o:spid="_x0000_s1292" style="position:absolute;top:1905;width:1591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" fillcolor="#a5a5a5" strokeweight=".25pt">
                    <v:textbox>
                      <w:txbxContent>
                        <w:p w14:paraId="56BEBD1A" w14:textId="77777777" w:rsidR="00424F6E" w:rsidRDefault="00424F6E" w:rsidP="00424F6E">
                          <w:r>
                            <w:t>Sustainable behaviour intention</w:t>
                          </w:r>
                        </w:p>
                        <w:p w14:paraId="6E697AF0" w14:textId="77777777" w:rsidR="00424F6E" w:rsidRDefault="00424F6E" w:rsidP="00424F6E"/>
                      </w:txbxContent>
                    </v:textbox>
                  </v:rect>
                  <v:shape id="AutoShape 13" o:spid="_x0000_s1293" type="#_x0000_t32" style="position:absolute;left:7429;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" strokecolor="#7f7f7f" strokeweight="2.25pt">
                    <v:stroke endarrow="block"/>
                    <v:path arrowok="f"/>
                    <o:lock v:ext="edit" shapetype="f"/>
                  </v:shape>
                </v:group>
                <w10:wrap type="topAndBottom"/>
              </v:group>
            </w:pict>
          </mc:Fallback>
        </mc:AlternateContent>
      </w:r>
    </w:p>
    <w:p w14:paraId="37842AC2" w14:textId="77777777" w:rsidR="00411E10" w:rsidRPr="00530906" w:rsidRDefault="00411E10">
      <w:pPr>
        <w:spacing w:line="360" w:lineRule="auto"/>
        <w:jc w:val="both"/>
        <w:rPr>
          <w:rFonts w:ascii="Cambria" w:eastAsia="Calibri" w:hAnsi="Cambria" w:cs="Times New Roman"/>
          <w:sz w:val="24"/>
          <w:szCs w:val="24"/>
        </w:rPr>
      </w:pPr>
    </w:p>
    <w:p w14:paraId="6D88A0F8" w14:textId="73B9AA5C" w:rsidR="00424F6E" w:rsidRPr="00530906" w:rsidRDefault="00424F6E">
      <w:pPr>
        <w:spacing w:line="360" w:lineRule="auto"/>
        <w:jc w:val="both"/>
        <w:rPr>
          <w:rFonts w:ascii="Cambria" w:eastAsiaTheme="minorEastAsia" w:hAnsi="Cambria"/>
          <w:noProof/>
          <w:sz w:val="24"/>
          <w:szCs w:val="24"/>
        </w:rPr>
      </w:pPr>
      <w:r w:rsidRPr="00530906">
        <w:rPr>
          <w:rFonts w:ascii="Cambria" w:eastAsia="Calibri" w:hAnsi="Cambria" w:cs="Times New Roman"/>
          <w:sz w:val="24"/>
          <w:szCs w:val="24"/>
        </w:rPr>
        <w:t>Support or similarity in the mindset of the social groups influence the adaptation sustainable behaviour (</w:t>
      </w:r>
      <w:r w:rsidRPr="00530906">
        <w:rPr>
          <w:rFonts w:ascii="Cambria" w:eastAsia="Calibri" w:hAnsi="Cambria" w:cs="Adobe Devanagari"/>
          <w:sz w:val="24"/>
          <w:szCs w:val="24"/>
        </w:rPr>
        <w:t xml:space="preserve">Valor and Carrero 2014). </w:t>
      </w:r>
      <w:r w:rsidRPr="00530906">
        <w:rPr>
          <w:rFonts w:ascii="Cambria" w:eastAsia="Calibri" w:hAnsi="Cambria" w:cs="Times New Roman"/>
          <w:sz w:val="24"/>
          <w:szCs w:val="24"/>
        </w:rPr>
        <w:t xml:space="preserve">People’s behaviour is the interactions of </w:t>
      </w:r>
      <w:r w:rsidRPr="00EE5AD4">
        <w:rPr>
          <w:rFonts w:ascii="Cambria" w:eastAsia="Calibri" w:hAnsi="Cambria" w:cs="Times New Roman"/>
          <w:sz w:val="24"/>
          <w:szCs w:val="24"/>
        </w:rPr>
        <w:t xml:space="preserve">environmental factors (like, social normality) and the behaviour itself (experience associated with the specific behaviour) (Lin and Hsu 2015, Vaughn1980). </w:t>
      </w:r>
      <w:r w:rsidRPr="00EE5AD4">
        <w:rPr>
          <w:rFonts w:ascii="Cambria" w:eastAsia="Calibri" w:hAnsi="Cambria" w:cs="Adobe Devanagari"/>
          <w:sz w:val="24"/>
          <w:szCs w:val="24"/>
        </w:rPr>
        <w:t>In other words, n</w:t>
      </w:r>
      <w:r w:rsidRPr="00EE5AD4">
        <w:rPr>
          <w:rFonts w:ascii="Cambria" w:eastAsia="Calibri" w:hAnsi="Cambria" w:cs="Times New Roman"/>
          <w:sz w:val="24"/>
          <w:szCs w:val="24"/>
        </w:rPr>
        <w:t xml:space="preserve">orm of the society influences the </w:t>
      </w:r>
      <w:r w:rsidR="00E3037C" w:rsidRPr="00EE5AD4">
        <w:rPr>
          <w:rFonts w:ascii="Cambria" w:eastAsia="Calibri" w:hAnsi="Cambria" w:cs="Times New Roman"/>
          <w:sz w:val="24"/>
          <w:szCs w:val="24"/>
        </w:rPr>
        <w:t>sustainable behaviour</w:t>
      </w:r>
      <w:r w:rsidR="0071260D" w:rsidRPr="00EE5AD4">
        <w:rPr>
          <w:rFonts w:ascii="Cambria" w:eastAsia="Calibri" w:hAnsi="Cambria" w:cs="Times New Roman"/>
          <w:sz w:val="24"/>
          <w:szCs w:val="24"/>
        </w:rPr>
        <w:t xml:space="preserve"> </w:t>
      </w:r>
      <w:r w:rsidRPr="00EE5AD4">
        <w:rPr>
          <w:rFonts w:ascii="Cambria" w:eastAsia="Calibri" w:hAnsi="Cambria" w:cs="Times New Roman"/>
          <w:sz w:val="24"/>
          <w:szCs w:val="24"/>
        </w:rPr>
        <w:t>(Black et al 1985, Leila et al 2016).</w:t>
      </w:r>
      <w:r w:rsidR="005010BB" w:rsidRPr="00EE5AD4">
        <w:rPr>
          <w:rFonts w:ascii="Cambria" w:eastAsia="Calibri" w:hAnsi="Cambria" w:cs="Times New Roman"/>
          <w:sz w:val="24"/>
          <w:szCs w:val="24"/>
        </w:rPr>
        <w:t xml:space="preserve"> </w:t>
      </w:r>
      <w:r w:rsidR="00411E10" w:rsidRPr="00EE5AD4">
        <w:rPr>
          <w:rFonts w:ascii="Cambria" w:eastAsia="Calibri" w:hAnsi="Cambria" w:cs="Times New Roman"/>
          <w:sz w:val="24"/>
          <w:szCs w:val="24"/>
        </w:rPr>
        <w:t xml:space="preserve">In this line of argument, the </w:t>
      </w:r>
      <w:r w:rsidR="00E3037C" w:rsidRPr="00EE5AD4">
        <w:rPr>
          <w:rFonts w:ascii="Cambria" w:eastAsia="Calibri" w:hAnsi="Cambria" w:cs="Times New Roman"/>
          <w:sz w:val="24"/>
          <w:szCs w:val="24"/>
        </w:rPr>
        <w:t>disseminated</w:t>
      </w:r>
      <w:r w:rsidR="00411E10" w:rsidRPr="00EE5AD4">
        <w:rPr>
          <w:rFonts w:ascii="Cambria" w:eastAsia="Calibri" w:hAnsi="Cambria" w:cs="Times New Roman"/>
          <w:sz w:val="24"/>
          <w:szCs w:val="24"/>
        </w:rPr>
        <w:t xml:space="preserve"> post in social media (</w:t>
      </w:r>
      <w:r w:rsidR="001111CD" w:rsidRPr="00EE5AD4">
        <w:rPr>
          <w:rFonts w:ascii="Cambria" w:eastAsia="Calibri" w:hAnsi="Cambria" w:cs="Adobe Devanagari"/>
          <w:sz w:val="24"/>
          <w:szCs w:val="24"/>
        </w:rPr>
        <w:t xml:space="preserve">ad with </w:t>
      </w:r>
      <w:r w:rsidR="00E363FB" w:rsidRPr="00EE5AD4">
        <w:rPr>
          <w:rFonts w:ascii="Cambria" w:eastAsia="Calibri" w:hAnsi="Cambria" w:cs="Adobe Devanagari"/>
          <w:sz w:val="24"/>
          <w:szCs w:val="24"/>
        </w:rPr>
        <w:t>sustainability</w:t>
      </w:r>
      <w:r w:rsidR="001111CD" w:rsidRPr="00EE5AD4">
        <w:rPr>
          <w:rFonts w:ascii="Cambria" w:eastAsia="Calibri" w:hAnsi="Cambria" w:cs="Adobe Devanagari"/>
          <w:sz w:val="24"/>
          <w:szCs w:val="24"/>
        </w:rPr>
        <w:t xml:space="preserve"> message</w:t>
      </w:r>
      <w:r w:rsidR="001111CD" w:rsidRPr="00EE5AD4">
        <w:rPr>
          <w:rFonts w:ascii="Cambria" w:eastAsia="Calibri" w:hAnsi="Cambria" w:cs="Times New Roman"/>
          <w:sz w:val="24"/>
          <w:szCs w:val="24"/>
        </w:rPr>
        <w:t xml:space="preserve"> </w:t>
      </w:r>
      <w:r w:rsidR="00411E10" w:rsidRPr="00EE5AD4">
        <w:rPr>
          <w:rFonts w:ascii="Cambria" w:eastAsia="Calibri" w:hAnsi="Cambria" w:cs="Times New Roman"/>
          <w:sz w:val="24"/>
          <w:szCs w:val="24"/>
        </w:rPr>
        <w:t>with positive or negative caption) should also have social influence.</w:t>
      </w:r>
    </w:p>
    <w:p w14:paraId="49AAE956" w14:textId="1132ED8E" w:rsidR="00AC5485" w:rsidRPr="00530906" w:rsidRDefault="00AC5485" w:rsidP="00AC5485">
      <w:pPr>
        <w:pStyle w:val="Heading2"/>
        <w:jc w:val="both"/>
        <w:rPr>
          <w:rFonts w:ascii="Cambria" w:eastAsia="Calibri" w:hAnsi="Cambria"/>
        </w:rPr>
      </w:pPr>
      <w:bookmarkStart w:id="51" w:name="_Toc115726232"/>
      <w:r w:rsidRPr="00530906">
        <w:rPr>
          <w:rFonts w:ascii="Cambria" w:eastAsia="Calibri" w:hAnsi="Cambria"/>
        </w:rPr>
        <w:t>2.</w:t>
      </w:r>
      <w:r w:rsidR="00000622" w:rsidRPr="00530906">
        <w:rPr>
          <w:rFonts w:ascii="Cambria" w:eastAsia="Calibri" w:hAnsi="Cambria"/>
        </w:rPr>
        <w:t>1</w:t>
      </w:r>
      <w:r w:rsidR="006B733B" w:rsidRPr="00530906">
        <w:rPr>
          <w:rFonts w:ascii="Cambria" w:eastAsia="Calibri" w:hAnsi="Cambria"/>
        </w:rPr>
        <w:t>3</w:t>
      </w:r>
      <w:r w:rsidRPr="00530906">
        <w:rPr>
          <w:rFonts w:ascii="Cambria" w:eastAsia="Calibri" w:hAnsi="Cambria"/>
        </w:rPr>
        <w:t xml:space="preserve">. </w:t>
      </w:r>
      <w:r w:rsidR="008E3016">
        <w:rPr>
          <w:rFonts w:ascii="Cambria" w:eastAsia="Calibri" w:hAnsi="Cambria"/>
        </w:rPr>
        <w:t>I</w:t>
      </w:r>
      <w:r w:rsidR="008E3016">
        <w:rPr>
          <w:rFonts w:ascii="Cambria" w:eastAsia="Calibri" w:hAnsi="Cambria" w:cs="Times New Roman"/>
          <w:color w:val="2E74B5"/>
        </w:rPr>
        <w:t xml:space="preserve">mportance of </w:t>
      </w:r>
      <w:r w:rsidR="004523D6">
        <w:rPr>
          <w:rFonts w:ascii="Cambria" w:eastAsia="Calibri" w:hAnsi="Cambria" w:cs="Times New Roman"/>
          <w:color w:val="2E74B5"/>
        </w:rPr>
        <w:t>examin</w:t>
      </w:r>
      <w:r w:rsidR="009D523D">
        <w:rPr>
          <w:rFonts w:ascii="Cambria" w:eastAsia="Calibri" w:hAnsi="Cambria" w:cs="Times New Roman"/>
          <w:color w:val="2E74B5"/>
        </w:rPr>
        <w:t>ing</w:t>
      </w:r>
      <w:r w:rsidR="004523D6">
        <w:rPr>
          <w:rFonts w:ascii="Cambria" w:eastAsia="Calibri" w:hAnsi="Cambria" w:cs="Times New Roman"/>
          <w:color w:val="2E74B5"/>
        </w:rPr>
        <w:t xml:space="preserve"> the relationship</w:t>
      </w:r>
      <w:r w:rsidR="00992A67">
        <w:rPr>
          <w:rFonts w:ascii="Cambria" w:eastAsia="Calibri" w:hAnsi="Cambria" w:cs="Times New Roman"/>
          <w:color w:val="2E74B5"/>
        </w:rPr>
        <w:t xml:space="preserve">s among </w:t>
      </w:r>
      <w:r w:rsidR="004523D6">
        <w:rPr>
          <w:rFonts w:ascii="Cambria" w:eastAsia="Calibri" w:hAnsi="Cambria" w:cs="Times New Roman"/>
          <w:color w:val="2E74B5"/>
        </w:rPr>
        <w:t>the constructs</w:t>
      </w:r>
      <w:bookmarkEnd w:id="51"/>
    </w:p>
    <w:p w14:paraId="759F50A1" w14:textId="7AE50AEB" w:rsidR="00B74036" w:rsidRPr="00C85E8D" w:rsidRDefault="00442599" w:rsidP="00AC5485">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Cova and Pace (2006) has advocated to have marketing strategies that will enable the participants of the brand community to interact and encounter with each other, since their sense of empowerment comes from self–exhibition</w:t>
      </w:r>
      <w:r>
        <w:rPr>
          <w:rFonts w:ascii="Cambria" w:eastAsia="Calibri" w:hAnsi="Cambria" w:cs="Times New Roman"/>
          <w:sz w:val="24"/>
          <w:szCs w:val="24"/>
        </w:rPr>
        <w:t xml:space="preserve">. </w:t>
      </w:r>
      <w:r w:rsidR="00AC5485" w:rsidRPr="00530906">
        <w:rPr>
          <w:rFonts w:ascii="Cambria" w:eastAsia="Calibri" w:hAnsi="Cambria" w:cs="Times New Roman"/>
          <w:sz w:val="24"/>
          <w:szCs w:val="24"/>
        </w:rPr>
        <w:t xml:space="preserve">Marketers usually hope that their ad in social network will </w:t>
      </w:r>
      <w:r w:rsidR="00DF7D34">
        <w:rPr>
          <w:rFonts w:ascii="Cambria" w:eastAsia="Calibri" w:hAnsi="Cambria" w:cs="Times New Roman"/>
          <w:sz w:val="24"/>
          <w:szCs w:val="24"/>
        </w:rPr>
        <w:t>be</w:t>
      </w:r>
      <w:r w:rsidR="00AC5485" w:rsidRPr="00530906">
        <w:rPr>
          <w:rFonts w:ascii="Cambria" w:eastAsia="Calibri" w:hAnsi="Cambria" w:cs="Times New Roman"/>
          <w:sz w:val="24"/>
          <w:szCs w:val="24"/>
        </w:rPr>
        <w:t xml:space="preserve"> viral (Shan and King 2015</w:t>
      </w:r>
      <w:r w:rsidR="008A624C">
        <w:rPr>
          <w:rFonts w:ascii="Cambria" w:eastAsia="Calibri" w:hAnsi="Cambria" w:cs="Times New Roman"/>
          <w:sz w:val="24"/>
          <w:szCs w:val="24"/>
        </w:rPr>
        <w:t xml:space="preserve">, </w:t>
      </w:r>
      <w:r w:rsidR="000A4D85" w:rsidRPr="000A4D85">
        <w:rPr>
          <w:rFonts w:ascii="Cambria" w:eastAsia="Calibri" w:hAnsi="Cambria" w:cs="Times New Roman"/>
          <w:sz w:val="24"/>
          <w:szCs w:val="24"/>
        </w:rPr>
        <w:t>Nikolinakou</w:t>
      </w:r>
      <w:r w:rsidR="000A4D85">
        <w:rPr>
          <w:rFonts w:ascii="Cambria" w:eastAsia="Calibri" w:hAnsi="Cambria" w:cs="Times New Roman"/>
          <w:sz w:val="24"/>
          <w:szCs w:val="24"/>
        </w:rPr>
        <w:t xml:space="preserve"> and King </w:t>
      </w:r>
      <w:r w:rsidR="003C4E45">
        <w:rPr>
          <w:rFonts w:ascii="Cambria" w:eastAsia="Calibri" w:hAnsi="Cambria" w:cs="Times New Roman"/>
          <w:sz w:val="24"/>
          <w:szCs w:val="24"/>
        </w:rPr>
        <w:t>2018</w:t>
      </w:r>
      <w:r w:rsidR="00AC5485" w:rsidRPr="00530906">
        <w:rPr>
          <w:rFonts w:ascii="Cambria" w:eastAsia="Calibri" w:hAnsi="Cambria" w:cs="Times New Roman"/>
          <w:sz w:val="24"/>
          <w:szCs w:val="24"/>
        </w:rPr>
        <w:t xml:space="preserve">). </w:t>
      </w:r>
      <w:r w:rsidR="00F018D7" w:rsidRPr="00530906">
        <w:rPr>
          <w:rFonts w:ascii="Cambria" w:eastAsia="Calibri" w:hAnsi="Cambria" w:cs="Times New Roman"/>
          <w:sz w:val="24"/>
          <w:szCs w:val="24"/>
        </w:rPr>
        <w:t xml:space="preserve">Additionally, consumer brand engagement positively affects consumer self–brand connection (Hollebeek et al 2014). Sharing interest may create a bond by enhancing affinity (de Valck et al. 2009; Zaglia 2011) and thus </w:t>
      </w:r>
      <w:r w:rsidR="00F018D7" w:rsidRPr="00C85E8D">
        <w:rPr>
          <w:rFonts w:ascii="Cambria" w:eastAsia="Calibri" w:hAnsi="Cambria" w:cs="Times New Roman"/>
          <w:sz w:val="24"/>
          <w:szCs w:val="24"/>
        </w:rPr>
        <w:t xml:space="preserve">engaged consumers shows higher level of consumer loyalty, satisfaction, empowerment, connection, emotional bonding, trust, and commitment (Brodie et al 2011; Cova and Pace 2006).  </w:t>
      </w:r>
      <w:r w:rsidR="00AC5485" w:rsidRPr="00C85E8D">
        <w:rPr>
          <w:rFonts w:ascii="Cambria" w:eastAsia="Calibri" w:hAnsi="Cambria" w:cs="Times New Roman"/>
          <w:sz w:val="24"/>
          <w:szCs w:val="24"/>
        </w:rPr>
        <w:t xml:space="preserve">Marketers can create context upon which the interaction of consumers can occur (McAlexander et al. 2002). But the context of online engagement is still need be researched (Rodgers and Thorson, 2018). </w:t>
      </w:r>
    </w:p>
    <w:p w14:paraId="3CC658B7" w14:textId="6B591BCF" w:rsidR="00AC5485" w:rsidRPr="00C85E8D" w:rsidRDefault="00E04A53"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In term</w:t>
      </w:r>
      <w:r w:rsidR="00A1107F" w:rsidRPr="00C85E8D">
        <w:rPr>
          <w:rFonts w:ascii="Cambria" w:eastAsia="Calibri" w:hAnsi="Cambria" w:cs="Times New Roman"/>
          <w:sz w:val="24"/>
          <w:szCs w:val="24"/>
        </w:rPr>
        <w:t xml:space="preserve">s of context, </w:t>
      </w:r>
      <w:r w:rsidR="00AC5485" w:rsidRPr="00C85E8D">
        <w:rPr>
          <w:rFonts w:ascii="Cambria" w:eastAsia="Calibri" w:hAnsi="Cambria" w:cs="Times New Roman"/>
          <w:sz w:val="24"/>
          <w:szCs w:val="24"/>
        </w:rPr>
        <w:t>consumers have displayed positive favour to companies with environmental commitment (Choi and Ng 2011; Roberts, 1996)</w:t>
      </w:r>
      <w:r w:rsidR="006764A8" w:rsidRPr="00C85E8D">
        <w:rPr>
          <w:rFonts w:ascii="Cambria" w:eastAsia="Calibri" w:hAnsi="Cambria" w:cs="Times New Roman"/>
          <w:sz w:val="24"/>
          <w:szCs w:val="24"/>
        </w:rPr>
        <w:t xml:space="preserve">. </w:t>
      </w:r>
      <w:r w:rsidR="004F6FE8" w:rsidRPr="00C85E8D">
        <w:rPr>
          <w:rFonts w:ascii="Cambria" w:eastAsia="Calibri" w:hAnsi="Cambria" w:cs="Adobe Devanagari"/>
          <w:sz w:val="24"/>
          <w:szCs w:val="24"/>
        </w:rPr>
        <w:t xml:space="preserve">In other words, </w:t>
      </w:r>
      <w:r w:rsidR="004F6FE8" w:rsidRPr="00C85E8D">
        <w:rPr>
          <w:rFonts w:ascii="Cambria" w:eastAsia="Calibri" w:hAnsi="Cambria" w:cs="Times New Roman"/>
          <w:sz w:val="24"/>
          <w:szCs w:val="24"/>
        </w:rPr>
        <w:t xml:space="preserve">organisations should take business approach that take sustainability into consideration, which will give them favourable reputation through online engagement (Caprar and Neville 2012; </w:t>
      </w:r>
      <w:r w:rsidR="004F6FE8" w:rsidRPr="00C85E8D">
        <w:rPr>
          <w:rFonts w:ascii="Cambria" w:eastAsia="Calibri" w:hAnsi="Cambria" w:cs="Adobe Devanagari"/>
          <w:sz w:val="24"/>
          <w:szCs w:val="24"/>
        </w:rPr>
        <w:t xml:space="preserve">Kemper and Ballantine 2019).  </w:t>
      </w:r>
      <w:r w:rsidR="006764A8" w:rsidRPr="00C85E8D">
        <w:rPr>
          <w:rFonts w:ascii="Cambria" w:eastAsia="Calibri" w:hAnsi="Cambria" w:cs="Times New Roman"/>
          <w:sz w:val="24"/>
          <w:szCs w:val="24"/>
        </w:rPr>
        <w:t>T</w:t>
      </w:r>
      <w:r w:rsidRPr="00C85E8D">
        <w:rPr>
          <w:rFonts w:ascii="Cambria" w:eastAsia="Calibri" w:hAnsi="Cambria" w:cs="Times New Roman"/>
          <w:sz w:val="24"/>
          <w:szCs w:val="24"/>
        </w:rPr>
        <w:t>hough online engagement may differs depending on the brand (Zaglia 2011)</w:t>
      </w:r>
      <w:r w:rsidR="001B1E46" w:rsidRPr="00C85E8D">
        <w:rPr>
          <w:rFonts w:ascii="Cambria" w:eastAsia="Calibri" w:hAnsi="Cambria" w:cs="Times New Roman"/>
          <w:sz w:val="24"/>
          <w:szCs w:val="24"/>
        </w:rPr>
        <w:t>, c</w:t>
      </w:r>
      <w:r w:rsidR="00962CEB" w:rsidRPr="00C85E8D">
        <w:rPr>
          <w:rFonts w:ascii="Cambria" w:eastAsia="Calibri" w:hAnsi="Cambria" w:cs="Times New Roman"/>
          <w:sz w:val="24"/>
          <w:szCs w:val="24"/>
        </w:rPr>
        <w:t>onsumers tend to affiliate with the organisations with worthy cause or those, which have undertaken policies</w:t>
      </w:r>
      <w:r w:rsidR="009C0195" w:rsidRPr="00C85E8D">
        <w:rPr>
          <w:rFonts w:ascii="Cambria" w:eastAsia="Calibri" w:hAnsi="Cambria" w:cs="Times New Roman"/>
          <w:sz w:val="24"/>
          <w:szCs w:val="24"/>
        </w:rPr>
        <w:t xml:space="preserve"> and </w:t>
      </w:r>
      <w:r w:rsidR="00962CEB" w:rsidRPr="00C85E8D">
        <w:rPr>
          <w:rFonts w:ascii="Cambria" w:eastAsia="Calibri" w:hAnsi="Cambria" w:cs="Times New Roman"/>
          <w:sz w:val="24"/>
          <w:szCs w:val="24"/>
        </w:rPr>
        <w:t>are radically different from industry practices. They tend to engage in both favourable and unfavourable company related behaviour, depending on the stance of the consumer and company over a cause (Bhattacharya and Sen 2003</w:t>
      </w:r>
      <w:r w:rsidR="00F77AAC">
        <w:rPr>
          <w:rFonts w:ascii="Cambria" w:eastAsia="Calibri" w:hAnsi="Cambria" w:cs="Times New Roman"/>
          <w:sz w:val="24"/>
          <w:szCs w:val="24"/>
        </w:rPr>
        <w:t>; Saxton et al 2019</w:t>
      </w:r>
      <w:r w:rsidR="00962CEB" w:rsidRPr="00C85E8D">
        <w:rPr>
          <w:rFonts w:ascii="Cambria" w:eastAsia="Calibri" w:hAnsi="Cambria" w:cs="Times New Roman"/>
          <w:sz w:val="24"/>
          <w:szCs w:val="24"/>
        </w:rPr>
        <w:t xml:space="preserve">). </w:t>
      </w:r>
      <w:r w:rsidR="00AE6321" w:rsidRPr="00C85E8D">
        <w:rPr>
          <w:rFonts w:ascii="Cambria" w:eastAsia="Calibri" w:hAnsi="Cambria" w:cs="Adobe Devanagari"/>
          <w:sz w:val="24"/>
          <w:szCs w:val="24"/>
        </w:rPr>
        <w:t>This implies that</w:t>
      </w:r>
      <w:r w:rsidR="002273CD" w:rsidRPr="00C85E8D">
        <w:rPr>
          <w:rFonts w:ascii="Cambria" w:eastAsia="Calibri" w:hAnsi="Cambria" w:cs="Adobe Devanagari"/>
          <w:sz w:val="24"/>
          <w:szCs w:val="24"/>
        </w:rPr>
        <w:t xml:space="preserve">, </w:t>
      </w:r>
      <w:r w:rsidR="000833CB" w:rsidRPr="00C85E8D">
        <w:rPr>
          <w:rFonts w:ascii="Cambria" w:eastAsia="Calibri" w:hAnsi="Cambria" w:cs="Adobe Devanagari"/>
          <w:sz w:val="24"/>
          <w:szCs w:val="24"/>
        </w:rPr>
        <w:t>consumer en</w:t>
      </w:r>
      <w:r w:rsidR="00166C34" w:rsidRPr="00C85E8D">
        <w:rPr>
          <w:rFonts w:ascii="Cambria" w:eastAsia="Calibri" w:hAnsi="Cambria" w:cs="Adobe Devanagari"/>
          <w:sz w:val="24"/>
          <w:szCs w:val="24"/>
        </w:rPr>
        <w:t>gagement</w:t>
      </w:r>
      <w:r w:rsidR="00DA21B7" w:rsidRPr="00C85E8D">
        <w:rPr>
          <w:rFonts w:ascii="Cambria" w:eastAsia="Calibri" w:hAnsi="Cambria" w:cs="Adobe Devanagari"/>
          <w:sz w:val="24"/>
          <w:szCs w:val="24"/>
        </w:rPr>
        <w:t xml:space="preserve"> over </w:t>
      </w:r>
      <w:r w:rsidR="007154E4" w:rsidRPr="00C85E8D">
        <w:rPr>
          <w:rFonts w:ascii="Cambria" w:eastAsia="Calibri" w:hAnsi="Cambria" w:cs="Adobe Devanagari"/>
          <w:sz w:val="24"/>
          <w:szCs w:val="24"/>
        </w:rPr>
        <w:t>organisations’ sustainability initiative which they</w:t>
      </w:r>
      <w:r w:rsidR="003B0458" w:rsidRPr="00C85E8D">
        <w:rPr>
          <w:rFonts w:ascii="Cambria" w:eastAsia="Calibri" w:hAnsi="Cambria" w:cs="Adobe Devanagari"/>
          <w:sz w:val="24"/>
          <w:szCs w:val="24"/>
        </w:rPr>
        <w:t xml:space="preserve"> use in</w:t>
      </w:r>
      <w:r w:rsidR="007154E4" w:rsidRPr="00C85E8D">
        <w:rPr>
          <w:rFonts w:ascii="Cambria" w:eastAsia="Calibri" w:hAnsi="Cambria" w:cs="Adobe Devanagari"/>
          <w:sz w:val="24"/>
          <w:szCs w:val="24"/>
        </w:rPr>
        <w:t xml:space="preserve"> </w:t>
      </w:r>
      <w:r w:rsidR="00A95381" w:rsidRPr="00C85E8D">
        <w:rPr>
          <w:rFonts w:ascii="Cambria" w:eastAsia="Calibri" w:hAnsi="Cambria" w:cs="Adobe Devanagari"/>
          <w:sz w:val="24"/>
          <w:szCs w:val="24"/>
        </w:rPr>
        <w:t xml:space="preserve">attempt to promote </w:t>
      </w:r>
      <w:r w:rsidR="00380C9B" w:rsidRPr="00C85E8D">
        <w:rPr>
          <w:rFonts w:ascii="Cambria" w:eastAsia="Calibri" w:hAnsi="Cambria" w:cs="Adobe Devanagari"/>
          <w:sz w:val="24"/>
          <w:szCs w:val="24"/>
        </w:rPr>
        <w:t>through ads</w:t>
      </w:r>
      <w:r w:rsidR="00A95381" w:rsidRPr="00C85E8D">
        <w:rPr>
          <w:rFonts w:ascii="Cambria" w:eastAsia="Calibri" w:hAnsi="Cambria" w:cs="Adobe Devanagari"/>
          <w:sz w:val="24"/>
          <w:szCs w:val="24"/>
        </w:rPr>
        <w:t xml:space="preserve"> with </w:t>
      </w:r>
      <w:r w:rsidR="00380C9B" w:rsidRPr="00C85E8D">
        <w:rPr>
          <w:rFonts w:ascii="Cambria" w:eastAsia="Calibri" w:hAnsi="Cambria" w:cs="Adobe Devanagari"/>
          <w:sz w:val="24"/>
          <w:szCs w:val="24"/>
        </w:rPr>
        <w:t>sustainability</w:t>
      </w:r>
      <w:r w:rsidR="00664D24" w:rsidRPr="00C85E8D">
        <w:rPr>
          <w:rFonts w:ascii="Cambria" w:eastAsia="Calibri" w:hAnsi="Cambria" w:cs="Adobe Devanagari"/>
          <w:sz w:val="24"/>
          <w:szCs w:val="24"/>
        </w:rPr>
        <w:t xml:space="preserve"> message</w:t>
      </w:r>
      <w:r w:rsidR="00AC63A8" w:rsidRPr="00C85E8D">
        <w:rPr>
          <w:rFonts w:ascii="Cambria" w:eastAsia="Calibri" w:hAnsi="Cambria" w:cs="Adobe Devanagari"/>
          <w:sz w:val="24"/>
          <w:szCs w:val="24"/>
        </w:rPr>
        <w:t xml:space="preserve"> may shift in</w:t>
      </w:r>
      <w:r w:rsidR="00664D24" w:rsidRPr="00C85E8D">
        <w:rPr>
          <w:rFonts w:ascii="Cambria" w:eastAsia="Calibri" w:hAnsi="Cambria" w:cs="Adobe Devanagari"/>
          <w:sz w:val="24"/>
          <w:szCs w:val="24"/>
        </w:rPr>
        <w:t xml:space="preserve"> any</w:t>
      </w:r>
      <w:r w:rsidR="00AC63A8" w:rsidRPr="00C85E8D">
        <w:rPr>
          <w:rFonts w:ascii="Cambria" w:eastAsia="Calibri" w:hAnsi="Cambria" w:cs="Adobe Devanagari"/>
          <w:sz w:val="24"/>
          <w:szCs w:val="24"/>
        </w:rPr>
        <w:t xml:space="preserve"> direction</w:t>
      </w:r>
      <w:r w:rsidR="00664D24" w:rsidRPr="00C85E8D">
        <w:rPr>
          <w:rFonts w:ascii="Cambria" w:eastAsia="Calibri" w:hAnsi="Cambria" w:cs="Adobe Devanagari"/>
          <w:sz w:val="24"/>
          <w:szCs w:val="24"/>
        </w:rPr>
        <w:t xml:space="preserve"> depending on the consumers’ positive or </w:t>
      </w:r>
      <w:r w:rsidR="0044122A" w:rsidRPr="00C85E8D">
        <w:rPr>
          <w:rFonts w:ascii="Cambria" w:eastAsia="Calibri" w:hAnsi="Cambria" w:cs="Adobe Devanagari"/>
          <w:sz w:val="24"/>
          <w:szCs w:val="24"/>
        </w:rPr>
        <w:t>negative</w:t>
      </w:r>
      <w:r w:rsidR="00664D24" w:rsidRPr="00C85E8D">
        <w:rPr>
          <w:rFonts w:ascii="Cambria" w:eastAsia="Calibri" w:hAnsi="Cambria" w:cs="Adobe Devanagari"/>
          <w:sz w:val="24"/>
          <w:szCs w:val="24"/>
        </w:rPr>
        <w:t xml:space="preserve"> perception </w:t>
      </w:r>
      <w:r w:rsidR="0044122A" w:rsidRPr="00C85E8D">
        <w:rPr>
          <w:rFonts w:ascii="Cambria" w:eastAsia="Calibri" w:hAnsi="Cambria" w:cs="Adobe Devanagari"/>
          <w:sz w:val="24"/>
          <w:szCs w:val="24"/>
        </w:rPr>
        <w:t>of th</w:t>
      </w:r>
      <w:r w:rsidR="00A9420A" w:rsidRPr="00C85E8D">
        <w:rPr>
          <w:rFonts w:ascii="Cambria" w:eastAsia="Calibri" w:hAnsi="Cambria" w:cs="Adobe Devanagari"/>
          <w:sz w:val="24"/>
          <w:szCs w:val="24"/>
        </w:rPr>
        <w:t>at ad, which will be reflected on th</w:t>
      </w:r>
      <w:r w:rsidR="001C1610" w:rsidRPr="00C85E8D">
        <w:rPr>
          <w:rFonts w:ascii="Cambria" w:eastAsia="Calibri" w:hAnsi="Cambria" w:cs="Adobe Devanagari"/>
          <w:sz w:val="24"/>
          <w:szCs w:val="24"/>
        </w:rPr>
        <w:t>e sales.</w:t>
      </w:r>
    </w:p>
    <w:p w14:paraId="20464178" w14:textId="06E1BEA4" w:rsidR="00AC5485" w:rsidRPr="00C85E8D" w:rsidRDefault="00AC5485"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As per the research objective this thesis focuses on the social media content that denotes consumers’ evaluation of a brand’s </w:t>
      </w:r>
      <w:r w:rsidR="001D07C3" w:rsidRPr="00C85E8D">
        <w:rPr>
          <w:rFonts w:ascii="Cambria" w:eastAsia="Calibri" w:hAnsi="Cambria" w:cs="Adobe Devanagari"/>
          <w:sz w:val="24"/>
          <w:szCs w:val="24"/>
        </w:rPr>
        <w:t>ad with sustainability message</w:t>
      </w:r>
      <w:r w:rsidR="0025304D" w:rsidRPr="00C85E8D">
        <w:rPr>
          <w:rFonts w:ascii="Cambria" w:eastAsia="Calibri" w:hAnsi="Cambria" w:cs="Times New Roman"/>
          <w:sz w:val="24"/>
          <w:szCs w:val="24"/>
        </w:rPr>
        <w:t xml:space="preserve">. </w:t>
      </w:r>
      <w:r w:rsidR="001C1610" w:rsidRPr="00C85E8D">
        <w:rPr>
          <w:rFonts w:ascii="Cambria" w:eastAsia="Calibri" w:hAnsi="Cambria" w:cs="Times New Roman"/>
          <w:sz w:val="24"/>
          <w:szCs w:val="24"/>
        </w:rPr>
        <w:t>I</w:t>
      </w:r>
      <w:r w:rsidR="0025304D" w:rsidRPr="00C85E8D">
        <w:rPr>
          <w:rFonts w:ascii="Cambria" w:eastAsia="Calibri" w:hAnsi="Cambria" w:cs="Times New Roman"/>
          <w:sz w:val="24"/>
          <w:szCs w:val="24"/>
        </w:rPr>
        <w:t xml:space="preserve">n other words, this thesis </w:t>
      </w:r>
      <w:r w:rsidR="00EA28A8" w:rsidRPr="00C85E8D">
        <w:rPr>
          <w:rFonts w:ascii="Cambria" w:eastAsia="Calibri" w:hAnsi="Cambria" w:cs="Times New Roman"/>
          <w:sz w:val="24"/>
          <w:szCs w:val="24"/>
        </w:rPr>
        <w:t>emphasises</w:t>
      </w:r>
      <w:r w:rsidR="0025304D" w:rsidRPr="00C85E8D">
        <w:rPr>
          <w:rFonts w:ascii="Cambria" w:eastAsia="Calibri" w:hAnsi="Cambria" w:cs="Times New Roman"/>
          <w:sz w:val="24"/>
          <w:szCs w:val="24"/>
        </w:rPr>
        <w:t xml:space="preserve"> on </w:t>
      </w:r>
      <w:r w:rsidRPr="00C85E8D">
        <w:rPr>
          <w:rFonts w:ascii="Cambria" w:eastAsia="Calibri" w:hAnsi="Cambria" w:cs="Times New Roman"/>
          <w:sz w:val="24"/>
          <w:szCs w:val="24"/>
        </w:rPr>
        <w:t>the</w:t>
      </w:r>
      <w:r w:rsidR="0025304D" w:rsidRPr="00C85E8D">
        <w:rPr>
          <w:rFonts w:ascii="Cambria" w:eastAsia="Calibri" w:hAnsi="Cambria" w:cs="Times New Roman"/>
          <w:sz w:val="24"/>
          <w:szCs w:val="24"/>
        </w:rPr>
        <w:t xml:space="preserve"> impact of positive and negative</w:t>
      </w:r>
      <w:r w:rsidRPr="00C85E8D">
        <w:rPr>
          <w:rFonts w:ascii="Cambria" w:eastAsia="Calibri" w:hAnsi="Cambria" w:cs="Times New Roman"/>
          <w:sz w:val="24"/>
          <w:szCs w:val="24"/>
        </w:rPr>
        <w:t xml:space="preserve"> caption</w:t>
      </w:r>
      <w:r w:rsidR="0025304D" w:rsidRPr="00C85E8D">
        <w:rPr>
          <w:rFonts w:ascii="Cambria" w:eastAsia="Calibri" w:hAnsi="Cambria" w:cs="Times New Roman"/>
          <w:sz w:val="24"/>
          <w:szCs w:val="24"/>
        </w:rPr>
        <w:t xml:space="preserve"> regarding a</w:t>
      </w:r>
      <w:r w:rsidR="00BE6C62" w:rsidRPr="00C85E8D">
        <w:rPr>
          <w:rFonts w:ascii="Cambria" w:eastAsia="Calibri" w:hAnsi="Cambria" w:cs="Times New Roman"/>
          <w:sz w:val="24"/>
          <w:szCs w:val="24"/>
        </w:rPr>
        <w:t>n</w:t>
      </w:r>
      <w:r w:rsidR="0025304D" w:rsidRPr="00C85E8D">
        <w:rPr>
          <w:rFonts w:ascii="Cambria" w:eastAsia="Calibri" w:hAnsi="Cambria" w:cs="Times New Roman"/>
          <w:sz w:val="24"/>
          <w:szCs w:val="24"/>
        </w:rPr>
        <w:t xml:space="preserve">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Pr="00C85E8D">
        <w:rPr>
          <w:rFonts w:ascii="Cambria" w:eastAsia="Calibri" w:hAnsi="Cambria" w:cs="Times New Roman"/>
          <w:sz w:val="24"/>
          <w:szCs w:val="24"/>
        </w:rPr>
        <w:t xml:space="preserve">. In broader term, as an antecedent, brand generated content and users generated content both have a consequence of inspiring purchase intention of social media users (Goh et al 2013; Xie and Lee 2015). This should be also true for sustainability context. Hence this thesis aims to investigate the impact of consumers’ positive or negative caption accompanying brand’s </w:t>
      </w:r>
      <w:r w:rsidR="000C0EBA" w:rsidRPr="00C85E8D">
        <w:rPr>
          <w:rFonts w:ascii="Cambria" w:eastAsia="Calibri" w:hAnsi="Cambria" w:cs="Adobe Devanagari"/>
          <w:sz w:val="24"/>
          <w:szCs w:val="24"/>
        </w:rPr>
        <w:t>ad with sustainability message</w:t>
      </w:r>
      <w:r w:rsidR="000C0EBA" w:rsidRPr="00C85E8D">
        <w:rPr>
          <w:rFonts w:ascii="Cambria" w:eastAsia="Calibri" w:hAnsi="Cambria" w:cs="Times New Roman"/>
          <w:sz w:val="24"/>
          <w:szCs w:val="24"/>
        </w:rPr>
        <w:t xml:space="preserve"> </w:t>
      </w:r>
      <w:r w:rsidRPr="00C85E8D">
        <w:rPr>
          <w:rFonts w:ascii="Cambria" w:eastAsia="Calibri" w:hAnsi="Cambria" w:cs="Times New Roman"/>
          <w:sz w:val="24"/>
          <w:szCs w:val="24"/>
        </w:rPr>
        <w:t>on the sustainable purchase intention and other sustainable behavioural intention. To have a more precise idea, this study first taken the positive and negative caption as the antecedent and the resulting social media engagement as consequence. Then, the social media engagement over the post by the other users (</w:t>
      </w:r>
      <w:r w:rsidR="00380C9B" w:rsidRPr="00C85E8D">
        <w:rPr>
          <w:rFonts w:ascii="Cambria" w:eastAsia="Calibri" w:hAnsi="Cambria" w:cs="Times New Roman"/>
          <w:sz w:val="24"/>
          <w:szCs w:val="24"/>
        </w:rPr>
        <w:t>consisting of</w:t>
      </w:r>
      <w:r w:rsidRPr="00C85E8D">
        <w:rPr>
          <w:rFonts w:ascii="Cambria" w:eastAsia="Calibri" w:hAnsi="Cambria" w:cs="Times New Roman"/>
          <w:sz w:val="24"/>
          <w:szCs w:val="24"/>
        </w:rPr>
        <w:t xml:space="preserve"> the positive/ negative caption and the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Pr="00C85E8D">
        <w:rPr>
          <w:rFonts w:ascii="Cambria" w:eastAsia="Calibri" w:hAnsi="Cambria" w:cs="Times New Roman"/>
          <w:sz w:val="24"/>
          <w:szCs w:val="24"/>
        </w:rPr>
        <w:t xml:space="preserve">) was considered as the antecedent and the subsequent sustainable behavioural intention as the consequence. As mentioned in the critical literature review on sustainable behaviour and thematic literature review on social media engagement, no study has been found </w:t>
      </w:r>
      <w:r w:rsidR="0077584D" w:rsidRPr="00C85E8D">
        <w:rPr>
          <w:rFonts w:ascii="Cambria" w:eastAsia="Calibri" w:hAnsi="Cambria" w:cs="Times New Roman"/>
          <w:sz w:val="24"/>
          <w:szCs w:val="24"/>
        </w:rPr>
        <w:t>o</w:t>
      </w:r>
      <w:r w:rsidRPr="00C85E8D">
        <w:rPr>
          <w:rFonts w:ascii="Cambria" w:eastAsia="Calibri" w:hAnsi="Cambria" w:cs="Times New Roman"/>
          <w:sz w:val="24"/>
          <w:szCs w:val="24"/>
        </w:rPr>
        <w:t>n this topic.</w:t>
      </w:r>
    </w:p>
    <w:p w14:paraId="50BC6D57" w14:textId="7DCCE2BE" w:rsidR="006D53EB" w:rsidRPr="00C85E8D" w:rsidRDefault="007F4D16" w:rsidP="006D53EB">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In many studies, s</w:t>
      </w:r>
      <w:r w:rsidR="000C3A91" w:rsidRPr="00C85E8D">
        <w:rPr>
          <w:rFonts w:ascii="Cambria" w:eastAsia="Calibri" w:hAnsi="Cambria" w:cs="Times New Roman"/>
          <w:sz w:val="24"/>
          <w:szCs w:val="24"/>
        </w:rPr>
        <w:t>ustainable behaviou</w:t>
      </w:r>
      <w:r w:rsidRPr="00C85E8D">
        <w:rPr>
          <w:rFonts w:ascii="Cambria" w:eastAsia="Calibri" w:hAnsi="Cambria" w:cs="Times New Roman"/>
          <w:sz w:val="24"/>
          <w:szCs w:val="24"/>
        </w:rPr>
        <w:t xml:space="preserve">r has been </w:t>
      </w:r>
      <w:r w:rsidR="007D5E6F" w:rsidRPr="00C85E8D">
        <w:rPr>
          <w:rFonts w:ascii="Cambria" w:eastAsia="Calibri" w:hAnsi="Cambria" w:cs="Times New Roman"/>
          <w:sz w:val="24"/>
          <w:szCs w:val="24"/>
        </w:rPr>
        <w:t>synonymously</w:t>
      </w:r>
      <w:r w:rsidR="005831BE" w:rsidRPr="00C85E8D">
        <w:rPr>
          <w:rFonts w:ascii="Cambria" w:eastAsia="Calibri" w:hAnsi="Cambria" w:cs="Times New Roman"/>
          <w:sz w:val="24"/>
          <w:szCs w:val="24"/>
        </w:rPr>
        <w:t xml:space="preserve"> used as sustainable consumption </w:t>
      </w:r>
      <w:r w:rsidR="00090A5A" w:rsidRPr="00C85E8D">
        <w:rPr>
          <w:rFonts w:ascii="Cambria" w:eastAsia="Calibri" w:hAnsi="Cambria" w:cs="Times New Roman"/>
          <w:sz w:val="24"/>
          <w:szCs w:val="24"/>
        </w:rPr>
        <w:t>behaviour</w:t>
      </w:r>
      <w:r w:rsidR="005831BE" w:rsidRPr="00C85E8D">
        <w:rPr>
          <w:rFonts w:ascii="Cambria" w:eastAsia="Calibri" w:hAnsi="Cambria" w:cs="Times New Roman"/>
          <w:sz w:val="24"/>
          <w:szCs w:val="24"/>
        </w:rPr>
        <w:t xml:space="preserve">. </w:t>
      </w:r>
      <w:r w:rsidR="00445BFC" w:rsidRPr="00C85E8D">
        <w:rPr>
          <w:rFonts w:ascii="Cambria" w:eastAsia="Calibri" w:hAnsi="Cambria" w:cs="Times New Roman"/>
          <w:sz w:val="24"/>
          <w:szCs w:val="24"/>
        </w:rPr>
        <w:t xml:space="preserve">But </w:t>
      </w:r>
      <w:r w:rsidR="006D53EB" w:rsidRPr="00C85E8D">
        <w:rPr>
          <w:rFonts w:ascii="Cambria" w:eastAsia="Calibri" w:hAnsi="Cambria" w:cs="Times New Roman"/>
          <w:sz w:val="24"/>
          <w:szCs w:val="24"/>
        </w:rPr>
        <w:t xml:space="preserve">oxymoron term ‘sustainable–consumption’ contradicts with consumption theory, by posing that ‘sustainable consumption’ represents minimising consumption (Lim 2017). So, the </w:t>
      </w:r>
      <w:r w:rsidR="006D53EB" w:rsidRPr="00C85E8D">
        <w:rPr>
          <w:rFonts w:ascii="Cambria" w:eastAsia="Calibri" w:hAnsi="Cambria" w:cs="Adobe Devanagari"/>
          <w:sz w:val="24"/>
          <w:szCs w:val="24"/>
        </w:rPr>
        <w:t>ad with sustainability message</w:t>
      </w:r>
      <w:r w:rsidR="006D53EB" w:rsidRPr="00C85E8D">
        <w:rPr>
          <w:rFonts w:ascii="Cambria" w:eastAsia="Calibri" w:hAnsi="Cambria" w:cs="Times New Roman"/>
          <w:sz w:val="24"/>
          <w:szCs w:val="24"/>
        </w:rPr>
        <w:t xml:space="preserve"> to promote sustainable consumption behaviour (i.e purchase intention of advertised product for this thesis) may fail to convey the symbolic meaning of products with sustainability dimensions. This failure may be attributed to the</w:t>
      </w:r>
      <w:r w:rsidR="006D53EB" w:rsidRPr="00C85E8D">
        <w:rPr>
          <w:rFonts w:ascii="Cambria" w:eastAsia="Calibri" w:hAnsi="Cambria" w:cs="Adobe Devanagari"/>
          <w:sz w:val="24"/>
          <w:szCs w:val="24"/>
        </w:rPr>
        <w:t xml:space="preserve"> lack of information, peer pressure and social norm.</w:t>
      </w:r>
      <w:r w:rsidR="006D53EB" w:rsidRPr="00C85E8D">
        <w:rPr>
          <w:rFonts w:ascii="Cambria" w:eastAsia="Calibri" w:hAnsi="Cambria" w:cs="Times New Roman"/>
          <w:sz w:val="24"/>
          <w:szCs w:val="24"/>
        </w:rPr>
        <w:t xml:space="preserve"> But it is possible for sustainable</w:t>
      </w:r>
      <w:r w:rsidR="006D53EB" w:rsidRPr="00C85E8D">
        <w:rPr>
          <w:rFonts w:ascii="Cambria" w:eastAsia="Calibri" w:hAnsi="Cambria" w:cs="Adobe Devanagari"/>
          <w:sz w:val="24"/>
          <w:szCs w:val="24"/>
        </w:rPr>
        <w:t xml:space="preserve">–behaviour and materialism to be compatible and to reform the symbolic meaning of sustainable consumption. However how to achieve the sustainable behaviour is still undefined </w:t>
      </w:r>
      <w:r w:rsidR="006D53EB" w:rsidRPr="00C85E8D">
        <w:rPr>
          <w:rFonts w:ascii="Cambria" w:eastAsia="Calibri" w:hAnsi="Cambria" w:cs="Times New Roman"/>
          <w:sz w:val="24"/>
          <w:szCs w:val="24"/>
        </w:rPr>
        <w:t>(</w:t>
      </w:r>
      <w:r w:rsidR="006D53EB" w:rsidRPr="00C85E8D">
        <w:rPr>
          <w:rFonts w:ascii="Cambria" w:eastAsia="Calibri" w:hAnsi="Cambria" w:cs="Adobe Devanagari"/>
          <w:sz w:val="24"/>
          <w:szCs w:val="24"/>
        </w:rPr>
        <w:t xml:space="preserve">Kemper and Ballantine 2019). This thesis proposes that, social media engagement may </w:t>
      </w:r>
      <w:r w:rsidR="00013E31" w:rsidRPr="00C85E8D">
        <w:rPr>
          <w:rFonts w:ascii="Cambria" w:eastAsia="Calibri" w:hAnsi="Cambria" w:cs="Adobe Devanagari"/>
          <w:sz w:val="24"/>
          <w:szCs w:val="24"/>
        </w:rPr>
        <w:t xml:space="preserve">act as </w:t>
      </w:r>
      <w:r w:rsidR="006D53EB" w:rsidRPr="00C85E8D">
        <w:rPr>
          <w:rFonts w:ascii="Cambria" w:eastAsia="Calibri" w:hAnsi="Cambria" w:cs="Adobe Devanagari"/>
          <w:sz w:val="24"/>
          <w:szCs w:val="24"/>
        </w:rPr>
        <w:t xml:space="preserve">the source of reliable information, create peer pressure and reformulate social norm. </w:t>
      </w:r>
      <w:r w:rsidR="006D53EB" w:rsidRPr="00C85E8D">
        <w:rPr>
          <w:rFonts w:ascii="Cambria" w:eastAsia="Calibri" w:hAnsi="Cambria" w:cs="Times New Roman"/>
          <w:sz w:val="24"/>
          <w:szCs w:val="24"/>
        </w:rPr>
        <w:t xml:space="preserve">Social–media use has already changed the marketplace and society (Bolton et al 2013; Hutter et al. 2013). For instance, social–media use of generation Y has affected their behaviour in many facets, like– their identity and habit formation, expectation from products, and purchase behaviour (Bolton et al 2013). If changing practice in the society is the salient goal of sustainable communication (Kilbourne 2004; Kemper and Ballantine 2019), consumers’ value and belief should be the main focus of it (Kilbourne and Pickett 2008). Consumers’ mindset moderates the extent of impact of positive or negative sustainability message, the easiness of understanding the message and the intention of adopting promoted specific sustainable behaviour, which may result into further adaptation of other sustainable behaviours (see White et al 2011). Hence, it is absolutely important to stay tuned to customer value and concerns (Martin and Schouten 2012) and their opinion about the </w:t>
      </w:r>
      <w:r w:rsidR="006D53EB" w:rsidRPr="00C85E8D">
        <w:rPr>
          <w:rFonts w:ascii="Cambria" w:eastAsia="Calibri" w:hAnsi="Cambria" w:cs="Adobe Devanagari"/>
          <w:sz w:val="24"/>
          <w:szCs w:val="24"/>
        </w:rPr>
        <w:t>ad with sustainability message</w:t>
      </w:r>
      <w:r w:rsidR="006D53EB" w:rsidRPr="00C85E8D">
        <w:rPr>
          <w:rFonts w:ascii="Cambria" w:eastAsia="Calibri" w:hAnsi="Cambria" w:cs="Times New Roman"/>
          <w:sz w:val="24"/>
          <w:szCs w:val="24"/>
        </w:rPr>
        <w:t>.</w:t>
      </w:r>
    </w:p>
    <w:p w14:paraId="67BB92FF" w14:textId="2B3A857C" w:rsidR="006D53EB" w:rsidRPr="00C85E8D" w:rsidRDefault="006D53EB" w:rsidP="006D53EB">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Lack of information may hinder</w:t>
      </w:r>
      <w:r w:rsidR="004209AF" w:rsidRPr="00C85E8D">
        <w:rPr>
          <w:rFonts w:ascii="Cambria" w:eastAsia="Calibri" w:hAnsi="Cambria" w:cs="Times New Roman"/>
          <w:sz w:val="24"/>
          <w:szCs w:val="24"/>
        </w:rPr>
        <w:t xml:space="preserve"> the</w:t>
      </w:r>
      <w:r w:rsidRPr="00C85E8D">
        <w:rPr>
          <w:rFonts w:ascii="Cambria" w:eastAsia="Calibri" w:hAnsi="Cambria" w:cs="Times New Roman"/>
          <w:sz w:val="24"/>
          <w:szCs w:val="24"/>
        </w:rPr>
        <w:t xml:space="preserve"> promotion of sustainable products (Olsen et al 2014). </w:t>
      </w:r>
      <w:r w:rsidR="00A45593" w:rsidRPr="00C85E8D">
        <w:rPr>
          <w:rFonts w:ascii="Cambria" w:eastAsia="Calibri" w:hAnsi="Cambria" w:cs="Times New Roman"/>
          <w:sz w:val="24"/>
          <w:szCs w:val="24"/>
        </w:rPr>
        <w:t>In addition to that,</w:t>
      </w:r>
      <w:r w:rsidRPr="00C85E8D">
        <w:rPr>
          <w:rFonts w:ascii="Cambria" w:eastAsia="Calibri" w:hAnsi="Cambria" w:cs="Times New Roman"/>
          <w:sz w:val="24"/>
          <w:szCs w:val="24"/>
        </w:rPr>
        <w:t xml:space="preserve"> provided information though the </w:t>
      </w:r>
      <w:r w:rsidRPr="00C85E8D">
        <w:rPr>
          <w:rFonts w:ascii="Cambria" w:eastAsia="Calibri" w:hAnsi="Cambria" w:cs="Adobe Devanagari"/>
          <w:sz w:val="24"/>
          <w:szCs w:val="24"/>
        </w:rPr>
        <w:t>ad with sustainability message</w:t>
      </w:r>
      <w:r w:rsidRPr="00C85E8D">
        <w:rPr>
          <w:rFonts w:ascii="Cambria" w:eastAsia="Calibri" w:hAnsi="Cambria" w:cs="Times New Roman"/>
          <w:sz w:val="24"/>
          <w:szCs w:val="24"/>
        </w:rPr>
        <w:t xml:space="preserve"> should also be accepted by the consumers to adopt sustainable behaviour. According to Lyon and Montgomery (2013) have argued </w:t>
      </w:r>
      <w:r w:rsidR="00A613D6" w:rsidRPr="00C85E8D">
        <w:rPr>
          <w:rFonts w:ascii="Cambria" w:eastAsia="Calibri" w:hAnsi="Cambria" w:cs="Times New Roman"/>
          <w:sz w:val="24"/>
          <w:szCs w:val="24"/>
        </w:rPr>
        <w:t>that</w:t>
      </w:r>
      <w:r w:rsidRPr="00C85E8D">
        <w:rPr>
          <w:rFonts w:ascii="Cambria" w:eastAsia="Calibri" w:hAnsi="Cambria" w:cs="Times New Roman"/>
          <w:sz w:val="24"/>
          <w:szCs w:val="24"/>
        </w:rPr>
        <w:t xml:space="preserve"> social–media is more suitable media rather than traditional media for green companies to communicate their sustainability efforts. They have also stated that social–media is accessible to consumers with full control on the content, where they can measure and demand the authenticity of information through two-way communication. This makes it less likely that firms will be able to greenwash the consumers. Social and interactive nature have made social–media a suitable platform to study consumer behaviour in the context of </w:t>
      </w:r>
      <w:r w:rsidRPr="00C85E8D">
        <w:rPr>
          <w:rFonts w:ascii="Cambria" w:eastAsia="Calibri" w:hAnsi="Cambria" w:cs="Adobe Devanagari"/>
          <w:sz w:val="24"/>
          <w:szCs w:val="24"/>
        </w:rPr>
        <w:t>ad with sustainability message</w:t>
      </w:r>
      <w:r w:rsidRPr="00C85E8D">
        <w:rPr>
          <w:rFonts w:ascii="Cambria" w:eastAsia="Calibri" w:hAnsi="Cambria" w:cs="Times New Roman"/>
          <w:sz w:val="24"/>
          <w:szCs w:val="24"/>
        </w:rPr>
        <w:t xml:space="preserve"> (see Dessart et al 2015; Malthouse and Hofacker, 2010; Kuo and Feng, 2013; Habibi et al., 2014). </w:t>
      </w:r>
      <w:r w:rsidR="00A564FF" w:rsidRPr="00C85E8D">
        <w:rPr>
          <w:rFonts w:ascii="Cambria" w:eastAsia="Calibri" w:hAnsi="Cambria" w:cs="Times New Roman"/>
          <w:sz w:val="24"/>
          <w:szCs w:val="24"/>
        </w:rPr>
        <w:t>Ashforth and Mael (1989), if company’s image, reputation, mission, social initiatives, operating principles can elicit meaningful social identities to consumes and if consumers can identify themselves with the company, they are not only become loyal but also act as advocates who promotes the company and the product by themselves. (Bhattacharya and Sen 2003; Hawkin 2019).</w:t>
      </w:r>
    </w:p>
    <w:p w14:paraId="34604CE8" w14:textId="21F27FA2" w:rsidR="00583D4B" w:rsidRDefault="004A2D1E"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P</w:t>
      </w:r>
      <w:r w:rsidR="006D53EB" w:rsidRPr="00C85E8D">
        <w:rPr>
          <w:rFonts w:ascii="Cambria" w:eastAsia="Calibri" w:hAnsi="Cambria" w:cs="Times New Roman"/>
          <w:sz w:val="24"/>
          <w:szCs w:val="24"/>
        </w:rPr>
        <w:t>roduct information coming from other members of the virtual community will be more acceptable</w:t>
      </w:r>
      <w:r w:rsidR="00D24122">
        <w:rPr>
          <w:rFonts w:ascii="Cambria" w:eastAsia="Calibri" w:hAnsi="Cambria" w:cs="Times New Roman"/>
          <w:sz w:val="24"/>
          <w:szCs w:val="24"/>
        </w:rPr>
        <w:t xml:space="preserve"> (</w:t>
      </w:r>
      <w:r w:rsidR="00D24122" w:rsidRPr="000A4D85">
        <w:rPr>
          <w:rFonts w:ascii="Cambria" w:eastAsia="Calibri" w:hAnsi="Cambria" w:cs="Times New Roman"/>
          <w:sz w:val="24"/>
          <w:szCs w:val="24"/>
        </w:rPr>
        <w:t>Nikolinakou</w:t>
      </w:r>
      <w:r w:rsidR="00D24122">
        <w:rPr>
          <w:rFonts w:ascii="Cambria" w:eastAsia="Calibri" w:hAnsi="Cambria" w:cs="Times New Roman"/>
          <w:sz w:val="24"/>
          <w:szCs w:val="24"/>
        </w:rPr>
        <w:t xml:space="preserve"> and King 2018)</w:t>
      </w:r>
      <w:r w:rsidR="006D53EB" w:rsidRPr="00C85E8D">
        <w:rPr>
          <w:rFonts w:ascii="Cambria" w:eastAsia="Calibri" w:hAnsi="Cambria" w:cs="Times New Roman"/>
          <w:sz w:val="24"/>
          <w:szCs w:val="24"/>
        </w:rPr>
        <w:t xml:space="preserve">, because acceptability of the information of the product and the product depends on the context (Pckett–Backer and Ozaki 2008). But members of social media may be more accepting of the information circulated in social media, because brand communities mediate the contents, information and communication among the members of the community (Andersen 2005). Consumers can be more influential to each other than the brand itself to the other consumers through interaction or engagement in social network. One reason for this is, consumers are increasingly depending on other consumers for information rather than the company (Muniz and Schau 2007; Cova and Dalli 2009, Hutter et al. 2013). On the other hand, ease of connectivity has facilitated consumers in social media give unsolicited feedback to other consumers and the company and thus provide more credible references and recommendation (Prahalad and Ramaswamy 2004; Brodie et al 2011; Porter and Donthu, 2008; Schau et al., 2009; Gambetti et al. 2012). In the case of brand switching, word of mouth has proven to be four times more effective that persuasion of sales assistance (Pickett–Baker and Ozaki 2008). Word–of–mouth or opinion of influencers are pivotal factor for choosing products (Vaughn, 1980). This shows that the initiator of the message, the advertiser/ brand, can influence social media engagement (Seo et al 2018). In social media, when an individual </w:t>
      </w:r>
      <w:r w:rsidR="001735D3" w:rsidRPr="00C85E8D">
        <w:rPr>
          <w:rFonts w:ascii="Cambria" w:eastAsia="Calibri" w:hAnsi="Cambria" w:cs="Times New Roman"/>
          <w:sz w:val="24"/>
          <w:szCs w:val="24"/>
        </w:rPr>
        <w:t>initiates</w:t>
      </w:r>
      <w:r w:rsidR="006D53EB" w:rsidRPr="00C85E8D">
        <w:rPr>
          <w:rFonts w:ascii="Cambria" w:eastAsia="Calibri" w:hAnsi="Cambria" w:cs="Times New Roman"/>
          <w:sz w:val="24"/>
          <w:szCs w:val="24"/>
        </w:rPr>
        <w:t xml:space="preserve"> an event by posting a content (i.e., </w:t>
      </w:r>
      <w:r w:rsidR="006D53EB" w:rsidRPr="00C85E8D">
        <w:rPr>
          <w:rFonts w:ascii="Cambria" w:eastAsia="Calibri" w:hAnsi="Cambria" w:cs="Adobe Devanagari"/>
          <w:sz w:val="24"/>
          <w:szCs w:val="24"/>
        </w:rPr>
        <w:t>ad with sustainability message</w:t>
      </w:r>
      <w:r w:rsidR="006D53EB" w:rsidRPr="00C85E8D">
        <w:rPr>
          <w:rFonts w:ascii="Cambria" w:eastAsia="Calibri" w:hAnsi="Cambria" w:cs="Times New Roman"/>
          <w:sz w:val="24"/>
          <w:szCs w:val="24"/>
        </w:rPr>
        <w:t xml:space="preserve">), other users engage on that and interpret the post depending on the course of this engagement. This interpretation is influenced by the source and the issue (Escobar et al 2014). </w:t>
      </w:r>
    </w:p>
    <w:p w14:paraId="6809883D" w14:textId="66E6A27C" w:rsidR="006D53EB" w:rsidRPr="00C85E8D" w:rsidRDefault="006D53EB"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 In the context of </w:t>
      </w:r>
      <w:r w:rsidRPr="00C85E8D">
        <w:rPr>
          <w:rFonts w:ascii="Cambria" w:eastAsia="Calibri" w:hAnsi="Cambria" w:cs="Adobe Devanagari"/>
          <w:sz w:val="24"/>
          <w:szCs w:val="24"/>
        </w:rPr>
        <w:t>ad with sustainability message</w:t>
      </w:r>
      <w:r w:rsidRPr="00C85E8D">
        <w:rPr>
          <w:rFonts w:ascii="Cambria" w:eastAsia="Calibri" w:hAnsi="Cambria" w:cs="Times New Roman"/>
          <w:sz w:val="24"/>
          <w:szCs w:val="24"/>
        </w:rPr>
        <w:t>, when accepting information is one of the reasons to adopt sustainable behaviour (</w:t>
      </w:r>
      <w:r w:rsidRPr="00C85E8D">
        <w:rPr>
          <w:rFonts w:ascii="Cambria" w:eastAsia="Calibri" w:hAnsi="Cambria" w:cs="Adobe Devanagari"/>
          <w:sz w:val="24"/>
          <w:szCs w:val="24"/>
        </w:rPr>
        <w:t>Kemper and Ballantine 2019</w:t>
      </w:r>
      <w:r w:rsidRPr="00C85E8D">
        <w:rPr>
          <w:rFonts w:ascii="Cambria" w:eastAsia="Calibri" w:hAnsi="Cambria" w:cs="Times New Roman"/>
          <w:sz w:val="24"/>
          <w:szCs w:val="24"/>
        </w:rPr>
        <w:t xml:space="preserve">), it is necessary to measure the impact of source expertise on the social media engagement. Because information coming from expert source has the capacity to influence the social media users (Shen et al 2010). </w:t>
      </w:r>
      <w:r w:rsidR="009866C2" w:rsidRPr="00C85E8D">
        <w:rPr>
          <w:rFonts w:ascii="Cambria" w:eastAsia="Calibri" w:hAnsi="Cambria" w:cs="Times New Roman"/>
          <w:sz w:val="24"/>
          <w:szCs w:val="24"/>
        </w:rPr>
        <w:t>A</w:t>
      </w:r>
      <w:r w:rsidRPr="00C85E8D">
        <w:rPr>
          <w:rFonts w:ascii="Cambria" w:eastAsia="Calibri" w:hAnsi="Cambria" w:cs="Times New Roman"/>
          <w:sz w:val="24"/>
          <w:szCs w:val="24"/>
        </w:rPr>
        <w:t>s seen in the thematic literature review (Appendix 1) that, the message/ post in social media (</w:t>
      </w:r>
      <w:r w:rsidR="005420F5" w:rsidRPr="00C85E8D">
        <w:rPr>
          <w:rFonts w:ascii="Cambria" w:eastAsia="Calibri" w:hAnsi="Cambria" w:cs="Times New Roman"/>
          <w:sz w:val="24"/>
          <w:szCs w:val="24"/>
        </w:rPr>
        <w:t>e.g.,</w:t>
      </w:r>
      <w:r w:rsidRPr="00C85E8D">
        <w:rPr>
          <w:rFonts w:ascii="Cambria" w:eastAsia="Calibri" w:hAnsi="Cambria" w:cs="Times New Roman"/>
          <w:sz w:val="24"/>
          <w:szCs w:val="24"/>
        </w:rPr>
        <w:t xml:space="preserve"> positive and negative caption and </w:t>
      </w:r>
      <w:r w:rsidRPr="00C85E8D">
        <w:rPr>
          <w:rFonts w:ascii="Cambria" w:eastAsia="Calibri" w:hAnsi="Cambria" w:cs="Adobe Devanagari"/>
          <w:sz w:val="24"/>
          <w:szCs w:val="24"/>
        </w:rPr>
        <w:t>ad with sustainability message</w:t>
      </w:r>
      <w:r w:rsidRPr="00C85E8D">
        <w:rPr>
          <w:rFonts w:ascii="Cambria" w:eastAsia="Calibri" w:hAnsi="Cambria" w:cs="Times New Roman"/>
          <w:sz w:val="24"/>
          <w:szCs w:val="24"/>
        </w:rPr>
        <w:t xml:space="preserve">) is only persuading if the source is dependable. Because information dissimianted by a dependable source is perceived as a reliable one, hence more persuading (Colliander and Dahlen 2011; Majid et al 2019; Kim and Dennis 2019; Chung and Cho 2017; De Oliveira et al 2020). Given the fact that, one of the reasons that sustainable products failed to appeal to the consumer is due to lack of proper information about their use and attributes (Pagiaslis and Krontalis 2014; Olsen et al 2014; </w:t>
      </w:r>
      <w:r w:rsidRPr="00C85E8D">
        <w:rPr>
          <w:rFonts w:ascii="Cambria" w:eastAsia="Calibri" w:hAnsi="Cambria" w:cs="Adobe Devanagari"/>
          <w:sz w:val="24"/>
          <w:szCs w:val="24"/>
        </w:rPr>
        <w:t>Kemper and Ballantine 2019)</w:t>
      </w:r>
      <w:r w:rsidRPr="00C85E8D">
        <w:rPr>
          <w:rFonts w:ascii="Cambria" w:eastAsia="Calibri" w:hAnsi="Cambria" w:cs="Times New Roman"/>
          <w:sz w:val="24"/>
          <w:szCs w:val="24"/>
        </w:rPr>
        <w:t xml:space="preserve">, directs the need to understand how the characteristics of the source may influence the evaluation of the </w:t>
      </w:r>
      <w:r w:rsidRPr="00C85E8D">
        <w:rPr>
          <w:rFonts w:ascii="Cambria" w:eastAsia="Calibri" w:hAnsi="Cambria" w:cs="Adobe Devanagari"/>
          <w:sz w:val="24"/>
          <w:szCs w:val="24"/>
        </w:rPr>
        <w:t>ad with sustainability message</w:t>
      </w:r>
      <w:r w:rsidRPr="00C85E8D">
        <w:rPr>
          <w:rFonts w:ascii="Cambria" w:eastAsia="Calibri" w:hAnsi="Cambria" w:cs="Times New Roman"/>
          <w:sz w:val="24"/>
          <w:szCs w:val="24"/>
        </w:rPr>
        <w:t>. Among the source characteristics, information coming from expert source generate further social media engagement as well as increase awareness and stimulate trail of new product (</w:t>
      </w:r>
      <w:r w:rsidRPr="00C85E8D">
        <w:rPr>
          <w:rFonts w:ascii="Cambria" w:eastAsia="Times New Roman" w:hAnsi="Cambria" w:cs="Calibri"/>
          <w:sz w:val="24"/>
          <w:szCs w:val="24"/>
          <w:lang w:eastAsia="en-GB"/>
        </w:rPr>
        <w:t xml:space="preserve">Hughes et al 2019; Huang et al 2017; Ki et al 2019). Henceforth, to what extent social media users become stimulated by the positive or negative caption of a source regarding </w:t>
      </w:r>
      <w:r w:rsidRPr="00C85E8D">
        <w:rPr>
          <w:rFonts w:ascii="Cambria" w:eastAsia="Calibri" w:hAnsi="Cambria" w:cs="Adobe Devanagari"/>
          <w:sz w:val="24"/>
          <w:szCs w:val="24"/>
        </w:rPr>
        <w:t>ad with sustainability message</w:t>
      </w:r>
      <w:r w:rsidRPr="00C85E8D">
        <w:rPr>
          <w:rFonts w:ascii="Cambria" w:eastAsia="Times New Roman" w:hAnsi="Cambria" w:cs="Calibri"/>
          <w:sz w:val="24"/>
          <w:szCs w:val="24"/>
          <w:lang w:eastAsia="en-GB"/>
        </w:rPr>
        <w:t xml:space="preserve"> has been explored from the point of sources’ expertise.</w:t>
      </w:r>
      <w:r w:rsidR="00926CD1" w:rsidRPr="00C85E8D">
        <w:rPr>
          <w:rFonts w:ascii="Cambria" w:eastAsia="Times New Roman" w:hAnsi="Cambria" w:cs="Calibri"/>
          <w:sz w:val="24"/>
          <w:szCs w:val="24"/>
          <w:lang w:eastAsia="en-GB"/>
        </w:rPr>
        <w:t xml:space="preserve"> </w:t>
      </w:r>
      <w:r w:rsidR="00926CD1" w:rsidRPr="00C85E8D">
        <w:rPr>
          <w:rFonts w:ascii="Cambria" w:eastAsia="Calibri" w:hAnsi="Cambria" w:cs="Times New Roman"/>
          <w:sz w:val="24"/>
          <w:szCs w:val="24"/>
        </w:rPr>
        <w:t xml:space="preserve">Participation and communication of the members of virtual community depend on the characteristics of the community members (Casalo´ et al 2008). Peer qualities is one of the influential factors in online network to elicit feelings, which may drive the consumers to a certain behaviour (Carlson et al 2018). </w:t>
      </w:r>
    </w:p>
    <w:p w14:paraId="091D471D" w14:textId="77777777" w:rsidR="006D53EB" w:rsidRPr="00C85E8D" w:rsidRDefault="006D53EB" w:rsidP="006D53EB">
      <w:pPr>
        <w:spacing w:line="360" w:lineRule="auto"/>
        <w:jc w:val="both"/>
        <w:rPr>
          <w:rFonts w:ascii="Cambria" w:eastAsia="Calibri" w:hAnsi="Cambria" w:cs="Times New Roman"/>
          <w:sz w:val="24"/>
          <w:szCs w:val="24"/>
        </w:rPr>
      </w:pPr>
      <w:r w:rsidRPr="00C85E8D">
        <w:rPr>
          <w:rFonts w:ascii="Cambria" w:eastAsia="Times New Roman" w:hAnsi="Cambria" w:cs="Calibri"/>
          <w:sz w:val="24"/>
          <w:szCs w:val="24"/>
          <w:lang w:eastAsia="en-GB"/>
        </w:rPr>
        <w:t xml:space="preserve">Additionally, consumers also employ higher mental resources depending on their involvement with the </w:t>
      </w:r>
      <w:r w:rsidRPr="00C85E8D">
        <w:rPr>
          <w:rFonts w:ascii="Cambria" w:eastAsia="Calibri" w:hAnsi="Cambria" w:cs="Adobe Devanagari"/>
          <w:sz w:val="24"/>
          <w:szCs w:val="24"/>
        </w:rPr>
        <w:t>ad with sustainability message</w:t>
      </w:r>
      <w:r w:rsidRPr="00C85E8D">
        <w:rPr>
          <w:rFonts w:ascii="Cambria" w:eastAsia="Times New Roman" w:hAnsi="Cambria" w:cs="Calibri"/>
          <w:sz w:val="24"/>
          <w:szCs w:val="24"/>
          <w:lang w:eastAsia="en-GB"/>
        </w:rPr>
        <w:t xml:space="preserve"> (see </w:t>
      </w:r>
      <w:r w:rsidRPr="00C85E8D">
        <w:rPr>
          <w:rFonts w:ascii="Cambria" w:eastAsia="Calibri" w:hAnsi="Cambria" w:cs="Times New Roman"/>
          <w:sz w:val="24"/>
          <w:szCs w:val="24"/>
        </w:rPr>
        <w:t>Berkowitz 1986)</w:t>
      </w:r>
      <w:r w:rsidRPr="00C85E8D">
        <w:rPr>
          <w:rFonts w:ascii="Cambria" w:eastAsia="Times New Roman" w:hAnsi="Cambria" w:cs="Calibri"/>
          <w:sz w:val="24"/>
          <w:szCs w:val="24"/>
          <w:lang w:eastAsia="en-GB"/>
        </w:rPr>
        <w:t xml:space="preserve">. Ad involvement should be incorporated for a study of social media engagement in the context of </w:t>
      </w:r>
      <w:r w:rsidRPr="00C85E8D">
        <w:rPr>
          <w:rFonts w:ascii="Cambria" w:eastAsia="Calibri" w:hAnsi="Cambria" w:cs="Adobe Devanagari"/>
          <w:sz w:val="24"/>
          <w:szCs w:val="24"/>
        </w:rPr>
        <w:t>ad with sustainability message</w:t>
      </w:r>
      <w:r w:rsidRPr="00C85E8D">
        <w:rPr>
          <w:rFonts w:ascii="Cambria" w:eastAsia="Times New Roman" w:hAnsi="Cambria" w:cs="Calibri"/>
          <w:sz w:val="24"/>
          <w:szCs w:val="24"/>
          <w:lang w:eastAsia="en-GB"/>
        </w:rPr>
        <w:t>, not only for the fact that, sustainability is deemed to have high involvement due the awareness of general people regarding sustainability (</w:t>
      </w:r>
      <w:r w:rsidRPr="00C85E8D">
        <w:rPr>
          <w:rFonts w:ascii="Cambria" w:eastAsia="Times New Roman" w:hAnsi="Cambria" w:cs="Adobe Devanagari"/>
          <w:sz w:val="24"/>
          <w:szCs w:val="24"/>
        </w:rPr>
        <w:t>McDonagh and Prother, 2014</w:t>
      </w:r>
      <w:r w:rsidRPr="00C85E8D">
        <w:rPr>
          <w:rFonts w:ascii="Cambria" w:eastAsia="Times New Roman" w:hAnsi="Cambria" w:cs="Calibri"/>
          <w:sz w:val="24"/>
          <w:szCs w:val="24"/>
          <w:lang w:eastAsia="en-GB"/>
        </w:rPr>
        <w:t xml:space="preserve">), but also social media engagement depend on users’ involvement with the topic (as discussed in the thematic literature review). </w:t>
      </w:r>
    </w:p>
    <w:p w14:paraId="424A5C08" w14:textId="27161160" w:rsidR="00AC5485" w:rsidRPr="00C85E8D" w:rsidRDefault="00AC5485"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Posts on social–media initiated by an individual may shape discussions (Martin and Schouten 2012). As an antecedent, the positive or negative captions also have the possibility to formulate the direction of the future social media engagement of the other consumers. This is also true for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001111CD" w:rsidRPr="00C85E8D">
        <w:rPr>
          <w:rFonts w:ascii="Cambria" w:eastAsia="Calibri" w:hAnsi="Cambria" w:cs="Times New Roman"/>
          <w:sz w:val="24"/>
          <w:szCs w:val="24"/>
        </w:rPr>
        <w:t xml:space="preserve"> </w:t>
      </w:r>
      <w:r w:rsidRPr="00C85E8D">
        <w:rPr>
          <w:rFonts w:ascii="Cambria" w:eastAsia="Calibri" w:hAnsi="Cambria" w:cs="Times New Roman"/>
          <w:sz w:val="24"/>
          <w:szCs w:val="24"/>
        </w:rPr>
        <w:t xml:space="preserve">because, because people engage in social–media over the content, they are excited about (Blazevic et al 2013). Hence concern for sustainability should inspire more engagement. Especially because consumers prefer messages regarding sustainability, which convey actionable solution for sustainability related problem, rather than focusing on sustainability </w:t>
      </w:r>
      <w:r w:rsidR="00042315">
        <w:rPr>
          <w:rFonts w:ascii="Cambria" w:eastAsia="Calibri" w:hAnsi="Cambria" w:cs="Times New Roman"/>
          <w:sz w:val="24"/>
          <w:szCs w:val="24"/>
        </w:rPr>
        <w:t>related problems</w:t>
      </w:r>
      <w:r w:rsidRPr="00C85E8D">
        <w:rPr>
          <w:rFonts w:ascii="Cambria" w:eastAsia="Calibri" w:hAnsi="Cambria" w:cs="Times New Roman"/>
          <w:sz w:val="24"/>
          <w:szCs w:val="24"/>
        </w:rPr>
        <w:t xml:space="preserve"> (Thøgersen and Schrader 2012; Song and Kim 2018; Han et al 2019). But, as a context, effectiveness of </w:t>
      </w:r>
      <w:r w:rsidR="00A94A1C" w:rsidRPr="00C85E8D">
        <w:rPr>
          <w:rFonts w:ascii="Cambria" w:eastAsia="Calibri" w:hAnsi="Cambria" w:cs="Adobe Devanagari"/>
          <w:sz w:val="24"/>
          <w:szCs w:val="24"/>
        </w:rPr>
        <w:t>ad with sustainability message</w:t>
      </w:r>
      <w:r w:rsidR="00A94A1C" w:rsidRPr="00C85E8D">
        <w:rPr>
          <w:rFonts w:ascii="Cambria" w:eastAsia="Calibri" w:hAnsi="Cambria" w:cs="Times New Roman"/>
          <w:sz w:val="24"/>
          <w:szCs w:val="24"/>
        </w:rPr>
        <w:t xml:space="preserve"> </w:t>
      </w:r>
      <w:r w:rsidRPr="00C85E8D">
        <w:rPr>
          <w:rFonts w:ascii="Cambria" w:eastAsia="Calibri" w:hAnsi="Cambria" w:cs="Times New Roman"/>
          <w:sz w:val="24"/>
          <w:szCs w:val="24"/>
        </w:rPr>
        <w:t>may be dependent on whether consumers can envision themselves using the product (</w:t>
      </w:r>
      <w:r w:rsidRPr="00C85E8D">
        <w:rPr>
          <w:rFonts w:ascii="Cambria" w:eastAsia="Times New Roman" w:hAnsi="Cambria" w:cs="Times New Roman"/>
          <w:sz w:val="24"/>
          <w:szCs w:val="24"/>
        </w:rPr>
        <w:t xml:space="preserve">see Rettie et al 2012; </w:t>
      </w:r>
      <w:r w:rsidRPr="00C85E8D">
        <w:rPr>
          <w:rFonts w:ascii="Cambria" w:eastAsia="Calibri" w:hAnsi="Cambria" w:cs="Times New Roman"/>
          <w:sz w:val="24"/>
          <w:szCs w:val="24"/>
        </w:rPr>
        <w:t xml:space="preserve">Johnstone and Tan 2015). As evident from the critical literature review (table 2), </w:t>
      </w:r>
      <w:r w:rsidR="004C3016" w:rsidRPr="00C85E8D">
        <w:rPr>
          <w:rFonts w:ascii="Cambria" w:eastAsia="Calibri" w:hAnsi="Cambria" w:cs="Adobe Devanagari"/>
          <w:sz w:val="24"/>
          <w:szCs w:val="24"/>
        </w:rPr>
        <w:t>ad with sustainability message</w:t>
      </w:r>
      <w:r w:rsidR="004C3016" w:rsidRPr="00C85E8D">
        <w:rPr>
          <w:rFonts w:ascii="Cambria" w:eastAsia="Calibri" w:hAnsi="Cambria" w:cs="Times New Roman"/>
          <w:sz w:val="24"/>
          <w:szCs w:val="24"/>
        </w:rPr>
        <w:t xml:space="preserve"> has</w:t>
      </w:r>
      <w:r w:rsidRPr="00C85E8D">
        <w:rPr>
          <w:rFonts w:ascii="Cambria" w:eastAsia="Calibri" w:hAnsi="Cambria" w:cs="Times New Roman"/>
          <w:sz w:val="24"/>
          <w:szCs w:val="24"/>
        </w:rPr>
        <w:t xml:space="preserve"> never been scrutinised from the perspective of consumption vision, which is measured through SCV in this thesis. </w:t>
      </w:r>
    </w:p>
    <w:p w14:paraId="1857ABB8" w14:textId="07E9AC5E" w:rsidR="00AC5485" w:rsidRPr="00C85E8D" w:rsidRDefault="00FE7D78" w:rsidP="00AC5485">
      <w:pPr>
        <w:spacing w:line="360" w:lineRule="auto"/>
        <w:jc w:val="both"/>
        <w:rPr>
          <w:rFonts w:ascii="Cambria" w:eastAsia="Calibri" w:hAnsi="Cambria" w:cs="Times New Roman"/>
          <w:sz w:val="24"/>
          <w:szCs w:val="24"/>
        </w:rPr>
      </w:pPr>
      <w:r w:rsidRPr="00C85E8D">
        <w:rPr>
          <w:rFonts w:ascii="Cambria" w:hAnsi="Cambria"/>
          <w:sz w:val="24"/>
          <w:szCs w:val="24"/>
        </w:rPr>
        <w:t>T</w:t>
      </w:r>
      <w:r w:rsidR="003D6CB4" w:rsidRPr="00C85E8D">
        <w:rPr>
          <w:rFonts w:ascii="Cambria" w:hAnsi="Cambria"/>
          <w:sz w:val="24"/>
          <w:szCs w:val="24"/>
        </w:rPr>
        <w:t xml:space="preserve">heory </w:t>
      </w:r>
      <w:r w:rsidR="00887D2A" w:rsidRPr="00C85E8D">
        <w:rPr>
          <w:rFonts w:ascii="Cambria" w:hAnsi="Cambria"/>
          <w:sz w:val="24"/>
          <w:szCs w:val="24"/>
        </w:rPr>
        <w:t>of SCV</w:t>
      </w:r>
      <w:r w:rsidR="00AC5485" w:rsidRPr="00C85E8D">
        <w:rPr>
          <w:rFonts w:ascii="Cambria" w:hAnsi="Cambria"/>
          <w:sz w:val="24"/>
          <w:szCs w:val="24"/>
        </w:rPr>
        <w:t xml:space="preserve"> dictates that, consumers attitude is influenced if they can visualise themselves using the product, the (Escalas 2004, Yim 2018). This</w:t>
      </w:r>
      <w:r w:rsidR="003D6CB4" w:rsidRPr="00C85E8D">
        <w:rPr>
          <w:rFonts w:ascii="Cambria" w:hAnsi="Cambria"/>
          <w:sz w:val="24"/>
          <w:szCs w:val="24"/>
        </w:rPr>
        <w:t xml:space="preserve"> elevated attitude</w:t>
      </w:r>
      <w:r w:rsidR="00AC5485" w:rsidRPr="00C85E8D">
        <w:rPr>
          <w:rFonts w:ascii="Cambria" w:hAnsi="Cambria"/>
          <w:sz w:val="24"/>
          <w:szCs w:val="24"/>
        </w:rPr>
        <w:t xml:space="preserve"> will lead to the purchasing behaviour (Petty and Cacioppo 2018) or other behavioural intention like social media engagement. This should be true for the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001111CD" w:rsidRPr="00C85E8D">
        <w:rPr>
          <w:rFonts w:ascii="Cambria" w:eastAsia="Calibri" w:hAnsi="Cambria" w:cs="Times New Roman"/>
          <w:sz w:val="24"/>
          <w:szCs w:val="24"/>
        </w:rPr>
        <w:t xml:space="preserve"> </w:t>
      </w:r>
      <w:r w:rsidR="00AC5485" w:rsidRPr="00C85E8D">
        <w:rPr>
          <w:rFonts w:ascii="Cambria" w:hAnsi="Cambria"/>
          <w:sz w:val="24"/>
          <w:szCs w:val="24"/>
        </w:rPr>
        <w:t xml:space="preserve">context too. In other words,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001111CD" w:rsidRPr="00C85E8D">
        <w:rPr>
          <w:rFonts w:ascii="Cambria" w:eastAsia="Calibri" w:hAnsi="Cambria" w:cs="Times New Roman"/>
          <w:sz w:val="24"/>
          <w:szCs w:val="24"/>
        </w:rPr>
        <w:t xml:space="preserve"> </w:t>
      </w:r>
      <w:r w:rsidR="00AC5485" w:rsidRPr="00C85E8D">
        <w:rPr>
          <w:rFonts w:ascii="Cambria" w:hAnsi="Cambria"/>
          <w:sz w:val="24"/>
          <w:szCs w:val="24"/>
        </w:rPr>
        <w:t>will motivate the consumers to engage in social media based on their attitude toward the ad</w:t>
      </w:r>
      <w:r w:rsidR="00AC5485" w:rsidRPr="00C85E8D">
        <w:rPr>
          <w:rFonts w:ascii="Cambria" w:eastAsia="Times New Roman" w:hAnsi="Cambria" w:cs="Times New Roman"/>
          <w:sz w:val="24"/>
          <w:szCs w:val="24"/>
        </w:rPr>
        <w:t xml:space="preserve"> (</w:t>
      </w:r>
      <w:bookmarkStart w:id="52" w:name="_Hlk29144016"/>
      <w:r w:rsidR="00AC5485" w:rsidRPr="00C85E8D">
        <w:rPr>
          <w:rFonts w:ascii="Cambria" w:eastAsia="Times New Roman" w:hAnsi="Cambria" w:cs="Times New Roman"/>
          <w:sz w:val="24"/>
          <w:szCs w:val="24"/>
        </w:rPr>
        <w:t>see Petty and Cacioppo 2018</w:t>
      </w:r>
      <w:bookmarkEnd w:id="52"/>
      <w:r w:rsidR="00AC5485" w:rsidRPr="00C85E8D">
        <w:rPr>
          <w:rFonts w:ascii="Cambria" w:eastAsia="Times New Roman" w:hAnsi="Cambria" w:cs="Times New Roman"/>
          <w:sz w:val="24"/>
          <w:szCs w:val="24"/>
        </w:rPr>
        <w:t xml:space="preserve">). However, SCV </w:t>
      </w:r>
      <w:r w:rsidR="00AC5485" w:rsidRPr="00C85E8D">
        <w:rPr>
          <w:rFonts w:ascii="Cambria" w:hAnsi="Cambria"/>
          <w:sz w:val="24"/>
          <w:szCs w:val="24"/>
        </w:rPr>
        <w:t>influence ad attitude through emotions</w:t>
      </w:r>
      <w:r w:rsidR="00AC5485" w:rsidRPr="00C85E8D">
        <w:rPr>
          <w:rFonts w:ascii="Cambria" w:eastAsia="Times New Roman" w:hAnsi="Cambria" w:cs="Times New Roman"/>
          <w:sz w:val="24"/>
          <w:szCs w:val="24"/>
        </w:rPr>
        <w:t xml:space="preserve"> (</w:t>
      </w:r>
      <w:r w:rsidR="00AC5485" w:rsidRPr="00C85E8D">
        <w:rPr>
          <w:rFonts w:ascii="Cambria" w:hAnsi="Cambria"/>
          <w:sz w:val="24"/>
          <w:szCs w:val="24"/>
        </w:rPr>
        <w:t xml:space="preserve">Richard and Chebat 2016; Yim 2018), which should lead to </w:t>
      </w:r>
      <w:r w:rsidR="00AC5485" w:rsidRPr="00C85E8D">
        <w:rPr>
          <w:rFonts w:ascii="Cambria" w:eastAsia="Times New Roman" w:hAnsi="Cambria" w:cs="Times New Roman"/>
          <w:sz w:val="24"/>
          <w:szCs w:val="24"/>
        </w:rPr>
        <w:t xml:space="preserve">behavioural construct– </w:t>
      </w:r>
      <w:r w:rsidR="00AC5485" w:rsidRPr="00C85E8D">
        <w:rPr>
          <w:rFonts w:ascii="Cambria" w:hAnsi="Cambria"/>
          <w:sz w:val="24"/>
          <w:szCs w:val="24"/>
        </w:rPr>
        <w:t>s</w:t>
      </w:r>
      <w:r w:rsidR="00AC5485" w:rsidRPr="00C85E8D">
        <w:rPr>
          <w:rFonts w:ascii="Cambria" w:eastAsia="Times New Roman" w:hAnsi="Cambria" w:cs="Times New Roman"/>
          <w:sz w:val="24"/>
          <w:szCs w:val="24"/>
        </w:rPr>
        <w:t>ocial–media engagement (Dolan et al 2016, Verhoef et al 2010)</w:t>
      </w:r>
      <w:r w:rsidR="00AC5485" w:rsidRPr="00C85E8D">
        <w:rPr>
          <w:rFonts w:ascii="Cambria" w:hAnsi="Cambria"/>
          <w:sz w:val="24"/>
          <w:szCs w:val="24"/>
        </w:rPr>
        <w:t xml:space="preserve">. This statement is mirrored in </w:t>
      </w:r>
      <w:r w:rsidR="00AC5485" w:rsidRPr="00C85E8D">
        <w:rPr>
          <w:rFonts w:ascii="Cambria" w:eastAsia="Calibri" w:hAnsi="Cambria" w:cs="Times New Roman"/>
          <w:sz w:val="24"/>
          <w:szCs w:val="24"/>
        </w:rPr>
        <w:t>the thematic literature review</w:t>
      </w:r>
      <w:r w:rsidR="009521B9" w:rsidRPr="00C85E8D">
        <w:rPr>
          <w:rFonts w:ascii="Cambria" w:eastAsia="Calibri" w:hAnsi="Cambria" w:cs="Times New Roman"/>
          <w:sz w:val="24"/>
          <w:szCs w:val="24"/>
        </w:rPr>
        <w:t xml:space="preserve"> (appendix 1)</w:t>
      </w:r>
      <w:r w:rsidR="00AC5485" w:rsidRPr="00C85E8D">
        <w:rPr>
          <w:rFonts w:ascii="Cambria" w:eastAsia="Calibri" w:hAnsi="Cambria" w:cs="Times New Roman"/>
          <w:sz w:val="24"/>
          <w:szCs w:val="24"/>
        </w:rPr>
        <w:t>, where it is mentioned that emotion moderates the impact of social media content over subsequent behavioural intention (</w:t>
      </w:r>
      <w:r w:rsidR="00AC5485" w:rsidRPr="00C85E8D">
        <w:rPr>
          <w:rFonts w:ascii="Cambria" w:eastAsia="Times New Roman" w:hAnsi="Cambria" w:cs="Calibri"/>
          <w:sz w:val="24"/>
          <w:szCs w:val="24"/>
          <w:lang w:eastAsia="en-GB"/>
        </w:rPr>
        <w:t xml:space="preserve">Meire et al 2019; De Oliveira et al 2020). </w:t>
      </w:r>
      <w:r w:rsidR="00E759FC" w:rsidRPr="00C85E8D">
        <w:rPr>
          <w:rFonts w:ascii="Cambria" w:eastAsia="Times New Roman" w:hAnsi="Cambria" w:cs="Calibri"/>
          <w:sz w:val="24"/>
          <w:szCs w:val="24"/>
          <w:lang w:eastAsia="en-GB"/>
        </w:rPr>
        <w:t>Moreover</w:t>
      </w:r>
      <w:r w:rsidR="00AC5485" w:rsidRPr="00C85E8D">
        <w:rPr>
          <w:rFonts w:ascii="Cambria" w:eastAsia="Times New Roman" w:hAnsi="Cambria" w:cs="Calibri"/>
          <w:sz w:val="24"/>
          <w:szCs w:val="24"/>
          <w:lang w:eastAsia="en-GB"/>
        </w:rPr>
        <w:t>, consumers are emotionally attached with sustainability (Bansal and Roth 2000; Rowe et al 2019; Martin and Schouten 2012).</w:t>
      </w:r>
      <w:r w:rsidR="00EE6508">
        <w:rPr>
          <w:rFonts w:ascii="Cambria" w:eastAsia="Times New Roman" w:hAnsi="Cambria" w:cs="Calibri"/>
          <w:sz w:val="24"/>
          <w:szCs w:val="24"/>
          <w:lang w:eastAsia="en-GB"/>
        </w:rPr>
        <w:t xml:space="preserve"> </w:t>
      </w:r>
      <w:r w:rsidR="00C3120D">
        <w:rPr>
          <w:rFonts w:ascii="Cambria" w:eastAsia="Times New Roman" w:hAnsi="Cambria" w:cs="Calibri"/>
          <w:sz w:val="24"/>
          <w:szCs w:val="24"/>
          <w:lang w:eastAsia="en-GB"/>
        </w:rPr>
        <w:t>Co</w:t>
      </w:r>
      <w:r w:rsidR="00846A17">
        <w:rPr>
          <w:rFonts w:ascii="Cambria" w:eastAsia="Times New Roman" w:hAnsi="Cambria" w:cs="Calibri"/>
          <w:sz w:val="24"/>
          <w:szCs w:val="24"/>
          <w:lang w:eastAsia="en-GB"/>
        </w:rPr>
        <w:t xml:space="preserve">nsumers share a post on social media if they </w:t>
      </w:r>
      <w:r w:rsidR="00CC49BE">
        <w:rPr>
          <w:rFonts w:ascii="Cambria" w:eastAsia="Times New Roman" w:hAnsi="Cambria" w:cs="Calibri"/>
          <w:sz w:val="24"/>
          <w:szCs w:val="24"/>
          <w:lang w:eastAsia="en-GB"/>
        </w:rPr>
        <w:t>are emotionally stimulated</w:t>
      </w:r>
      <w:r w:rsidR="00D41B4B">
        <w:rPr>
          <w:rFonts w:ascii="Cambria" w:eastAsia="Times New Roman" w:hAnsi="Cambria" w:cs="Calibri"/>
          <w:sz w:val="24"/>
          <w:szCs w:val="24"/>
          <w:lang w:eastAsia="en-GB"/>
        </w:rPr>
        <w:t xml:space="preserve">; especially if they </w:t>
      </w:r>
      <w:r w:rsidR="00165F24">
        <w:rPr>
          <w:rFonts w:ascii="Cambria" w:eastAsia="Times New Roman" w:hAnsi="Cambria" w:cs="Calibri"/>
          <w:sz w:val="24"/>
          <w:szCs w:val="24"/>
          <w:lang w:eastAsia="en-GB"/>
        </w:rPr>
        <w:t>feel positive emotion</w:t>
      </w:r>
      <w:r w:rsidR="00C3120D" w:rsidRPr="00C3120D">
        <w:rPr>
          <w:rFonts w:ascii="Cambria" w:eastAsia="Calibri" w:hAnsi="Cambria" w:cs="Times New Roman"/>
          <w:sz w:val="24"/>
          <w:szCs w:val="24"/>
        </w:rPr>
        <w:t xml:space="preserve"> </w:t>
      </w:r>
      <w:r w:rsidR="00C3120D">
        <w:rPr>
          <w:rFonts w:ascii="Cambria" w:eastAsia="Calibri" w:hAnsi="Cambria" w:cs="Times New Roman"/>
          <w:sz w:val="24"/>
          <w:szCs w:val="24"/>
        </w:rPr>
        <w:t>(</w:t>
      </w:r>
      <w:r w:rsidR="00C3120D" w:rsidRPr="000A4D85">
        <w:rPr>
          <w:rFonts w:ascii="Cambria" w:eastAsia="Calibri" w:hAnsi="Cambria" w:cs="Times New Roman"/>
          <w:sz w:val="24"/>
          <w:szCs w:val="24"/>
        </w:rPr>
        <w:t>Nikolinakou</w:t>
      </w:r>
      <w:r w:rsidR="00C3120D">
        <w:rPr>
          <w:rFonts w:ascii="Cambria" w:eastAsia="Calibri" w:hAnsi="Cambria" w:cs="Times New Roman"/>
          <w:sz w:val="24"/>
          <w:szCs w:val="24"/>
        </w:rPr>
        <w:t xml:space="preserve"> and King 2018).</w:t>
      </w:r>
      <w:r w:rsidR="00AC5485" w:rsidRPr="00C85E8D">
        <w:rPr>
          <w:rFonts w:ascii="Cambria" w:eastAsia="Times New Roman" w:hAnsi="Cambria" w:cs="Calibri"/>
          <w:sz w:val="24"/>
          <w:szCs w:val="24"/>
          <w:lang w:eastAsia="en-GB"/>
        </w:rPr>
        <w:t xml:space="preserve"> Hence it is only natural that, consumers will engage over </w:t>
      </w:r>
      <w:r w:rsidR="001111CD" w:rsidRPr="00C85E8D">
        <w:rPr>
          <w:rFonts w:ascii="Cambria" w:eastAsia="Calibri" w:hAnsi="Cambria" w:cs="Adobe Devanagari"/>
          <w:sz w:val="24"/>
          <w:szCs w:val="24"/>
        </w:rPr>
        <w:t xml:space="preserve">ad with </w:t>
      </w:r>
      <w:r w:rsidR="00E363FB" w:rsidRPr="00C85E8D">
        <w:rPr>
          <w:rFonts w:ascii="Cambria" w:eastAsia="Calibri" w:hAnsi="Cambria" w:cs="Adobe Devanagari"/>
          <w:sz w:val="24"/>
          <w:szCs w:val="24"/>
        </w:rPr>
        <w:t>sustainability</w:t>
      </w:r>
      <w:r w:rsidR="001111CD" w:rsidRPr="00C85E8D">
        <w:rPr>
          <w:rFonts w:ascii="Cambria" w:eastAsia="Calibri" w:hAnsi="Cambria" w:cs="Adobe Devanagari"/>
          <w:sz w:val="24"/>
          <w:szCs w:val="24"/>
        </w:rPr>
        <w:t xml:space="preserve"> message</w:t>
      </w:r>
      <w:r w:rsidR="001111CD" w:rsidRPr="00C85E8D">
        <w:rPr>
          <w:rFonts w:ascii="Cambria" w:eastAsia="Calibri" w:hAnsi="Cambria" w:cs="Times New Roman"/>
          <w:sz w:val="24"/>
          <w:szCs w:val="24"/>
        </w:rPr>
        <w:t xml:space="preserve"> </w:t>
      </w:r>
      <w:r w:rsidR="00AC5485" w:rsidRPr="00C85E8D">
        <w:rPr>
          <w:rFonts w:ascii="Cambria" w:eastAsia="Times New Roman" w:hAnsi="Cambria" w:cs="Calibri"/>
          <w:sz w:val="24"/>
          <w:szCs w:val="24"/>
          <w:lang w:eastAsia="en-GB"/>
        </w:rPr>
        <w:t xml:space="preserve">depending on the extent of emotion is generated by the post, which consists of positive and negative caption accompanying the ad. This requires analysing overall spectrum of the emotion which ranges from positive to negative. As observed in the thematic literature review, social media engagement literature is mainly governed by positive emotions. So, this thesis has considered PAD theory of emotion to encompass overall dimensions of emotional constructs (Huang 2001). </w:t>
      </w:r>
    </w:p>
    <w:p w14:paraId="76638323" w14:textId="7AD98BED" w:rsidR="00AC5485" w:rsidRPr="00C85E8D" w:rsidRDefault="00AC5485"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This thesis</w:t>
      </w:r>
      <w:r w:rsidR="009521B9" w:rsidRPr="00C85E8D">
        <w:rPr>
          <w:rFonts w:ascii="Cambria" w:eastAsia="Calibri" w:hAnsi="Cambria" w:cs="Times New Roman"/>
          <w:sz w:val="24"/>
          <w:szCs w:val="24"/>
        </w:rPr>
        <w:t xml:space="preserve"> </w:t>
      </w:r>
      <w:r w:rsidR="00887D2A" w:rsidRPr="00C85E8D">
        <w:rPr>
          <w:rFonts w:ascii="Cambria" w:eastAsia="Calibri" w:hAnsi="Cambria" w:cs="Times New Roman"/>
          <w:sz w:val="24"/>
          <w:szCs w:val="24"/>
        </w:rPr>
        <w:t>has</w:t>
      </w:r>
      <w:r w:rsidR="009521B9" w:rsidRPr="00C85E8D">
        <w:rPr>
          <w:rFonts w:ascii="Cambria" w:eastAsia="Calibri" w:hAnsi="Cambria" w:cs="Times New Roman"/>
          <w:sz w:val="24"/>
          <w:szCs w:val="24"/>
        </w:rPr>
        <w:t xml:space="preserve"> also taken </w:t>
      </w:r>
      <w:r w:rsidRPr="00C85E8D">
        <w:rPr>
          <w:rFonts w:ascii="Cambria" w:eastAsia="Calibri" w:hAnsi="Cambria" w:cs="Times New Roman"/>
          <w:sz w:val="24"/>
          <w:szCs w:val="24"/>
        </w:rPr>
        <w:t>the study further and explored the purchase intention of the advertised sustainable products and other sustainable behaviour inspired through social media engagement. This is posited because social–media–engagement has the potentiality to influence the behavioural intention of the users of social media. Individual’s behaviour in a social–media is influenced by others, because this way that can conform the communities’ behavioural pattern (Venkatesh &amp; Brown, 2001; Davies and Gutsche 2016; Bolton et al 2013). Consumers convey their view, opinion and impression to others through consumption activities that balance personal views and social opinions (Hawkin 2019). Since social media engagement may create</w:t>
      </w:r>
      <w:r w:rsidR="004A4FEB" w:rsidRPr="00C85E8D">
        <w:rPr>
          <w:rFonts w:ascii="Cambria" w:eastAsia="Calibri" w:hAnsi="Cambria" w:cs="Times New Roman"/>
          <w:sz w:val="24"/>
          <w:szCs w:val="24"/>
        </w:rPr>
        <w:t xml:space="preserve"> substantial</w:t>
      </w:r>
      <w:r w:rsidRPr="00C85E8D">
        <w:rPr>
          <w:rFonts w:ascii="Cambria" w:eastAsia="Calibri" w:hAnsi="Cambria" w:cs="Times New Roman"/>
          <w:sz w:val="24"/>
          <w:szCs w:val="24"/>
        </w:rPr>
        <w:t xml:space="preserve"> awareness about sustainability (Lin and Hsu 2015), proper information about the</w:t>
      </w:r>
      <w:r w:rsidR="00BC697F" w:rsidRPr="00C85E8D">
        <w:rPr>
          <w:rFonts w:ascii="Cambria" w:eastAsia="Calibri" w:hAnsi="Cambria" w:cs="Times New Roman"/>
          <w:sz w:val="24"/>
          <w:szCs w:val="24"/>
        </w:rPr>
        <w:t xml:space="preserve"> products with sustainability association</w:t>
      </w:r>
      <w:r w:rsidRPr="00C85E8D">
        <w:rPr>
          <w:rFonts w:ascii="Cambria" w:eastAsia="Calibri" w:hAnsi="Cambria" w:cs="Times New Roman"/>
          <w:sz w:val="24"/>
          <w:szCs w:val="24"/>
        </w:rPr>
        <w:t>, their attributes and availability</w:t>
      </w:r>
      <w:r w:rsidR="004A4FEB" w:rsidRPr="00C85E8D">
        <w:rPr>
          <w:rFonts w:ascii="Cambria" w:eastAsia="Calibri" w:hAnsi="Cambria" w:cs="Times New Roman"/>
          <w:sz w:val="24"/>
          <w:szCs w:val="24"/>
        </w:rPr>
        <w:t>,</w:t>
      </w:r>
      <w:r w:rsidRPr="00C85E8D">
        <w:rPr>
          <w:rFonts w:ascii="Cambria" w:eastAsia="Calibri" w:hAnsi="Cambria" w:cs="Times New Roman"/>
          <w:sz w:val="24"/>
          <w:szCs w:val="24"/>
        </w:rPr>
        <w:t xml:space="preserve"> and other aspect</w:t>
      </w:r>
      <w:r w:rsidR="004A4FEB" w:rsidRPr="00C85E8D">
        <w:rPr>
          <w:rFonts w:ascii="Cambria" w:eastAsia="Calibri" w:hAnsi="Cambria" w:cs="Times New Roman"/>
          <w:sz w:val="24"/>
          <w:szCs w:val="24"/>
        </w:rPr>
        <w:t xml:space="preserve">s, which </w:t>
      </w:r>
      <w:r w:rsidRPr="00C85E8D">
        <w:rPr>
          <w:rFonts w:ascii="Cambria" w:eastAsia="Calibri" w:hAnsi="Cambria" w:cs="Times New Roman"/>
          <w:sz w:val="24"/>
          <w:szCs w:val="24"/>
        </w:rPr>
        <w:t>may help the consumers to have understanding of the situation and better plan to implement sustainable purchase intention (Grimmer et al 2016). This may be fruitful to combat unsustainable–consumption choices that is shaped by social norm (Banbury et al 2012; Hutter et al. 2013; Black et al 1985; Johnstone and Tan 2015).</w:t>
      </w:r>
    </w:p>
    <w:p w14:paraId="4CE430AD" w14:textId="1C560071" w:rsidR="00385F28" w:rsidRPr="00C85E8D" w:rsidRDefault="00385F28" w:rsidP="00AC5485">
      <w:pPr>
        <w:spacing w:line="360" w:lineRule="auto"/>
        <w:jc w:val="both"/>
        <w:rPr>
          <w:rFonts w:ascii="Cambria" w:eastAsia="Calibri" w:hAnsi="Cambria" w:cs="Times New Roman"/>
          <w:sz w:val="24"/>
          <w:szCs w:val="24"/>
        </w:rPr>
      </w:pPr>
      <w:r w:rsidRPr="00C85E8D">
        <w:rPr>
          <w:rFonts w:ascii="Cambria" w:eastAsia="Calibri" w:hAnsi="Cambria" w:cs="Times New Roman"/>
          <w:sz w:val="24"/>
          <w:szCs w:val="24"/>
        </w:rPr>
        <w:t xml:space="preserve">The relationships of the variables are elaborated in the next section. </w:t>
      </w:r>
    </w:p>
    <w:p w14:paraId="5828F0DE" w14:textId="6530510F" w:rsidR="00385F28" w:rsidRPr="00530906" w:rsidRDefault="00385F28" w:rsidP="00385F28">
      <w:pPr>
        <w:spacing w:line="259" w:lineRule="auto"/>
        <w:rPr>
          <w:rFonts w:ascii="Cambria" w:eastAsia="Calibri" w:hAnsi="Cambria" w:cstheme="majorBidi"/>
          <w:color w:val="2F5496" w:themeColor="accent1" w:themeShade="BF"/>
          <w:sz w:val="32"/>
          <w:szCs w:val="32"/>
        </w:rPr>
      </w:pPr>
      <w:r w:rsidRPr="00530906">
        <w:rPr>
          <w:rFonts w:ascii="Cambria" w:eastAsia="Calibri" w:hAnsi="Cambria"/>
        </w:rPr>
        <w:br w:type="page"/>
      </w:r>
    </w:p>
    <w:p w14:paraId="57F03D51" w14:textId="77777777" w:rsidR="00385F28" w:rsidRPr="00530906" w:rsidRDefault="00385F28" w:rsidP="00385F28"/>
    <w:p w14:paraId="17F3E741" w14:textId="77777777" w:rsidR="00385F28" w:rsidRPr="00530906" w:rsidRDefault="00385F28" w:rsidP="00385F28"/>
    <w:p w14:paraId="7F0BBB68" w14:textId="77777777" w:rsidR="00385F28" w:rsidRPr="00530906" w:rsidRDefault="00385F28" w:rsidP="00385F28"/>
    <w:p w14:paraId="1DC18536" w14:textId="77777777" w:rsidR="00385F28" w:rsidRPr="00530906" w:rsidRDefault="00385F28" w:rsidP="00385F28"/>
    <w:p w14:paraId="019D255B" w14:textId="77777777" w:rsidR="00385F28" w:rsidRPr="00530906" w:rsidRDefault="00385F28" w:rsidP="00385F28"/>
    <w:p w14:paraId="3EC8145A" w14:textId="77777777" w:rsidR="00385F28" w:rsidRPr="00530906" w:rsidRDefault="00385F28" w:rsidP="00385F28"/>
    <w:p w14:paraId="4773AE84" w14:textId="09A28D09" w:rsidR="00385F28" w:rsidRPr="00530906" w:rsidRDefault="00385F28" w:rsidP="00385F28"/>
    <w:p w14:paraId="3C094AEA" w14:textId="4B8BD922" w:rsidR="00385F28" w:rsidRPr="00530906" w:rsidRDefault="00385F28" w:rsidP="00385F28"/>
    <w:p w14:paraId="4F15DD4B" w14:textId="14D76E53" w:rsidR="00385F28" w:rsidRPr="00530906" w:rsidRDefault="00385F28" w:rsidP="00385F28"/>
    <w:p w14:paraId="27B02518" w14:textId="2B8BD360" w:rsidR="00385F28" w:rsidRPr="00530906" w:rsidRDefault="00385F28" w:rsidP="00385F28"/>
    <w:p w14:paraId="2E38D28F" w14:textId="54F272C4" w:rsidR="00385F28" w:rsidRPr="00530906" w:rsidRDefault="00385F28" w:rsidP="00385F28"/>
    <w:p w14:paraId="7429B998" w14:textId="77777777" w:rsidR="00385F28" w:rsidRPr="00530906" w:rsidRDefault="00385F28" w:rsidP="00385F28"/>
    <w:p w14:paraId="2132788D" w14:textId="77777777" w:rsidR="00385F28" w:rsidRPr="00530906" w:rsidRDefault="00385F28" w:rsidP="00385F28"/>
    <w:p w14:paraId="4A9077C6" w14:textId="3BFAD7B8" w:rsidR="00C7217E" w:rsidRPr="00530906" w:rsidRDefault="00C7217E" w:rsidP="00D36894">
      <w:pPr>
        <w:pStyle w:val="Heading1"/>
        <w:rPr>
          <w:rFonts w:ascii="Cambria" w:eastAsia="Calibri" w:hAnsi="Cambria"/>
        </w:rPr>
      </w:pPr>
      <w:bookmarkStart w:id="53" w:name="_Toc115726233"/>
      <w:r w:rsidRPr="00530906">
        <w:rPr>
          <w:rFonts w:ascii="Cambria" w:eastAsia="Calibri" w:hAnsi="Cambria"/>
        </w:rPr>
        <w:t>3. Hypothesis development</w:t>
      </w:r>
      <w:bookmarkEnd w:id="53"/>
    </w:p>
    <w:p w14:paraId="01BDB5FA" w14:textId="77777777" w:rsidR="00EE655C" w:rsidRPr="00530906" w:rsidRDefault="00EE655C" w:rsidP="008756B1">
      <w:pPr>
        <w:spacing w:line="259" w:lineRule="auto"/>
        <w:jc w:val="both"/>
        <w:rPr>
          <w:rFonts w:ascii="Cambria" w:eastAsia="Calibri" w:hAnsi="Cambria" w:cs="Times New Roman"/>
        </w:rPr>
      </w:pPr>
      <w:r w:rsidRPr="00530906">
        <w:rPr>
          <w:rFonts w:ascii="Cambria" w:eastAsia="Calibri" w:hAnsi="Cambria" w:cs="Times New Roman"/>
        </w:rPr>
        <w:br w:type="page"/>
      </w:r>
    </w:p>
    <w:p w14:paraId="2EF62373" w14:textId="77777777" w:rsidR="009D34E3" w:rsidRDefault="00C7217E">
      <w:pPr>
        <w:spacing w:line="360" w:lineRule="auto"/>
        <w:jc w:val="both"/>
        <w:rPr>
          <w:rFonts w:ascii="Cambria" w:eastAsia="Calibri" w:hAnsi="Cambria" w:cs="Times New Roman"/>
          <w:sz w:val="24"/>
          <w:szCs w:val="24"/>
        </w:rPr>
      </w:pPr>
      <w:r w:rsidRPr="00E512CE">
        <w:rPr>
          <w:rFonts w:ascii="Cambria" w:eastAsia="Calibri" w:hAnsi="Cambria" w:cs="Times New Roman"/>
          <w:sz w:val="24"/>
          <w:szCs w:val="24"/>
        </w:rPr>
        <w:t>This section is dedicated to present the rationale of postulated relationship</w:t>
      </w:r>
      <w:r w:rsidR="00734BB9" w:rsidRPr="00E512CE">
        <w:rPr>
          <w:rFonts w:ascii="Cambria" w:eastAsia="Calibri" w:hAnsi="Cambria" w:cs="Times New Roman"/>
          <w:sz w:val="24"/>
          <w:szCs w:val="24"/>
        </w:rPr>
        <w:t>s</w:t>
      </w:r>
      <w:r w:rsidRPr="00E512CE">
        <w:rPr>
          <w:rFonts w:ascii="Cambria" w:eastAsia="Calibri" w:hAnsi="Cambria" w:cs="Times New Roman"/>
          <w:sz w:val="24"/>
          <w:szCs w:val="24"/>
        </w:rPr>
        <w:t xml:space="preserve"> between constructs. </w:t>
      </w:r>
      <w:r w:rsidRPr="00530906">
        <w:rPr>
          <w:rFonts w:ascii="Cambria" w:eastAsia="Calibri" w:hAnsi="Cambria" w:cs="Times New Roman"/>
          <w:sz w:val="24"/>
          <w:szCs w:val="24"/>
        </w:rPr>
        <w:t xml:space="preserve">In order to have a legitimate value–added contribution to theory development, demonstrating the relationship among variables is more important than only adding new variables in existing theory. Nevertheless, the most fruitful and desired way of developing a theory is to present the rationale of the proposition. This is most critical and challenging </w:t>
      </w:r>
      <w:r w:rsidR="00792DD1" w:rsidRPr="00530906">
        <w:rPr>
          <w:rFonts w:ascii="Cambria" w:eastAsia="Calibri" w:hAnsi="Cambria" w:cs="Times New Roman"/>
          <w:sz w:val="24"/>
          <w:szCs w:val="24"/>
        </w:rPr>
        <w:t>part because</w:t>
      </w:r>
      <w:r w:rsidRPr="00530906">
        <w:rPr>
          <w:rFonts w:ascii="Cambria" w:eastAsia="Calibri" w:hAnsi="Cambria" w:cs="Times New Roman"/>
          <w:sz w:val="24"/>
          <w:szCs w:val="24"/>
        </w:rPr>
        <w:t xml:space="preserve"> a proposed theory can be questioned if underlying assumptions are unrealistic (Whetten, 1989).</w:t>
      </w:r>
    </w:p>
    <w:p w14:paraId="321AB3F3" w14:textId="77777777" w:rsidR="009230A9" w:rsidRDefault="00D211A8">
      <w:pPr>
        <w:spacing w:line="360" w:lineRule="auto"/>
        <w:jc w:val="both"/>
        <w:rPr>
          <w:rFonts w:ascii="Cambria" w:eastAsia="Calibri" w:hAnsi="Cambria" w:cs="Times New Roman"/>
          <w:sz w:val="24"/>
          <w:szCs w:val="24"/>
        </w:rPr>
      </w:pPr>
      <w:r>
        <w:rPr>
          <w:rFonts w:ascii="Cambria" w:eastAsia="Calibri" w:hAnsi="Cambria" w:cs="Times New Roman"/>
          <w:sz w:val="24"/>
          <w:szCs w:val="24"/>
        </w:rPr>
        <w:t>I</w:t>
      </w:r>
      <w:r w:rsidRPr="00530906">
        <w:rPr>
          <w:rFonts w:ascii="Cambria" w:eastAsia="Calibri" w:hAnsi="Cambria" w:cs="Times New Roman"/>
          <w:sz w:val="24"/>
          <w:szCs w:val="24"/>
        </w:rPr>
        <w:t>t has been proved that consumers’ value dictates their environmental belief, which in turn affects their concern for the environment</w:t>
      </w:r>
      <w:r>
        <w:rPr>
          <w:rFonts w:ascii="Cambria" w:eastAsia="Calibri" w:hAnsi="Cambria" w:cs="Times New Roman"/>
          <w:sz w:val="24"/>
          <w:szCs w:val="24"/>
        </w:rPr>
        <w:t xml:space="preserve"> </w:t>
      </w:r>
      <w:r w:rsidRPr="00530906">
        <w:rPr>
          <w:rFonts w:ascii="Cambria" w:eastAsia="Calibri" w:hAnsi="Cambria" w:cs="Times New Roman"/>
          <w:sz w:val="24"/>
          <w:szCs w:val="24"/>
        </w:rPr>
        <w:t>(Kilbourne and Pickett 2008</w:t>
      </w:r>
      <w:r>
        <w:rPr>
          <w:rFonts w:ascii="Cambria" w:eastAsia="Calibri" w:hAnsi="Cambria" w:cs="Times New Roman"/>
          <w:sz w:val="24"/>
          <w:szCs w:val="24"/>
        </w:rPr>
        <w:t>)</w:t>
      </w:r>
      <w:r w:rsidRPr="00530906">
        <w:rPr>
          <w:rFonts w:ascii="Cambria" w:eastAsia="Calibri" w:hAnsi="Cambria" w:cs="Times New Roman"/>
          <w:sz w:val="24"/>
          <w:szCs w:val="24"/>
        </w:rPr>
        <w:t>.</w:t>
      </w:r>
      <w:r w:rsidR="009A2791">
        <w:rPr>
          <w:rFonts w:ascii="Cambria" w:eastAsia="Calibri" w:hAnsi="Cambria" w:cs="Times New Roman"/>
          <w:sz w:val="24"/>
          <w:szCs w:val="24"/>
        </w:rPr>
        <w:t xml:space="preserve"> </w:t>
      </w:r>
      <w:r w:rsidR="00C7217E" w:rsidRPr="00530906">
        <w:rPr>
          <w:rFonts w:ascii="Cambria" w:eastAsia="Calibri" w:hAnsi="Cambria" w:cs="Times New Roman"/>
          <w:sz w:val="24"/>
          <w:szCs w:val="24"/>
        </w:rPr>
        <w:t>An early study on sustainability shows that the higher the buyers concern for ecology is, “the more salient is the ecological dimension in perception” (</w:t>
      </w:r>
      <w:r w:rsidR="00C7217E" w:rsidRPr="00530906">
        <w:rPr>
          <w:rFonts w:ascii="Cambria" w:eastAsia="Calibri" w:hAnsi="Cambria" w:cs="Arial"/>
          <w:sz w:val="24"/>
          <w:szCs w:val="24"/>
          <w:shd w:val="clear" w:color="auto" w:fill="FFFFFF"/>
        </w:rPr>
        <w:t xml:space="preserve">Kinnear and Taylor 1973. </w:t>
      </w:r>
      <w:r w:rsidR="00C7217E" w:rsidRPr="00530906">
        <w:rPr>
          <w:rFonts w:ascii="Cambria" w:eastAsia="Calibri" w:hAnsi="Cambria" w:cs="Times New Roman"/>
          <w:sz w:val="24"/>
          <w:szCs w:val="24"/>
        </w:rPr>
        <w:t>p 196).</w:t>
      </w:r>
      <w:r w:rsidR="00B376D9">
        <w:rPr>
          <w:rFonts w:ascii="Cambria" w:eastAsia="Calibri" w:hAnsi="Cambria" w:cs="Times New Roman"/>
          <w:sz w:val="24"/>
          <w:szCs w:val="24"/>
        </w:rPr>
        <w:t xml:space="preserve"> In other words, the more concern a consumer </w:t>
      </w:r>
      <w:r w:rsidR="000A774C">
        <w:rPr>
          <w:rFonts w:ascii="Cambria" w:eastAsia="Calibri" w:hAnsi="Cambria" w:cs="Times New Roman"/>
          <w:sz w:val="24"/>
          <w:szCs w:val="24"/>
        </w:rPr>
        <w:t xml:space="preserve">is about sustainability, the more their perception </w:t>
      </w:r>
      <w:r w:rsidR="000B04DD">
        <w:rPr>
          <w:rFonts w:ascii="Cambria" w:eastAsia="Calibri" w:hAnsi="Cambria" w:cs="Times New Roman"/>
          <w:sz w:val="24"/>
          <w:szCs w:val="24"/>
        </w:rPr>
        <w:t>will be shaped by it.</w:t>
      </w:r>
      <w:r w:rsidR="00C7217E" w:rsidRPr="00530906">
        <w:rPr>
          <w:rFonts w:ascii="Cambria" w:eastAsia="Calibri" w:hAnsi="Cambria" w:cs="Times New Roman"/>
          <w:sz w:val="24"/>
          <w:szCs w:val="24"/>
        </w:rPr>
        <w:t xml:space="preserve"> Furthermore, the more they become concerned about it, the more their desire for changing behaviour increases. However, this study has </w:t>
      </w:r>
      <w:r w:rsidR="00AB4326" w:rsidRPr="00530906">
        <w:rPr>
          <w:rFonts w:ascii="Cambria" w:eastAsia="Calibri" w:hAnsi="Cambria" w:cs="Times New Roman"/>
          <w:sz w:val="24"/>
          <w:szCs w:val="24"/>
        </w:rPr>
        <w:t>also accepted the fact</w:t>
      </w:r>
      <w:r w:rsidR="00C7217E" w:rsidRPr="00530906">
        <w:rPr>
          <w:rFonts w:ascii="Cambria" w:eastAsia="Calibri" w:hAnsi="Cambria" w:cs="Times New Roman"/>
          <w:sz w:val="24"/>
          <w:szCs w:val="24"/>
        </w:rPr>
        <w:t xml:space="preserve"> that, values are formed depending on the congruency of new information with their primary value </w:t>
      </w:r>
      <w:r w:rsidR="00AB4326" w:rsidRPr="00530906">
        <w:rPr>
          <w:rFonts w:ascii="Cambria" w:eastAsia="Calibri" w:hAnsi="Cambria" w:cs="Times New Roman"/>
          <w:sz w:val="24"/>
          <w:szCs w:val="24"/>
        </w:rPr>
        <w:t xml:space="preserve">and proposed a framework that even </w:t>
      </w:r>
      <w:r w:rsidR="00153380" w:rsidRPr="00530906">
        <w:rPr>
          <w:rFonts w:ascii="Cambria" w:eastAsia="Calibri" w:hAnsi="Cambria" w:cs="Times New Roman"/>
          <w:sz w:val="24"/>
          <w:szCs w:val="24"/>
        </w:rPr>
        <w:t>explains</w:t>
      </w:r>
      <w:r w:rsidR="00AB4326" w:rsidRPr="00530906">
        <w:rPr>
          <w:rFonts w:ascii="Cambria" w:eastAsia="Calibri" w:hAnsi="Cambria" w:cs="Times New Roman"/>
          <w:sz w:val="24"/>
          <w:szCs w:val="24"/>
        </w:rPr>
        <w:t xml:space="preserve"> the formation of new value</w:t>
      </w:r>
      <w:r w:rsidR="007E6F95">
        <w:rPr>
          <w:rFonts w:ascii="Cambria" w:eastAsia="Calibri" w:hAnsi="Cambria" w:cs="Times New Roman"/>
          <w:sz w:val="24"/>
          <w:szCs w:val="24"/>
        </w:rPr>
        <w:t xml:space="preserve"> </w:t>
      </w:r>
      <w:r w:rsidR="007E6F95" w:rsidRPr="00530906">
        <w:rPr>
          <w:rFonts w:ascii="Cambria" w:eastAsia="Calibri" w:hAnsi="Cambria" w:cs="Times New Roman"/>
          <w:sz w:val="24"/>
          <w:szCs w:val="24"/>
        </w:rPr>
        <w:t>(Kilbourne and Pickett 2008)</w:t>
      </w:r>
      <w:r w:rsidR="00C7217E" w:rsidRPr="00530906">
        <w:rPr>
          <w:rFonts w:ascii="Cambria" w:eastAsia="Calibri" w:hAnsi="Cambria" w:cs="Times New Roman"/>
          <w:sz w:val="24"/>
          <w:szCs w:val="24"/>
        </w:rPr>
        <w:t xml:space="preserve">. </w:t>
      </w:r>
    </w:p>
    <w:p w14:paraId="234FCD22" w14:textId="252C5F3B"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This thesis focuses on the information coming from other consumers in the form of positive and negative caption accompanying </w:t>
      </w:r>
      <w:r w:rsidR="00006D1B">
        <w:rPr>
          <w:rFonts w:ascii="Cambria" w:eastAsia="Calibri" w:hAnsi="Cambria" w:cs="Times New Roman"/>
          <w:sz w:val="24"/>
          <w:szCs w:val="24"/>
        </w:rPr>
        <w:t xml:space="preserve">an ad with </w:t>
      </w:r>
      <w:r w:rsidRPr="00530906">
        <w:rPr>
          <w:rFonts w:ascii="Cambria" w:eastAsia="Calibri" w:hAnsi="Cambria" w:cs="Times New Roman"/>
          <w:sz w:val="24"/>
          <w:szCs w:val="24"/>
        </w:rPr>
        <w:t xml:space="preserve">sustainability </w:t>
      </w:r>
      <w:r w:rsidR="00006D1B">
        <w:rPr>
          <w:rFonts w:ascii="Cambria" w:eastAsia="Calibri" w:hAnsi="Cambria" w:cs="Times New Roman"/>
          <w:sz w:val="24"/>
          <w:szCs w:val="24"/>
        </w:rPr>
        <w:t>message</w:t>
      </w:r>
      <w:r w:rsidRPr="00530906">
        <w:rPr>
          <w:rFonts w:ascii="Cambria" w:eastAsia="Calibri" w:hAnsi="Cambria" w:cs="Times New Roman"/>
          <w:sz w:val="24"/>
          <w:szCs w:val="24"/>
        </w:rPr>
        <w:t xml:space="preserve">. Moreover, since the concern for sustainability dictates the perception of the </w:t>
      </w:r>
      <w:r w:rsidR="00006D1B">
        <w:rPr>
          <w:rFonts w:ascii="Cambria" w:eastAsia="Calibri" w:hAnsi="Cambria" w:cs="Times New Roman"/>
          <w:sz w:val="24"/>
          <w:szCs w:val="24"/>
        </w:rPr>
        <w:t xml:space="preserve">ad with </w:t>
      </w:r>
      <w:r w:rsidR="00006D1B" w:rsidRPr="00530906">
        <w:rPr>
          <w:rFonts w:ascii="Cambria" w:eastAsia="Calibri" w:hAnsi="Cambria" w:cs="Times New Roman"/>
          <w:sz w:val="24"/>
          <w:szCs w:val="24"/>
        </w:rPr>
        <w:t xml:space="preserve">sustainability </w:t>
      </w:r>
      <w:r w:rsidR="00006D1B">
        <w:rPr>
          <w:rFonts w:ascii="Cambria" w:eastAsia="Calibri" w:hAnsi="Cambria" w:cs="Times New Roman"/>
          <w:sz w:val="24"/>
          <w:szCs w:val="24"/>
        </w:rPr>
        <w:t>message</w:t>
      </w:r>
      <w:r w:rsidRPr="00530906">
        <w:rPr>
          <w:rFonts w:ascii="Cambria" w:eastAsia="Calibri" w:hAnsi="Cambria" w:cs="Times New Roman"/>
          <w:sz w:val="24"/>
          <w:szCs w:val="24"/>
        </w:rPr>
        <w:t xml:space="preserve">, this should in turn, enhances awareness and intention for adopting sustainable behaviour. Hence, all of the hypotheses are based on the notion that heightened awareness of sustainability should make the consumers mentally stimulated. As an extension of this notion, it has also been assumed that, due to the heightened attention towards sustainability, an exposure of other consumers’ positive and negative opinion regarding the </w:t>
      </w:r>
      <w:r w:rsidR="003C2ECF">
        <w:rPr>
          <w:rFonts w:ascii="Cambria" w:eastAsia="Calibri" w:hAnsi="Cambria" w:cs="Times New Roman"/>
          <w:sz w:val="24"/>
          <w:szCs w:val="24"/>
        </w:rPr>
        <w:t xml:space="preserve">ad with </w:t>
      </w:r>
      <w:r w:rsidR="003C2ECF" w:rsidRPr="00530906">
        <w:rPr>
          <w:rFonts w:ascii="Cambria" w:eastAsia="Calibri" w:hAnsi="Cambria" w:cs="Times New Roman"/>
          <w:sz w:val="24"/>
          <w:szCs w:val="24"/>
        </w:rPr>
        <w:t xml:space="preserve">sustainability </w:t>
      </w:r>
      <w:r w:rsidR="003C2ECF">
        <w:rPr>
          <w:rFonts w:ascii="Cambria" w:eastAsia="Calibri" w:hAnsi="Cambria" w:cs="Times New Roman"/>
          <w:sz w:val="24"/>
          <w:szCs w:val="24"/>
        </w:rPr>
        <w:t>message</w:t>
      </w:r>
      <w:r w:rsidR="003C2ECF" w:rsidRPr="00530906">
        <w:rPr>
          <w:rFonts w:ascii="Cambria" w:eastAsia="Calibri" w:hAnsi="Cambria" w:cs="Times New Roman"/>
          <w:sz w:val="24"/>
          <w:szCs w:val="24"/>
        </w:rPr>
        <w:t xml:space="preserve"> </w:t>
      </w:r>
      <w:r w:rsidRPr="00530906">
        <w:rPr>
          <w:rFonts w:ascii="Cambria" w:eastAsia="Calibri" w:hAnsi="Cambria" w:cs="Times New Roman"/>
          <w:sz w:val="24"/>
          <w:szCs w:val="24"/>
        </w:rPr>
        <w:t>on social media should also have an impact on behavioural change.  In this chapter the rationale of the hypothesis has been presented with the respective hypotheses.</w:t>
      </w:r>
    </w:p>
    <w:p w14:paraId="477D61E6" w14:textId="0D8434AF" w:rsidR="00C7217E" w:rsidRPr="00E26FA4" w:rsidRDefault="009A4CCA" w:rsidP="008756B1">
      <w:pPr>
        <w:pStyle w:val="Heading2"/>
        <w:jc w:val="both"/>
        <w:rPr>
          <w:rFonts w:eastAsia="Calibri"/>
        </w:rPr>
      </w:pPr>
      <w:bookmarkStart w:id="54" w:name="_Toc115726234"/>
      <w:r w:rsidRPr="00E26FA4">
        <w:rPr>
          <w:rFonts w:eastAsia="Calibri"/>
        </w:rPr>
        <w:t xml:space="preserve">3.1. </w:t>
      </w:r>
      <w:r w:rsidR="00A21F3A" w:rsidRPr="00E26FA4">
        <w:rPr>
          <w:rFonts w:eastAsia="Calibri"/>
        </w:rPr>
        <w:t>Impact of c</w:t>
      </w:r>
      <w:r w:rsidR="003419E5" w:rsidRPr="00E26FA4">
        <w:rPr>
          <w:rFonts w:eastAsia="Calibri"/>
        </w:rPr>
        <w:t xml:space="preserve">aption </w:t>
      </w:r>
      <w:r w:rsidR="00A21F3A" w:rsidRPr="00E26FA4">
        <w:rPr>
          <w:rFonts w:eastAsia="Calibri"/>
        </w:rPr>
        <w:t>on s</w:t>
      </w:r>
      <w:r w:rsidR="00C7217E" w:rsidRPr="00E26FA4">
        <w:rPr>
          <w:rFonts w:eastAsia="Calibri"/>
        </w:rPr>
        <w:t>ocial–media engagement</w:t>
      </w:r>
      <w:bookmarkEnd w:id="54"/>
    </w:p>
    <w:p w14:paraId="30219883" w14:textId="32FA0DA3" w:rsidR="00C7217E" w:rsidRPr="00530906" w:rsidRDefault="006874B7">
      <w:pPr>
        <w:spacing w:line="360" w:lineRule="auto"/>
        <w:jc w:val="both"/>
        <w:rPr>
          <w:rFonts w:ascii="Cambria" w:eastAsia="Calibri" w:hAnsi="Cambria" w:cs="Times New Roman"/>
          <w:sz w:val="24"/>
          <w:szCs w:val="24"/>
        </w:rPr>
      </w:pPr>
      <w:r w:rsidRPr="00990F77">
        <w:rPr>
          <w:rFonts w:ascii="Cambria" w:eastAsia="Calibri" w:hAnsi="Cambria" w:cs="Times New Roman"/>
          <w:sz w:val="24"/>
          <w:szCs w:val="24"/>
        </w:rPr>
        <w:t>C</w:t>
      </w:r>
      <w:r w:rsidR="00623670" w:rsidRPr="00990F77">
        <w:rPr>
          <w:rFonts w:ascii="Cambria" w:eastAsia="Calibri" w:hAnsi="Cambria" w:cs="Times New Roman"/>
          <w:sz w:val="24"/>
          <w:szCs w:val="24"/>
        </w:rPr>
        <w:t>onsumer</w:t>
      </w:r>
      <w:r w:rsidR="00EC6F63" w:rsidRPr="00990F77">
        <w:rPr>
          <w:rFonts w:ascii="Cambria" w:eastAsia="Calibri" w:hAnsi="Cambria" w:cs="Times New Roman"/>
          <w:sz w:val="24"/>
          <w:szCs w:val="24"/>
        </w:rPr>
        <w:t>s</w:t>
      </w:r>
      <w:r w:rsidR="00623670" w:rsidRPr="00990F77">
        <w:rPr>
          <w:rFonts w:ascii="Cambria" w:eastAsia="Calibri" w:hAnsi="Cambria" w:cs="Times New Roman"/>
          <w:sz w:val="24"/>
          <w:szCs w:val="24"/>
        </w:rPr>
        <w:t xml:space="preserve"> </w:t>
      </w:r>
      <w:r w:rsidR="00EC6F63" w:rsidRPr="00990F77">
        <w:rPr>
          <w:rFonts w:ascii="Cambria" w:eastAsia="Calibri" w:hAnsi="Cambria" w:cs="Times New Roman"/>
          <w:sz w:val="24"/>
          <w:szCs w:val="24"/>
        </w:rPr>
        <w:t xml:space="preserve">express </w:t>
      </w:r>
      <w:r w:rsidR="002F72BA" w:rsidRPr="00990F77">
        <w:rPr>
          <w:rFonts w:ascii="Cambria" w:eastAsia="Calibri" w:hAnsi="Cambria" w:cs="Times New Roman"/>
          <w:sz w:val="24"/>
          <w:szCs w:val="24"/>
        </w:rPr>
        <w:t xml:space="preserve">their </w:t>
      </w:r>
      <w:r w:rsidR="00623670" w:rsidRPr="00990F77">
        <w:rPr>
          <w:rFonts w:ascii="Cambria" w:eastAsia="Calibri" w:hAnsi="Cambria" w:cs="Times New Roman"/>
          <w:sz w:val="24"/>
          <w:szCs w:val="24"/>
        </w:rPr>
        <w:t>positive o</w:t>
      </w:r>
      <w:r w:rsidR="009A5DBC" w:rsidRPr="00990F77">
        <w:rPr>
          <w:rFonts w:ascii="Cambria" w:eastAsia="Calibri" w:hAnsi="Cambria" w:cs="Times New Roman"/>
          <w:sz w:val="24"/>
          <w:szCs w:val="24"/>
        </w:rPr>
        <w:t>r</w:t>
      </w:r>
      <w:r w:rsidR="00623670" w:rsidRPr="00990F77">
        <w:rPr>
          <w:rFonts w:ascii="Cambria" w:eastAsia="Calibri" w:hAnsi="Cambria" w:cs="Times New Roman"/>
          <w:sz w:val="24"/>
          <w:szCs w:val="24"/>
        </w:rPr>
        <w:t xml:space="preserve"> negative sentiment </w:t>
      </w:r>
      <w:r w:rsidR="002F72BA" w:rsidRPr="00990F77">
        <w:rPr>
          <w:rFonts w:ascii="Cambria" w:eastAsia="Calibri" w:hAnsi="Cambria" w:cs="Times New Roman"/>
          <w:sz w:val="24"/>
          <w:szCs w:val="24"/>
        </w:rPr>
        <w:t>regarding their experience</w:t>
      </w:r>
      <w:r w:rsidR="0009024F" w:rsidRPr="00990F77">
        <w:rPr>
          <w:rFonts w:ascii="Cambria" w:eastAsia="Calibri" w:hAnsi="Cambria" w:cs="Times New Roman"/>
          <w:sz w:val="24"/>
          <w:szCs w:val="24"/>
        </w:rPr>
        <w:t>s</w:t>
      </w:r>
      <w:r w:rsidR="002F72BA" w:rsidRPr="00990F77">
        <w:rPr>
          <w:rFonts w:ascii="Cambria" w:eastAsia="Calibri" w:hAnsi="Cambria" w:cs="Times New Roman"/>
          <w:sz w:val="24"/>
          <w:szCs w:val="24"/>
        </w:rPr>
        <w:t xml:space="preserve"> in </w:t>
      </w:r>
      <w:r w:rsidR="00E15274" w:rsidRPr="00990F77">
        <w:rPr>
          <w:rFonts w:ascii="Cambria" w:eastAsia="Calibri" w:hAnsi="Cambria" w:cs="Times New Roman"/>
          <w:sz w:val="24"/>
          <w:szCs w:val="24"/>
        </w:rPr>
        <w:t>F</w:t>
      </w:r>
      <w:r w:rsidR="00623670" w:rsidRPr="00990F77">
        <w:rPr>
          <w:rFonts w:ascii="Cambria" w:eastAsia="Calibri" w:hAnsi="Cambria" w:cs="Times New Roman"/>
          <w:sz w:val="24"/>
          <w:szCs w:val="24"/>
        </w:rPr>
        <w:t>acebook</w:t>
      </w:r>
      <w:r w:rsidR="0009024F" w:rsidRPr="00990F77">
        <w:rPr>
          <w:rFonts w:ascii="Cambria" w:eastAsia="Calibri" w:hAnsi="Cambria" w:cs="Times New Roman"/>
          <w:sz w:val="24"/>
          <w:szCs w:val="24"/>
        </w:rPr>
        <w:t xml:space="preserve"> those arouse from </w:t>
      </w:r>
      <w:r w:rsidR="009B0005" w:rsidRPr="00990F77">
        <w:rPr>
          <w:rFonts w:ascii="Cambria" w:eastAsia="Calibri" w:hAnsi="Cambria" w:cs="Times New Roman"/>
          <w:sz w:val="24"/>
          <w:szCs w:val="24"/>
        </w:rPr>
        <w:t>m</w:t>
      </w:r>
      <w:r w:rsidR="0009024F" w:rsidRPr="00990F77">
        <w:rPr>
          <w:rFonts w:ascii="Cambria" w:eastAsia="Calibri" w:hAnsi="Cambria" w:cs="Times New Roman"/>
          <w:sz w:val="24"/>
          <w:szCs w:val="24"/>
        </w:rPr>
        <w:t>arketer</w:t>
      </w:r>
      <w:r w:rsidR="009B0005" w:rsidRPr="00990F77">
        <w:rPr>
          <w:rFonts w:ascii="Cambria" w:eastAsia="Calibri" w:hAnsi="Cambria" w:cs="Times New Roman"/>
          <w:sz w:val="24"/>
          <w:szCs w:val="24"/>
        </w:rPr>
        <w:t>-</w:t>
      </w:r>
      <w:r w:rsidR="0009024F" w:rsidRPr="00990F77">
        <w:rPr>
          <w:rFonts w:ascii="Cambria" w:eastAsia="Calibri" w:hAnsi="Cambria" w:cs="Times New Roman"/>
          <w:sz w:val="24"/>
          <w:szCs w:val="24"/>
        </w:rPr>
        <w:t>generated</w:t>
      </w:r>
      <w:r w:rsidR="009B0005" w:rsidRPr="00990F77">
        <w:rPr>
          <w:rFonts w:ascii="Cambria" w:eastAsia="Calibri" w:hAnsi="Cambria" w:cs="Times New Roman"/>
          <w:sz w:val="24"/>
          <w:szCs w:val="24"/>
        </w:rPr>
        <w:t>-</w:t>
      </w:r>
      <w:r w:rsidR="0009024F" w:rsidRPr="00990F77">
        <w:rPr>
          <w:rFonts w:ascii="Cambria" w:eastAsia="Calibri" w:hAnsi="Cambria" w:cs="Times New Roman"/>
          <w:sz w:val="24"/>
          <w:szCs w:val="24"/>
        </w:rPr>
        <w:t>content</w:t>
      </w:r>
      <w:r w:rsidR="007518E2" w:rsidRPr="00990F77">
        <w:rPr>
          <w:rFonts w:ascii="Cambria" w:eastAsia="Calibri" w:hAnsi="Cambria" w:cs="Times New Roman"/>
          <w:sz w:val="24"/>
          <w:szCs w:val="24"/>
        </w:rPr>
        <w:t xml:space="preserve">. </w:t>
      </w:r>
      <w:r w:rsidR="004B0777" w:rsidRPr="00990F77">
        <w:rPr>
          <w:rFonts w:ascii="Cambria" w:eastAsia="Calibri" w:hAnsi="Cambria" w:cs="Times New Roman"/>
          <w:sz w:val="24"/>
          <w:szCs w:val="24"/>
        </w:rPr>
        <w:t>Though p</w:t>
      </w:r>
      <w:r w:rsidR="007518E2" w:rsidRPr="00990F77">
        <w:rPr>
          <w:rFonts w:ascii="Cambria" w:eastAsia="Calibri" w:hAnsi="Cambria" w:cs="Times New Roman"/>
          <w:sz w:val="24"/>
          <w:szCs w:val="24"/>
        </w:rPr>
        <w:t>revious study proved that</w:t>
      </w:r>
      <w:r w:rsidR="004B0777" w:rsidRPr="00990F77">
        <w:rPr>
          <w:rFonts w:ascii="Cambria" w:eastAsia="Calibri" w:hAnsi="Cambria" w:cs="Times New Roman"/>
          <w:sz w:val="24"/>
          <w:szCs w:val="24"/>
        </w:rPr>
        <w:t xml:space="preserve"> </w:t>
      </w:r>
      <w:r w:rsidR="0009024F" w:rsidRPr="00990F77">
        <w:rPr>
          <w:rFonts w:ascii="Cambria" w:eastAsia="Calibri" w:hAnsi="Cambria" w:cs="Times New Roman"/>
          <w:sz w:val="24"/>
          <w:szCs w:val="24"/>
        </w:rPr>
        <w:t>social media advertising</w:t>
      </w:r>
      <w:r w:rsidR="004B0777" w:rsidRPr="00990F77">
        <w:rPr>
          <w:rFonts w:ascii="Cambria" w:eastAsia="Calibri" w:hAnsi="Cambria" w:cs="Times New Roman"/>
          <w:sz w:val="24"/>
          <w:szCs w:val="24"/>
        </w:rPr>
        <w:t xml:space="preserve"> result</w:t>
      </w:r>
      <w:r w:rsidR="0009024F" w:rsidRPr="00990F77">
        <w:rPr>
          <w:rFonts w:ascii="Cambria" w:eastAsia="Calibri" w:hAnsi="Cambria" w:cs="Times New Roman"/>
          <w:sz w:val="24"/>
          <w:szCs w:val="24"/>
        </w:rPr>
        <w:t>s</w:t>
      </w:r>
      <w:r w:rsidR="004B0777" w:rsidRPr="00990F77">
        <w:rPr>
          <w:rFonts w:ascii="Cambria" w:eastAsia="Calibri" w:hAnsi="Cambria" w:cs="Times New Roman"/>
          <w:sz w:val="24"/>
          <w:szCs w:val="24"/>
        </w:rPr>
        <w:t xml:space="preserve"> into negative consume</w:t>
      </w:r>
      <w:r w:rsidR="0041241F" w:rsidRPr="00990F77">
        <w:rPr>
          <w:rFonts w:ascii="Cambria" w:eastAsia="Calibri" w:hAnsi="Cambria" w:cs="Times New Roman"/>
          <w:sz w:val="24"/>
          <w:szCs w:val="24"/>
        </w:rPr>
        <w:t>r</w:t>
      </w:r>
      <w:r w:rsidR="00BB342F" w:rsidRPr="00990F77">
        <w:rPr>
          <w:rFonts w:ascii="Cambria" w:eastAsia="Calibri" w:hAnsi="Cambria" w:cs="Times New Roman"/>
          <w:sz w:val="24"/>
          <w:szCs w:val="24"/>
        </w:rPr>
        <w:t xml:space="preserve"> </w:t>
      </w:r>
      <w:r w:rsidR="004B0777" w:rsidRPr="00990F77">
        <w:rPr>
          <w:rFonts w:ascii="Cambria" w:eastAsia="Calibri" w:hAnsi="Cambria" w:cs="Times New Roman"/>
          <w:sz w:val="24"/>
          <w:szCs w:val="24"/>
        </w:rPr>
        <w:t>behaviour</w:t>
      </w:r>
      <w:r w:rsidR="0009024F" w:rsidRPr="00990F77">
        <w:rPr>
          <w:rFonts w:ascii="Cambria" w:eastAsia="Calibri" w:hAnsi="Cambria" w:cs="Times New Roman"/>
          <w:sz w:val="24"/>
          <w:szCs w:val="24"/>
        </w:rPr>
        <w:t xml:space="preserve"> (</w:t>
      </w:r>
      <w:r w:rsidR="009B0005" w:rsidRPr="00990F77">
        <w:rPr>
          <w:rFonts w:ascii="Cambria" w:eastAsia="Calibri" w:hAnsi="Cambria" w:cs="Times New Roman"/>
          <w:sz w:val="24"/>
          <w:szCs w:val="24"/>
        </w:rPr>
        <w:t>for this thesis-</w:t>
      </w:r>
      <w:r w:rsidR="0009024F" w:rsidRPr="00990F77">
        <w:rPr>
          <w:rFonts w:ascii="Cambria" w:eastAsia="Calibri" w:hAnsi="Cambria" w:cs="Times New Roman"/>
          <w:sz w:val="24"/>
          <w:szCs w:val="24"/>
        </w:rPr>
        <w:t>cosumer</w:t>
      </w:r>
      <w:r w:rsidR="0041241F" w:rsidRPr="00990F77">
        <w:rPr>
          <w:rFonts w:ascii="Cambria" w:eastAsia="Calibri" w:hAnsi="Cambria" w:cs="Times New Roman"/>
          <w:sz w:val="24"/>
          <w:szCs w:val="24"/>
        </w:rPr>
        <w:t>s’</w:t>
      </w:r>
      <w:r w:rsidR="0009024F" w:rsidRPr="00990F77">
        <w:rPr>
          <w:rFonts w:ascii="Cambria" w:eastAsia="Calibri" w:hAnsi="Cambria" w:cs="Times New Roman"/>
          <w:sz w:val="24"/>
          <w:szCs w:val="24"/>
        </w:rPr>
        <w:t xml:space="preserve"> social media engagem</w:t>
      </w:r>
      <w:r w:rsidR="00544960" w:rsidRPr="00990F77">
        <w:rPr>
          <w:rFonts w:ascii="Cambria" w:eastAsia="Calibri" w:hAnsi="Cambria" w:cs="Times New Roman"/>
          <w:sz w:val="24"/>
          <w:szCs w:val="24"/>
        </w:rPr>
        <w:t>e</w:t>
      </w:r>
      <w:r w:rsidR="0009024F" w:rsidRPr="00990F77">
        <w:rPr>
          <w:rFonts w:ascii="Cambria" w:eastAsia="Calibri" w:hAnsi="Cambria" w:cs="Times New Roman"/>
          <w:sz w:val="24"/>
          <w:szCs w:val="24"/>
        </w:rPr>
        <w:t>nt behaviour)</w:t>
      </w:r>
      <w:r w:rsidR="000C1E85" w:rsidRPr="00990F77">
        <w:rPr>
          <w:rFonts w:ascii="Cambria" w:eastAsia="Calibri" w:hAnsi="Cambria" w:cs="Times New Roman"/>
          <w:sz w:val="24"/>
          <w:szCs w:val="24"/>
        </w:rPr>
        <w:t xml:space="preserve"> (Meire et al 2019)</w:t>
      </w:r>
      <w:r w:rsidR="0009024F" w:rsidRPr="00990F77">
        <w:rPr>
          <w:rFonts w:ascii="Cambria" w:eastAsia="Calibri" w:hAnsi="Cambria" w:cs="Times New Roman"/>
          <w:sz w:val="24"/>
          <w:szCs w:val="24"/>
        </w:rPr>
        <w:t>, b</w:t>
      </w:r>
      <w:r w:rsidR="008A37D5" w:rsidRPr="00990F77">
        <w:rPr>
          <w:rFonts w:ascii="Cambria" w:eastAsia="Calibri" w:hAnsi="Cambria" w:cs="Times New Roman"/>
          <w:sz w:val="24"/>
          <w:szCs w:val="24"/>
        </w:rPr>
        <w:t xml:space="preserve">ut it is different </w:t>
      </w:r>
      <w:r w:rsidR="000F7886" w:rsidRPr="00990F77">
        <w:rPr>
          <w:rFonts w:ascii="Cambria" w:eastAsia="Calibri" w:hAnsi="Cambria" w:cs="Times New Roman"/>
          <w:sz w:val="24"/>
          <w:szCs w:val="24"/>
        </w:rPr>
        <w:t xml:space="preserve">for the ads with sustainability message </w:t>
      </w:r>
      <w:r w:rsidR="00C7217E" w:rsidRPr="00990F77">
        <w:rPr>
          <w:rFonts w:ascii="Cambria" w:eastAsia="Calibri" w:hAnsi="Cambria" w:cs="Times New Roman"/>
          <w:sz w:val="24"/>
          <w:szCs w:val="24"/>
        </w:rPr>
        <w:t>because of general people’s heightened awareness</w:t>
      </w:r>
      <w:r w:rsidR="00AC66A4" w:rsidRPr="00990F77">
        <w:rPr>
          <w:rFonts w:ascii="Cambria" w:eastAsia="Calibri" w:hAnsi="Cambria" w:cs="Times New Roman"/>
          <w:sz w:val="24"/>
          <w:szCs w:val="24"/>
        </w:rPr>
        <w:t xml:space="preserve"> about sustainability</w:t>
      </w:r>
      <w:r w:rsidR="0037286F" w:rsidRPr="00990F77">
        <w:rPr>
          <w:rFonts w:ascii="Cambria" w:eastAsia="Calibri" w:hAnsi="Cambria" w:cs="Times New Roman"/>
          <w:sz w:val="24"/>
          <w:szCs w:val="24"/>
        </w:rPr>
        <w:t xml:space="preserve"> (</w:t>
      </w:r>
      <w:r w:rsidR="0037286F" w:rsidRPr="00990F77">
        <w:rPr>
          <w:rFonts w:ascii="Cambria" w:hAnsi="Cambria"/>
          <w:sz w:val="24"/>
          <w:szCs w:val="24"/>
        </w:rPr>
        <w:t>Segev et al 2016</w:t>
      </w:r>
      <w:r w:rsidR="0037286F" w:rsidRPr="00990F77">
        <w:rPr>
          <w:rFonts w:ascii="Cambria" w:eastAsia="Calibri" w:hAnsi="Cambria" w:cs="Times New Roman"/>
          <w:sz w:val="24"/>
          <w:szCs w:val="24"/>
        </w:rPr>
        <w:t>)</w:t>
      </w:r>
      <w:r w:rsidR="00C7217E" w:rsidRPr="00990F77">
        <w:rPr>
          <w:rFonts w:ascii="Cambria" w:eastAsia="Calibri" w:hAnsi="Cambria" w:cs="Times New Roman"/>
          <w:sz w:val="24"/>
          <w:szCs w:val="24"/>
        </w:rPr>
        <w:t>.</w:t>
      </w:r>
      <w:r w:rsidR="00BD77FB" w:rsidRPr="00990F77">
        <w:rPr>
          <w:rFonts w:ascii="Cambria" w:eastAsia="Calibri" w:hAnsi="Cambria" w:cs="Times New Roman"/>
          <w:sz w:val="24"/>
          <w:szCs w:val="24"/>
        </w:rPr>
        <w:t xml:space="preserve"> </w:t>
      </w:r>
      <w:r w:rsidR="0037286F" w:rsidRPr="00990F77">
        <w:rPr>
          <w:rFonts w:ascii="Cambria" w:eastAsia="Calibri" w:hAnsi="Cambria" w:cs="Times New Roman"/>
          <w:sz w:val="24"/>
          <w:szCs w:val="24"/>
        </w:rPr>
        <w:t>S</w:t>
      </w:r>
      <w:r w:rsidR="00A6019F" w:rsidRPr="00990F77">
        <w:rPr>
          <w:rFonts w:ascii="Cambria" w:eastAsia="Calibri" w:hAnsi="Cambria" w:cs="Times New Roman"/>
          <w:sz w:val="24"/>
          <w:szCs w:val="24"/>
        </w:rPr>
        <w:t xml:space="preserve">tudy </w:t>
      </w:r>
      <w:r w:rsidR="009A0E8F" w:rsidRPr="00990F77">
        <w:rPr>
          <w:rFonts w:ascii="Cambria" w:eastAsia="Calibri" w:hAnsi="Cambria" w:cs="Times New Roman"/>
          <w:sz w:val="24"/>
          <w:szCs w:val="24"/>
        </w:rPr>
        <w:t xml:space="preserve">also </w:t>
      </w:r>
      <w:r w:rsidR="00A6019F" w:rsidRPr="00990F77">
        <w:rPr>
          <w:rFonts w:ascii="Cambria" w:eastAsia="Calibri" w:hAnsi="Cambria" w:cs="Times New Roman"/>
          <w:sz w:val="24"/>
          <w:szCs w:val="24"/>
        </w:rPr>
        <w:t>shows that ad with sustainability message are more</w:t>
      </w:r>
      <w:r w:rsidR="00C7217E" w:rsidRPr="00990F77">
        <w:rPr>
          <w:rFonts w:ascii="Cambria" w:eastAsia="Calibri" w:hAnsi="Cambria" w:cs="Times New Roman"/>
          <w:sz w:val="24"/>
          <w:szCs w:val="24"/>
        </w:rPr>
        <w:t xml:space="preserve"> effective in terms</w:t>
      </w:r>
      <w:r w:rsidR="00A6019F" w:rsidRPr="00990F77">
        <w:rPr>
          <w:rFonts w:ascii="Cambria" w:eastAsia="Calibri" w:hAnsi="Cambria" w:cs="Times New Roman"/>
          <w:sz w:val="24"/>
          <w:szCs w:val="24"/>
        </w:rPr>
        <w:t xml:space="preserve"> of</w:t>
      </w:r>
      <w:r w:rsidR="00C7217E" w:rsidRPr="00990F77">
        <w:rPr>
          <w:rFonts w:ascii="Cambria" w:eastAsia="Calibri" w:hAnsi="Cambria" w:cs="Times New Roman"/>
          <w:sz w:val="24"/>
          <w:szCs w:val="24"/>
        </w:rPr>
        <w:t xml:space="preserve"> persuad</w:t>
      </w:r>
      <w:r w:rsidR="00A6019F" w:rsidRPr="00990F77">
        <w:rPr>
          <w:rFonts w:ascii="Cambria" w:eastAsia="Calibri" w:hAnsi="Cambria" w:cs="Times New Roman"/>
          <w:sz w:val="24"/>
          <w:szCs w:val="24"/>
        </w:rPr>
        <w:t>ing</w:t>
      </w:r>
      <w:r w:rsidR="00C7217E" w:rsidRPr="00990F77">
        <w:rPr>
          <w:rFonts w:ascii="Cambria" w:eastAsia="Calibri" w:hAnsi="Cambria" w:cs="Times New Roman"/>
          <w:sz w:val="24"/>
          <w:szCs w:val="24"/>
        </w:rPr>
        <w:t xml:space="preserve"> consumer</w:t>
      </w:r>
      <w:r w:rsidR="00A6019F" w:rsidRPr="00990F77">
        <w:rPr>
          <w:rFonts w:ascii="Cambria" w:eastAsia="Calibri" w:hAnsi="Cambria" w:cs="Times New Roman"/>
          <w:sz w:val="24"/>
          <w:szCs w:val="24"/>
        </w:rPr>
        <w:t>s</w:t>
      </w:r>
      <w:r w:rsidR="00C7217E" w:rsidRPr="00990F77">
        <w:rPr>
          <w:rFonts w:ascii="Cambria" w:eastAsia="Calibri" w:hAnsi="Cambria" w:cs="Times New Roman"/>
          <w:sz w:val="24"/>
          <w:szCs w:val="24"/>
        </w:rPr>
        <w:t xml:space="preserve"> to undertake sustainability related behaviour, if the advertisement shows that the consumers action is fruitful to combat sustainability related problems</w:t>
      </w:r>
      <w:r w:rsidR="00C312E3" w:rsidRPr="00990F77">
        <w:rPr>
          <w:rFonts w:ascii="Cambria" w:eastAsia="Calibri" w:hAnsi="Cambria" w:cs="Times New Roman"/>
          <w:sz w:val="24"/>
          <w:szCs w:val="24"/>
        </w:rPr>
        <w:t xml:space="preserve">, </w:t>
      </w:r>
      <w:r w:rsidR="00101202" w:rsidRPr="00990F77">
        <w:rPr>
          <w:rFonts w:ascii="Cambria" w:eastAsia="Calibri" w:hAnsi="Cambria" w:cs="Times New Roman"/>
          <w:sz w:val="24"/>
          <w:szCs w:val="24"/>
        </w:rPr>
        <w:t xml:space="preserve">rather than focusing on sustainability related problems </w:t>
      </w:r>
      <w:r w:rsidR="00C7217E" w:rsidRPr="00990F77">
        <w:rPr>
          <w:rFonts w:ascii="Cambria" w:eastAsia="Calibri" w:hAnsi="Cambria" w:cs="Times New Roman"/>
          <w:sz w:val="24"/>
          <w:szCs w:val="24"/>
        </w:rPr>
        <w:t>(Tanner and Kast 2003;</w:t>
      </w:r>
      <w:r w:rsidR="00C7217E" w:rsidRPr="00990F77">
        <w:rPr>
          <w:rFonts w:ascii="Cambria" w:eastAsia="Calibri" w:hAnsi="Cambria" w:cs="Adobe Devanagari"/>
          <w:sz w:val="24"/>
          <w:szCs w:val="24"/>
        </w:rPr>
        <w:t xml:space="preserve"> Thøgersen and Schrader;</w:t>
      </w:r>
      <w:r w:rsidR="00C7217E" w:rsidRPr="00990F77">
        <w:rPr>
          <w:rFonts w:ascii="Cambria" w:eastAsia="Calibri" w:hAnsi="Cambria" w:cs="Times New Roman"/>
          <w:sz w:val="24"/>
          <w:szCs w:val="24"/>
        </w:rPr>
        <w:t xml:space="preserve"> Smith 1998; Eagea and De Frutos 2013</w:t>
      </w:r>
      <w:r w:rsidR="00101202" w:rsidRPr="00990F77">
        <w:rPr>
          <w:rFonts w:ascii="Cambria" w:eastAsia="Calibri" w:hAnsi="Cambria" w:cs="Times New Roman"/>
          <w:sz w:val="24"/>
          <w:szCs w:val="24"/>
        </w:rPr>
        <w:t xml:space="preserve">; </w:t>
      </w:r>
      <w:r w:rsidR="00C7217E" w:rsidRPr="00990F77">
        <w:rPr>
          <w:rFonts w:ascii="Cambria" w:eastAsia="Calibri" w:hAnsi="Cambria" w:cs="Times New Roman"/>
          <w:sz w:val="24"/>
          <w:szCs w:val="24"/>
        </w:rPr>
        <w:t>Reborts 1996).</w:t>
      </w:r>
      <w:r w:rsidR="00FA07D2" w:rsidRPr="00990F77">
        <w:rPr>
          <w:rFonts w:ascii="Cambria" w:eastAsia="Calibri" w:hAnsi="Cambria" w:cs="Times New Roman"/>
          <w:sz w:val="24"/>
          <w:szCs w:val="24"/>
        </w:rPr>
        <w:t xml:space="preserve"> On the other hand, earlier research on consumer engagement over online media show consumers gravitate more towards messages that </w:t>
      </w:r>
      <w:r w:rsidR="00437C10" w:rsidRPr="00990F77">
        <w:rPr>
          <w:rFonts w:ascii="Cambria" w:eastAsia="Calibri" w:hAnsi="Cambria" w:cs="Times New Roman"/>
          <w:sz w:val="24"/>
          <w:szCs w:val="24"/>
        </w:rPr>
        <w:t>instil</w:t>
      </w:r>
      <w:r w:rsidR="00FA07D2" w:rsidRPr="00990F77">
        <w:rPr>
          <w:rFonts w:ascii="Cambria" w:eastAsia="Calibri" w:hAnsi="Cambria" w:cs="Times New Roman"/>
          <w:sz w:val="24"/>
          <w:szCs w:val="24"/>
        </w:rPr>
        <w:t xml:space="preserve"> positive thoughts is them than that of the negative one (Hollebeek and Chen 2014</w:t>
      </w:r>
      <w:r w:rsidR="006A1182" w:rsidRPr="00990F77">
        <w:rPr>
          <w:rFonts w:ascii="Cambria" w:eastAsia="Calibri" w:hAnsi="Cambria" w:cs="Times New Roman"/>
          <w:sz w:val="24"/>
          <w:szCs w:val="24"/>
        </w:rPr>
        <w:t xml:space="preserve">, </w:t>
      </w:r>
      <w:r w:rsidR="00115576" w:rsidRPr="00990F77">
        <w:rPr>
          <w:rFonts w:ascii="Cambria" w:eastAsia="Calibri" w:hAnsi="Cambria" w:cs="Times New Roman"/>
          <w:sz w:val="24"/>
          <w:szCs w:val="24"/>
        </w:rPr>
        <w:t>Berger and Milkman</w:t>
      </w:r>
      <w:r w:rsidR="00B40F53" w:rsidRPr="00990F77">
        <w:rPr>
          <w:rFonts w:ascii="Cambria" w:eastAsia="Calibri" w:hAnsi="Cambria" w:cs="Times New Roman"/>
          <w:sz w:val="24"/>
          <w:szCs w:val="24"/>
        </w:rPr>
        <w:t xml:space="preserve"> 2012</w:t>
      </w:r>
      <w:r w:rsidR="00FA07D2" w:rsidRPr="00990F77">
        <w:rPr>
          <w:rFonts w:ascii="Cambria" w:eastAsia="Calibri" w:hAnsi="Cambria" w:cs="Times New Roman"/>
          <w:sz w:val="24"/>
          <w:szCs w:val="24"/>
        </w:rPr>
        <w:t xml:space="preserve">). The likelihood of engaging in communication is higher if the sender is excited to share information and content </w:t>
      </w:r>
      <w:r w:rsidR="00FA07D2" w:rsidRPr="00A12D37">
        <w:rPr>
          <w:rFonts w:ascii="Cambria" w:eastAsia="Calibri" w:hAnsi="Cambria" w:cs="Times New Roman"/>
          <w:sz w:val="24"/>
          <w:szCs w:val="24"/>
        </w:rPr>
        <w:t xml:space="preserve">online </w:t>
      </w:r>
      <w:r w:rsidR="00FA07D2" w:rsidRPr="00530906">
        <w:rPr>
          <w:rFonts w:ascii="Cambria" w:eastAsia="Calibri" w:hAnsi="Cambria" w:cs="Times New Roman"/>
          <w:sz w:val="24"/>
          <w:szCs w:val="24"/>
        </w:rPr>
        <w:t>(Blazevic et al 2013)</w:t>
      </w:r>
      <w:r w:rsidR="00FA07D2">
        <w:rPr>
          <w:rFonts w:ascii="Cambria" w:eastAsia="Calibri" w:hAnsi="Cambria" w:cs="Times New Roman"/>
          <w:sz w:val="24"/>
          <w:szCs w:val="24"/>
        </w:rPr>
        <w:t xml:space="preserve">. </w:t>
      </w:r>
      <w:r w:rsidR="00C7217E" w:rsidRPr="00530906">
        <w:rPr>
          <w:rFonts w:ascii="Cambria" w:eastAsia="Calibri" w:hAnsi="Cambria" w:cs="Times New Roman"/>
          <w:sz w:val="24"/>
          <w:szCs w:val="24"/>
        </w:rPr>
        <w:t xml:space="preserve"> Hence it can be assumed that since consumers prefer positive news about sustainability</w:t>
      </w:r>
      <w:r w:rsidR="00F12B42">
        <w:rPr>
          <w:rFonts w:ascii="Cambria" w:eastAsia="Calibri" w:hAnsi="Cambria" w:cs="Times New Roman"/>
          <w:sz w:val="24"/>
          <w:szCs w:val="24"/>
        </w:rPr>
        <w:t xml:space="preserve"> r</w:t>
      </w:r>
      <w:r w:rsidR="00C7217E" w:rsidRPr="00530906">
        <w:rPr>
          <w:rFonts w:ascii="Cambria" w:eastAsia="Calibri" w:hAnsi="Cambria" w:cs="Times New Roman"/>
          <w:sz w:val="24"/>
          <w:szCs w:val="24"/>
        </w:rPr>
        <w:t xml:space="preserve">ather than negative ones when it comes to initiate behavioural response (Thøgersen and Schrader 2012; Reborts 1996; Kilbourne and Pickett 2008), positive caption </w:t>
      </w:r>
      <w:r w:rsidR="00A6459E">
        <w:rPr>
          <w:rFonts w:ascii="Cambria" w:eastAsia="Calibri" w:hAnsi="Cambria" w:cs="Times New Roman"/>
          <w:sz w:val="24"/>
          <w:szCs w:val="24"/>
        </w:rPr>
        <w:t>for ad with</w:t>
      </w:r>
      <w:r w:rsidR="00C7217E" w:rsidRPr="00530906">
        <w:rPr>
          <w:rFonts w:ascii="Cambria" w:eastAsia="Calibri" w:hAnsi="Cambria" w:cs="Times New Roman"/>
          <w:sz w:val="24"/>
          <w:szCs w:val="24"/>
        </w:rPr>
        <w:t xml:space="preserve"> sustainability</w:t>
      </w:r>
      <w:r w:rsidR="00A6459E">
        <w:rPr>
          <w:rFonts w:ascii="Cambria" w:eastAsia="Calibri" w:hAnsi="Cambria" w:cs="Times New Roman"/>
          <w:sz w:val="24"/>
          <w:szCs w:val="24"/>
        </w:rPr>
        <w:t xml:space="preserve"> message</w:t>
      </w:r>
      <w:r w:rsidR="00C7217E" w:rsidRPr="00530906">
        <w:rPr>
          <w:rFonts w:ascii="Cambria" w:eastAsia="Calibri" w:hAnsi="Cambria" w:cs="Times New Roman"/>
          <w:sz w:val="24"/>
          <w:szCs w:val="24"/>
        </w:rPr>
        <w:t xml:space="preserve"> should also elicit more social–media–engagement behaviour than the negative caption.</w:t>
      </w:r>
    </w:p>
    <w:p w14:paraId="13E498E8" w14:textId="41D5CCBA" w:rsidR="00C7217E"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w:t>
      </w:r>
      <w:r w:rsidRPr="00530906">
        <w:rPr>
          <w:rFonts w:ascii="Cambria" w:eastAsia="Calibri" w:hAnsi="Cambria" w:cs="Times New Roman"/>
          <w:b/>
          <w:sz w:val="24"/>
          <w:szCs w:val="24"/>
        </w:rPr>
        <w:t xml:space="preserve">: </w:t>
      </w:r>
      <w:r w:rsidR="00141BB4" w:rsidRPr="00530906">
        <w:rPr>
          <w:rFonts w:ascii="Cambria" w:eastAsia="Calibri" w:hAnsi="Cambria" w:cs="Times New Roman"/>
          <w:b/>
          <w:sz w:val="24"/>
          <w:szCs w:val="24"/>
        </w:rPr>
        <w:t xml:space="preserve">positive caption </w:t>
      </w:r>
      <w:r w:rsidR="00141BB4">
        <w:rPr>
          <w:rFonts w:ascii="Cambria" w:eastAsia="Calibri" w:hAnsi="Cambria" w:cs="Times New Roman"/>
          <w:b/>
          <w:sz w:val="24"/>
          <w:szCs w:val="24"/>
        </w:rPr>
        <w:t>accompanying a</w:t>
      </w:r>
      <w:r w:rsidR="00AE573C">
        <w:rPr>
          <w:rFonts w:ascii="Cambria" w:eastAsia="Calibri" w:hAnsi="Cambria" w:cs="Times New Roman"/>
          <w:b/>
          <w:sz w:val="24"/>
          <w:szCs w:val="24"/>
        </w:rPr>
        <w:t>d with s</w:t>
      </w:r>
      <w:r w:rsidRPr="00530906">
        <w:rPr>
          <w:rFonts w:ascii="Cambria" w:eastAsia="Calibri" w:hAnsi="Cambria" w:cs="Times New Roman"/>
          <w:b/>
          <w:sz w:val="24"/>
          <w:szCs w:val="24"/>
        </w:rPr>
        <w:t>ustainability</w:t>
      </w:r>
      <w:r w:rsidR="00744603">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will lead to higher level of social–media–engagement than </w:t>
      </w:r>
      <w:r w:rsidR="0060403E">
        <w:rPr>
          <w:rFonts w:ascii="Cambria" w:eastAsia="Calibri" w:hAnsi="Cambria" w:cs="Times New Roman"/>
          <w:b/>
          <w:sz w:val="24"/>
          <w:szCs w:val="24"/>
        </w:rPr>
        <w:t xml:space="preserve">negative </w:t>
      </w:r>
      <w:r w:rsidR="00141BB4" w:rsidRPr="00530906">
        <w:rPr>
          <w:rFonts w:ascii="Cambria" w:eastAsia="Calibri" w:hAnsi="Cambria" w:cs="Times New Roman"/>
          <w:b/>
          <w:sz w:val="24"/>
          <w:szCs w:val="24"/>
        </w:rPr>
        <w:t xml:space="preserve">caption </w:t>
      </w:r>
      <w:r w:rsidR="00141BB4">
        <w:rPr>
          <w:rFonts w:ascii="Cambria" w:eastAsia="Calibri" w:hAnsi="Cambria" w:cs="Times New Roman"/>
          <w:b/>
          <w:sz w:val="24"/>
          <w:szCs w:val="24"/>
        </w:rPr>
        <w:t>accompanying ad with s</w:t>
      </w:r>
      <w:r w:rsidR="00141BB4" w:rsidRPr="00530906">
        <w:rPr>
          <w:rFonts w:ascii="Cambria" w:eastAsia="Calibri" w:hAnsi="Cambria" w:cs="Times New Roman"/>
          <w:b/>
          <w:sz w:val="24"/>
          <w:szCs w:val="24"/>
        </w:rPr>
        <w:t>ustainability</w:t>
      </w:r>
      <w:r w:rsidR="00141BB4">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t>
      </w:r>
    </w:p>
    <w:p w14:paraId="44469DBD" w14:textId="3700D37A" w:rsidR="00A21F3A" w:rsidRPr="00530906" w:rsidRDefault="003E5D9A" w:rsidP="003E5D9A">
      <w:pPr>
        <w:pStyle w:val="Heading3"/>
        <w:rPr>
          <w:rFonts w:eastAsia="Calibri"/>
        </w:rPr>
      </w:pPr>
      <w:bookmarkStart w:id="55" w:name="_Toc115726235"/>
      <w:r>
        <w:rPr>
          <w:rFonts w:eastAsia="Calibri"/>
        </w:rPr>
        <w:t>3.1.1 Moderating role of source expertise</w:t>
      </w:r>
      <w:bookmarkEnd w:id="55"/>
      <w:r>
        <w:rPr>
          <w:rFonts w:eastAsia="Calibri"/>
        </w:rPr>
        <w:t xml:space="preserve"> </w:t>
      </w:r>
    </w:p>
    <w:p w14:paraId="757D7174" w14:textId="0ADEB72B" w:rsidR="00B43EFE" w:rsidRPr="00463356" w:rsidRDefault="00B43EFE" w:rsidP="00B43EFE">
      <w:pPr>
        <w:spacing w:line="360" w:lineRule="auto"/>
        <w:jc w:val="both"/>
        <w:rPr>
          <w:rFonts w:ascii="Cambria" w:eastAsia="Calibri" w:hAnsi="Cambria" w:cs="Times New Roman"/>
          <w:sz w:val="24"/>
          <w:szCs w:val="24"/>
        </w:rPr>
      </w:pPr>
      <w:r w:rsidRPr="00463356">
        <w:rPr>
          <w:rFonts w:ascii="Cambria" w:eastAsia="Calibri" w:hAnsi="Cambria" w:cs="Times New Roman"/>
          <w:sz w:val="24"/>
          <w:szCs w:val="24"/>
        </w:rPr>
        <w:t xml:space="preserve">The influence of negative caption should be greater than for positive caption accompanying the ad with sustainability message on social media, because negative eWOM have greater impact on the users than the positive eWOM (Trusov et al 2009; Ito et al 1998). Since, consumers tend to believe more negative message than the positive ones (Ito et al 1998), when this negativity bias is coupled with high source expertise, the negative caption with the sustainability–ad should generate higher acceptance of the content, which will lead to higher social–media engagement. </w:t>
      </w:r>
      <w:r w:rsidR="00437C10" w:rsidRPr="00463356">
        <w:rPr>
          <w:rFonts w:ascii="Cambria" w:hAnsi="Cambria"/>
          <w:sz w:val="24"/>
          <w:szCs w:val="24"/>
        </w:rPr>
        <w:t>However,</w:t>
      </w:r>
      <w:r w:rsidRPr="00463356">
        <w:rPr>
          <w:rFonts w:ascii="Cambria" w:hAnsi="Cambria"/>
          <w:sz w:val="24"/>
          <w:szCs w:val="24"/>
        </w:rPr>
        <w:t xml:space="preserve"> if the consumers have positive predisposition, higher source credibility is less persuasive than lower source credibility (Sternthal, et al 1978). The same effect may be observed in the context ad with sustainability </w:t>
      </w:r>
      <w:r>
        <w:rPr>
          <w:rFonts w:ascii="Cambria" w:hAnsi="Cambria"/>
          <w:sz w:val="24"/>
          <w:szCs w:val="24"/>
        </w:rPr>
        <w:t>message</w:t>
      </w:r>
      <w:r w:rsidRPr="00463356">
        <w:rPr>
          <w:rFonts w:ascii="Cambria" w:hAnsi="Cambria"/>
          <w:sz w:val="24"/>
          <w:szCs w:val="24"/>
        </w:rPr>
        <w:t>, since consumers prefer positive news about sustainability related issues over negative ones (Thøgersen and Schrader 2012; Reborts 1996; Kilbourne and Pickett 2008).</w:t>
      </w:r>
    </w:p>
    <w:p w14:paraId="63752D72" w14:textId="604B97A4" w:rsidR="00497770" w:rsidRPr="005356A4" w:rsidRDefault="009C618A" w:rsidP="00497770">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 xml:space="preserve">Previous research has shown that the characteristics </w:t>
      </w:r>
      <w:r w:rsidR="008752C2" w:rsidRPr="00A12D37">
        <w:rPr>
          <w:rFonts w:ascii="Cambria" w:eastAsia="Calibri" w:hAnsi="Cambria" w:cs="Times New Roman"/>
          <w:sz w:val="24"/>
          <w:szCs w:val="24"/>
        </w:rPr>
        <w:t xml:space="preserve">and merit </w:t>
      </w:r>
      <w:r w:rsidRPr="00A12D37">
        <w:rPr>
          <w:rFonts w:ascii="Cambria" w:eastAsia="Calibri" w:hAnsi="Cambria" w:cs="Times New Roman"/>
          <w:sz w:val="24"/>
          <w:szCs w:val="24"/>
        </w:rPr>
        <w:t xml:space="preserve">of </w:t>
      </w:r>
      <w:r w:rsidR="008752C2" w:rsidRPr="00A12D37">
        <w:rPr>
          <w:rFonts w:ascii="Cambria" w:eastAsia="Calibri" w:hAnsi="Cambria" w:cs="Times New Roman"/>
          <w:sz w:val="24"/>
          <w:szCs w:val="24"/>
        </w:rPr>
        <w:t xml:space="preserve">the </w:t>
      </w:r>
      <w:r w:rsidR="00A33B54" w:rsidRPr="00A12D37">
        <w:rPr>
          <w:rFonts w:ascii="Cambria" w:eastAsia="Calibri" w:hAnsi="Cambria" w:cs="Times New Roman"/>
          <w:sz w:val="24"/>
          <w:szCs w:val="24"/>
        </w:rPr>
        <w:t>contact</w:t>
      </w:r>
      <w:r w:rsidR="008752C2" w:rsidRPr="00A12D37">
        <w:rPr>
          <w:rFonts w:ascii="Cambria" w:eastAsia="Calibri" w:hAnsi="Cambria" w:cs="Times New Roman"/>
          <w:sz w:val="24"/>
          <w:szCs w:val="24"/>
        </w:rPr>
        <w:t>s</w:t>
      </w:r>
      <w:r w:rsidR="00A33B54" w:rsidRPr="00A12D37">
        <w:rPr>
          <w:rFonts w:ascii="Cambria" w:eastAsia="Calibri" w:hAnsi="Cambria" w:cs="Times New Roman"/>
          <w:sz w:val="24"/>
          <w:szCs w:val="24"/>
        </w:rPr>
        <w:t xml:space="preserve"> or souce</w:t>
      </w:r>
      <w:r w:rsidR="008752C2" w:rsidRPr="00A12D37">
        <w:rPr>
          <w:rFonts w:ascii="Cambria" w:eastAsia="Calibri" w:hAnsi="Cambria" w:cs="Times New Roman"/>
          <w:sz w:val="24"/>
          <w:szCs w:val="24"/>
        </w:rPr>
        <w:t>s</w:t>
      </w:r>
      <w:r w:rsidR="00A33B54" w:rsidRPr="00A12D37">
        <w:rPr>
          <w:rFonts w:ascii="Cambria" w:eastAsia="Calibri" w:hAnsi="Cambria" w:cs="Times New Roman"/>
          <w:sz w:val="24"/>
          <w:szCs w:val="24"/>
        </w:rPr>
        <w:t xml:space="preserve"> determine the level of social media engagement</w:t>
      </w:r>
      <w:r w:rsidR="008752C2" w:rsidRPr="00A12D37">
        <w:rPr>
          <w:rFonts w:ascii="Cambria" w:eastAsia="Calibri" w:hAnsi="Cambria" w:cs="Times New Roman"/>
          <w:sz w:val="24"/>
          <w:szCs w:val="24"/>
        </w:rPr>
        <w:t xml:space="preserve"> </w:t>
      </w:r>
      <w:r w:rsidR="00C7217E" w:rsidRPr="00A12D37">
        <w:rPr>
          <w:rFonts w:ascii="Cambria" w:eastAsia="Calibri" w:hAnsi="Cambria" w:cs="Times New Roman"/>
          <w:sz w:val="24"/>
          <w:szCs w:val="24"/>
        </w:rPr>
        <w:t xml:space="preserve">(Chiu et al 2006; Gambetti et al 2012). </w:t>
      </w:r>
      <w:r w:rsidR="00AF7718" w:rsidRPr="00A12D37">
        <w:rPr>
          <w:rFonts w:ascii="Cambria" w:hAnsi="Cambria"/>
          <w:sz w:val="24"/>
          <w:szCs w:val="24"/>
        </w:rPr>
        <w:t xml:space="preserve">Source expertise also proved to influence the perception and acceptance of the </w:t>
      </w:r>
      <w:r w:rsidR="008B6A96" w:rsidRPr="00A12D37">
        <w:rPr>
          <w:rFonts w:ascii="Cambria" w:hAnsi="Cambria"/>
          <w:sz w:val="24"/>
          <w:szCs w:val="24"/>
        </w:rPr>
        <w:t>message</w:t>
      </w:r>
      <w:r w:rsidR="006575DA" w:rsidRPr="00A12D37">
        <w:rPr>
          <w:rFonts w:ascii="Cambria" w:hAnsi="Cambria"/>
          <w:sz w:val="24"/>
          <w:szCs w:val="24"/>
        </w:rPr>
        <w:t xml:space="preserve">. </w:t>
      </w:r>
      <w:r w:rsidR="00437C10" w:rsidRPr="00A12D37">
        <w:rPr>
          <w:rFonts w:ascii="Cambria" w:hAnsi="Cambria"/>
          <w:sz w:val="24"/>
          <w:szCs w:val="24"/>
        </w:rPr>
        <w:t>However,</w:t>
      </w:r>
      <w:r w:rsidR="006575DA" w:rsidRPr="00A12D37">
        <w:rPr>
          <w:rFonts w:ascii="Cambria" w:hAnsi="Cambria"/>
          <w:sz w:val="24"/>
          <w:szCs w:val="24"/>
        </w:rPr>
        <w:t xml:space="preserve"> consumers rely on source ex</w:t>
      </w:r>
      <w:r w:rsidR="00D41DF9" w:rsidRPr="00A12D37">
        <w:rPr>
          <w:rFonts w:ascii="Cambria" w:hAnsi="Cambria"/>
          <w:sz w:val="24"/>
          <w:szCs w:val="24"/>
        </w:rPr>
        <w:t xml:space="preserve">pertise when they do not have the ability to </w:t>
      </w:r>
      <w:r w:rsidR="00DD2568" w:rsidRPr="00A12D37">
        <w:rPr>
          <w:rFonts w:ascii="Cambria" w:hAnsi="Cambria"/>
          <w:sz w:val="24"/>
          <w:szCs w:val="24"/>
        </w:rPr>
        <w:t>assess the message</w:t>
      </w:r>
      <w:r w:rsidR="003D67E5" w:rsidRPr="00A12D37">
        <w:rPr>
          <w:rFonts w:ascii="Cambria" w:eastAsia="Calibri" w:hAnsi="Cambria" w:cs="Times New Roman"/>
          <w:sz w:val="24"/>
          <w:szCs w:val="24"/>
        </w:rPr>
        <w:t xml:space="preserve"> (Berkowitz 1986). </w:t>
      </w:r>
      <w:r w:rsidR="00617422" w:rsidRPr="00A12D37">
        <w:rPr>
          <w:rFonts w:ascii="Cambria" w:eastAsia="Calibri" w:hAnsi="Cambria" w:cs="Times New Roman"/>
          <w:sz w:val="24"/>
          <w:szCs w:val="24"/>
        </w:rPr>
        <w:t xml:space="preserve">Hence source expertise has proved to be ineffective </w:t>
      </w:r>
      <w:r w:rsidR="00C85185" w:rsidRPr="00A12D37">
        <w:rPr>
          <w:rFonts w:ascii="Cambria" w:eastAsia="Calibri" w:hAnsi="Cambria" w:cs="Times New Roman"/>
          <w:sz w:val="24"/>
          <w:szCs w:val="24"/>
        </w:rPr>
        <w:t xml:space="preserve">in case of </w:t>
      </w:r>
      <w:r w:rsidR="007609D0" w:rsidRPr="00A12D37">
        <w:rPr>
          <w:rFonts w:ascii="Cambria" w:eastAsia="Calibri" w:hAnsi="Cambria" w:cs="Times New Roman"/>
          <w:sz w:val="24"/>
          <w:szCs w:val="24"/>
        </w:rPr>
        <w:t xml:space="preserve">knowledgeable consumers </w:t>
      </w:r>
      <w:r w:rsidR="007F5814" w:rsidRPr="00A12D37">
        <w:rPr>
          <w:rFonts w:ascii="Cambria" w:eastAsia="Calibri" w:hAnsi="Cambria" w:cs="Times New Roman"/>
          <w:sz w:val="24"/>
          <w:szCs w:val="24"/>
        </w:rPr>
        <w:t>(</w:t>
      </w:r>
      <w:r w:rsidR="00497770" w:rsidRPr="00A12D37">
        <w:rPr>
          <w:rFonts w:ascii="Cambria" w:eastAsia="Calibri" w:hAnsi="Cambria" w:cs="Times New Roman"/>
          <w:sz w:val="24"/>
          <w:szCs w:val="24"/>
        </w:rPr>
        <w:t xml:space="preserve">Bolton 2013; De Bono and Harnish 1988).  </w:t>
      </w:r>
      <w:r w:rsidR="00597EAF" w:rsidRPr="00A12D37">
        <w:rPr>
          <w:rFonts w:ascii="Cambria" w:eastAsia="Calibri" w:hAnsi="Cambria" w:cs="Times New Roman"/>
          <w:sz w:val="24"/>
          <w:szCs w:val="24"/>
        </w:rPr>
        <w:t>This is also evident in social media</w:t>
      </w:r>
      <w:r w:rsidR="00D433E9" w:rsidRPr="00A12D37">
        <w:rPr>
          <w:rFonts w:ascii="Cambria" w:eastAsia="Calibri" w:hAnsi="Cambria" w:cs="Times New Roman"/>
          <w:sz w:val="24"/>
          <w:szCs w:val="24"/>
        </w:rPr>
        <w:t>. K</w:t>
      </w:r>
      <w:r w:rsidR="00C36621" w:rsidRPr="00A12D37">
        <w:rPr>
          <w:rFonts w:ascii="Cambria" w:eastAsia="Calibri" w:hAnsi="Cambria" w:cs="Times New Roman"/>
          <w:sz w:val="24"/>
          <w:szCs w:val="24"/>
        </w:rPr>
        <w:t xml:space="preserve">nowledgeable users regarding a topic tend to be less influenced by the persuasion techniques, like word–of–mouth or the high number of review (Park and Kim 2008; </w:t>
      </w:r>
      <w:r w:rsidR="00C36621" w:rsidRPr="005356A4">
        <w:rPr>
          <w:rFonts w:ascii="Cambria" w:eastAsia="Calibri" w:hAnsi="Cambria" w:cs="Times New Roman"/>
          <w:sz w:val="24"/>
          <w:szCs w:val="24"/>
        </w:rPr>
        <w:t>Gilly et al 1998).</w:t>
      </w:r>
      <w:r w:rsidR="009E6388" w:rsidRPr="005356A4">
        <w:rPr>
          <w:rFonts w:ascii="Cambria" w:eastAsia="Calibri" w:hAnsi="Cambria" w:cs="Times New Roman"/>
          <w:sz w:val="24"/>
          <w:szCs w:val="24"/>
        </w:rPr>
        <w:t xml:space="preserve"> </w:t>
      </w:r>
      <w:r w:rsidR="00497770" w:rsidRPr="005356A4">
        <w:rPr>
          <w:rFonts w:ascii="Cambria" w:eastAsia="Calibri" w:hAnsi="Cambria" w:cs="Times New Roman"/>
          <w:sz w:val="24"/>
          <w:szCs w:val="24"/>
        </w:rPr>
        <w:t>In fact</w:t>
      </w:r>
      <w:r w:rsidR="00167714" w:rsidRPr="005356A4">
        <w:rPr>
          <w:rFonts w:ascii="Cambria" w:eastAsia="Calibri" w:hAnsi="Cambria" w:cs="Times New Roman"/>
          <w:sz w:val="24"/>
          <w:szCs w:val="24"/>
        </w:rPr>
        <w:t>, in this case</w:t>
      </w:r>
      <w:r w:rsidR="00E6643A" w:rsidRPr="005356A4">
        <w:rPr>
          <w:rFonts w:ascii="Cambria" w:eastAsia="Calibri" w:hAnsi="Cambria" w:cs="Times New Roman"/>
          <w:sz w:val="24"/>
          <w:szCs w:val="24"/>
        </w:rPr>
        <w:t>,</w:t>
      </w:r>
      <w:r w:rsidR="00497770" w:rsidRPr="005356A4">
        <w:rPr>
          <w:rFonts w:ascii="Cambria" w:eastAsia="Calibri" w:hAnsi="Cambria" w:cs="Times New Roman"/>
          <w:sz w:val="24"/>
          <w:szCs w:val="24"/>
        </w:rPr>
        <w:t xml:space="preserve"> source expertise may have negative impact on accepting their opinion and they tend to generate more counterargument and dissonance (Berkowitz 1986; Gilly et al 1998). This may be the case for a well–known topic like sustainability. </w:t>
      </w:r>
      <w:r w:rsidR="00437C10" w:rsidRPr="005356A4">
        <w:rPr>
          <w:rFonts w:ascii="Cambria" w:eastAsia="Calibri" w:hAnsi="Cambria" w:cs="Times New Roman"/>
          <w:sz w:val="24"/>
          <w:szCs w:val="24"/>
        </w:rPr>
        <w:t>Previous</w:t>
      </w:r>
      <w:r w:rsidR="00E6643A" w:rsidRPr="005356A4">
        <w:rPr>
          <w:rFonts w:ascii="Cambria" w:eastAsia="Calibri" w:hAnsi="Cambria" w:cs="Times New Roman"/>
          <w:sz w:val="24"/>
          <w:szCs w:val="24"/>
        </w:rPr>
        <w:t xml:space="preserve"> research sho</w:t>
      </w:r>
      <w:r w:rsidR="00D963A7" w:rsidRPr="005356A4">
        <w:rPr>
          <w:rFonts w:ascii="Cambria" w:eastAsia="Calibri" w:hAnsi="Cambria" w:cs="Times New Roman"/>
          <w:sz w:val="24"/>
          <w:szCs w:val="24"/>
        </w:rPr>
        <w:t>wed that, i</w:t>
      </w:r>
      <w:r w:rsidR="00497770" w:rsidRPr="005356A4">
        <w:rPr>
          <w:rFonts w:ascii="Cambria" w:eastAsia="Calibri" w:hAnsi="Cambria" w:cs="Times New Roman"/>
          <w:sz w:val="24"/>
          <w:szCs w:val="24"/>
        </w:rPr>
        <w:t>n the context of sustainability, people may avoid other consumers’ opinion if they are perceived to be overly self–righteous (Johnstone and Tan 2015).</w:t>
      </w:r>
    </w:p>
    <w:p w14:paraId="549136F2" w14:textId="2EF23D9C" w:rsidR="00C7217E" w:rsidRPr="00530906" w:rsidRDefault="00600725" w:rsidP="00635D28">
      <w:pPr>
        <w:spacing w:line="360" w:lineRule="auto"/>
        <w:jc w:val="both"/>
        <w:rPr>
          <w:rFonts w:ascii="Cambria" w:eastAsia="Calibri" w:hAnsi="Cambria" w:cs="Times New Roman"/>
          <w:sz w:val="24"/>
          <w:szCs w:val="24"/>
        </w:rPr>
      </w:pPr>
      <w:bookmarkStart w:id="56" w:name="_Hlk56079023"/>
      <w:r w:rsidRPr="005356A4">
        <w:rPr>
          <w:rFonts w:ascii="Cambria" w:eastAsia="Calibri" w:hAnsi="Cambria" w:cs="Times New Roman"/>
          <w:sz w:val="24"/>
          <w:szCs w:val="24"/>
        </w:rPr>
        <w:t xml:space="preserve">Depending on the context, </w:t>
      </w:r>
      <w:r w:rsidR="00F75CF7" w:rsidRPr="005356A4">
        <w:rPr>
          <w:rFonts w:ascii="Cambria" w:eastAsia="Calibri" w:hAnsi="Cambria" w:cs="Times New Roman"/>
          <w:sz w:val="24"/>
          <w:szCs w:val="24"/>
        </w:rPr>
        <w:t>social media engagement may differ f</w:t>
      </w:r>
      <w:r w:rsidR="00772190" w:rsidRPr="005356A4">
        <w:rPr>
          <w:rFonts w:ascii="Cambria" w:eastAsia="Calibri" w:hAnsi="Cambria" w:cs="Times New Roman"/>
          <w:sz w:val="24"/>
          <w:szCs w:val="24"/>
        </w:rPr>
        <w:t xml:space="preserve">or high or low </w:t>
      </w:r>
      <w:r w:rsidR="00437C10" w:rsidRPr="005356A4">
        <w:rPr>
          <w:rFonts w:ascii="Cambria" w:eastAsia="Calibri" w:hAnsi="Cambria" w:cs="Times New Roman"/>
          <w:sz w:val="24"/>
          <w:szCs w:val="24"/>
        </w:rPr>
        <w:t>source expertise</w:t>
      </w:r>
      <w:r w:rsidR="000567FD" w:rsidRPr="005356A4">
        <w:rPr>
          <w:rFonts w:ascii="Cambria" w:eastAsia="Calibri" w:hAnsi="Cambria" w:cs="Times New Roman"/>
          <w:sz w:val="24"/>
          <w:szCs w:val="24"/>
        </w:rPr>
        <w:t xml:space="preserve">. </w:t>
      </w:r>
      <w:r w:rsidR="00BC3CCC" w:rsidRPr="005356A4">
        <w:rPr>
          <w:rFonts w:ascii="Cambria" w:eastAsia="Calibri" w:hAnsi="Cambria" w:cs="Times New Roman"/>
          <w:sz w:val="24"/>
          <w:szCs w:val="24"/>
        </w:rPr>
        <w:t xml:space="preserve">Engagement on a post </w:t>
      </w:r>
      <w:r w:rsidR="00BD601E" w:rsidRPr="005356A4">
        <w:rPr>
          <w:rFonts w:ascii="Cambria" w:eastAsia="Calibri" w:hAnsi="Cambria" w:cs="Times New Roman"/>
          <w:sz w:val="24"/>
          <w:szCs w:val="24"/>
        </w:rPr>
        <w:t>may be neutral or even negative if the</w:t>
      </w:r>
      <w:r w:rsidR="00CA7F00" w:rsidRPr="005356A4">
        <w:rPr>
          <w:rFonts w:ascii="Cambria" w:eastAsia="Calibri" w:hAnsi="Cambria" w:cs="Times New Roman"/>
          <w:sz w:val="24"/>
          <w:szCs w:val="24"/>
        </w:rPr>
        <w:t xml:space="preserve"> users suspect ulterior motive </w:t>
      </w:r>
      <w:r w:rsidR="00C97936" w:rsidRPr="005356A4">
        <w:rPr>
          <w:rFonts w:ascii="Cambria" w:eastAsia="Calibri" w:hAnsi="Cambria" w:cs="Times New Roman"/>
          <w:sz w:val="24"/>
          <w:szCs w:val="24"/>
        </w:rPr>
        <w:t>of the</w:t>
      </w:r>
      <w:r w:rsidR="00CA7F00" w:rsidRPr="005356A4">
        <w:rPr>
          <w:rFonts w:ascii="Cambria" w:eastAsia="Calibri" w:hAnsi="Cambria" w:cs="Times New Roman"/>
          <w:sz w:val="24"/>
          <w:szCs w:val="24"/>
        </w:rPr>
        <w:t xml:space="preserve"> source, de</w:t>
      </w:r>
      <w:r w:rsidR="009771CD" w:rsidRPr="005356A4">
        <w:rPr>
          <w:rFonts w:ascii="Cambria" w:eastAsia="Calibri" w:hAnsi="Cambria" w:cs="Times New Roman"/>
          <w:sz w:val="24"/>
          <w:szCs w:val="24"/>
        </w:rPr>
        <w:t>spite o</w:t>
      </w:r>
      <w:r w:rsidR="00917A5E" w:rsidRPr="005356A4">
        <w:rPr>
          <w:rFonts w:ascii="Cambria" w:eastAsia="Calibri" w:hAnsi="Cambria" w:cs="Times New Roman"/>
          <w:sz w:val="24"/>
          <w:szCs w:val="24"/>
        </w:rPr>
        <w:t>f posted by an expert</w:t>
      </w:r>
      <w:r w:rsidR="00626199" w:rsidRPr="005356A4">
        <w:rPr>
          <w:rFonts w:ascii="Cambria" w:eastAsia="Calibri" w:hAnsi="Cambria" w:cs="Times New Roman"/>
          <w:sz w:val="24"/>
          <w:szCs w:val="24"/>
        </w:rPr>
        <w:t xml:space="preserve">. In this situation, low source expertise may </w:t>
      </w:r>
      <w:r w:rsidR="00366AAA" w:rsidRPr="005356A4">
        <w:rPr>
          <w:rFonts w:ascii="Cambria" w:eastAsia="Calibri" w:hAnsi="Cambria" w:cs="Times New Roman"/>
          <w:sz w:val="24"/>
          <w:szCs w:val="24"/>
        </w:rPr>
        <w:t xml:space="preserve">cause </w:t>
      </w:r>
      <w:r w:rsidR="00366AAA" w:rsidRPr="00A12D37">
        <w:rPr>
          <w:rFonts w:ascii="Cambria" w:eastAsia="Calibri" w:hAnsi="Cambria" w:cs="Times New Roman"/>
          <w:sz w:val="24"/>
          <w:szCs w:val="24"/>
        </w:rPr>
        <w:t xml:space="preserve">positive </w:t>
      </w:r>
      <w:r w:rsidR="00C97936" w:rsidRPr="00A12D37">
        <w:rPr>
          <w:rFonts w:ascii="Cambria" w:eastAsia="Calibri" w:hAnsi="Cambria" w:cs="Times New Roman"/>
          <w:sz w:val="24"/>
          <w:szCs w:val="24"/>
        </w:rPr>
        <w:t>impact</w:t>
      </w:r>
      <w:r w:rsidR="0053218C" w:rsidRPr="00A12D37">
        <w:rPr>
          <w:rFonts w:ascii="Cambria" w:eastAsia="Calibri" w:hAnsi="Cambria" w:cs="Times New Roman"/>
          <w:sz w:val="24"/>
          <w:szCs w:val="24"/>
        </w:rPr>
        <w:t xml:space="preserve"> (Hughes et al 2019</w:t>
      </w:r>
      <w:r w:rsidR="00C71E53" w:rsidRPr="00A12D37">
        <w:rPr>
          <w:rFonts w:ascii="Cambria" w:eastAsia="Calibri" w:hAnsi="Cambria" w:cs="Times New Roman"/>
          <w:sz w:val="24"/>
          <w:szCs w:val="24"/>
        </w:rPr>
        <w:t>)</w:t>
      </w:r>
      <w:r w:rsidR="00FE612F" w:rsidRPr="00A12D37">
        <w:rPr>
          <w:rFonts w:ascii="Cambria" w:eastAsia="Calibri" w:hAnsi="Cambria" w:cs="Times New Roman"/>
          <w:sz w:val="24"/>
          <w:szCs w:val="24"/>
        </w:rPr>
        <w:t xml:space="preserve">. In </w:t>
      </w:r>
      <w:r w:rsidR="00C97936" w:rsidRPr="00A12D37">
        <w:rPr>
          <w:rFonts w:ascii="Cambria" w:eastAsia="Calibri" w:hAnsi="Cambria" w:cs="Times New Roman"/>
          <w:sz w:val="24"/>
          <w:szCs w:val="24"/>
        </w:rPr>
        <w:t>other words</w:t>
      </w:r>
      <w:r w:rsidR="00FE612F" w:rsidRPr="00A12D37">
        <w:rPr>
          <w:rFonts w:ascii="Cambria" w:eastAsia="Calibri" w:hAnsi="Cambria" w:cs="Times New Roman"/>
          <w:sz w:val="24"/>
          <w:szCs w:val="24"/>
        </w:rPr>
        <w:t xml:space="preserve">, impact of source expertise </w:t>
      </w:r>
      <w:r w:rsidR="00C97936" w:rsidRPr="00A12D37">
        <w:rPr>
          <w:rFonts w:ascii="Cambria" w:eastAsia="Calibri" w:hAnsi="Cambria" w:cs="Times New Roman"/>
          <w:sz w:val="24"/>
          <w:szCs w:val="24"/>
        </w:rPr>
        <w:t>diminishes</w:t>
      </w:r>
      <w:r w:rsidR="00FE612F" w:rsidRPr="00A12D37">
        <w:rPr>
          <w:rFonts w:ascii="Cambria" w:eastAsia="Calibri" w:hAnsi="Cambria" w:cs="Times New Roman"/>
          <w:sz w:val="24"/>
          <w:szCs w:val="24"/>
        </w:rPr>
        <w:t xml:space="preserve"> </w:t>
      </w:r>
      <w:r w:rsidR="00366EF7" w:rsidRPr="00A12D37">
        <w:rPr>
          <w:rFonts w:ascii="Cambria" w:eastAsia="Calibri" w:hAnsi="Cambria" w:cs="Times New Roman"/>
          <w:sz w:val="24"/>
          <w:szCs w:val="24"/>
        </w:rPr>
        <w:t xml:space="preserve">with the </w:t>
      </w:r>
      <w:r w:rsidR="0093208B" w:rsidRPr="00A12D37">
        <w:rPr>
          <w:rFonts w:ascii="Cambria" w:eastAsia="Calibri" w:hAnsi="Cambria" w:cs="Times New Roman"/>
          <w:sz w:val="24"/>
          <w:szCs w:val="24"/>
        </w:rPr>
        <w:t>extremity of advertising claims</w:t>
      </w:r>
      <w:r w:rsidR="00635D28" w:rsidRPr="00A12D37">
        <w:rPr>
          <w:rFonts w:ascii="Cambria" w:eastAsia="Calibri" w:hAnsi="Cambria" w:cs="Times New Roman"/>
          <w:sz w:val="24"/>
          <w:szCs w:val="24"/>
        </w:rPr>
        <w:t xml:space="preserve"> (Goldberg and Hartwick 1990).</w:t>
      </w:r>
      <w:r w:rsidR="00005761" w:rsidRPr="00A12D37">
        <w:rPr>
          <w:rFonts w:ascii="Cambria" w:eastAsia="Calibri" w:hAnsi="Cambria" w:cs="Times New Roman"/>
          <w:sz w:val="24"/>
          <w:szCs w:val="24"/>
        </w:rPr>
        <w:t xml:space="preserve"> This affect can be observed in</w:t>
      </w:r>
      <w:r w:rsidR="00A54914" w:rsidRPr="00A12D37">
        <w:rPr>
          <w:rFonts w:ascii="Cambria" w:eastAsia="Calibri" w:hAnsi="Cambria" w:cs="Times New Roman"/>
          <w:sz w:val="24"/>
          <w:szCs w:val="24"/>
        </w:rPr>
        <w:t xml:space="preserve"> the context </w:t>
      </w:r>
      <w:r w:rsidR="00C97936" w:rsidRPr="00A12D37">
        <w:rPr>
          <w:rFonts w:ascii="Cambria" w:eastAsia="Calibri" w:hAnsi="Cambria" w:cs="Times New Roman"/>
          <w:sz w:val="24"/>
          <w:szCs w:val="24"/>
        </w:rPr>
        <w:t>of ad</w:t>
      </w:r>
      <w:r w:rsidR="00005761" w:rsidRPr="00A12D37">
        <w:rPr>
          <w:rFonts w:ascii="Cambria" w:eastAsia="Calibri" w:hAnsi="Cambria" w:cs="Times New Roman"/>
          <w:sz w:val="24"/>
          <w:szCs w:val="24"/>
        </w:rPr>
        <w:t xml:space="preserve"> with the sustainability message</w:t>
      </w:r>
      <w:r w:rsidR="00CE3E04" w:rsidRPr="00A12D37">
        <w:rPr>
          <w:rFonts w:ascii="Cambria" w:eastAsia="Calibri" w:hAnsi="Cambria" w:cs="Times New Roman"/>
          <w:sz w:val="24"/>
          <w:szCs w:val="24"/>
        </w:rPr>
        <w:t xml:space="preserve">, </w:t>
      </w:r>
      <w:r w:rsidR="00272D45" w:rsidRPr="00A12D37">
        <w:rPr>
          <w:rFonts w:ascii="Cambria" w:eastAsia="Calibri" w:hAnsi="Cambria" w:cs="Times New Roman"/>
          <w:sz w:val="24"/>
          <w:szCs w:val="24"/>
        </w:rPr>
        <w:t>s</w:t>
      </w:r>
      <w:r w:rsidR="00CE3E04" w:rsidRPr="00A12D37">
        <w:rPr>
          <w:rFonts w:ascii="Cambria" w:eastAsia="Calibri" w:hAnsi="Cambria" w:cs="Times New Roman"/>
          <w:sz w:val="24"/>
          <w:szCs w:val="24"/>
        </w:rPr>
        <w:t xml:space="preserve">ince </w:t>
      </w:r>
      <w:r w:rsidR="00423B47" w:rsidRPr="00A12D37">
        <w:rPr>
          <w:rFonts w:ascii="Cambria" w:eastAsia="Calibri" w:hAnsi="Cambria" w:cs="Times New Roman"/>
          <w:sz w:val="24"/>
          <w:szCs w:val="24"/>
        </w:rPr>
        <w:t>consumers</w:t>
      </w:r>
      <w:r w:rsidR="00CE3E04" w:rsidRPr="00A12D37">
        <w:rPr>
          <w:rFonts w:ascii="Cambria" w:eastAsia="Calibri" w:hAnsi="Cambria" w:cs="Times New Roman"/>
          <w:sz w:val="24"/>
          <w:szCs w:val="24"/>
        </w:rPr>
        <w:t xml:space="preserve"> </w:t>
      </w:r>
      <w:r w:rsidR="0039693A" w:rsidRPr="00A12D37">
        <w:rPr>
          <w:rFonts w:ascii="Cambria" w:eastAsia="Calibri" w:hAnsi="Cambria" w:cs="Times New Roman"/>
          <w:sz w:val="24"/>
          <w:szCs w:val="24"/>
        </w:rPr>
        <w:t>are already</w:t>
      </w:r>
      <w:r w:rsidR="00272D45" w:rsidRPr="00A12D37">
        <w:rPr>
          <w:rFonts w:ascii="Cambria" w:eastAsia="Calibri" w:hAnsi="Cambria" w:cs="Times New Roman"/>
          <w:sz w:val="24"/>
          <w:szCs w:val="24"/>
        </w:rPr>
        <w:t xml:space="preserve"> wary </w:t>
      </w:r>
      <w:r w:rsidR="00F64884" w:rsidRPr="00A12D37">
        <w:rPr>
          <w:rFonts w:ascii="Cambria" w:eastAsia="Calibri" w:hAnsi="Cambria" w:cs="Times New Roman"/>
          <w:sz w:val="24"/>
          <w:szCs w:val="24"/>
        </w:rPr>
        <w:t>about greenwashing</w:t>
      </w:r>
      <w:r w:rsidR="000A0102" w:rsidRPr="00A12D37">
        <w:rPr>
          <w:rFonts w:ascii="Cambria" w:eastAsia="Calibri" w:hAnsi="Cambria" w:cs="Times New Roman"/>
          <w:sz w:val="24"/>
          <w:szCs w:val="24"/>
        </w:rPr>
        <w:t xml:space="preserve"> (Peattie and Crane 2005; Kilbourne 2004)</w:t>
      </w:r>
      <w:r w:rsidR="00343253" w:rsidRPr="00A12D37">
        <w:rPr>
          <w:rFonts w:ascii="Cambria" w:eastAsia="Calibri" w:hAnsi="Cambria" w:cs="Times New Roman"/>
          <w:sz w:val="24"/>
          <w:szCs w:val="24"/>
        </w:rPr>
        <w:t>.</w:t>
      </w:r>
      <w:r w:rsidR="00CC7F6E" w:rsidRPr="00A12D37">
        <w:rPr>
          <w:rFonts w:ascii="Cambria" w:eastAsia="Calibri" w:hAnsi="Cambria" w:cs="Times New Roman"/>
          <w:sz w:val="24"/>
          <w:szCs w:val="24"/>
        </w:rPr>
        <w:t xml:space="preserve"> </w:t>
      </w:r>
      <w:r w:rsidR="000A0947" w:rsidRPr="00A12D37">
        <w:rPr>
          <w:rFonts w:ascii="Cambria" w:eastAsia="Calibri" w:hAnsi="Cambria" w:cs="Times New Roman"/>
          <w:sz w:val="24"/>
          <w:szCs w:val="24"/>
        </w:rPr>
        <w:t xml:space="preserve">Positive </w:t>
      </w:r>
      <w:r w:rsidR="007A156F" w:rsidRPr="00A12D37">
        <w:rPr>
          <w:rFonts w:ascii="Cambria" w:eastAsia="Calibri" w:hAnsi="Cambria" w:cs="Times New Roman"/>
          <w:sz w:val="24"/>
          <w:szCs w:val="24"/>
        </w:rPr>
        <w:t xml:space="preserve">caption with the </w:t>
      </w:r>
      <w:r w:rsidR="006A1E42" w:rsidRPr="00A12D37">
        <w:rPr>
          <w:rFonts w:ascii="Cambria" w:eastAsia="Calibri" w:hAnsi="Cambria" w:cs="Times New Roman"/>
          <w:sz w:val="24"/>
          <w:szCs w:val="24"/>
        </w:rPr>
        <w:t xml:space="preserve">ad with </w:t>
      </w:r>
      <w:r w:rsidR="0039693A" w:rsidRPr="00A12D37">
        <w:rPr>
          <w:rFonts w:ascii="Cambria" w:eastAsia="Calibri" w:hAnsi="Cambria" w:cs="Times New Roman"/>
          <w:sz w:val="24"/>
          <w:szCs w:val="24"/>
        </w:rPr>
        <w:t>sustainability</w:t>
      </w:r>
      <w:r w:rsidR="006A1E42" w:rsidRPr="00A12D37">
        <w:rPr>
          <w:rFonts w:ascii="Cambria" w:eastAsia="Calibri" w:hAnsi="Cambria" w:cs="Times New Roman"/>
          <w:sz w:val="24"/>
          <w:szCs w:val="24"/>
        </w:rPr>
        <w:t xml:space="preserve"> message</w:t>
      </w:r>
      <w:r w:rsidR="000A0947" w:rsidRPr="00A12D37">
        <w:rPr>
          <w:rFonts w:ascii="Cambria" w:eastAsia="Calibri" w:hAnsi="Cambria" w:cs="Times New Roman"/>
          <w:sz w:val="24"/>
          <w:szCs w:val="24"/>
        </w:rPr>
        <w:t xml:space="preserve"> may be deem</w:t>
      </w:r>
      <w:r w:rsidR="006A1E42" w:rsidRPr="00A12D37">
        <w:rPr>
          <w:rFonts w:ascii="Cambria" w:eastAsia="Calibri" w:hAnsi="Cambria" w:cs="Times New Roman"/>
          <w:sz w:val="24"/>
          <w:szCs w:val="24"/>
        </w:rPr>
        <w:t>ed</w:t>
      </w:r>
      <w:r w:rsidR="000A0947" w:rsidRPr="00A12D37">
        <w:rPr>
          <w:rFonts w:ascii="Cambria" w:eastAsia="Calibri" w:hAnsi="Cambria" w:cs="Times New Roman"/>
          <w:sz w:val="24"/>
          <w:szCs w:val="24"/>
        </w:rPr>
        <w:t xml:space="preserve"> as a persuading attempt by </w:t>
      </w:r>
      <w:r w:rsidR="00B15147" w:rsidRPr="00A12D37">
        <w:rPr>
          <w:rFonts w:ascii="Cambria" w:eastAsia="Calibri" w:hAnsi="Cambria" w:cs="Times New Roman"/>
          <w:sz w:val="24"/>
          <w:szCs w:val="24"/>
        </w:rPr>
        <w:t>highly expert sour</w:t>
      </w:r>
      <w:r w:rsidR="007174E4" w:rsidRPr="00A12D37">
        <w:rPr>
          <w:rFonts w:ascii="Cambria" w:eastAsia="Calibri" w:hAnsi="Cambria" w:cs="Times New Roman"/>
          <w:sz w:val="24"/>
          <w:szCs w:val="24"/>
        </w:rPr>
        <w:t>c</w:t>
      </w:r>
      <w:r w:rsidR="00B15147" w:rsidRPr="00A12D37">
        <w:rPr>
          <w:rFonts w:ascii="Cambria" w:eastAsia="Calibri" w:hAnsi="Cambria" w:cs="Times New Roman"/>
          <w:sz w:val="24"/>
          <w:szCs w:val="24"/>
        </w:rPr>
        <w:t>e, which may cause lower level of if social media engagement</w:t>
      </w:r>
      <w:r w:rsidR="00A54F7E" w:rsidRPr="00A12D37">
        <w:rPr>
          <w:rFonts w:ascii="Cambria" w:eastAsia="Calibri" w:hAnsi="Cambria" w:cs="Times New Roman"/>
          <w:sz w:val="24"/>
          <w:szCs w:val="24"/>
        </w:rPr>
        <w:t>.</w:t>
      </w:r>
      <w:r w:rsidR="00137768" w:rsidRPr="00A12D37">
        <w:rPr>
          <w:rFonts w:ascii="Cambria" w:eastAsia="Calibri" w:hAnsi="Cambria" w:cs="Times New Roman"/>
          <w:sz w:val="24"/>
          <w:szCs w:val="24"/>
        </w:rPr>
        <w:t xml:space="preserve"> Overly </w:t>
      </w:r>
      <w:r w:rsidR="00A27E48" w:rsidRPr="00A12D37">
        <w:rPr>
          <w:rFonts w:ascii="Cambria" w:eastAsia="Calibri" w:hAnsi="Cambria" w:cs="Times New Roman"/>
          <w:sz w:val="24"/>
          <w:szCs w:val="24"/>
        </w:rPr>
        <w:t>persuasive</w:t>
      </w:r>
      <w:r w:rsidR="00137768" w:rsidRPr="00A12D37">
        <w:rPr>
          <w:rFonts w:ascii="Cambria" w:eastAsia="Calibri" w:hAnsi="Cambria" w:cs="Times New Roman"/>
          <w:sz w:val="24"/>
          <w:szCs w:val="24"/>
        </w:rPr>
        <w:t xml:space="preserve"> </w:t>
      </w:r>
      <w:r w:rsidR="00452671" w:rsidRPr="00A12D37">
        <w:rPr>
          <w:rFonts w:ascii="Cambria" w:eastAsia="Calibri" w:hAnsi="Cambria" w:cs="Times New Roman"/>
          <w:sz w:val="24"/>
          <w:szCs w:val="24"/>
        </w:rPr>
        <w:t>techniques</w:t>
      </w:r>
      <w:r w:rsidR="00A27E48">
        <w:rPr>
          <w:rFonts w:ascii="Cambria" w:eastAsia="Calibri" w:hAnsi="Cambria" w:cs="Times New Roman"/>
          <w:sz w:val="24"/>
          <w:szCs w:val="24"/>
        </w:rPr>
        <w:t>,</w:t>
      </w:r>
      <w:r w:rsidR="00A63EE6" w:rsidRPr="00A12D37">
        <w:rPr>
          <w:rFonts w:ascii="Cambria" w:eastAsia="Calibri" w:hAnsi="Cambria" w:cs="Times New Roman"/>
          <w:sz w:val="24"/>
          <w:szCs w:val="24"/>
        </w:rPr>
        <w:t xml:space="preserve"> word–of–mouth or the high number of </w:t>
      </w:r>
      <w:r w:rsidR="00423B47" w:rsidRPr="00A12D37">
        <w:rPr>
          <w:rFonts w:ascii="Cambria" w:eastAsia="Calibri" w:hAnsi="Cambria" w:cs="Times New Roman"/>
          <w:sz w:val="24"/>
          <w:szCs w:val="24"/>
        </w:rPr>
        <w:t>reviews</w:t>
      </w:r>
      <w:r w:rsidR="00A63EE6" w:rsidRPr="00A12D37">
        <w:rPr>
          <w:rFonts w:ascii="Cambria" w:eastAsia="Calibri" w:hAnsi="Cambria" w:cs="Times New Roman"/>
          <w:sz w:val="24"/>
          <w:szCs w:val="24"/>
        </w:rPr>
        <w:t xml:space="preserve"> already proved to have negative impact on </w:t>
      </w:r>
      <w:r w:rsidR="00AB7663" w:rsidRPr="00A12D37">
        <w:rPr>
          <w:rFonts w:ascii="Cambria" w:eastAsia="Calibri" w:hAnsi="Cambria" w:cs="Times New Roman"/>
          <w:sz w:val="24"/>
          <w:szCs w:val="24"/>
        </w:rPr>
        <w:t>social media engagement</w:t>
      </w:r>
      <w:r w:rsidR="00452671" w:rsidRPr="00A12D37">
        <w:rPr>
          <w:rFonts w:ascii="Cambria" w:eastAsia="Calibri" w:hAnsi="Cambria" w:cs="Times New Roman"/>
          <w:sz w:val="24"/>
          <w:szCs w:val="24"/>
        </w:rPr>
        <w:t xml:space="preserve"> (Park and Kim 2008; Gilly et al 1998).</w:t>
      </w:r>
      <w:r w:rsidR="00967106" w:rsidRPr="00A12D37">
        <w:rPr>
          <w:rFonts w:ascii="Cambria" w:eastAsia="Calibri" w:hAnsi="Cambria" w:cs="Times New Roman"/>
          <w:sz w:val="24"/>
          <w:szCs w:val="24"/>
        </w:rPr>
        <w:t xml:space="preserve"> </w:t>
      </w:r>
      <w:r w:rsidR="00AD3C1D" w:rsidRPr="00A12D37">
        <w:rPr>
          <w:rFonts w:ascii="Cambria" w:eastAsia="Calibri" w:hAnsi="Cambria" w:cs="Times New Roman"/>
          <w:sz w:val="24"/>
          <w:szCs w:val="24"/>
        </w:rPr>
        <w:t>Hueshes et al (2019)’</w:t>
      </w:r>
      <w:r w:rsidR="00FD7C25" w:rsidRPr="00A12D37">
        <w:rPr>
          <w:rFonts w:ascii="Cambria" w:eastAsia="Calibri" w:hAnsi="Cambria" w:cs="Times New Roman"/>
          <w:sz w:val="24"/>
          <w:szCs w:val="24"/>
        </w:rPr>
        <w:t>s</w:t>
      </w:r>
      <w:r w:rsidR="00AD3C1D" w:rsidRPr="00A12D37">
        <w:rPr>
          <w:rFonts w:ascii="Cambria" w:eastAsia="Calibri" w:hAnsi="Cambria" w:cs="Times New Roman"/>
          <w:sz w:val="24"/>
          <w:szCs w:val="24"/>
        </w:rPr>
        <w:t xml:space="preserve"> study proved that </w:t>
      </w:r>
      <w:r w:rsidR="00967106" w:rsidRPr="00A12D37">
        <w:rPr>
          <w:rFonts w:ascii="Cambria" w:eastAsia="Calibri" w:hAnsi="Cambria" w:cs="Times New Roman"/>
          <w:sz w:val="24"/>
          <w:szCs w:val="24"/>
        </w:rPr>
        <w:t>high source expertise</w:t>
      </w:r>
      <w:r w:rsidR="00AE0176" w:rsidRPr="00A12D37">
        <w:rPr>
          <w:rFonts w:ascii="Cambria" w:eastAsia="Calibri" w:hAnsi="Cambria" w:cs="Times New Roman"/>
          <w:sz w:val="24"/>
          <w:szCs w:val="24"/>
        </w:rPr>
        <w:t xml:space="preserve"> was less effective than low </w:t>
      </w:r>
      <w:r w:rsidR="0069610B" w:rsidRPr="00A12D37">
        <w:rPr>
          <w:rFonts w:ascii="Cambria" w:eastAsia="Calibri" w:hAnsi="Cambria" w:cs="Times New Roman"/>
          <w:sz w:val="24"/>
          <w:szCs w:val="24"/>
        </w:rPr>
        <w:t xml:space="preserve">source expertise to generate engagement </w:t>
      </w:r>
      <w:r w:rsidR="00210ADC" w:rsidRPr="00A12D37">
        <w:rPr>
          <w:rFonts w:ascii="Cambria" w:eastAsia="Calibri" w:hAnsi="Cambria" w:cs="Times New Roman"/>
          <w:sz w:val="24"/>
          <w:szCs w:val="24"/>
        </w:rPr>
        <w:t xml:space="preserve">when </w:t>
      </w:r>
      <w:r w:rsidR="00423B47" w:rsidRPr="00A12D37">
        <w:rPr>
          <w:rFonts w:ascii="Cambria" w:eastAsia="Calibri" w:hAnsi="Cambria" w:cs="Times New Roman"/>
          <w:sz w:val="24"/>
          <w:szCs w:val="24"/>
        </w:rPr>
        <w:t>a sponsored</w:t>
      </w:r>
      <w:r w:rsidR="00210ADC" w:rsidRPr="00A12D37">
        <w:rPr>
          <w:rFonts w:ascii="Cambria" w:eastAsia="Calibri" w:hAnsi="Cambria" w:cs="Times New Roman"/>
          <w:sz w:val="24"/>
          <w:szCs w:val="24"/>
        </w:rPr>
        <w:t xml:space="preserve"> post occurred in Facebook.</w:t>
      </w:r>
      <w:r w:rsidR="006A1E42" w:rsidRPr="00A12D37">
        <w:rPr>
          <w:rFonts w:ascii="Cambria" w:eastAsia="Calibri" w:hAnsi="Cambria" w:cs="Times New Roman"/>
          <w:sz w:val="24"/>
          <w:szCs w:val="24"/>
        </w:rPr>
        <w:t xml:space="preserve"> </w:t>
      </w:r>
      <w:r w:rsidR="00AB7663" w:rsidRPr="00A12D37">
        <w:rPr>
          <w:rFonts w:ascii="Cambria" w:eastAsia="Calibri" w:hAnsi="Cambria" w:cs="Times New Roman"/>
          <w:sz w:val="24"/>
          <w:szCs w:val="24"/>
        </w:rPr>
        <w:t>However,</w:t>
      </w:r>
      <w:r w:rsidR="006A1E42" w:rsidRPr="00A12D37">
        <w:rPr>
          <w:rFonts w:ascii="Cambria" w:eastAsia="Calibri" w:hAnsi="Cambria" w:cs="Times New Roman"/>
          <w:sz w:val="24"/>
          <w:szCs w:val="24"/>
        </w:rPr>
        <w:t xml:space="preserve"> negative caption i</w:t>
      </w:r>
      <w:r w:rsidR="005B139E" w:rsidRPr="00A12D37">
        <w:rPr>
          <w:rFonts w:ascii="Cambria" w:eastAsia="Calibri" w:hAnsi="Cambria" w:cs="Times New Roman"/>
          <w:sz w:val="24"/>
          <w:szCs w:val="24"/>
        </w:rPr>
        <w:t xml:space="preserve">s free from this suspicion, hence </w:t>
      </w:r>
      <w:r w:rsidR="00C03549" w:rsidRPr="00A12D37">
        <w:rPr>
          <w:rFonts w:ascii="Cambria" w:eastAsia="Calibri" w:hAnsi="Cambria" w:cs="Times New Roman"/>
          <w:sz w:val="24"/>
          <w:szCs w:val="24"/>
        </w:rPr>
        <w:t>high source expertise should yield more social media engagement</w:t>
      </w:r>
      <w:r w:rsidR="00C7217E" w:rsidRPr="00530906">
        <w:rPr>
          <w:rFonts w:ascii="Cambria" w:eastAsia="Calibri" w:hAnsi="Cambria" w:cs="Times New Roman"/>
          <w:sz w:val="24"/>
          <w:szCs w:val="24"/>
        </w:rPr>
        <w:t>.</w:t>
      </w:r>
      <w:bookmarkEnd w:id="56"/>
    </w:p>
    <w:p w14:paraId="61F5C4F8" w14:textId="501420F2"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2</w:t>
      </w:r>
      <w:r w:rsidRPr="00530906">
        <w:rPr>
          <w:rFonts w:ascii="Cambria" w:eastAsia="Calibri" w:hAnsi="Cambria" w:cs="Times New Roman"/>
          <w:b/>
          <w:sz w:val="24"/>
          <w:szCs w:val="24"/>
        </w:rPr>
        <w:t xml:space="preserve">: For negative captioned Sustainability–ad, when source expertise is high, Sustainability–ad will lead to higher social–media engagement than when source expertise is low, but the effect will be reversed for positive captioned </w:t>
      </w:r>
      <w:r w:rsidR="00461883">
        <w:rPr>
          <w:rFonts w:ascii="Cambria" w:eastAsia="Calibri" w:hAnsi="Cambria" w:cs="Times New Roman"/>
          <w:b/>
          <w:sz w:val="24"/>
          <w:szCs w:val="24"/>
        </w:rPr>
        <w:t>ad with s</w:t>
      </w:r>
      <w:r w:rsidR="00461883" w:rsidRPr="00530906">
        <w:rPr>
          <w:rFonts w:ascii="Cambria" w:eastAsia="Calibri" w:hAnsi="Cambria" w:cs="Times New Roman"/>
          <w:b/>
          <w:sz w:val="24"/>
          <w:szCs w:val="24"/>
        </w:rPr>
        <w:t>ustainability</w:t>
      </w:r>
      <w:r w:rsidR="00461883">
        <w:rPr>
          <w:rFonts w:ascii="Cambria" w:eastAsia="Calibri" w:hAnsi="Cambria" w:cs="Times New Roman"/>
          <w:b/>
          <w:sz w:val="24"/>
          <w:szCs w:val="24"/>
        </w:rPr>
        <w:t xml:space="preserve"> message</w:t>
      </w:r>
      <w:r w:rsidR="00461883" w:rsidRPr="00530906">
        <w:rPr>
          <w:rFonts w:ascii="Cambria" w:eastAsia="Calibri" w:hAnsi="Cambria" w:cs="Times New Roman"/>
          <w:b/>
          <w:sz w:val="24"/>
          <w:szCs w:val="24"/>
        </w:rPr>
        <w:t>.</w:t>
      </w:r>
    </w:p>
    <w:p w14:paraId="2C923CE1" w14:textId="032551E6" w:rsidR="00C7217E" w:rsidRPr="00CD5EF3" w:rsidRDefault="009A4CCA" w:rsidP="008756B1">
      <w:pPr>
        <w:pStyle w:val="Heading2"/>
        <w:jc w:val="both"/>
        <w:rPr>
          <w:rFonts w:ascii="Cambria" w:eastAsia="Calibri" w:hAnsi="Cambria"/>
        </w:rPr>
      </w:pPr>
      <w:bookmarkStart w:id="57" w:name="_Toc115726236"/>
      <w:r w:rsidRPr="00CD5EF3">
        <w:rPr>
          <w:rFonts w:ascii="Cambria" w:eastAsia="Calibri" w:hAnsi="Cambria"/>
        </w:rPr>
        <w:t xml:space="preserve">3.2 </w:t>
      </w:r>
      <w:r w:rsidR="00134B1A" w:rsidRPr="00CD5EF3">
        <w:rPr>
          <w:rFonts w:ascii="Cambria" w:eastAsia="Calibri" w:hAnsi="Cambria"/>
        </w:rPr>
        <w:t xml:space="preserve">Impact of caption on </w:t>
      </w:r>
      <w:r w:rsidR="00A34FE3" w:rsidRPr="00CD5EF3">
        <w:rPr>
          <w:rFonts w:ascii="Cambria" w:eastAsia="Calibri" w:hAnsi="Cambria"/>
        </w:rPr>
        <w:t>S</w:t>
      </w:r>
      <w:r w:rsidR="00C7217E" w:rsidRPr="00CD5EF3">
        <w:rPr>
          <w:rFonts w:ascii="Cambria" w:eastAsia="Calibri" w:hAnsi="Cambria"/>
        </w:rPr>
        <w:t>elf</w:t>
      </w:r>
      <w:r w:rsidR="004179CD" w:rsidRPr="00CD5EF3">
        <w:rPr>
          <w:rFonts w:ascii="Cambria" w:eastAsia="Calibri" w:hAnsi="Cambria"/>
        </w:rPr>
        <w:t>–</w:t>
      </w:r>
      <w:r w:rsidR="00C7217E" w:rsidRPr="00CD5EF3">
        <w:rPr>
          <w:rFonts w:ascii="Cambria" w:eastAsia="Calibri" w:hAnsi="Cambria"/>
        </w:rPr>
        <w:t>transformative consumption vision (SCV)–</w:t>
      </w:r>
      <w:bookmarkEnd w:id="57"/>
    </w:p>
    <w:p w14:paraId="1990CBD3" w14:textId="74B470A8" w:rsidR="00FF2B77" w:rsidRPr="00A12D37" w:rsidRDefault="002D2D28">
      <w:pPr>
        <w:spacing w:line="360" w:lineRule="auto"/>
        <w:jc w:val="both"/>
        <w:rPr>
          <w:rFonts w:ascii="Cambria" w:hAnsi="Cambria"/>
          <w:sz w:val="24"/>
          <w:szCs w:val="24"/>
        </w:rPr>
      </w:pPr>
      <w:r w:rsidRPr="00584F10">
        <w:rPr>
          <w:rFonts w:ascii="Cambria" w:eastAsia="Calibri" w:hAnsi="Cambria" w:cs="Times New Roman"/>
          <w:sz w:val="24"/>
          <w:szCs w:val="24"/>
        </w:rPr>
        <w:t xml:space="preserve">SCV is </w:t>
      </w:r>
      <w:r w:rsidR="00E70BE5">
        <w:rPr>
          <w:rFonts w:ascii="Cambria" w:eastAsia="Calibri" w:hAnsi="Cambria" w:cs="Times New Roman"/>
          <w:sz w:val="24"/>
          <w:szCs w:val="24"/>
        </w:rPr>
        <w:t>based on</w:t>
      </w:r>
      <w:r w:rsidRPr="00584F10">
        <w:rPr>
          <w:rFonts w:ascii="Cambria" w:eastAsia="Calibri" w:hAnsi="Cambria" w:cs="Times New Roman"/>
          <w:sz w:val="24"/>
          <w:szCs w:val="24"/>
        </w:rPr>
        <w:t xml:space="preserve"> theories like- consumption vision, mental imagery process, self–projection etc (see Yim et al 2018). Form the point of people’s reaction to stimuli, similarities can be found in the notion of SCV  and theories of ‘mental image’ (Phillips et al 1995) and ‘</w:t>
      </w:r>
      <w:r w:rsidRPr="00A12D37">
        <w:rPr>
          <w:rFonts w:ascii="Cambria" w:eastAsia="Calibri" w:hAnsi="Cambria" w:cs="Times New Roman"/>
          <w:sz w:val="24"/>
          <w:szCs w:val="24"/>
        </w:rPr>
        <w:t>narrative transportation’ (Green and Brock 2000; Phillips and McQuarrie 2010; Nielsen et al 2018; Escalas 2004; Phillips and McQuarrie 2010), ‘mental imagery’ (Barsalou, 2008; Shiv and Huber 2000), consumption vision’ (Phillips 1996; Phillips et al</w:t>
      </w:r>
      <w:r w:rsidRPr="00A12D37">
        <w:rPr>
          <w:rFonts w:ascii="Cambria" w:hAnsi="Cambria"/>
          <w:sz w:val="24"/>
          <w:szCs w:val="24"/>
        </w:rPr>
        <w:t xml:space="preserve"> 1995), ‘anticipatory mental image’ (Christensen et al 2004), ‘evoked imagery’ (Bone and Ellen 1992).  </w:t>
      </w:r>
      <w:r w:rsidR="00322D59" w:rsidRPr="00A12D37">
        <w:rPr>
          <w:rFonts w:ascii="Cambria" w:hAnsi="Cambria"/>
          <w:sz w:val="24"/>
          <w:szCs w:val="24"/>
        </w:rPr>
        <w:t>So,</w:t>
      </w:r>
      <w:r w:rsidRPr="00A12D37">
        <w:rPr>
          <w:rFonts w:ascii="Cambria" w:hAnsi="Cambria"/>
          <w:sz w:val="24"/>
          <w:szCs w:val="24"/>
        </w:rPr>
        <w:t xml:space="preserve"> the studies on these theories can be attributed to SCV. </w:t>
      </w:r>
    </w:p>
    <w:p w14:paraId="42B60172" w14:textId="666FF3D1" w:rsidR="00134181" w:rsidRPr="005356A4" w:rsidRDefault="00E70BE5">
      <w:pPr>
        <w:spacing w:line="360" w:lineRule="auto"/>
        <w:jc w:val="both"/>
        <w:rPr>
          <w:rFonts w:ascii="Cambria" w:eastAsia="Calibri" w:hAnsi="Cambria" w:cs="Times New Roman"/>
          <w:sz w:val="24"/>
          <w:szCs w:val="24"/>
        </w:rPr>
      </w:pPr>
      <w:r w:rsidRPr="00A12D37">
        <w:rPr>
          <w:rFonts w:ascii="Cambria" w:hAnsi="Cambria"/>
          <w:sz w:val="24"/>
          <w:szCs w:val="24"/>
        </w:rPr>
        <w:t xml:space="preserve">Research on </w:t>
      </w:r>
      <w:r w:rsidR="001A010E" w:rsidRPr="00A12D37">
        <w:rPr>
          <w:rFonts w:ascii="Cambria" w:hAnsi="Cambria"/>
          <w:sz w:val="24"/>
          <w:szCs w:val="24"/>
        </w:rPr>
        <w:t>consumption vision shows that t</w:t>
      </w:r>
      <w:r w:rsidR="00C7217E" w:rsidRPr="00A12D37">
        <w:rPr>
          <w:rFonts w:ascii="Cambria" w:hAnsi="Cambria"/>
          <w:sz w:val="24"/>
          <w:szCs w:val="24"/>
        </w:rPr>
        <w:t>he intensity of consumption vision depends on the message of an ad</w:t>
      </w:r>
      <w:r w:rsidR="00E358CE" w:rsidRPr="00A12D37">
        <w:rPr>
          <w:rFonts w:ascii="Cambria" w:hAnsi="Cambria"/>
          <w:sz w:val="24"/>
          <w:szCs w:val="24"/>
        </w:rPr>
        <w:t xml:space="preserve">. The more </w:t>
      </w:r>
      <w:r w:rsidR="00C7217E" w:rsidRPr="00A12D37">
        <w:rPr>
          <w:rFonts w:ascii="Cambria" w:hAnsi="Cambria"/>
          <w:sz w:val="24"/>
          <w:szCs w:val="24"/>
        </w:rPr>
        <w:t xml:space="preserve">consumers can associate themselves with </w:t>
      </w:r>
      <w:r w:rsidR="000E4A6C" w:rsidRPr="00A12D37">
        <w:rPr>
          <w:rFonts w:ascii="Cambria" w:hAnsi="Cambria"/>
          <w:sz w:val="24"/>
          <w:szCs w:val="24"/>
        </w:rPr>
        <w:t>the message, t</w:t>
      </w:r>
      <w:r w:rsidR="0052760D" w:rsidRPr="00A12D37">
        <w:rPr>
          <w:rFonts w:ascii="Cambria" w:hAnsi="Cambria"/>
          <w:sz w:val="24"/>
          <w:szCs w:val="24"/>
        </w:rPr>
        <w:t>he more extensively the process the message</w:t>
      </w:r>
      <w:r w:rsidR="00FE553B" w:rsidRPr="00A12D37">
        <w:rPr>
          <w:rFonts w:ascii="Cambria" w:hAnsi="Cambria"/>
          <w:sz w:val="24"/>
          <w:szCs w:val="24"/>
        </w:rPr>
        <w:t xml:space="preserve"> </w:t>
      </w:r>
      <w:r w:rsidR="00C7217E" w:rsidRPr="00A12D37">
        <w:rPr>
          <w:rFonts w:ascii="Cambria" w:hAnsi="Cambria"/>
          <w:sz w:val="24"/>
          <w:szCs w:val="24"/>
        </w:rPr>
        <w:t>(</w:t>
      </w:r>
      <w:r w:rsidR="00C7217E" w:rsidRPr="00A12D37">
        <w:rPr>
          <w:rFonts w:ascii="Cambria" w:eastAsia="Calibri" w:hAnsi="Cambria" w:cs="Times New Roman"/>
          <w:sz w:val="24"/>
          <w:szCs w:val="24"/>
        </w:rPr>
        <w:t>Chang 2012</w:t>
      </w:r>
      <w:r w:rsidR="00C7217E" w:rsidRPr="00A12D37">
        <w:rPr>
          <w:rFonts w:ascii="Cambria" w:hAnsi="Cambria"/>
          <w:sz w:val="24"/>
          <w:szCs w:val="24"/>
        </w:rPr>
        <w:t xml:space="preserve">). The more intently people process the information the more vivid SCV is (Yim et al 2018). </w:t>
      </w:r>
      <w:r w:rsidR="00C7217E" w:rsidRPr="00A12D37">
        <w:rPr>
          <w:rFonts w:ascii="Cambria" w:eastAsia="Calibri" w:hAnsi="Cambria" w:cs="Times New Roman"/>
          <w:sz w:val="24"/>
          <w:szCs w:val="24"/>
        </w:rPr>
        <w:t xml:space="preserve">This urge to process the information from a stimulus depends on the person’s interest evoked by the stimuli (e.g advertisement) (Petty and Cacioppo 1984; </w:t>
      </w:r>
      <w:r w:rsidR="00C7217E" w:rsidRPr="00A12D37">
        <w:rPr>
          <w:rFonts w:ascii="Cambria" w:hAnsi="Cambria"/>
          <w:sz w:val="24"/>
          <w:szCs w:val="24"/>
        </w:rPr>
        <w:t>Berkowitz 1986</w:t>
      </w:r>
      <w:r w:rsidR="00C7217E" w:rsidRPr="00A12D37">
        <w:rPr>
          <w:rFonts w:ascii="Cambria" w:eastAsia="Calibri" w:hAnsi="Cambria" w:cs="Times New Roman"/>
          <w:sz w:val="24"/>
          <w:szCs w:val="24"/>
        </w:rPr>
        <w:t>). A deliberate attempt to revoke working memory associated with information about interesting issues</w:t>
      </w:r>
      <w:r w:rsidR="0052428D">
        <w:rPr>
          <w:rFonts w:ascii="Cambria" w:eastAsia="Calibri" w:hAnsi="Cambria" w:cs="Times New Roman"/>
          <w:sz w:val="24"/>
          <w:szCs w:val="24"/>
        </w:rPr>
        <w:t>,</w:t>
      </w:r>
      <w:r w:rsidR="00C7217E" w:rsidRPr="00A12D37">
        <w:rPr>
          <w:rFonts w:ascii="Cambria" w:eastAsia="Calibri" w:hAnsi="Cambria" w:cs="Times New Roman"/>
          <w:sz w:val="24"/>
          <w:szCs w:val="24"/>
        </w:rPr>
        <w:t xml:space="preserve"> yield greater mental imagery (Barsalou 2008; Bone and Ellen 1992). By extending this notion of ‘mental imagery’ to the similar construct </w:t>
      </w:r>
      <w:r w:rsidR="00C7217E" w:rsidRPr="00530906">
        <w:rPr>
          <w:rFonts w:ascii="Cambria" w:eastAsia="Calibri" w:hAnsi="Cambria" w:cs="Times New Roman"/>
          <w:sz w:val="24"/>
          <w:szCs w:val="24"/>
        </w:rPr>
        <w:t>SCV, it can be suggested that the enhanced interest for sustainability may facilitate SCV, because sustainability</w:t>
      </w:r>
      <w:r w:rsidR="00AE77F6">
        <w:rPr>
          <w:rFonts w:ascii="Cambria" w:eastAsia="Calibri" w:hAnsi="Cambria" w:cs="Times New Roman"/>
          <w:sz w:val="24"/>
          <w:szCs w:val="24"/>
        </w:rPr>
        <w:t xml:space="preserve"> related messages</w:t>
      </w:r>
      <w:r w:rsidR="00C7217E" w:rsidRPr="00530906">
        <w:rPr>
          <w:rFonts w:ascii="Cambria" w:eastAsia="Calibri" w:hAnsi="Cambria" w:cs="Times New Roman"/>
          <w:sz w:val="24"/>
          <w:szCs w:val="24"/>
        </w:rPr>
        <w:t xml:space="preserve"> have the potentiality to evoke this </w:t>
      </w:r>
      <w:r w:rsidR="00C7217E" w:rsidRPr="005356A4">
        <w:rPr>
          <w:rFonts w:ascii="Cambria" w:eastAsia="Calibri" w:hAnsi="Cambria" w:cs="Times New Roman"/>
          <w:sz w:val="24"/>
          <w:szCs w:val="24"/>
        </w:rPr>
        <w:t>interest, since they are of great concern of substantial number of consumers at present time (</w:t>
      </w:r>
      <w:r w:rsidR="00C7217E" w:rsidRPr="005356A4">
        <w:rPr>
          <w:rFonts w:ascii="Cambria" w:eastAsia="Calibri" w:hAnsi="Cambria" w:cs="Adobe Devanagari"/>
          <w:sz w:val="24"/>
          <w:szCs w:val="24"/>
        </w:rPr>
        <w:t>McDonagh, and Prothero, 2014</w:t>
      </w:r>
      <w:r w:rsidR="00C7217E" w:rsidRPr="005356A4">
        <w:rPr>
          <w:rFonts w:ascii="Cambria" w:eastAsia="Calibri" w:hAnsi="Cambria" w:cs="Times New Roman"/>
          <w:sz w:val="24"/>
          <w:szCs w:val="24"/>
        </w:rPr>
        <w:t>).</w:t>
      </w:r>
      <w:r w:rsidR="0050129C" w:rsidRPr="005356A4">
        <w:rPr>
          <w:rFonts w:ascii="Cambria" w:eastAsia="Calibri" w:hAnsi="Cambria" w:cs="Times New Roman"/>
          <w:sz w:val="24"/>
          <w:szCs w:val="24"/>
        </w:rPr>
        <w:t xml:space="preserve"> </w:t>
      </w:r>
    </w:p>
    <w:p w14:paraId="013654F7" w14:textId="6DB5EEE7" w:rsidR="00C7217E" w:rsidRPr="00530906" w:rsidRDefault="00BD5251">
      <w:pPr>
        <w:spacing w:line="360" w:lineRule="auto"/>
        <w:jc w:val="both"/>
        <w:rPr>
          <w:rFonts w:ascii="Cambria" w:hAnsi="Cambria"/>
          <w:sz w:val="24"/>
          <w:szCs w:val="24"/>
        </w:rPr>
      </w:pPr>
      <w:r w:rsidRPr="005356A4">
        <w:rPr>
          <w:rFonts w:ascii="Cambria" w:eastAsia="Calibri" w:hAnsi="Cambria" w:cs="Times New Roman"/>
          <w:sz w:val="24"/>
          <w:szCs w:val="24"/>
        </w:rPr>
        <w:t xml:space="preserve">Along with the fact that consumers’ imaginary ability depends on the type of messages, especially if they are interesting (Petrova and Caildini 2005), the </w:t>
      </w:r>
      <w:r w:rsidR="007A1504" w:rsidRPr="005356A4">
        <w:rPr>
          <w:rFonts w:ascii="Cambria" w:eastAsia="Calibri" w:hAnsi="Cambria" w:cs="Times New Roman"/>
          <w:sz w:val="24"/>
          <w:szCs w:val="24"/>
        </w:rPr>
        <w:t>quality of</w:t>
      </w:r>
      <w:r w:rsidR="00354C67" w:rsidRPr="005356A4">
        <w:rPr>
          <w:rFonts w:ascii="Cambria" w:eastAsia="Calibri" w:hAnsi="Cambria" w:cs="Times New Roman"/>
          <w:sz w:val="24"/>
          <w:szCs w:val="24"/>
        </w:rPr>
        <w:t xml:space="preserve"> narrative </w:t>
      </w:r>
      <w:r w:rsidR="007A1504" w:rsidRPr="005356A4">
        <w:rPr>
          <w:rFonts w:ascii="Cambria" w:eastAsia="Calibri" w:hAnsi="Cambria" w:cs="Times New Roman"/>
          <w:sz w:val="24"/>
          <w:szCs w:val="24"/>
        </w:rPr>
        <w:t xml:space="preserve">influences mental imagery, especially </w:t>
      </w:r>
      <w:r w:rsidR="00300DDF" w:rsidRPr="005356A4">
        <w:rPr>
          <w:rFonts w:ascii="Cambria" w:eastAsia="Calibri" w:hAnsi="Cambria" w:cs="Times New Roman"/>
          <w:sz w:val="24"/>
          <w:szCs w:val="24"/>
        </w:rPr>
        <w:t xml:space="preserve">if it produces positive </w:t>
      </w:r>
      <w:r w:rsidR="0052428D" w:rsidRPr="005356A4">
        <w:rPr>
          <w:rFonts w:ascii="Cambria" w:eastAsia="Calibri" w:hAnsi="Cambria" w:cs="Times New Roman"/>
          <w:sz w:val="24"/>
          <w:szCs w:val="24"/>
        </w:rPr>
        <w:t>self-image</w:t>
      </w:r>
      <w:r w:rsidR="00300DDF" w:rsidRPr="005356A4">
        <w:rPr>
          <w:rFonts w:ascii="Cambria" w:eastAsia="Calibri" w:hAnsi="Cambria" w:cs="Times New Roman"/>
          <w:sz w:val="24"/>
          <w:szCs w:val="24"/>
        </w:rPr>
        <w:t xml:space="preserve"> (Phipps et al 1995)</w:t>
      </w:r>
      <w:r w:rsidR="0053531C" w:rsidRPr="005356A4">
        <w:rPr>
          <w:rFonts w:ascii="Cambria" w:eastAsia="Calibri" w:hAnsi="Cambria" w:cs="Times New Roman"/>
          <w:sz w:val="24"/>
          <w:szCs w:val="24"/>
        </w:rPr>
        <w:t xml:space="preserve">. </w:t>
      </w:r>
      <w:r w:rsidR="001F7B57" w:rsidRPr="005356A4">
        <w:rPr>
          <w:rFonts w:ascii="Cambria" w:eastAsia="Calibri" w:hAnsi="Cambria" w:cs="Times New Roman"/>
          <w:sz w:val="24"/>
          <w:szCs w:val="24"/>
        </w:rPr>
        <w:t>Since consumers prefer positive information about sustainability</w:t>
      </w:r>
      <w:r w:rsidR="002C7511" w:rsidRPr="005356A4">
        <w:rPr>
          <w:rFonts w:ascii="Cambria" w:eastAsia="Calibri" w:hAnsi="Cambria" w:cs="Times New Roman"/>
          <w:sz w:val="24"/>
          <w:szCs w:val="24"/>
        </w:rPr>
        <w:t xml:space="preserve"> (Tanner and Kast 2003)</w:t>
      </w:r>
      <w:r w:rsidR="000A015D" w:rsidRPr="005356A4">
        <w:rPr>
          <w:rFonts w:ascii="Cambria" w:eastAsia="Calibri" w:hAnsi="Cambria" w:cs="Times New Roman"/>
          <w:sz w:val="24"/>
          <w:szCs w:val="24"/>
        </w:rPr>
        <w:t xml:space="preserve">, </w:t>
      </w:r>
      <w:r w:rsidR="000338C7" w:rsidRPr="005356A4">
        <w:rPr>
          <w:rFonts w:ascii="Cambria" w:eastAsia="Calibri" w:hAnsi="Cambria" w:cs="Times New Roman"/>
          <w:sz w:val="24"/>
          <w:szCs w:val="24"/>
        </w:rPr>
        <w:t xml:space="preserve">they should </w:t>
      </w:r>
      <w:r w:rsidR="00E6358C" w:rsidRPr="005356A4">
        <w:rPr>
          <w:rFonts w:ascii="Cambria" w:eastAsia="Calibri" w:hAnsi="Cambria" w:cs="Times New Roman"/>
          <w:sz w:val="24"/>
          <w:szCs w:val="24"/>
        </w:rPr>
        <w:t xml:space="preserve">be able to </w:t>
      </w:r>
      <w:r w:rsidR="000338C7" w:rsidRPr="005356A4">
        <w:rPr>
          <w:rFonts w:ascii="Cambria" w:eastAsia="Calibri" w:hAnsi="Cambria" w:cs="Times New Roman"/>
          <w:sz w:val="24"/>
          <w:szCs w:val="24"/>
        </w:rPr>
        <w:t xml:space="preserve">process the </w:t>
      </w:r>
      <w:r w:rsidR="008A530A" w:rsidRPr="005356A4">
        <w:rPr>
          <w:rFonts w:ascii="Cambria" w:eastAsia="Calibri" w:hAnsi="Cambria" w:cs="Times New Roman"/>
          <w:sz w:val="24"/>
          <w:szCs w:val="24"/>
        </w:rPr>
        <w:t>information</w:t>
      </w:r>
      <w:r w:rsidR="005A782F" w:rsidRPr="005356A4">
        <w:rPr>
          <w:rFonts w:ascii="Cambria" w:eastAsia="Calibri" w:hAnsi="Cambria" w:cs="Times New Roman"/>
          <w:sz w:val="24"/>
          <w:szCs w:val="24"/>
        </w:rPr>
        <w:t xml:space="preserve"> </w:t>
      </w:r>
      <w:r w:rsidR="00E6358C" w:rsidRPr="005356A4">
        <w:rPr>
          <w:rFonts w:ascii="Cambria" w:eastAsia="Calibri" w:hAnsi="Cambria" w:cs="Times New Roman"/>
          <w:sz w:val="24"/>
          <w:szCs w:val="24"/>
        </w:rPr>
        <w:t>easily</w:t>
      </w:r>
      <w:r w:rsidR="008A530A" w:rsidRPr="005356A4">
        <w:rPr>
          <w:rFonts w:ascii="Cambria" w:eastAsia="Calibri" w:hAnsi="Cambria" w:cs="Times New Roman"/>
          <w:sz w:val="24"/>
          <w:szCs w:val="24"/>
        </w:rPr>
        <w:t xml:space="preserve">. </w:t>
      </w:r>
      <w:r w:rsidR="00B63D13" w:rsidRPr="005356A4">
        <w:rPr>
          <w:rFonts w:ascii="Cambria" w:eastAsia="Calibri" w:hAnsi="Cambria" w:cs="Times New Roman"/>
          <w:sz w:val="24"/>
          <w:szCs w:val="24"/>
        </w:rPr>
        <w:t>More easily consumers can assess the information, more viv</w:t>
      </w:r>
      <w:r w:rsidR="004F1119" w:rsidRPr="005356A4">
        <w:rPr>
          <w:rFonts w:ascii="Cambria" w:eastAsia="Calibri" w:hAnsi="Cambria" w:cs="Times New Roman"/>
          <w:sz w:val="24"/>
          <w:szCs w:val="24"/>
        </w:rPr>
        <w:t xml:space="preserve">id is their mental imagery </w:t>
      </w:r>
      <w:r w:rsidR="00111982" w:rsidRPr="005356A4">
        <w:rPr>
          <w:rFonts w:ascii="Cambria" w:eastAsia="Calibri" w:hAnsi="Cambria" w:cs="Times New Roman"/>
          <w:sz w:val="24"/>
          <w:szCs w:val="24"/>
        </w:rPr>
        <w:t>of experiencing the product in future</w:t>
      </w:r>
      <w:r w:rsidR="008A530A" w:rsidRPr="005356A4">
        <w:rPr>
          <w:rFonts w:ascii="Cambria" w:eastAsia="Calibri" w:hAnsi="Cambria" w:cs="Times New Roman"/>
          <w:sz w:val="24"/>
          <w:szCs w:val="24"/>
        </w:rPr>
        <w:t xml:space="preserve"> </w:t>
      </w:r>
      <w:r w:rsidR="00DA3BF4" w:rsidRPr="005356A4">
        <w:rPr>
          <w:rFonts w:ascii="Cambria" w:eastAsia="Calibri" w:hAnsi="Cambria" w:cs="Times New Roman"/>
          <w:sz w:val="24"/>
          <w:szCs w:val="24"/>
        </w:rPr>
        <w:t>(Petrova and Caildini 2005).</w:t>
      </w:r>
      <w:r w:rsidR="00111982" w:rsidRPr="005356A4">
        <w:rPr>
          <w:rFonts w:ascii="Cambria" w:eastAsia="Calibri" w:hAnsi="Cambria" w:cs="Times New Roman"/>
          <w:sz w:val="24"/>
          <w:szCs w:val="24"/>
        </w:rPr>
        <w:t xml:space="preserve"> </w:t>
      </w:r>
      <w:r w:rsidR="001502E4" w:rsidRPr="005356A4">
        <w:rPr>
          <w:rFonts w:ascii="Cambria" w:eastAsia="Calibri" w:hAnsi="Cambria" w:cs="Times New Roman"/>
          <w:sz w:val="24"/>
          <w:szCs w:val="24"/>
        </w:rPr>
        <w:t>In addition to that, consumers</w:t>
      </w:r>
      <w:r w:rsidR="00592854" w:rsidRPr="005356A4">
        <w:rPr>
          <w:rFonts w:ascii="Cambria" w:eastAsia="Calibri" w:hAnsi="Cambria" w:cs="Times New Roman"/>
          <w:sz w:val="24"/>
          <w:szCs w:val="24"/>
        </w:rPr>
        <w:t xml:space="preserve"> tend </w:t>
      </w:r>
      <w:r w:rsidR="00931477" w:rsidRPr="005356A4">
        <w:rPr>
          <w:rFonts w:ascii="Cambria" w:eastAsia="Calibri" w:hAnsi="Cambria" w:cs="Times New Roman"/>
          <w:sz w:val="24"/>
          <w:szCs w:val="24"/>
        </w:rPr>
        <w:t xml:space="preserve">be </w:t>
      </w:r>
      <w:r w:rsidR="00B365E1" w:rsidRPr="005356A4">
        <w:rPr>
          <w:rFonts w:ascii="Cambria" w:eastAsia="Calibri" w:hAnsi="Cambria" w:cs="Times New Roman"/>
          <w:sz w:val="24"/>
          <w:szCs w:val="24"/>
        </w:rPr>
        <w:t>more readily access memory for</w:t>
      </w:r>
      <w:r w:rsidR="00FC5604" w:rsidRPr="005356A4">
        <w:rPr>
          <w:rFonts w:ascii="Cambria" w:eastAsia="Calibri" w:hAnsi="Cambria" w:cs="Times New Roman"/>
          <w:sz w:val="24"/>
          <w:szCs w:val="24"/>
        </w:rPr>
        <w:t xml:space="preserve"> positive information than negative one</w:t>
      </w:r>
      <w:r w:rsidR="00B365E1" w:rsidRPr="005356A4">
        <w:rPr>
          <w:rFonts w:ascii="Cambria" w:eastAsia="Calibri" w:hAnsi="Cambria" w:cs="Times New Roman"/>
          <w:sz w:val="24"/>
          <w:szCs w:val="24"/>
        </w:rPr>
        <w:t>s</w:t>
      </w:r>
      <w:r w:rsidR="00CC4E0D" w:rsidRPr="005356A4">
        <w:rPr>
          <w:rFonts w:ascii="Cambria" w:eastAsia="Calibri" w:hAnsi="Cambria" w:cs="Times New Roman"/>
          <w:sz w:val="24"/>
          <w:szCs w:val="24"/>
        </w:rPr>
        <w:t xml:space="preserve">, which results into generating greater mental imagery </w:t>
      </w:r>
      <w:r w:rsidR="000C0C60" w:rsidRPr="005356A4">
        <w:rPr>
          <w:rFonts w:ascii="Cambria" w:eastAsia="Calibri" w:hAnsi="Cambria" w:cs="Times New Roman"/>
          <w:sz w:val="24"/>
          <w:szCs w:val="24"/>
        </w:rPr>
        <w:t xml:space="preserve">for positive </w:t>
      </w:r>
      <w:r w:rsidR="005A782F" w:rsidRPr="005356A4">
        <w:rPr>
          <w:rFonts w:ascii="Cambria" w:eastAsia="Calibri" w:hAnsi="Cambria" w:cs="Times New Roman"/>
          <w:sz w:val="24"/>
          <w:szCs w:val="24"/>
        </w:rPr>
        <w:t>m</w:t>
      </w:r>
      <w:r w:rsidR="000C0C60" w:rsidRPr="005356A4">
        <w:rPr>
          <w:rFonts w:ascii="Cambria" w:eastAsia="Calibri" w:hAnsi="Cambria" w:cs="Times New Roman"/>
          <w:sz w:val="24"/>
          <w:szCs w:val="24"/>
        </w:rPr>
        <w:t>essage than the negative ones</w:t>
      </w:r>
      <w:r w:rsidR="00E354A6" w:rsidRPr="005356A4">
        <w:rPr>
          <w:rFonts w:ascii="Cambria" w:eastAsia="Calibri" w:hAnsi="Cambria" w:cs="Times New Roman"/>
          <w:sz w:val="24"/>
          <w:szCs w:val="24"/>
        </w:rPr>
        <w:t xml:space="preserve"> (Kisielius and Sternthal 1986)</w:t>
      </w:r>
      <w:r w:rsidR="000C0C60" w:rsidRPr="005356A4">
        <w:rPr>
          <w:rFonts w:ascii="Cambria" w:eastAsia="Calibri" w:hAnsi="Cambria" w:cs="Times New Roman"/>
          <w:sz w:val="24"/>
          <w:szCs w:val="24"/>
        </w:rPr>
        <w:t xml:space="preserve">. More specifically speaking, </w:t>
      </w:r>
      <w:r w:rsidR="00134181" w:rsidRPr="005356A4">
        <w:rPr>
          <w:rFonts w:ascii="Cambria" w:eastAsia="Calibri" w:hAnsi="Cambria" w:cs="Times New Roman"/>
          <w:sz w:val="24"/>
          <w:szCs w:val="24"/>
        </w:rPr>
        <w:t>C</w:t>
      </w:r>
      <w:r w:rsidR="00C7217E" w:rsidRPr="005356A4">
        <w:rPr>
          <w:rFonts w:ascii="Cambria" w:eastAsia="Calibri" w:hAnsi="Cambria" w:cs="Times New Roman"/>
          <w:sz w:val="24"/>
          <w:szCs w:val="24"/>
        </w:rPr>
        <w:t>onsumers tend to direct their mental imagery effort toward something positive rather than negative (Staats and Lohr 1979; Yim et al 2018).</w:t>
      </w:r>
      <w:r w:rsidR="00592854" w:rsidRPr="005356A4">
        <w:rPr>
          <w:rFonts w:ascii="Cambria" w:eastAsia="Calibri" w:hAnsi="Cambria" w:cs="Times New Roman"/>
          <w:sz w:val="24"/>
          <w:szCs w:val="24"/>
        </w:rPr>
        <w:t xml:space="preserve"> This phenomenon should also be true for similar construct like SCV. </w:t>
      </w:r>
      <w:r w:rsidR="00C7217E" w:rsidRPr="005356A4">
        <w:rPr>
          <w:rFonts w:ascii="Cambria" w:eastAsia="Calibri" w:hAnsi="Cambria" w:cs="Times New Roman"/>
          <w:sz w:val="24"/>
          <w:szCs w:val="24"/>
        </w:rPr>
        <w:t xml:space="preserve"> </w:t>
      </w:r>
      <w:r w:rsidR="00C7217E" w:rsidRPr="005356A4">
        <w:rPr>
          <w:rFonts w:ascii="Cambria" w:hAnsi="Cambria"/>
          <w:sz w:val="24"/>
          <w:szCs w:val="24"/>
        </w:rPr>
        <w:t>So, it can be posited that, an ad with widely discussed issue like sustainability, should be mor</w:t>
      </w:r>
      <w:r w:rsidR="00C7217E" w:rsidRPr="00530906">
        <w:rPr>
          <w:rFonts w:ascii="Cambria" w:hAnsi="Cambria"/>
          <w:sz w:val="24"/>
          <w:szCs w:val="24"/>
        </w:rPr>
        <w:t>e mentally stimulating in terms of SCV for positive caption than a negative one.</w:t>
      </w:r>
    </w:p>
    <w:p w14:paraId="1C663750" w14:textId="787AB4A8"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sz w:val="24"/>
          <w:szCs w:val="24"/>
        </w:rPr>
        <w:t>H</w:t>
      </w:r>
      <w:r w:rsidRPr="00530906">
        <w:rPr>
          <w:rFonts w:ascii="Cambria" w:eastAsia="Calibri" w:hAnsi="Cambria" w:cs="Times New Roman"/>
          <w:b/>
          <w:sz w:val="24"/>
          <w:szCs w:val="24"/>
          <w:vertAlign w:val="subscript"/>
        </w:rPr>
        <w:t>3</w:t>
      </w:r>
      <w:r w:rsidRPr="00530906">
        <w:rPr>
          <w:rFonts w:ascii="Cambria" w:eastAsia="Calibri" w:hAnsi="Cambria" w:cs="Times New Roman"/>
          <w:b/>
          <w:sz w:val="24"/>
          <w:szCs w:val="24"/>
        </w:rPr>
        <w:t xml:space="preserve">: </w:t>
      </w:r>
      <w:r w:rsidR="00D16819">
        <w:rPr>
          <w:rFonts w:ascii="Cambria" w:eastAsia="Calibri" w:hAnsi="Cambria" w:cs="Times New Roman"/>
          <w:b/>
          <w:sz w:val="24"/>
          <w:szCs w:val="24"/>
        </w:rPr>
        <w:t>Positively captioned ad with s</w:t>
      </w:r>
      <w:r w:rsidR="00D16819" w:rsidRPr="00530906">
        <w:rPr>
          <w:rFonts w:ascii="Cambria" w:eastAsia="Calibri" w:hAnsi="Cambria" w:cs="Times New Roman"/>
          <w:b/>
          <w:sz w:val="24"/>
          <w:szCs w:val="24"/>
        </w:rPr>
        <w:t>ustainability</w:t>
      </w:r>
      <w:r w:rsidR="00D16819">
        <w:rPr>
          <w:rFonts w:ascii="Cambria" w:eastAsia="Calibri" w:hAnsi="Cambria" w:cs="Times New Roman"/>
          <w:b/>
          <w:sz w:val="24"/>
          <w:szCs w:val="24"/>
        </w:rPr>
        <w:t xml:space="preserve"> message </w:t>
      </w:r>
      <w:r w:rsidRPr="00530906">
        <w:rPr>
          <w:rFonts w:ascii="Cambria" w:eastAsia="Calibri" w:hAnsi="Cambria" w:cs="Times New Roman"/>
          <w:b/>
          <w:sz w:val="24"/>
          <w:szCs w:val="24"/>
        </w:rPr>
        <w:t xml:space="preserve">will generate higher level of SCV than </w:t>
      </w:r>
      <w:r w:rsidR="00D16819">
        <w:rPr>
          <w:rFonts w:ascii="Cambria" w:eastAsia="Calibri" w:hAnsi="Cambria" w:cs="Times New Roman"/>
          <w:b/>
          <w:sz w:val="24"/>
          <w:szCs w:val="24"/>
        </w:rPr>
        <w:t>Negatively captioned ad with s</w:t>
      </w:r>
      <w:r w:rsidR="00D16819" w:rsidRPr="00530906">
        <w:rPr>
          <w:rFonts w:ascii="Cambria" w:eastAsia="Calibri" w:hAnsi="Cambria" w:cs="Times New Roman"/>
          <w:b/>
          <w:sz w:val="24"/>
          <w:szCs w:val="24"/>
        </w:rPr>
        <w:t>ustainability</w:t>
      </w:r>
      <w:r w:rsidR="00D16819">
        <w:rPr>
          <w:rFonts w:ascii="Cambria" w:eastAsia="Calibri" w:hAnsi="Cambria" w:cs="Times New Roman"/>
          <w:b/>
          <w:sz w:val="24"/>
          <w:szCs w:val="24"/>
        </w:rPr>
        <w:t xml:space="preserve"> message </w:t>
      </w:r>
      <w:r w:rsidRPr="00530906">
        <w:rPr>
          <w:rFonts w:ascii="Cambria" w:eastAsia="Calibri" w:hAnsi="Cambria" w:cs="Times New Roman"/>
          <w:b/>
          <w:sz w:val="24"/>
          <w:szCs w:val="24"/>
        </w:rPr>
        <w:t xml:space="preserve">among the users of social media.  </w:t>
      </w:r>
    </w:p>
    <w:p w14:paraId="1864B8A8" w14:textId="08FABF9E" w:rsidR="00C7217E" w:rsidRPr="00530906" w:rsidRDefault="009A4CCA" w:rsidP="00A34FE3">
      <w:pPr>
        <w:pStyle w:val="Heading3"/>
        <w:rPr>
          <w:rFonts w:eastAsia="Calibri"/>
        </w:rPr>
      </w:pPr>
      <w:bookmarkStart w:id="58" w:name="_Toc115726237"/>
      <w:r w:rsidRPr="00530906">
        <w:rPr>
          <w:rFonts w:eastAsia="Calibri"/>
        </w:rPr>
        <w:t>3.</w:t>
      </w:r>
      <w:r w:rsidR="00A34FE3">
        <w:rPr>
          <w:rFonts w:eastAsia="Calibri"/>
        </w:rPr>
        <w:t>2.1</w:t>
      </w:r>
      <w:r w:rsidRPr="00530906">
        <w:rPr>
          <w:rFonts w:eastAsia="Calibri"/>
        </w:rPr>
        <w:t xml:space="preserve"> </w:t>
      </w:r>
      <w:r w:rsidR="0010147B">
        <w:rPr>
          <w:rFonts w:eastAsia="Calibri"/>
        </w:rPr>
        <w:t>M</w:t>
      </w:r>
      <w:r w:rsidR="00463356">
        <w:rPr>
          <w:rFonts w:eastAsia="Calibri"/>
        </w:rPr>
        <w:t>oderating role of source expertise</w:t>
      </w:r>
      <w:bookmarkEnd w:id="58"/>
    </w:p>
    <w:p w14:paraId="112047C0" w14:textId="0D161ABD" w:rsidR="00A33219" w:rsidRPr="00A12D37" w:rsidRDefault="00170DF5" w:rsidP="00FF7019">
      <w:pPr>
        <w:spacing w:line="360" w:lineRule="auto"/>
        <w:jc w:val="both"/>
        <w:rPr>
          <w:rFonts w:ascii="Cambria" w:eastAsia="Calibri" w:hAnsi="Cambria" w:cs="Times New Roman"/>
          <w:sz w:val="24"/>
          <w:szCs w:val="24"/>
        </w:rPr>
      </w:pPr>
      <w:r w:rsidRPr="00A12D37">
        <w:rPr>
          <w:rFonts w:ascii="Cambria" w:hAnsi="Cambria"/>
          <w:sz w:val="24"/>
          <w:szCs w:val="24"/>
        </w:rPr>
        <w:t xml:space="preserve">Research on impact of source expertise on information processing </w:t>
      </w:r>
      <w:r w:rsidR="00087B93" w:rsidRPr="00A12D37">
        <w:rPr>
          <w:rFonts w:ascii="Cambria" w:hAnsi="Cambria"/>
          <w:sz w:val="24"/>
          <w:szCs w:val="24"/>
        </w:rPr>
        <w:t>of the audience shows that,</w:t>
      </w:r>
      <w:r w:rsidR="00B9458A" w:rsidRPr="00A12D37">
        <w:rPr>
          <w:rFonts w:ascii="Cambria" w:hAnsi="Cambria"/>
          <w:sz w:val="24"/>
          <w:szCs w:val="24"/>
        </w:rPr>
        <w:t xml:space="preserve"> </w:t>
      </w:r>
      <w:r w:rsidR="00317C3B" w:rsidRPr="00A12D37">
        <w:rPr>
          <w:rFonts w:ascii="Cambria" w:eastAsia="Calibri" w:hAnsi="Cambria" w:cs="Times New Roman"/>
          <w:sz w:val="24"/>
          <w:szCs w:val="24"/>
        </w:rPr>
        <w:t>t</w:t>
      </w:r>
      <w:r w:rsidR="00C7217E" w:rsidRPr="00A12D37">
        <w:rPr>
          <w:rFonts w:ascii="Cambria" w:eastAsia="Calibri" w:hAnsi="Cambria" w:cs="Times New Roman"/>
          <w:sz w:val="24"/>
          <w:szCs w:val="24"/>
        </w:rPr>
        <w:t xml:space="preserve">he confidence upon communicator’s knowledge and intelligence substantially dictates an individual’s tendency of </w:t>
      </w:r>
      <w:r w:rsidR="0092180A" w:rsidRPr="00A12D37">
        <w:rPr>
          <w:rFonts w:ascii="Cambria" w:eastAsia="Calibri" w:hAnsi="Cambria" w:cs="Times New Roman"/>
          <w:sz w:val="24"/>
          <w:szCs w:val="24"/>
        </w:rPr>
        <w:t xml:space="preserve">giving </w:t>
      </w:r>
      <w:r w:rsidR="00873919" w:rsidRPr="00A12D37">
        <w:rPr>
          <w:rFonts w:ascii="Cambria" w:eastAsia="Calibri" w:hAnsi="Cambria" w:cs="Times New Roman"/>
          <w:sz w:val="24"/>
          <w:szCs w:val="24"/>
        </w:rPr>
        <w:t>attention</w:t>
      </w:r>
      <w:r w:rsidR="0092180A" w:rsidRPr="00A12D37">
        <w:rPr>
          <w:rFonts w:ascii="Cambria" w:eastAsia="Calibri" w:hAnsi="Cambria" w:cs="Times New Roman"/>
          <w:sz w:val="24"/>
          <w:szCs w:val="24"/>
        </w:rPr>
        <w:t xml:space="preserve"> to </w:t>
      </w:r>
      <w:r w:rsidR="008C0296" w:rsidRPr="00A12D37">
        <w:rPr>
          <w:rFonts w:ascii="Cambria" w:eastAsia="Calibri" w:hAnsi="Cambria" w:cs="Times New Roman"/>
          <w:sz w:val="24"/>
          <w:szCs w:val="24"/>
        </w:rPr>
        <w:t>a</w:t>
      </w:r>
      <w:r w:rsidR="0092180A" w:rsidRPr="00A12D37">
        <w:rPr>
          <w:rFonts w:ascii="Cambria" w:eastAsia="Calibri" w:hAnsi="Cambria" w:cs="Times New Roman"/>
          <w:sz w:val="24"/>
          <w:szCs w:val="24"/>
        </w:rPr>
        <w:t xml:space="preserve"> </w:t>
      </w:r>
      <w:r w:rsidR="0052428D" w:rsidRPr="00A12D37">
        <w:rPr>
          <w:rFonts w:ascii="Cambria" w:eastAsia="Calibri" w:hAnsi="Cambria" w:cs="Times New Roman"/>
          <w:sz w:val="24"/>
          <w:szCs w:val="24"/>
        </w:rPr>
        <w:t>message</w:t>
      </w:r>
      <w:r w:rsidR="0092180A" w:rsidRPr="00A12D37">
        <w:rPr>
          <w:rFonts w:ascii="Cambria" w:eastAsia="Calibri" w:hAnsi="Cambria" w:cs="Times New Roman"/>
          <w:sz w:val="24"/>
          <w:szCs w:val="24"/>
        </w:rPr>
        <w:t xml:space="preserve"> and </w:t>
      </w:r>
      <w:r w:rsidR="00C7217E" w:rsidRPr="00A12D37">
        <w:rPr>
          <w:rFonts w:ascii="Cambria" w:eastAsia="Calibri" w:hAnsi="Cambria" w:cs="Times New Roman"/>
          <w:sz w:val="24"/>
          <w:szCs w:val="24"/>
        </w:rPr>
        <w:t xml:space="preserve">accepting </w:t>
      </w:r>
      <w:r w:rsidR="0092180A" w:rsidRPr="00A12D37">
        <w:rPr>
          <w:rFonts w:ascii="Cambria" w:eastAsia="Calibri" w:hAnsi="Cambria" w:cs="Times New Roman"/>
          <w:sz w:val="24"/>
          <w:szCs w:val="24"/>
        </w:rPr>
        <w:t>that</w:t>
      </w:r>
      <w:r w:rsidR="008C0296" w:rsidRPr="00A12D37">
        <w:rPr>
          <w:rFonts w:ascii="Cambria" w:eastAsia="Calibri" w:hAnsi="Cambria" w:cs="Times New Roman"/>
          <w:sz w:val="24"/>
          <w:szCs w:val="24"/>
        </w:rPr>
        <w:t xml:space="preserve"> message</w:t>
      </w:r>
      <w:r w:rsidR="00C7217E" w:rsidRPr="00A12D37">
        <w:rPr>
          <w:rFonts w:ascii="Cambria" w:eastAsia="Calibri" w:hAnsi="Cambria" w:cs="Times New Roman"/>
          <w:sz w:val="24"/>
          <w:szCs w:val="24"/>
        </w:rPr>
        <w:t xml:space="preserve"> (Hovland et al 1953</w:t>
      </w:r>
      <w:r w:rsidR="0092180A" w:rsidRPr="00A12D37">
        <w:rPr>
          <w:rFonts w:ascii="Cambria" w:eastAsia="Calibri" w:hAnsi="Cambria" w:cs="Times New Roman"/>
          <w:sz w:val="24"/>
          <w:szCs w:val="24"/>
        </w:rPr>
        <w:t>;</w:t>
      </w:r>
      <w:r w:rsidR="00C7217E" w:rsidRPr="00A12D37">
        <w:rPr>
          <w:rFonts w:ascii="Cambria" w:eastAsia="Calibri" w:hAnsi="Cambria" w:cs="Times New Roman"/>
          <w:sz w:val="24"/>
          <w:szCs w:val="24"/>
        </w:rPr>
        <w:t xml:space="preserve"> Berkowitz 1986</w:t>
      </w:r>
      <w:r w:rsidR="00FF7305" w:rsidRPr="00A12D37">
        <w:rPr>
          <w:rFonts w:ascii="Cambria" w:eastAsia="Calibri" w:hAnsi="Cambria" w:cs="Times New Roman"/>
          <w:sz w:val="24"/>
          <w:szCs w:val="24"/>
        </w:rPr>
        <w:t xml:space="preserve">; </w:t>
      </w:r>
      <w:r w:rsidR="004D240C" w:rsidRPr="00A12D37">
        <w:rPr>
          <w:rFonts w:ascii="Cambria" w:hAnsi="Cambria"/>
          <w:sz w:val="24"/>
          <w:szCs w:val="24"/>
        </w:rPr>
        <w:t xml:space="preserve">Greenwald and Leavitt 1984; </w:t>
      </w:r>
      <w:r w:rsidR="004D240C" w:rsidRPr="00A12D37">
        <w:rPr>
          <w:rFonts w:ascii="Cambria" w:eastAsia="Calibri" w:hAnsi="Cambria" w:cs="Times New Roman"/>
          <w:sz w:val="24"/>
          <w:szCs w:val="24"/>
        </w:rPr>
        <w:t>De Bono and Harnish 1988</w:t>
      </w:r>
      <w:r w:rsidR="004D240C" w:rsidRPr="00A12D37">
        <w:rPr>
          <w:rFonts w:ascii="Cambria" w:hAnsi="Cambria"/>
          <w:sz w:val="24"/>
          <w:szCs w:val="24"/>
        </w:rPr>
        <w:t xml:space="preserve">). </w:t>
      </w:r>
      <w:r w:rsidR="00182750" w:rsidRPr="00A12D37">
        <w:rPr>
          <w:rFonts w:ascii="Cambria" w:eastAsia="Calibri" w:hAnsi="Cambria" w:cs="Times New Roman"/>
          <w:sz w:val="24"/>
          <w:szCs w:val="24"/>
        </w:rPr>
        <w:t>This phenomenon is observed because, consumers tend to employ less effort in thought process if the source is credible</w:t>
      </w:r>
      <w:r w:rsidR="000C1267" w:rsidRPr="00A12D37">
        <w:rPr>
          <w:rFonts w:ascii="Cambria" w:eastAsia="Calibri" w:hAnsi="Cambria" w:cs="Times New Roman"/>
          <w:sz w:val="24"/>
          <w:szCs w:val="24"/>
        </w:rPr>
        <w:t>/ ex</w:t>
      </w:r>
      <w:r w:rsidR="00D03DA5" w:rsidRPr="00A12D37">
        <w:rPr>
          <w:rFonts w:ascii="Cambria" w:eastAsia="Calibri" w:hAnsi="Cambria" w:cs="Times New Roman"/>
          <w:sz w:val="24"/>
          <w:szCs w:val="24"/>
        </w:rPr>
        <w:t>pert on a given subject</w:t>
      </w:r>
      <w:r w:rsidR="00182750" w:rsidRPr="00A12D37">
        <w:rPr>
          <w:rFonts w:ascii="Cambria" w:eastAsia="Calibri" w:hAnsi="Cambria" w:cs="Times New Roman"/>
          <w:sz w:val="24"/>
          <w:szCs w:val="24"/>
        </w:rPr>
        <w:t xml:space="preserve"> (Berkowitz 1986). </w:t>
      </w:r>
      <w:r w:rsidR="0057003C" w:rsidRPr="00A12D37">
        <w:rPr>
          <w:rFonts w:ascii="Cambria" w:hAnsi="Cambria"/>
          <w:sz w:val="24"/>
          <w:szCs w:val="24"/>
        </w:rPr>
        <w:t xml:space="preserve">In </w:t>
      </w:r>
      <w:r w:rsidR="008C0296" w:rsidRPr="00A12D37">
        <w:rPr>
          <w:rFonts w:ascii="Cambria" w:hAnsi="Cambria"/>
          <w:sz w:val="24"/>
          <w:szCs w:val="24"/>
        </w:rPr>
        <w:t xml:space="preserve">the </w:t>
      </w:r>
      <w:r w:rsidR="0057003C" w:rsidRPr="00A12D37">
        <w:rPr>
          <w:rFonts w:ascii="Cambria" w:hAnsi="Cambria"/>
          <w:sz w:val="24"/>
          <w:szCs w:val="24"/>
        </w:rPr>
        <w:t xml:space="preserve">case of </w:t>
      </w:r>
      <w:r w:rsidR="00C7217E" w:rsidRPr="00A12D37">
        <w:rPr>
          <w:rFonts w:ascii="Cambria" w:eastAsia="Calibri" w:hAnsi="Cambria" w:cs="Times New Roman"/>
          <w:sz w:val="24"/>
          <w:szCs w:val="24"/>
        </w:rPr>
        <w:t>word of mouth in online platform regarding brands or product</w:t>
      </w:r>
      <w:r w:rsidR="00D17416" w:rsidRPr="00A12D37">
        <w:rPr>
          <w:rFonts w:ascii="Cambria" w:eastAsia="Calibri" w:hAnsi="Cambria" w:cs="Times New Roman"/>
          <w:sz w:val="24"/>
          <w:szCs w:val="24"/>
        </w:rPr>
        <w:t>,</w:t>
      </w:r>
      <w:r w:rsidR="00C7217E" w:rsidRPr="00A12D37">
        <w:rPr>
          <w:rFonts w:ascii="Cambria" w:eastAsia="Calibri" w:hAnsi="Cambria" w:cs="Times New Roman"/>
          <w:sz w:val="24"/>
          <w:szCs w:val="24"/>
        </w:rPr>
        <w:t xml:space="preserve"> </w:t>
      </w:r>
      <w:r w:rsidR="00D17416" w:rsidRPr="00A12D37">
        <w:rPr>
          <w:rFonts w:ascii="Cambria" w:eastAsia="Calibri" w:hAnsi="Cambria" w:cs="Times New Roman"/>
          <w:sz w:val="24"/>
          <w:szCs w:val="24"/>
        </w:rPr>
        <w:t xml:space="preserve">higher the </w:t>
      </w:r>
      <w:r w:rsidR="00C7217E" w:rsidRPr="00A12D37">
        <w:rPr>
          <w:rFonts w:ascii="Cambria" w:eastAsia="Calibri" w:hAnsi="Cambria" w:cs="Times New Roman"/>
          <w:sz w:val="24"/>
          <w:szCs w:val="24"/>
        </w:rPr>
        <w:t>perceived source expertise</w:t>
      </w:r>
      <w:r w:rsidR="00176C34" w:rsidRPr="00A12D37">
        <w:rPr>
          <w:rFonts w:ascii="Cambria" w:eastAsia="Calibri" w:hAnsi="Cambria" w:cs="Times New Roman"/>
          <w:sz w:val="24"/>
          <w:szCs w:val="24"/>
        </w:rPr>
        <w:t xml:space="preserve">, more </w:t>
      </w:r>
      <w:r w:rsidR="00253A2A" w:rsidRPr="00A12D37">
        <w:rPr>
          <w:rFonts w:ascii="Cambria" w:eastAsia="Calibri" w:hAnsi="Cambria" w:cs="Times New Roman"/>
          <w:sz w:val="24"/>
          <w:szCs w:val="24"/>
        </w:rPr>
        <w:t>readily</w:t>
      </w:r>
      <w:r w:rsidR="00176C34" w:rsidRPr="00A12D37">
        <w:rPr>
          <w:rFonts w:ascii="Cambria" w:eastAsia="Calibri" w:hAnsi="Cambria" w:cs="Times New Roman"/>
          <w:sz w:val="24"/>
          <w:szCs w:val="24"/>
        </w:rPr>
        <w:t xml:space="preserve"> </w:t>
      </w:r>
      <w:r w:rsidR="0052428D" w:rsidRPr="00A12D37">
        <w:rPr>
          <w:rFonts w:ascii="Cambria" w:eastAsia="Calibri" w:hAnsi="Cambria" w:cs="Times New Roman"/>
          <w:sz w:val="24"/>
          <w:szCs w:val="24"/>
        </w:rPr>
        <w:t>consumers</w:t>
      </w:r>
      <w:r w:rsidR="00176C34" w:rsidRPr="00A12D37">
        <w:rPr>
          <w:rFonts w:ascii="Cambria" w:eastAsia="Calibri" w:hAnsi="Cambria" w:cs="Times New Roman"/>
          <w:sz w:val="24"/>
          <w:szCs w:val="24"/>
        </w:rPr>
        <w:t xml:space="preserve"> accept the message</w:t>
      </w:r>
      <w:r w:rsidR="00C7217E" w:rsidRPr="00A12D37">
        <w:rPr>
          <w:rFonts w:ascii="Cambria" w:eastAsia="Calibri" w:hAnsi="Cambria" w:cs="Times New Roman"/>
          <w:sz w:val="24"/>
          <w:szCs w:val="24"/>
        </w:rPr>
        <w:t xml:space="preserve"> (Gilly et al 1998; Claffey and Brady 2017; Hollebeek, 2018).</w:t>
      </w:r>
      <w:r w:rsidR="00FE0684" w:rsidRPr="00A12D37">
        <w:rPr>
          <w:rFonts w:ascii="Cambria" w:eastAsia="Calibri" w:hAnsi="Cambria" w:cs="Times New Roman"/>
          <w:sz w:val="24"/>
          <w:szCs w:val="24"/>
        </w:rPr>
        <w:t xml:space="preserve"> </w:t>
      </w:r>
      <w:r w:rsidR="00C7217E" w:rsidRPr="00A12D37">
        <w:rPr>
          <w:rFonts w:ascii="Cambria" w:eastAsia="Calibri" w:hAnsi="Cambria" w:cs="Times New Roman"/>
          <w:sz w:val="24"/>
          <w:szCs w:val="24"/>
        </w:rPr>
        <w:t xml:space="preserve">This differentiating impact </w:t>
      </w:r>
      <w:r w:rsidR="00A65352" w:rsidRPr="00A12D37">
        <w:rPr>
          <w:rFonts w:ascii="Cambria" w:eastAsia="Calibri" w:hAnsi="Cambria" w:cs="Times New Roman"/>
          <w:sz w:val="24"/>
          <w:szCs w:val="24"/>
        </w:rPr>
        <w:t>occurs</w:t>
      </w:r>
      <w:r w:rsidR="00C7217E" w:rsidRPr="00A12D37">
        <w:rPr>
          <w:rFonts w:ascii="Cambria" w:eastAsia="Calibri" w:hAnsi="Cambria" w:cs="Times New Roman"/>
          <w:sz w:val="24"/>
          <w:szCs w:val="24"/>
        </w:rPr>
        <w:t xml:space="preserve"> because those sources are perceived to be less risky, less irrigative, more likely to be noticed and read (Shan and King 2015). Hence, people do not need to think much to accept their message.</w:t>
      </w:r>
    </w:p>
    <w:p w14:paraId="592A7BDD" w14:textId="2391F920" w:rsidR="00A0509F" w:rsidRPr="00A12D37" w:rsidRDefault="00C7217E" w:rsidP="002F1340">
      <w:pPr>
        <w:spacing w:line="360" w:lineRule="auto"/>
        <w:jc w:val="both"/>
        <w:rPr>
          <w:rFonts w:ascii="Cambria" w:hAnsi="Cambria"/>
          <w:sz w:val="24"/>
          <w:szCs w:val="24"/>
        </w:rPr>
      </w:pPr>
      <w:r w:rsidRPr="00A12D37">
        <w:rPr>
          <w:rFonts w:ascii="Cambria" w:eastAsia="Calibri" w:hAnsi="Cambria" w:cs="Times New Roman"/>
          <w:sz w:val="24"/>
          <w:szCs w:val="24"/>
        </w:rPr>
        <w:t xml:space="preserve"> On the other hand, if the consumers have less cognitive load (do not have to think much), they have more vivid mental imagery (Shiv and Huber 2008).</w:t>
      </w:r>
      <w:r w:rsidRPr="00A12D37">
        <w:rPr>
          <w:rFonts w:ascii="Cambria" w:hAnsi="Cambria"/>
          <w:sz w:val="24"/>
          <w:szCs w:val="24"/>
        </w:rPr>
        <w:t xml:space="preserve"> This implies that,</w:t>
      </w:r>
      <w:r w:rsidRPr="00A12D37">
        <w:rPr>
          <w:rFonts w:ascii="Cambria" w:eastAsia="Calibri" w:hAnsi="Cambria" w:cs="Times New Roman"/>
          <w:sz w:val="24"/>
          <w:szCs w:val="24"/>
        </w:rPr>
        <w:t xml:space="preserve"> SCV should be more </w:t>
      </w:r>
      <w:r w:rsidR="00526B7D" w:rsidRPr="00A12D37">
        <w:rPr>
          <w:rFonts w:ascii="Cambria" w:eastAsia="Calibri" w:hAnsi="Cambria" w:cs="Times New Roman"/>
          <w:sz w:val="24"/>
          <w:szCs w:val="24"/>
        </w:rPr>
        <w:t>vivid</w:t>
      </w:r>
      <w:r w:rsidRPr="00A12D37">
        <w:rPr>
          <w:rFonts w:ascii="Cambria" w:eastAsia="Calibri" w:hAnsi="Cambria" w:cs="Times New Roman"/>
          <w:sz w:val="24"/>
          <w:szCs w:val="24"/>
        </w:rPr>
        <w:t xml:space="preserve"> if the consumer perceived the source to </w:t>
      </w:r>
      <w:r w:rsidR="009562B1" w:rsidRPr="00A12D37">
        <w:rPr>
          <w:rFonts w:ascii="Cambria" w:eastAsia="Calibri" w:hAnsi="Cambria" w:cs="Times New Roman"/>
          <w:sz w:val="24"/>
          <w:szCs w:val="24"/>
        </w:rPr>
        <w:t xml:space="preserve">have </w:t>
      </w:r>
      <w:r w:rsidR="00B90D0F" w:rsidRPr="00A12D37">
        <w:rPr>
          <w:rFonts w:ascii="Cambria" w:eastAsia="Calibri" w:hAnsi="Cambria" w:cs="Times New Roman"/>
          <w:sz w:val="24"/>
          <w:szCs w:val="24"/>
        </w:rPr>
        <w:t>high expertise</w:t>
      </w:r>
      <w:r w:rsidR="00651B41" w:rsidRPr="00A12D37">
        <w:rPr>
          <w:rFonts w:ascii="Cambria" w:eastAsia="Calibri" w:hAnsi="Cambria" w:cs="Times New Roman"/>
          <w:sz w:val="24"/>
          <w:szCs w:val="24"/>
        </w:rPr>
        <w:t xml:space="preserve"> than to have low expertise</w:t>
      </w:r>
      <w:r w:rsidRPr="00A12D37">
        <w:rPr>
          <w:rFonts w:ascii="Cambria" w:eastAsia="Calibri" w:hAnsi="Cambria" w:cs="Times New Roman"/>
          <w:sz w:val="24"/>
          <w:szCs w:val="24"/>
        </w:rPr>
        <w:t xml:space="preserve">, since mental imagery is </w:t>
      </w:r>
      <w:r w:rsidR="0052428D" w:rsidRPr="00A12D37">
        <w:rPr>
          <w:rFonts w:ascii="Cambria" w:eastAsia="Calibri" w:hAnsi="Cambria" w:cs="Times New Roman"/>
          <w:sz w:val="24"/>
          <w:szCs w:val="24"/>
        </w:rPr>
        <w:t>facilitated</w:t>
      </w:r>
      <w:r w:rsidR="00313CA7" w:rsidRPr="00A12D37">
        <w:rPr>
          <w:rFonts w:ascii="Cambria" w:eastAsia="Calibri" w:hAnsi="Cambria" w:cs="Times New Roman"/>
          <w:sz w:val="24"/>
          <w:szCs w:val="24"/>
        </w:rPr>
        <w:t xml:space="preserve"> by the</w:t>
      </w:r>
      <w:r w:rsidRPr="00A12D37">
        <w:rPr>
          <w:rFonts w:ascii="Cambria" w:eastAsia="Calibri" w:hAnsi="Cambria" w:cs="Times New Roman"/>
          <w:sz w:val="24"/>
          <w:szCs w:val="24"/>
        </w:rPr>
        <w:t xml:space="preserve"> source of information (Shiv and Huber 2000; Yim et al 2018).</w:t>
      </w:r>
      <w:r w:rsidR="002A61E1" w:rsidRPr="00A12D37">
        <w:rPr>
          <w:rFonts w:ascii="Cambria" w:eastAsia="Calibri" w:hAnsi="Cambria" w:cs="Times New Roman"/>
          <w:sz w:val="24"/>
          <w:szCs w:val="24"/>
        </w:rPr>
        <w:t xml:space="preserve"> </w:t>
      </w:r>
      <w:r w:rsidRPr="00A12D37">
        <w:rPr>
          <w:rFonts w:ascii="Cambria" w:eastAsia="Calibri" w:hAnsi="Cambria" w:cs="Times New Roman"/>
          <w:sz w:val="24"/>
          <w:szCs w:val="24"/>
        </w:rPr>
        <w:t>Mental stimulation like, SCV, generated by ad is dependent on the environment of the media (Seo 2018). For this study, the environment of social media has been studied in terms of  source expertise and the types of caption</w:t>
      </w:r>
      <w:r w:rsidR="002102F3">
        <w:rPr>
          <w:rFonts w:ascii="Cambria" w:eastAsia="Calibri" w:hAnsi="Cambria" w:cs="Times New Roman"/>
          <w:sz w:val="24"/>
          <w:szCs w:val="24"/>
        </w:rPr>
        <w:t>s</w:t>
      </w:r>
      <w:r w:rsidRPr="00A12D37">
        <w:rPr>
          <w:rFonts w:ascii="Cambria" w:eastAsia="Calibri" w:hAnsi="Cambria" w:cs="Times New Roman"/>
          <w:sz w:val="24"/>
          <w:szCs w:val="24"/>
        </w:rPr>
        <w:t xml:space="preserve"> (positive and negative) in the context of sustainability ad. </w:t>
      </w:r>
      <w:r w:rsidRPr="00A12D37">
        <w:rPr>
          <w:rFonts w:ascii="Cambria" w:hAnsi="Cambria"/>
          <w:sz w:val="24"/>
          <w:szCs w:val="24"/>
        </w:rPr>
        <w:t xml:space="preserve">Consumers will be able to produce more vivid image </w:t>
      </w:r>
      <w:r w:rsidR="00894826" w:rsidRPr="00A12D37">
        <w:rPr>
          <w:rFonts w:ascii="Cambria" w:hAnsi="Cambria"/>
          <w:sz w:val="24"/>
          <w:szCs w:val="24"/>
        </w:rPr>
        <w:t xml:space="preserve">for </w:t>
      </w:r>
      <w:r w:rsidRPr="00A12D37">
        <w:rPr>
          <w:rFonts w:ascii="Cambria" w:hAnsi="Cambria"/>
          <w:sz w:val="24"/>
          <w:szCs w:val="24"/>
        </w:rPr>
        <w:t xml:space="preserve">information source </w:t>
      </w:r>
      <w:r w:rsidR="00894826" w:rsidRPr="00A12D37">
        <w:rPr>
          <w:rFonts w:ascii="Cambria" w:hAnsi="Cambria"/>
          <w:sz w:val="24"/>
          <w:szCs w:val="24"/>
        </w:rPr>
        <w:t>of higher i</w:t>
      </w:r>
      <w:r w:rsidRPr="00A12D37">
        <w:rPr>
          <w:rFonts w:ascii="Cambria" w:hAnsi="Cambria"/>
          <w:sz w:val="24"/>
          <w:szCs w:val="24"/>
        </w:rPr>
        <w:t>mporta</w:t>
      </w:r>
      <w:r w:rsidR="000779DA">
        <w:rPr>
          <w:rFonts w:ascii="Cambria" w:hAnsi="Cambria"/>
          <w:sz w:val="24"/>
          <w:szCs w:val="24"/>
        </w:rPr>
        <w:t>n</w:t>
      </w:r>
      <w:r w:rsidR="00894826" w:rsidRPr="00A12D37">
        <w:rPr>
          <w:rFonts w:ascii="Cambria" w:hAnsi="Cambria"/>
          <w:sz w:val="24"/>
          <w:szCs w:val="24"/>
        </w:rPr>
        <w:t>ce</w:t>
      </w:r>
      <w:r w:rsidRPr="00A12D37">
        <w:rPr>
          <w:rFonts w:ascii="Cambria" w:hAnsi="Cambria"/>
          <w:sz w:val="24"/>
          <w:szCs w:val="24"/>
        </w:rPr>
        <w:t xml:space="preserve"> to them</w:t>
      </w:r>
      <w:r w:rsidR="00176A17" w:rsidRPr="00A12D37">
        <w:rPr>
          <w:rFonts w:ascii="Cambria" w:hAnsi="Cambria"/>
          <w:sz w:val="24"/>
          <w:szCs w:val="24"/>
        </w:rPr>
        <w:t xml:space="preserve">, </w:t>
      </w:r>
      <w:r w:rsidR="00BB230D" w:rsidRPr="00A12D37">
        <w:rPr>
          <w:rFonts w:ascii="Cambria" w:hAnsi="Cambria"/>
          <w:sz w:val="24"/>
          <w:szCs w:val="24"/>
        </w:rPr>
        <w:t>of</w:t>
      </w:r>
      <w:r w:rsidR="00176A17" w:rsidRPr="00A12D37">
        <w:rPr>
          <w:rFonts w:ascii="Cambria" w:hAnsi="Cambria"/>
          <w:sz w:val="24"/>
          <w:szCs w:val="24"/>
        </w:rPr>
        <w:t xml:space="preserve"> </w:t>
      </w:r>
      <w:r w:rsidRPr="00A12D37">
        <w:rPr>
          <w:rFonts w:ascii="Cambria" w:hAnsi="Cambria"/>
          <w:sz w:val="24"/>
          <w:szCs w:val="24"/>
        </w:rPr>
        <w:t xml:space="preserve"> </w:t>
      </w:r>
      <w:r w:rsidR="00176A17" w:rsidRPr="00A12D37">
        <w:rPr>
          <w:rFonts w:ascii="Cambria" w:hAnsi="Cambria"/>
          <w:sz w:val="24"/>
          <w:szCs w:val="24"/>
        </w:rPr>
        <w:t>higher reliability</w:t>
      </w:r>
      <w:r w:rsidR="00FE5150" w:rsidRPr="00A12D37">
        <w:rPr>
          <w:rFonts w:ascii="Cambria" w:hAnsi="Cambria"/>
          <w:sz w:val="24"/>
          <w:szCs w:val="24"/>
        </w:rPr>
        <w:t xml:space="preserve"> (i.e</w:t>
      </w:r>
      <w:r w:rsidR="00292754" w:rsidRPr="00A12D37">
        <w:rPr>
          <w:rFonts w:ascii="Cambria" w:hAnsi="Cambria"/>
          <w:sz w:val="24"/>
          <w:szCs w:val="24"/>
        </w:rPr>
        <w:t xml:space="preserve"> </w:t>
      </w:r>
      <w:r w:rsidR="00361456" w:rsidRPr="00A12D37">
        <w:rPr>
          <w:rFonts w:ascii="Cambria" w:hAnsi="Cambria"/>
          <w:sz w:val="24"/>
          <w:szCs w:val="24"/>
        </w:rPr>
        <w:t>possess</w:t>
      </w:r>
      <w:r w:rsidR="00FE5150" w:rsidRPr="00A12D37">
        <w:rPr>
          <w:rFonts w:ascii="Cambria" w:hAnsi="Cambria"/>
          <w:sz w:val="24"/>
          <w:szCs w:val="24"/>
        </w:rPr>
        <w:t xml:space="preserve"> h</w:t>
      </w:r>
      <w:r w:rsidR="00637DF9" w:rsidRPr="00A12D37">
        <w:rPr>
          <w:rFonts w:ascii="Cambria" w:hAnsi="Cambria"/>
          <w:sz w:val="24"/>
          <w:szCs w:val="24"/>
        </w:rPr>
        <w:t>igh source expertise</w:t>
      </w:r>
      <w:r w:rsidR="00FE5150" w:rsidRPr="00A12D37">
        <w:rPr>
          <w:rFonts w:ascii="Cambria" w:hAnsi="Cambria"/>
          <w:sz w:val="24"/>
          <w:szCs w:val="24"/>
        </w:rPr>
        <w:t>)</w:t>
      </w:r>
      <w:r w:rsidRPr="00A12D37">
        <w:rPr>
          <w:rFonts w:ascii="Cambria" w:hAnsi="Cambria"/>
          <w:sz w:val="24"/>
          <w:szCs w:val="24"/>
        </w:rPr>
        <w:t xml:space="preserve"> and </w:t>
      </w:r>
      <w:r w:rsidR="00BB230D" w:rsidRPr="00A12D37">
        <w:rPr>
          <w:rFonts w:ascii="Cambria" w:hAnsi="Cambria"/>
          <w:sz w:val="24"/>
          <w:szCs w:val="24"/>
        </w:rPr>
        <w:t>with</w:t>
      </w:r>
      <w:r w:rsidRPr="00A12D37">
        <w:rPr>
          <w:rFonts w:ascii="Cambria" w:hAnsi="Cambria"/>
          <w:sz w:val="24"/>
          <w:szCs w:val="24"/>
        </w:rPr>
        <w:t xml:space="preserve"> good argument </w:t>
      </w:r>
      <w:r w:rsidRPr="00A12D37">
        <w:rPr>
          <w:rFonts w:ascii="Cambria" w:eastAsia="Calibri" w:hAnsi="Cambria" w:cs="Times New Roman"/>
          <w:sz w:val="24"/>
          <w:szCs w:val="24"/>
        </w:rPr>
        <w:t xml:space="preserve">(in this case the caption) </w:t>
      </w:r>
      <w:r w:rsidRPr="00A12D37">
        <w:rPr>
          <w:rFonts w:ascii="Cambria" w:hAnsi="Cambria"/>
          <w:sz w:val="24"/>
          <w:szCs w:val="24"/>
        </w:rPr>
        <w:t>(Yim et al 2018;</w:t>
      </w:r>
      <w:r w:rsidRPr="00A12D37">
        <w:rPr>
          <w:rFonts w:ascii="Cambria" w:eastAsia="Calibri" w:hAnsi="Cambria" w:cs="Times New Roman"/>
          <w:sz w:val="24"/>
          <w:szCs w:val="24"/>
        </w:rPr>
        <w:t xml:space="preserve"> de Pelsmackera et al 2018</w:t>
      </w:r>
      <w:r w:rsidRPr="00A12D37">
        <w:rPr>
          <w:rFonts w:ascii="Cambria" w:hAnsi="Cambria"/>
          <w:sz w:val="24"/>
          <w:szCs w:val="24"/>
        </w:rPr>
        <w:t xml:space="preserve">). </w:t>
      </w:r>
    </w:p>
    <w:p w14:paraId="5347CC80" w14:textId="77F624D8" w:rsidR="007567ED" w:rsidRPr="005356A4" w:rsidRDefault="00510B5B">
      <w:pPr>
        <w:spacing w:line="360" w:lineRule="auto"/>
        <w:jc w:val="both"/>
        <w:rPr>
          <w:rFonts w:ascii="Cambria" w:hAnsi="Cambria"/>
          <w:sz w:val="24"/>
          <w:szCs w:val="24"/>
        </w:rPr>
      </w:pPr>
      <w:r w:rsidRPr="00A12D37">
        <w:rPr>
          <w:rFonts w:ascii="Cambria" w:eastAsia="Calibri" w:hAnsi="Cambria" w:cs="Times New Roman"/>
          <w:sz w:val="24"/>
          <w:szCs w:val="24"/>
        </w:rPr>
        <w:t xml:space="preserve">Previous research </w:t>
      </w:r>
      <w:r w:rsidR="00586C67" w:rsidRPr="00A12D37">
        <w:rPr>
          <w:rFonts w:ascii="Cambria" w:eastAsia="Calibri" w:hAnsi="Cambria" w:cs="Times New Roman"/>
          <w:sz w:val="24"/>
          <w:szCs w:val="24"/>
        </w:rPr>
        <w:t xml:space="preserve">about </w:t>
      </w:r>
      <w:r w:rsidR="00E97A66" w:rsidRPr="005356A4">
        <w:rPr>
          <w:rFonts w:ascii="Cambria" w:eastAsia="Calibri" w:hAnsi="Cambria" w:cs="Times New Roman"/>
          <w:sz w:val="24"/>
          <w:szCs w:val="24"/>
        </w:rPr>
        <w:t xml:space="preserve">online </w:t>
      </w:r>
      <w:r w:rsidR="00586C67" w:rsidRPr="005356A4">
        <w:rPr>
          <w:rFonts w:ascii="Cambria" w:eastAsia="Calibri" w:hAnsi="Cambria" w:cs="Times New Roman"/>
          <w:sz w:val="24"/>
          <w:szCs w:val="24"/>
        </w:rPr>
        <w:t xml:space="preserve">arguments </w:t>
      </w:r>
      <w:r w:rsidRPr="005356A4">
        <w:rPr>
          <w:rFonts w:ascii="Cambria" w:eastAsia="Calibri" w:hAnsi="Cambria" w:cs="Times New Roman"/>
          <w:sz w:val="24"/>
          <w:szCs w:val="24"/>
        </w:rPr>
        <w:t>show</w:t>
      </w:r>
      <w:r w:rsidR="00727A78" w:rsidRPr="005356A4">
        <w:rPr>
          <w:rFonts w:ascii="Cambria" w:eastAsia="Calibri" w:hAnsi="Cambria" w:cs="Times New Roman"/>
          <w:sz w:val="24"/>
          <w:szCs w:val="24"/>
        </w:rPr>
        <w:t>s</w:t>
      </w:r>
      <w:r w:rsidRPr="005356A4">
        <w:rPr>
          <w:rFonts w:ascii="Cambria" w:eastAsia="Calibri" w:hAnsi="Cambria" w:cs="Times New Roman"/>
          <w:sz w:val="24"/>
          <w:szCs w:val="24"/>
        </w:rPr>
        <w:t>, p</w:t>
      </w:r>
      <w:r w:rsidR="00C7217E" w:rsidRPr="005356A4">
        <w:rPr>
          <w:rFonts w:ascii="Cambria" w:eastAsia="Calibri" w:hAnsi="Cambria" w:cs="Times New Roman"/>
          <w:sz w:val="24"/>
          <w:szCs w:val="24"/>
        </w:rPr>
        <w:t xml:space="preserve">ositive reviews significantly motivate other </w:t>
      </w:r>
      <w:r w:rsidR="00F24A2D" w:rsidRPr="005356A4">
        <w:rPr>
          <w:rFonts w:ascii="Cambria" w:eastAsia="Calibri" w:hAnsi="Cambria" w:cs="Times New Roman"/>
          <w:sz w:val="24"/>
          <w:szCs w:val="24"/>
        </w:rPr>
        <w:t xml:space="preserve">online </w:t>
      </w:r>
      <w:r w:rsidR="00C7217E" w:rsidRPr="005356A4">
        <w:rPr>
          <w:rFonts w:ascii="Cambria" w:eastAsia="Calibri" w:hAnsi="Cambria" w:cs="Times New Roman"/>
          <w:sz w:val="24"/>
          <w:szCs w:val="24"/>
        </w:rPr>
        <w:t xml:space="preserve">users to engage </w:t>
      </w:r>
      <w:r w:rsidR="00455EC7" w:rsidRPr="005356A4">
        <w:rPr>
          <w:rFonts w:ascii="Cambria" w:eastAsia="Calibri" w:hAnsi="Cambria" w:cs="Times New Roman"/>
          <w:sz w:val="24"/>
          <w:szCs w:val="24"/>
        </w:rPr>
        <w:t xml:space="preserve">mentally </w:t>
      </w:r>
      <w:r w:rsidR="00C7217E" w:rsidRPr="005356A4">
        <w:rPr>
          <w:rFonts w:ascii="Cambria" w:eastAsia="Calibri" w:hAnsi="Cambria" w:cs="Times New Roman"/>
          <w:sz w:val="24"/>
          <w:szCs w:val="24"/>
        </w:rPr>
        <w:t xml:space="preserve">when they are more willing to accept the opinion of the source (de Pelsmackera et al 2018). </w:t>
      </w:r>
      <w:r w:rsidR="00CD066E" w:rsidRPr="005356A4">
        <w:rPr>
          <w:rFonts w:ascii="Cambria" w:eastAsia="Calibri" w:hAnsi="Cambria" w:cs="Times New Roman"/>
          <w:sz w:val="24"/>
          <w:szCs w:val="24"/>
        </w:rPr>
        <w:t>H</w:t>
      </w:r>
      <w:r w:rsidR="00151A52" w:rsidRPr="005356A4">
        <w:rPr>
          <w:rFonts w:ascii="Cambria" w:hAnsi="Cambria"/>
          <w:sz w:val="24"/>
          <w:szCs w:val="24"/>
        </w:rPr>
        <w:t xml:space="preserve">igh source expertise </w:t>
      </w:r>
      <w:r w:rsidR="00796AFC" w:rsidRPr="005356A4">
        <w:rPr>
          <w:rFonts w:ascii="Cambria" w:hAnsi="Cambria"/>
          <w:sz w:val="24"/>
          <w:szCs w:val="24"/>
        </w:rPr>
        <w:t>has</w:t>
      </w:r>
      <w:r w:rsidR="00CD066E" w:rsidRPr="005356A4">
        <w:rPr>
          <w:rFonts w:ascii="Cambria" w:hAnsi="Cambria"/>
          <w:sz w:val="24"/>
          <w:szCs w:val="24"/>
        </w:rPr>
        <w:t xml:space="preserve"> more influence on</w:t>
      </w:r>
      <w:r w:rsidR="007C34E4" w:rsidRPr="005356A4">
        <w:rPr>
          <w:rFonts w:ascii="Cambria" w:hAnsi="Cambria"/>
          <w:sz w:val="24"/>
          <w:szCs w:val="24"/>
        </w:rPr>
        <w:t xml:space="preserve"> receiver</w:t>
      </w:r>
      <w:r w:rsidR="00CD066E" w:rsidRPr="005356A4">
        <w:rPr>
          <w:rFonts w:ascii="Cambria" w:hAnsi="Cambria"/>
          <w:sz w:val="24"/>
          <w:szCs w:val="24"/>
        </w:rPr>
        <w:t>s</w:t>
      </w:r>
      <w:r w:rsidR="00294FAC" w:rsidRPr="005356A4">
        <w:rPr>
          <w:rFonts w:ascii="Cambria" w:hAnsi="Cambria"/>
          <w:sz w:val="24"/>
          <w:szCs w:val="24"/>
        </w:rPr>
        <w:t xml:space="preserve"> </w:t>
      </w:r>
      <w:r w:rsidR="00294FAC" w:rsidRPr="005356A4">
        <w:rPr>
          <w:rFonts w:ascii="Cambria" w:eastAsia="Calibri" w:hAnsi="Cambria" w:cs="Times New Roman"/>
          <w:sz w:val="24"/>
          <w:szCs w:val="24"/>
        </w:rPr>
        <w:t>compared to low source expertise</w:t>
      </w:r>
      <w:r w:rsidR="00CD066E" w:rsidRPr="005356A4">
        <w:rPr>
          <w:rFonts w:ascii="Cambria" w:hAnsi="Cambria"/>
          <w:sz w:val="24"/>
          <w:szCs w:val="24"/>
        </w:rPr>
        <w:t xml:space="preserve"> when they are </w:t>
      </w:r>
      <w:r w:rsidR="007C34E4" w:rsidRPr="005356A4">
        <w:rPr>
          <w:rFonts w:ascii="Cambria" w:hAnsi="Cambria"/>
          <w:sz w:val="24"/>
          <w:szCs w:val="24"/>
        </w:rPr>
        <w:t xml:space="preserve">evaluating </w:t>
      </w:r>
      <w:r w:rsidR="00221C76" w:rsidRPr="005356A4">
        <w:rPr>
          <w:rFonts w:ascii="Cambria" w:eastAsia="Calibri" w:hAnsi="Cambria" w:cs="Times New Roman"/>
          <w:sz w:val="24"/>
          <w:szCs w:val="24"/>
        </w:rPr>
        <w:t>issue re</w:t>
      </w:r>
      <w:r w:rsidR="00C27A00" w:rsidRPr="005356A4">
        <w:rPr>
          <w:rFonts w:ascii="Cambria" w:eastAsia="Calibri" w:hAnsi="Cambria" w:cs="Times New Roman"/>
          <w:sz w:val="24"/>
          <w:szCs w:val="24"/>
        </w:rPr>
        <w:t>lated</w:t>
      </w:r>
      <w:r w:rsidR="00221C76" w:rsidRPr="005356A4">
        <w:rPr>
          <w:rFonts w:ascii="Cambria" w:eastAsia="Calibri" w:hAnsi="Cambria" w:cs="Times New Roman"/>
          <w:sz w:val="24"/>
          <w:szCs w:val="24"/>
        </w:rPr>
        <w:t xml:space="preserve"> information</w:t>
      </w:r>
      <w:r w:rsidR="000C29EF" w:rsidRPr="005356A4">
        <w:rPr>
          <w:rFonts w:ascii="Cambria" w:eastAsia="Calibri" w:hAnsi="Cambria" w:cs="Times New Roman"/>
          <w:sz w:val="24"/>
          <w:szCs w:val="24"/>
        </w:rPr>
        <w:t xml:space="preserve"> </w:t>
      </w:r>
      <w:r w:rsidR="00221C76" w:rsidRPr="005356A4">
        <w:rPr>
          <w:rFonts w:ascii="Cambria" w:eastAsia="Calibri" w:hAnsi="Cambria" w:cs="Times New Roman"/>
          <w:sz w:val="24"/>
          <w:szCs w:val="24"/>
        </w:rPr>
        <w:t>(Berkowitz 1986).</w:t>
      </w:r>
      <w:r w:rsidR="00D542F5" w:rsidRPr="005356A4">
        <w:rPr>
          <w:rFonts w:ascii="Cambria" w:eastAsia="Calibri" w:hAnsi="Cambria" w:cs="Times New Roman"/>
          <w:sz w:val="24"/>
          <w:szCs w:val="24"/>
        </w:rPr>
        <w:t xml:space="preserve"> </w:t>
      </w:r>
      <w:r w:rsidR="00294FAC" w:rsidRPr="005356A4">
        <w:rPr>
          <w:rFonts w:ascii="Cambria" w:eastAsia="Calibri" w:hAnsi="Cambria" w:cs="Times New Roman"/>
          <w:sz w:val="24"/>
          <w:szCs w:val="24"/>
        </w:rPr>
        <w:t>In case of</w:t>
      </w:r>
      <w:r w:rsidR="00C7217E" w:rsidRPr="005356A4">
        <w:rPr>
          <w:rFonts w:ascii="Cambria" w:eastAsia="Calibri" w:hAnsi="Cambria" w:cs="Times New Roman"/>
          <w:sz w:val="24"/>
          <w:szCs w:val="24"/>
        </w:rPr>
        <w:t xml:space="preserve"> considering sustainability </w:t>
      </w:r>
      <w:r w:rsidR="00A14DB7" w:rsidRPr="005356A4">
        <w:rPr>
          <w:rFonts w:ascii="Cambria" w:eastAsia="Calibri" w:hAnsi="Cambria" w:cs="Times New Roman"/>
          <w:sz w:val="24"/>
          <w:szCs w:val="24"/>
        </w:rPr>
        <w:t>related information</w:t>
      </w:r>
      <w:r w:rsidR="00C7217E" w:rsidRPr="005356A4">
        <w:rPr>
          <w:rFonts w:ascii="Cambria" w:eastAsia="Calibri" w:hAnsi="Cambria" w:cs="Times New Roman"/>
          <w:sz w:val="24"/>
          <w:szCs w:val="24"/>
        </w:rPr>
        <w:t xml:space="preserve">, consumers tend to prefer positive information showing the effectiveness of sustainability initiative than negative information about sustainability (Han et al 2019; Reborts 1996; Tanner and Kast 2003). </w:t>
      </w:r>
      <w:r w:rsidR="008D63BC" w:rsidRPr="005356A4">
        <w:rPr>
          <w:rFonts w:ascii="Cambria" w:eastAsia="Calibri" w:hAnsi="Cambria" w:cs="Times New Roman"/>
          <w:sz w:val="24"/>
          <w:szCs w:val="24"/>
        </w:rPr>
        <w:t>Research shows that</w:t>
      </w:r>
      <w:r w:rsidR="002F1340" w:rsidRPr="005356A4">
        <w:rPr>
          <w:rFonts w:ascii="Cambria" w:hAnsi="Cambria"/>
          <w:sz w:val="24"/>
          <w:szCs w:val="24"/>
        </w:rPr>
        <w:t>,</w:t>
      </w:r>
      <w:r w:rsidR="00414BCE" w:rsidRPr="005356A4">
        <w:rPr>
          <w:rFonts w:ascii="Cambria" w:hAnsi="Cambria"/>
          <w:sz w:val="24"/>
          <w:szCs w:val="24"/>
        </w:rPr>
        <w:t xml:space="preserve"> </w:t>
      </w:r>
      <w:r w:rsidR="002F1340" w:rsidRPr="005356A4">
        <w:rPr>
          <w:rFonts w:ascii="Cambria" w:hAnsi="Cambria"/>
          <w:sz w:val="24"/>
          <w:szCs w:val="24"/>
        </w:rPr>
        <w:t xml:space="preserve">ad </w:t>
      </w:r>
      <w:r w:rsidR="00414BCE" w:rsidRPr="005356A4">
        <w:rPr>
          <w:rFonts w:ascii="Cambria" w:hAnsi="Cambria"/>
          <w:sz w:val="24"/>
          <w:szCs w:val="24"/>
        </w:rPr>
        <w:t xml:space="preserve">with sustainability message </w:t>
      </w:r>
      <w:r w:rsidR="002F1340" w:rsidRPr="005356A4">
        <w:rPr>
          <w:rFonts w:ascii="Cambria" w:hAnsi="Cambria"/>
          <w:sz w:val="24"/>
          <w:szCs w:val="24"/>
        </w:rPr>
        <w:t>show</w:t>
      </w:r>
      <w:r w:rsidR="00CF669D" w:rsidRPr="005356A4">
        <w:rPr>
          <w:rFonts w:ascii="Cambria" w:hAnsi="Cambria"/>
          <w:sz w:val="24"/>
          <w:szCs w:val="24"/>
        </w:rPr>
        <w:t xml:space="preserve">casing </w:t>
      </w:r>
      <w:r w:rsidR="002F1340" w:rsidRPr="005356A4">
        <w:rPr>
          <w:rFonts w:ascii="Cambria" w:hAnsi="Cambria"/>
          <w:sz w:val="24"/>
          <w:szCs w:val="24"/>
        </w:rPr>
        <w:t>attainable action</w:t>
      </w:r>
      <w:r w:rsidR="00CF669D" w:rsidRPr="005356A4">
        <w:rPr>
          <w:rFonts w:ascii="Cambria" w:hAnsi="Cambria"/>
          <w:sz w:val="24"/>
          <w:szCs w:val="24"/>
        </w:rPr>
        <w:t>,</w:t>
      </w:r>
      <w:r w:rsidR="002F1340" w:rsidRPr="005356A4">
        <w:rPr>
          <w:rFonts w:ascii="Cambria" w:hAnsi="Cambria"/>
          <w:sz w:val="24"/>
          <w:szCs w:val="24"/>
        </w:rPr>
        <w:t xml:space="preserve"> is more persuading than the one that only show</w:t>
      </w:r>
      <w:r w:rsidR="00201CBD" w:rsidRPr="005356A4">
        <w:rPr>
          <w:rFonts w:ascii="Cambria" w:hAnsi="Cambria"/>
          <w:sz w:val="24"/>
          <w:szCs w:val="24"/>
        </w:rPr>
        <w:t>cas</w:t>
      </w:r>
      <w:r w:rsidR="002F1340" w:rsidRPr="005356A4">
        <w:rPr>
          <w:rFonts w:ascii="Cambria" w:hAnsi="Cambria"/>
          <w:sz w:val="24"/>
          <w:szCs w:val="24"/>
        </w:rPr>
        <w:t>ing sustainability problems (Thøgersen and Schrader 2012; Reborts 1996; Kilbourne and Pickett 2008).</w:t>
      </w:r>
      <w:r w:rsidR="00CF669D" w:rsidRPr="005356A4">
        <w:rPr>
          <w:rFonts w:ascii="Cambria" w:hAnsi="Cambria"/>
          <w:sz w:val="24"/>
          <w:szCs w:val="24"/>
        </w:rPr>
        <w:t xml:space="preserve"> In other words, the consumers prefer </w:t>
      </w:r>
      <w:r w:rsidR="00CF63C3" w:rsidRPr="005356A4">
        <w:rPr>
          <w:rFonts w:ascii="Cambria" w:hAnsi="Cambria"/>
          <w:sz w:val="24"/>
          <w:szCs w:val="24"/>
        </w:rPr>
        <w:t>positive news than negative one</w:t>
      </w:r>
      <w:r w:rsidR="001B7BE0" w:rsidRPr="005356A4">
        <w:rPr>
          <w:rFonts w:ascii="Cambria" w:hAnsi="Cambria"/>
          <w:sz w:val="24"/>
          <w:szCs w:val="24"/>
        </w:rPr>
        <w:t>.</w:t>
      </w:r>
    </w:p>
    <w:p w14:paraId="54522047" w14:textId="7C9F9477" w:rsidR="00DF1FC0" w:rsidRPr="005356A4" w:rsidRDefault="00B97488">
      <w:pPr>
        <w:spacing w:line="360" w:lineRule="auto"/>
        <w:jc w:val="both"/>
        <w:rPr>
          <w:rFonts w:ascii="Cambria" w:eastAsia="Calibri" w:hAnsi="Cambria" w:cs="Times New Roman"/>
          <w:sz w:val="24"/>
          <w:szCs w:val="24"/>
        </w:rPr>
      </w:pPr>
      <w:r w:rsidRPr="005356A4">
        <w:rPr>
          <w:rFonts w:ascii="Cambria" w:eastAsia="Calibri" w:hAnsi="Cambria" w:cs="Times New Roman"/>
          <w:sz w:val="24"/>
          <w:szCs w:val="24"/>
        </w:rPr>
        <w:t>Especially, for an involving topic like sustainability in question, high source trustworthiness proved to be more persuading than low source trustworthiness</w:t>
      </w:r>
      <w:r w:rsidR="00E630FF" w:rsidRPr="005356A4">
        <w:rPr>
          <w:rFonts w:ascii="Cambria" w:eastAsia="Calibri" w:hAnsi="Cambria" w:cs="Times New Roman"/>
          <w:sz w:val="24"/>
          <w:szCs w:val="24"/>
        </w:rPr>
        <w:t xml:space="preserve"> (Andreoli and Worchel 1978)</w:t>
      </w:r>
      <w:r w:rsidRPr="005356A4">
        <w:rPr>
          <w:rFonts w:ascii="Cambria" w:eastAsia="Calibri" w:hAnsi="Cambria" w:cs="Times New Roman"/>
          <w:sz w:val="24"/>
          <w:szCs w:val="24"/>
        </w:rPr>
        <w:t>.</w:t>
      </w:r>
      <w:r w:rsidR="00E630FF" w:rsidRPr="005356A4">
        <w:rPr>
          <w:rFonts w:ascii="Cambria" w:eastAsia="Calibri" w:hAnsi="Cambria" w:cs="Times New Roman"/>
          <w:sz w:val="24"/>
          <w:szCs w:val="24"/>
        </w:rPr>
        <w:t xml:space="preserve"> Same assumption can be made for source exper</w:t>
      </w:r>
      <w:r w:rsidR="00805D05" w:rsidRPr="005356A4">
        <w:rPr>
          <w:rFonts w:ascii="Cambria" w:eastAsia="Calibri" w:hAnsi="Cambria" w:cs="Times New Roman"/>
          <w:sz w:val="24"/>
          <w:szCs w:val="24"/>
        </w:rPr>
        <w:t xml:space="preserve">tise since source expertise and </w:t>
      </w:r>
      <w:r w:rsidR="00320C69" w:rsidRPr="005356A4">
        <w:rPr>
          <w:rFonts w:ascii="Cambria" w:eastAsia="Calibri" w:hAnsi="Cambria" w:cs="Times New Roman"/>
          <w:sz w:val="24"/>
          <w:szCs w:val="24"/>
        </w:rPr>
        <w:t xml:space="preserve">source trustworthiness is part of source credibility which </w:t>
      </w:r>
      <w:r w:rsidR="005A3035" w:rsidRPr="005356A4">
        <w:rPr>
          <w:rFonts w:ascii="Cambria" w:eastAsia="Calibri" w:hAnsi="Cambria" w:cs="Times New Roman"/>
          <w:sz w:val="24"/>
          <w:szCs w:val="24"/>
        </w:rPr>
        <w:t>influence consumer acceptance of information</w:t>
      </w:r>
      <w:r w:rsidR="002A47B1" w:rsidRPr="005356A4">
        <w:rPr>
          <w:rFonts w:ascii="Cambria" w:eastAsia="Calibri" w:hAnsi="Cambria" w:cs="Times New Roman"/>
          <w:sz w:val="24"/>
          <w:szCs w:val="24"/>
        </w:rPr>
        <w:t xml:space="preserve"> (Hovland et al 1953)</w:t>
      </w:r>
      <w:r w:rsidR="00805D05" w:rsidRPr="005356A4">
        <w:rPr>
          <w:rFonts w:ascii="Cambria" w:eastAsia="Calibri" w:hAnsi="Cambria" w:cs="Times New Roman"/>
          <w:sz w:val="24"/>
          <w:szCs w:val="24"/>
        </w:rPr>
        <w:t xml:space="preserve">. </w:t>
      </w:r>
      <w:r w:rsidR="00DF1FC0" w:rsidRPr="005356A4">
        <w:rPr>
          <w:rFonts w:ascii="Cambria" w:hAnsi="Cambria"/>
          <w:sz w:val="24"/>
          <w:szCs w:val="24"/>
        </w:rPr>
        <w:t xml:space="preserve">Segev et al (2016) study shows that </w:t>
      </w:r>
      <w:r w:rsidR="00796AFC" w:rsidRPr="005356A4">
        <w:rPr>
          <w:rFonts w:ascii="Cambria" w:hAnsi="Cambria"/>
          <w:sz w:val="24"/>
          <w:szCs w:val="24"/>
        </w:rPr>
        <w:t>consumers</w:t>
      </w:r>
      <w:r w:rsidR="00DF1FC0" w:rsidRPr="005356A4">
        <w:rPr>
          <w:rFonts w:ascii="Cambria" w:hAnsi="Cambria"/>
          <w:sz w:val="24"/>
          <w:szCs w:val="24"/>
        </w:rPr>
        <w:t xml:space="preserve"> are increasingly willing accept ads with green claim or sustainability claim. This indicates that, they may be inclined to retain that positive thought through the post of ad with sustainability message</w:t>
      </w:r>
    </w:p>
    <w:p w14:paraId="6155BD3D" w14:textId="48AE2877" w:rsidR="00C7217E" w:rsidRPr="005356A4" w:rsidRDefault="00B97488">
      <w:pPr>
        <w:spacing w:line="360" w:lineRule="auto"/>
        <w:jc w:val="both"/>
        <w:rPr>
          <w:rFonts w:ascii="Cambria" w:eastAsia="Calibri" w:hAnsi="Cambria" w:cs="Times New Roman"/>
          <w:sz w:val="24"/>
          <w:szCs w:val="24"/>
        </w:rPr>
      </w:pPr>
      <w:r w:rsidRPr="005356A4">
        <w:rPr>
          <w:rFonts w:ascii="Cambria" w:eastAsia="Calibri" w:hAnsi="Cambria" w:cs="Times New Roman"/>
          <w:sz w:val="24"/>
          <w:szCs w:val="24"/>
        </w:rPr>
        <w:t>On the top of that, this effect</w:t>
      </w:r>
      <w:r w:rsidR="00121E69" w:rsidRPr="005356A4">
        <w:rPr>
          <w:rFonts w:ascii="Cambria" w:eastAsia="Calibri" w:hAnsi="Cambria" w:cs="Times New Roman"/>
          <w:sz w:val="24"/>
          <w:szCs w:val="24"/>
        </w:rPr>
        <w:t xml:space="preserve"> </w:t>
      </w:r>
      <w:r w:rsidR="00754D1A" w:rsidRPr="005356A4">
        <w:rPr>
          <w:rFonts w:ascii="Cambria" w:eastAsia="Calibri" w:hAnsi="Cambria" w:cs="Times New Roman"/>
          <w:sz w:val="24"/>
          <w:szCs w:val="24"/>
        </w:rPr>
        <w:t>high and low source trustworthiness</w:t>
      </w:r>
      <w:r w:rsidRPr="005356A4">
        <w:rPr>
          <w:rFonts w:ascii="Cambria" w:eastAsia="Calibri" w:hAnsi="Cambria" w:cs="Times New Roman"/>
          <w:sz w:val="24"/>
          <w:szCs w:val="24"/>
        </w:rPr>
        <w:t xml:space="preserve"> is amplified if the </w:t>
      </w:r>
      <w:r w:rsidR="00451A65" w:rsidRPr="005356A4">
        <w:rPr>
          <w:rFonts w:ascii="Cambria" w:eastAsia="Calibri" w:hAnsi="Cambria" w:cs="Times New Roman"/>
          <w:sz w:val="24"/>
          <w:szCs w:val="24"/>
        </w:rPr>
        <w:t xml:space="preserve">message is </w:t>
      </w:r>
      <w:r w:rsidR="00F068D7" w:rsidRPr="005356A4">
        <w:rPr>
          <w:rFonts w:ascii="Cambria" w:eastAsia="Calibri" w:hAnsi="Cambria" w:cs="Times New Roman"/>
          <w:sz w:val="24"/>
          <w:szCs w:val="24"/>
        </w:rPr>
        <w:t xml:space="preserve">congruent of </w:t>
      </w:r>
      <w:r w:rsidR="005322CB" w:rsidRPr="005356A4">
        <w:rPr>
          <w:rFonts w:ascii="Cambria" w:eastAsia="Calibri" w:hAnsi="Cambria" w:cs="Times New Roman"/>
          <w:sz w:val="24"/>
          <w:szCs w:val="24"/>
        </w:rPr>
        <w:t xml:space="preserve">audiences’ notion. </w:t>
      </w:r>
      <w:r w:rsidR="00796AFC" w:rsidRPr="005356A4">
        <w:rPr>
          <w:rFonts w:ascii="Cambria" w:eastAsia="Calibri" w:hAnsi="Cambria" w:cs="Times New Roman"/>
          <w:sz w:val="24"/>
          <w:szCs w:val="24"/>
        </w:rPr>
        <w:t>Recipients</w:t>
      </w:r>
      <w:r w:rsidR="005322CB" w:rsidRPr="005356A4">
        <w:rPr>
          <w:rFonts w:ascii="Cambria" w:eastAsia="Calibri" w:hAnsi="Cambria" w:cs="Times New Roman"/>
          <w:sz w:val="24"/>
          <w:szCs w:val="24"/>
        </w:rPr>
        <w:t xml:space="preserve"> of the me</w:t>
      </w:r>
      <w:r w:rsidR="00A61AB7" w:rsidRPr="005356A4">
        <w:rPr>
          <w:rFonts w:ascii="Cambria" w:eastAsia="Calibri" w:hAnsi="Cambria" w:cs="Times New Roman"/>
          <w:sz w:val="24"/>
          <w:szCs w:val="24"/>
        </w:rPr>
        <w:t xml:space="preserve">ssage tend </w:t>
      </w:r>
      <w:r w:rsidR="008775CB" w:rsidRPr="005356A4">
        <w:rPr>
          <w:rFonts w:ascii="Cambria" w:eastAsia="Calibri" w:hAnsi="Cambria" w:cs="Times New Roman"/>
          <w:sz w:val="24"/>
          <w:szCs w:val="24"/>
        </w:rPr>
        <w:t xml:space="preserve">to </w:t>
      </w:r>
      <w:r w:rsidR="001B79CF" w:rsidRPr="005356A4">
        <w:rPr>
          <w:rFonts w:ascii="Cambria" w:eastAsia="Calibri" w:hAnsi="Cambria" w:cs="Times New Roman"/>
          <w:sz w:val="24"/>
          <w:szCs w:val="24"/>
        </w:rPr>
        <w:t xml:space="preserve">have a mental reactance </w:t>
      </w:r>
      <w:r w:rsidR="003D293F" w:rsidRPr="005356A4">
        <w:rPr>
          <w:rFonts w:ascii="Cambria" w:eastAsia="Calibri" w:hAnsi="Cambria" w:cs="Times New Roman"/>
          <w:sz w:val="24"/>
          <w:szCs w:val="24"/>
        </w:rPr>
        <w:t xml:space="preserve">if </w:t>
      </w:r>
      <w:r w:rsidR="002A6C2C" w:rsidRPr="005356A4">
        <w:rPr>
          <w:rFonts w:ascii="Cambria" w:eastAsia="Calibri" w:hAnsi="Cambria" w:cs="Times New Roman"/>
          <w:sz w:val="24"/>
          <w:szCs w:val="24"/>
        </w:rPr>
        <w:t xml:space="preserve">source is having a counter </w:t>
      </w:r>
      <w:r w:rsidR="00AB29B6" w:rsidRPr="005356A4">
        <w:rPr>
          <w:rFonts w:ascii="Cambria" w:eastAsia="Calibri" w:hAnsi="Cambria" w:cs="Times New Roman"/>
          <w:sz w:val="24"/>
          <w:szCs w:val="24"/>
        </w:rPr>
        <w:t xml:space="preserve">argument than their expectation </w:t>
      </w:r>
      <w:r w:rsidR="00BD76F0" w:rsidRPr="005356A4">
        <w:rPr>
          <w:rFonts w:ascii="Cambria" w:eastAsia="Calibri" w:hAnsi="Cambria" w:cs="Times New Roman"/>
          <w:sz w:val="24"/>
          <w:szCs w:val="24"/>
        </w:rPr>
        <w:t>(</w:t>
      </w:r>
      <w:r w:rsidR="0033547B" w:rsidRPr="005356A4">
        <w:rPr>
          <w:rFonts w:ascii="Cambria" w:eastAsia="Calibri" w:hAnsi="Cambria" w:cs="Times New Roman"/>
          <w:sz w:val="24"/>
          <w:szCs w:val="24"/>
        </w:rPr>
        <w:t>Andreoli and Worchel 1978</w:t>
      </w:r>
      <w:r w:rsidR="00BD76F0" w:rsidRPr="005356A4">
        <w:rPr>
          <w:rFonts w:ascii="Cambria" w:eastAsia="Calibri" w:hAnsi="Cambria" w:cs="Times New Roman"/>
          <w:sz w:val="24"/>
          <w:szCs w:val="24"/>
        </w:rPr>
        <w:t>)</w:t>
      </w:r>
      <w:r w:rsidR="0033547B" w:rsidRPr="005356A4">
        <w:rPr>
          <w:rFonts w:ascii="Cambria" w:eastAsia="Calibri" w:hAnsi="Cambria" w:cs="Times New Roman"/>
          <w:sz w:val="24"/>
          <w:szCs w:val="24"/>
        </w:rPr>
        <w:t xml:space="preserve">. </w:t>
      </w:r>
      <w:r w:rsidR="00AD1FF7" w:rsidRPr="005356A4">
        <w:rPr>
          <w:rFonts w:ascii="Cambria" w:eastAsia="Calibri" w:hAnsi="Cambria" w:cs="Times New Roman"/>
          <w:sz w:val="24"/>
          <w:szCs w:val="24"/>
        </w:rPr>
        <w:t>This type of mental resis</w:t>
      </w:r>
      <w:r w:rsidR="0086276A" w:rsidRPr="005356A4">
        <w:rPr>
          <w:rFonts w:ascii="Cambria" w:eastAsia="Calibri" w:hAnsi="Cambria" w:cs="Times New Roman"/>
          <w:sz w:val="24"/>
          <w:szCs w:val="24"/>
        </w:rPr>
        <w:t xml:space="preserve">tance will </w:t>
      </w:r>
      <w:r w:rsidR="00724609" w:rsidRPr="005356A4">
        <w:rPr>
          <w:rFonts w:ascii="Cambria" w:eastAsia="Calibri" w:hAnsi="Cambria" w:cs="Times New Roman"/>
          <w:sz w:val="24"/>
          <w:szCs w:val="24"/>
        </w:rPr>
        <w:t xml:space="preserve">generate mental load and thus hamper </w:t>
      </w:r>
      <w:r w:rsidR="00796AFC" w:rsidRPr="005356A4">
        <w:rPr>
          <w:rFonts w:ascii="Cambria" w:eastAsia="Calibri" w:hAnsi="Cambria" w:cs="Times New Roman"/>
          <w:sz w:val="24"/>
          <w:szCs w:val="24"/>
        </w:rPr>
        <w:t>generating</w:t>
      </w:r>
      <w:r w:rsidR="00724609" w:rsidRPr="005356A4">
        <w:rPr>
          <w:rFonts w:ascii="Cambria" w:eastAsia="Calibri" w:hAnsi="Cambria" w:cs="Times New Roman"/>
          <w:sz w:val="24"/>
          <w:szCs w:val="24"/>
        </w:rPr>
        <w:t xml:space="preserve"> SCV</w:t>
      </w:r>
      <w:r w:rsidR="00336FD1" w:rsidRPr="005356A4">
        <w:rPr>
          <w:rFonts w:ascii="Cambria" w:eastAsia="Calibri" w:hAnsi="Cambria" w:cs="Times New Roman"/>
          <w:sz w:val="24"/>
          <w:szCs w:val="24"/>
        </w:rPr>
        <w:t xml:space="preserve"> (Petrova and Caildini 2005).</w:t>
      </w:r>
      <w:r w:rsidR="00AD1FF7" w:rsidRPr="005356A4">
        <w:rPr>
          <w:rFonts w:ascii="Cambria" w:eastAsia="Calibri" w:hAnsi="Cambria" w:cs="Times New Roman"/>
          <w:sz w:val="24"/>
          <w:szCs w:val="24"/>
        </w:rPr>
        <w:t xml:space="preserve"> </w:t>
      </w:r>
      <w:r w:rsidR="001B7BE0" w:rsidRPr="005356A4">
        <w:rPr>
          <w:rFonts w:ascii="Cambria" w:hAnsi="Cambria"/>
          <w:sz w:val="24"/>
          <w:szCs w:val="24"/>
        </w:rPr>
        <w:t xml:space="preserve"> </w:t>
      </w:r>
      <w:r w:rsidR="00E7266F" w:rsidRPr="005356A4">
        <w:rPr>
          <w:rFonts w:ascii="Cambria" w:hAnsi="Cambria"/>
          <w:sz w:val="24"/>
          <w:szCs w:val="24"/>
        </w:rPr>
        <w:t>This</w:t>
      </w:r>
      <w:r w:rsidR="002F1340" w:rsidRPr="005356A4">
        <w:rPr>
          <w:rFonts w:ascii="Cambria" w:hAnsi="Cambria"/>
          <w:sz w:val="24"/>
          <w:szCs w:val="24"/>
        </w:rPr>
        <w:t xml:space="preserve"> positive feeling gained from a WOM</w:t>
      </w:r>
      <w:r w:rsidR="002C05A1" w:rsidRPr="005356A4">
        <w:rPr>
          <w:rFonts w:ascii="Cambria" w:hAnsi="Cambria"/>
          <w:sz w:val="24"/>
          <w:szCs w:val="24"/>
        </w:rPr>
        <w:t xml:space="preserve"> will in turn</w:t>
      </w:r>
      <w:r w:rsidR="002F1340" w:rsidRPr="005356A4">
        <w:rPr>
          <w:rFonts w:ascii="Cambria" w:hAnsi="Cambria"/>
          <w:sz w:val="24"/>
          <w:szCs w:val="24"/>
        </w:rPr>
        <w:t xml:space="preserve"> heightens the</w:t>
      </w:r>
      <w:r w:rsidR="00E13852" w:rsidRPr="005356A4">
        <w:rPr>
          <w:rFonts w:ascii="Cambria" w:hAnsi="Cambria"/>
          <w:sz w:val="24"/>
          <w:szCs w:val="24"/>
        </w:rPr>
        <w:t xml:space="preserve"> </w:t>
      </w:r>
      <w:r w:rsidR="00E863EA" w:rsidRPr="005356A4">
        <w:rPr>
          <w:rFonts w:ascii="Cambria" w:hAnsi="Cambria"/>
          <w:sz w:val="24"/>
          <w:szCs w:val="24"/>
        </w:rPr>
        <w:t>motivation to process the</w:t>
      </w:r>
      <w:r w:rsidR="002F1340" w:rsidRPr="005356A4">
        <w:rPr>
          <w:rFonts w:ascii="Cambria" w:hAnsi="Cambria"/>
          <w:sz w:val="24"/>
          <w:szCs w:val="24"/>
        </w:rPr>
        <w:t xml:space="preserve"> information (</w:t>
      </w:r>
      <w:r w:rsidR="00E863EA" w:rsidRPr="005356A4">
        <w:rPr>
          <w:rFonts w:ascii="Cambria" w:hAnsi="Cambria"/>
          <w:sz w:val="24"/>
          <w:szCs w:val="24"/>
        </w:rPr>
        <w:t xml:space="preserve">see </w:t>
      </w:r>
      <w:r w:rsidR="002F1340" w:rsidRPr="005356A4">
        <w:rPr>
          <w:rFonts w:ascii="Cambria" w:hAnsi="Cambria"/>
          <w:sz w:val="24"/>
          <w:szCs w:val="24"/>
        </w:rPr>
        <w:t>Bloch et al 1986)</w:t>
      </w:r>
      <w:r w:rsidR="00D52991" w:rsidRPr="005356A4">
        <w:rPr>
          <w:rFonts w:ascii="Cambria" w:hAnsi="Cambria"/>
          <w:sz w:val="24"/>
          <w:szCs w:val="24"/>
        </w:rPr>
        <w:t xml:space="preserve">, which should be easier for </w:t>
      </w:r>
      <w:r w:rsidR="00C1431F" w:rsidRPr="005356A4">
        <w:rPr>
          <w:rFonts w:ascii="Cambria" w:hAnsi="Cambria"/>
          <w:sz w:val="24"/>
          <w:szCs w:val="24"/>
        </w:rPr>
        <w:t>information coming from source with high expertise</w:t>
      </w:r>
      <w:r w:rsidR="00234764" w:rsidRPr="005356A4">
        <w:rPr>
          <w:rFonts w:ascii="Cambria" w:hAnsi="Cambria"/>
          <w:sz w:val="24"/>
          <w:szCs w:val="24"/>
        </w:rPr>
        <w:t xml:space="preserve"> than</w:t>
      </w:r>
      <w:r w:rsidR="00D317AB" w:rsidRPr="005356A4">
        <w:rPr>
          <w:rFonts w:ascii="Cambria" w:hAnsi="Cambria"/>
          <w:sz w:val="24"/>
          <w:szCs w:val="24"/>
        </w:rPr>
        <w:t xml:space="preserve"> that of source of low expertise</w:t>
      </w:r>
      <w:r w:rsidR="00C1431F" w:rsidRPr="005356A4">
        <w:rPr>
          <w:rFonts w:ascii="Cambria" w:hAnsi="Cambria"/>
          <w:sz w:val="24"/>
          <w:szCs w:val="24"/>
        </w:rPr>
        <w:t xml:space="preserve"> </w:t>
      </w:r>
      <w:r w:rsidR="006265A5" w:rsidRPr="005356A4">
        <w:rPr>
          <w:rFonts w:ascii="Cambria" w:hAnsi="Cambria"/>
          <w:sz w:val="24"/>
          <w:szCs w:val="24"/>
        </w:rPr>
        <w:t>(</w:t>
      </w:r>
      <w:r w:rsidR="00F97679" w:rsidRPr="005356A4">
        <w:rPr>
          <w:rFonts w:ascii="Cambria" w:eastAsia="Calibri" w:hAnsi="Cambria" w:cs="Times New Roman"/>
          <w:sz w:val="24"/>
          <w:szCs w:val="24"/>
        </w:rPr>
        <w:t>Claffey and Brady 2017; Hollebeek, 2018)</w:t>
      </w:r>
      <w:r w:rsidR="006265A5" w:rsidRPr="005356A4">
        <w:rPr>
          <w:rFonts w:ascii="Cambria" w:eastAsia="Calibri" w:hAnsi="Cambria" w:cs="Times New Roman"/>
          <w:sz w:val="24"/>
          <w:szCs w:val="24"/>
        </w:rPr>
        <w:t xml:space="preserve"> and </w:t>
      </w:r>
      <w:r w:rsidR="00D20266" w:rsidRPr="005356A4">
        <w:rPr>
          <w:rFonts w:ascii="Cambria" w:eastAsia="Calibri" w:hAnsi="Cambria" w:cs="Times New Roman"/>
          <w:sz w:val="24"/>
          <w:szCs w:val="24"/>
        </w:rPr>
        <w:t>result into having more prominent SCV</w:t>
      </w:r>
      <w:r w:rsidR="00065757" w:rsidRPr="005356A4">
        <w:rPr>
          <w:rFonts w:ascii="Cambria" w:eastAsia="Calibri" w:hAnsi="Cambria" w:cs="Times New Roman"/>
          <w:sz w:val="24"/>
          <w:szCs w:val="24"/>
        </w:rPr>
        <w:t xml:space="preserve"> (Shiv and Huber 2000; Yim et al 2018).</w:t>
      </w:r>
      <w:r w:rsidR="002F1340" w:rsidRPr="005356A4">
        <w:rPr>
          <w:rFonts w:ascii="Cambria" w:hAnsi="Cambria"/>
          <w:sz w:val="24"/>
          <w:szCs w:val="24"/>
        </w:rPr>
        <w:t xml:space="preserve"> </w:t>
      </w:r>
      <w:r w:rsidR="005420F5" w:rsidRPr="005356A4">
        <w:rPr>
          <w:rFonts w:ascii="Cambria" w:eastAsia="Calibri" w:hAnsi="Cambria" w:cs="Times New Roman"/>
          <w:sz w:val="24"/>
          <w:szCs w:val="24"/>
        </w:rPr>
        <w:t>Therefore,</w:t>
      </w:r>
      <w:r w:rsidR="00C7217E" w:rsidRPr="005356A4">
        <w:rPr>
          <w:rFonts w:ascii="Cambria" w:eastAsia="Calibri" w:hAnsi="Cambria" w:cs="Times New Roman"/>
          <w:sz w:val="24"/>
          <w:szCs w:val="24"/>
        </w:rPr>
        <w:t xml:space="preserve"> high source expertise and positive caption with the s</w:t>
      </w:r>
      <w:r w:rsidR="007840B1" w:rsidRPr="005356A4">
        <w:rPr>
          <w:rFonts w:ascii="Cambria" w:eastAsia="Calibri" w:hAnsi="Cambria" w:cs="Times New Roman"/>
          <w:sz w:val="24"/>
          <w:szCs w:val="24"/>
        </w:rPr>
        <w:t>ad with s</w:t>
      </w:r>
      <w:r w:rsidR="00C7217E" w:rsidRPr="005356A4">
        <w:rPr>
          <w:rFonts w:ascii="Cambria" w:eastAsia="Calibri" w:hAnsi="Cambria" w:cs="Times New Roman"/>
          <w:sz w:val="24"/>
          <w:szCs w:val="24"/>
        </w:rPr>
        <w:t xml:space="preserve">ustainability </w:t>
      </w:r>
      <w:r w:rsidR="007840B1" w:rsidRPr="005356A4">
        <w:rPr>
          <w:rFonts w:ascii="Cambria" w:eastAsia="Calibri" w:hAnsi="Cambria" w:cs="Times New Roman"/>
          <w:sz w:val="24"/>
          <w:szCs w:val="24"/>
        </w:rPr>
        <w:t>message</w:t>
      </w:r>
      <w:r w:rsidR="00C7217E" w:rsidRPr="005356A4">
        <w:rPr>
          <w:rFonts w:ascii="Cambria" w:eastAsia="Calibri" w:hAnsi="Cambria" w:cs="Times New Roman"/>
          <w:sz w:val="24"/>
          <w:szCs w:val="24"/>
        </w:rPr>
        <w:t xml:space="preserve"> should cause more SCV</w:t>
      </w:r>
      <w:r w:rsidR="00761A98" w:rsidRPr="005356A4">
        <w:rPr>
          <w:rFonts w:ascii="Cambria" w:eastAsia="Calibri" w:hAnsi="Cambria" w:cs="Times New Roman"/>
          <w:sz w:val="24"/>
          <w:szCs w:val="24"/>
        </w:rPr>
        <w:t xml:space="preserve"> than the ne</w:t>
      </w:r>
      <w:r w:rsidR="00A07A9D" w:rsidRPr="005356A4">
        <w:rPr>
          <w:rFonts w:ascii="Cambria" w:eastAsia="Calibri" w:hAnsi="Cambria" w:cs="Times New Roman"/>
          <w:sz w:val="24"/>
          <w:szCs w:val="24"/>
        </w:rPr>
        <w:t>gative caption</w:t>
      </w:r>
      <w:r w:rsidR="00C7217E" w:rsidRPr="005356A4">
        <w:rPr>
          <w:rFonts w:ascii="Cambria" w:eastAsia="Calibri" w:hAnsi="Cambria" w:cs="Times New Roman"/>
          <w:sz w:val="24"/>
          <w:szCs w:val="24"/>
        </w:rPr>
        <w:t xml:space="preserve">. </w:t>
      </w:r>
    </w:p>
    <w:p w14:paraId="3149B709" w14:textId="5825E468" w:rsidR="00C7217E" w:rsidRPr="005356A4" w:rsidRDefault="00C7217E">
      <w:pPr>
        <w:spacing w:line="360" w:lineRule="auto"/>
        <w:jc w:val="both"/>
        <w:rPr>
          <w:rFonts w:ascii="Cambria" w:eastAsia="Calibri" w:hAnsi="Cambria" w:cs="Times New Roman"/>
          <w:b/>
        </w:rPr>
      </w:pPr>
      <w:r w:rsidRPr="005356A4">
        <w:rPr>
          <w:rFonts w:ascii="Cambria" w:eastAsia="Calibri" w:hAnsi="Cambria" w:cs="Times New Roman"/>
          <w:b/>
          <w:bCs/>
          <w:sz w:val="24"/>
          <w:szCs w:val="24"/>
        </w:rPr>
        <w:t>H</w:t>
      </w:r>
      <w:r w:rsidRPr="005356A4">
        <w:rPr>
          <w:rFonts w:ascii="Cambria" w:eastAsia="Calibri" w:hAnsi="Cambria" w:cs="Times New Roman"/>
          <w:b/>
          <w:bCs/>
          <w:sz w:val="24"/>
          <w:szCs w:val="24"/>
          <w:vertAlign w:val="subscript"/>
        </w:rPr>
        <w:t>4</w:t>
      </w:r>
      <w:r w:rsidRPr="005356A4">
        <w:rPr>
          <w:rFonts w:ascii="Cambria" w:eastAsia="Calibri" w:hAnsi="Cambria" w:cs="Times New Roman"/>
          <w:b/>
          <w:bCs/>
          <w:sz w:val="24"/>
          <w:szCs w:val="24"/>
        </w:rPr>
        <w:t xml:space="preserve">: </w:t>
      </w:r>
      <w:r w:rsidRPr="005356A4">
        <w:rPr>
          <w:rFonts w:ascii="Cambria" w:eastAsia="Calibri" w:hAnsi="Cambria" w:cs="Times New Roman"/>
          <w:b/>
          <w:sz w:val="24"/>
          <w:szCs w:val="24"/>
        </w:rPr>
        <w:t xml:space="preserve">When source expertise is high, </w:t>
      </w:r>
      <w:r w:rsidR="00CE58E6" w:rsidRPr="005356A4">
        <w:rPr>
          <w:rFonts w:ascii="Cambria" w:eastAsia="Calibri" w:hAnsi="Cambria" w:cs="Times New Roman"/>
          <w:b/>
          <w:sz w:val="24"/>
          <w:szCs w:val="24"/>
        </w:rPr>
        <w:t xml:space="preserve">ad with </w:t>
      </w:r>
      <w:r w:rsidRPr="005356A4">
        <w:rPr>
          <w:rFonts w:ascii="Cambria" w:eastAsia="Calibri" w:hAnsi="Cambria" w:cs="Times New Roman"/>
          <w:b/>
          <w:sz w:val="24"/>
          <w:szCs w:val="24"/>
        </w:rPr>
        <w:t xml:space="preserve">sustainability </w:t>
      </w:r>
      <w:r w:rsidR="00CE58E6" w:rsidRPr="005356A4">
        <w:rPr>
          <w:rFonts w:ascii="Cambria" w:eastAsia="Calibri" w:hAnsi="Cambria" w:cs="Times New Roman"/>
          <w:b/>
          <w:sz w:val="24"/>
          <w:szCs w:val="24"/>
        </w:rPr>
        <w:t xml:space="preserve">message </w:t>
      </w:r>
      <w:r w:rsidRPr="005356A4">
        <w:rPr>
          <w:rFonts w:ascii="Cambria" w:eastAsia="Calibri" w:hAnsi="Cambria" w:cs="Times New Roman"/>
          <w:b/>
          <w:sz w:val="24"/>
          <w:szCs w:val="24"/>
        </w:rPr>
        <w:t xml:space="preserve">will lead to higher SCV than when source expertise is low, but the effect will be stronger for </w:t>
      </w:r>
      <w:r w:rsidR="00AE2400" w:rsidRPr="005356A4">
        <w:rPr>
          <w:rFonts w:ascii="Cambria" w:eastAsia="Calibri" w:hAnsi="Cambria" w:cs="Times New Roman"/>
          <w:b/>
          <w:sz w:val="24"/>
          <w:szCs w:val="24"/>
        </w:rPr>
        <w:t xml:space="preserve">positively captioned ad with sustainability message </w:t>
      </w:r>
      <w:r w:rsidRPr="005356A4">
        <w:rPr>
          <w:rFonts w:ascii="Cambria" w:eastAsia="Calibri" w:hAnsi="Cambria" w:cs="Times New Roman"/>
          <w:b/>
          <w:sz w:val="24"/>
          <w:szCs w:val="24"/>
        </w:rPr>
        <w:t xml:space="preserve">than </w:t>
      </w:r>
      <w:r w:rsidR="00F14163" w:rsidRPr="005356A4">
        <w:rPr>
          <w:rFonts w:ascii="Cambria" w:eastAsia="Calibri" w:hAnsi="Cambria" w:cs="Times New Roman"/>
          <w:b/>
          <w:sz w:val="24"/>
          <w:szCs w:val="24"/>
        </w:rPr>
        <w:t>n</w:t>
      </w:r>
      <w:r w:rsidR="00AE2400" w:rsidRPr="005356A4">
        <w:rPr>
          <w:rFonts w:ascii="Cambria" w:eastAsia="Calibri" w:hAnsi="Cambria" w:cs="Times New Roman"/>
          <w:b/>
          <w:sz w:val="24"/>
          <w:szCs w:val="24"/>
        </w:rPr>
        <w:t>egatively captioned ad with sustainability message</w:t>
      </w:r>
      <w:r w:rsidRPr="005356A4">
        <w:rPr>
          <w:rFonts w:ascii="Cambria" w:eastAsia="Calibri" w:hAnsi="Cambria" w:cs="Times New Roman"/>
          <w:b/>
        </w:rPr>
        <w:t xml:space="preserve">. </w:t>
      </w:r>
    </w:p>
    <w:p w14:paraId="73FFA0FE" w14:textId="5DA14DF8" w:rsidR="00C7217E" w:rsidRPr="00E26FA4" w:rsidRDefault="009A4CCA" w:rsidP="008756B1">
      <w:pPr>
        <w:pStyle w:val="Heading2"/>
        <w:jc w:val="both"/>
        <w:rPr>
          <w:rFonts w:eastAsia="Calibri"/>
        </w:rPr>
      </w:pPr>
      <w:bookmarkStart w:id="59" w:name="_Toc115726238"/>
      <w:r w:rsidRPr="00E26FA4">
        <w:rPr>
          <w:rFonts w:eastAsia="Calibri"/>
        </w:rPr>
        <w:t xml:space="preserve">3.4 </w:t>
      </w:r>
      <w:r w:rsidR="004C474E" w:rsidRPr="00E26FA4">
        <w:rPr>
          <w:rFonts w:eastAsia="Calibri"/>
        </w:rPr>
        <w:t>I</w:t>
      </w:r>
      <w:r w:rsidR="00A34FE3" w:rsidRPr="00E26FA4">
        <w:rPr>
          <w:rFonts w:eastAsia="Calibri"/>
        </w:rPr>
        <w:t xml:space="preserve">mpact of </w:t>
      </w:r>
      <w:r w:rsidR="00C7217E" w:rsidRPr="00E26FA4">
        <w:rPr>
          <w:rFonts w:eastAsia="Calibri"/>
        </w:rPr>
        <w:t xml:space="preserve">Involvement </w:t>
      </w:r>
      <w:r w:rsidR="00A34FE3" w:rsidRPr="00E26FA4">
        <w:rPr>
          <w:rFonts w:eastAsia="Calibri"/>
        </w:rPr>
        <w:t>on Self–transformative consumption vision (SCV)</w:t>
      </w:r>
      <w:bookmarkEnd w:id="59"/>
    </w:p>
    <w:p w14:paraId="02E91E10" w14:textId="74E0D725" w:rsidR="003A1FD5" w:rsidRPr="00A12D37" w:rsidRDefault="00773699">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It is observed in previous</w:t>
      </w:r>
      <w:r w:rsidR="007E1443" w:rsidRPr="00A12D37">
        <w:rPr>
          <w:rFonts w:ascii="Cambria" w:eastAsia="Calibri" w:hAnsi="Cambria" w:cs="Times New Roman"/>
          <w:sz w:val="24"/>
          <w:szCs w:val="24"/>
        </w:rPr>
        <w:t xml:space="preserve"> </w:t>
      </w:r>
      <w:r w:rsidRPr="00A12D37">
        <w:rPr>
          <w:rFonts w:ascii="Cambria" w:eastAsia="Calibri" w:hAnsi="Cambria" w:cs="Times New Roman"/>
          <w:sz w:val="24"/>
          <w:szCs w:val="24"/>
        </w:rPr>
        <w:t>studies that</w:t>
      </w:r>
      <w:r w:rsidR="00CD2620" w:rsidRPr="00A12D37">
        <w:rPr>
          <w:rFonts w:ascii="Cambria" w:eastAsia="Calibri" w:hAnsi="Cambria" w:cs="Times New Roman"/>
          <w:sz w:val="24"/>
          <w:szCs w:val="24"/>
        </w:rPr>
        <w:t xml:space="preserve"> people </w:t>
      </w:r>
      <w:r w:rsidRPr="00A12D37">
        <w:rPr>
          <w:rFonts w:ascii="Cambria" w:eastAsia="Calibri" w:hAnsi="Cambria" w:cs="Times New Roman"/>
          <w:sz w:val="24"/>
          <w:szCs w:val="24"/>
        </w:rPr>
        <w:t>are</w:t>
      </w:r>
      <w:r w:rsidR="00CD2620" w:rsidRPr="00A12D37">
        <w:rPr>
          <w:rFonts w:ascii="Cambria" w:eastAsia="Calibri" w:hAnsi="Cambria" w:cs="Times New Roman"/>
          <w:sz w:val="24"/>
          <w:szCs w:val="24"/>
        </w:rPr>
        <w:t xml:space="preserve"> highly involved with sustainability related issues</w:t>
      </w:r>
      <w:r w:rsidR="00610070" w:rsidRPr="00A12D37">
        <w:rPr>
          <w:rFonts w:ascii="Cambria" w:eastAsia="Calibri" w:hAnsi="Cambria" w:cs="Times New Roman"/>
          <w:sz w:val="24"/>
          <w:szCs w:val="24"/>
        </w:rPr>
        <w:t>.</w:t>
      </w:r>
      <w:r w:rsidR="00CD2620" w:rsidRPr="00A12D37">
        <w:rPr>
          <w:rFonts w:ascii="Cambria" w:eastAsia="Calibri" w:hAnsi="Cambria" w:cs="Times New Roman"/>
          <w:sz w:val="24"/>
          <w:szCs w:val="24"/>
        </w:rPr>
        <w:t xml:space="preserve"> </w:t>
      </w:r>
      <w:r w:rsidR="00610070" w:rsidRPr="00A12D37">
        <w:rPr>
          <w:rFonts w:ascii="Cambria" w:eastAsia="Calibri" w:hAnsi="Cambria" w:cs="Times New Roman"/>
          <w:sz w:val="24"/>
          <w:szCs w:val="24"/>
        </w:rPr>
        <w:t>The</w:t>
      </w:r>
      <w:r w:rsidR="00CD2620" w:rsidRPr="00A12D37">
        <w:rPr>
          <w:rFonts w:ascii="Cambria" w:eastAsia="Calibri" w:hAnsi="Cambria" w:cs="Times New Roman"/>
          <w:sz w:val="24"/>
          <w:szCs w:val="24"/>
        </w:rPr>
        <w:t xml:space="preserve"> relevancy with th</w:t>
      </w:r>
      <w:r w:rsidR="00F339BA" w:rsidRPr="00A12D37">
        <w:rPr>
          <w:rFonts w:ascii="Cambria" w:eastAsia="Calibri" w:hAnsi="Cambria" w:cs="Times New Roman"/>
          <w:sz w:val="24"/>
          <w:szCs w:val="24"/>
        </w:rPr>
        <w:t xml:space="preserve">e sustainability </w:t>
      </w:r>
      <w:r w:rsidR="004570FC" w:rsidRPr="00A12D37">
        <w:rPr>
          <w:rFonts w:ascii="Cambria" w:eastAsia="Calibri" w:hAnsi="Cambria" w:cs="Times New Roman"/>
          <w:sz w:val="24"/>
          <w:szCs w:val="24"/>
        </w:rPr>
        <w:t>makes</w:t>
      </w:r>
      <w:r w:rsidR="00CD2620" w:rsidRPr="00A12D37">
        <w:rPr>
          <w:rFonts w:ascii="Cambria" w:eastAsia="Calibri" w:hAnsi="Cambria" w:cs="Times New Roman"/>
          <w:sz w:val="24"/>
          <w:szCs w:val="24"/>
        </w:rPr>
        <w:t xml:space="preserve"> them concerned (</w:t>
      </w:r>
      <w:r w:rsidR="00877136" w:rsidRPr="00A12D37">
        <w:rPr>
          <w:rFonts w:ascii="Cambria" w:eastAsia="Calibri" w:hAnsi="Cambria" w:cs="Times New Roman"/>
          <w:sz w:val="24"/>
          <w:szCs w:val="24"/>
        </w:rPr>
        <w:t xml:space="preserve">see </w:t>
      </w:r>
      <w:r w:rsidR="00CD2620" w:rsidRPr="00A12D37">
        <w:rPr>
          <w:rFonts w:ascii="Cambria" w:eastAsia="Calibri" w:hAnsi="Cambria" w:cs="Times New Roman"/>
          <w:sz w:val="24"/>
          <w:szCs w:val="24"/>
        </w:rPr>
        <w:t xml:space="preserve">Zaichkowsky 1985, Caprar and Neville 2012, Huang and Rust 2011, Martin and Schouten 2012). </w:t>
      </w:r>
      <w:r w:rsidR="0013710B" w:rsidRPr="00A12D37">
        <w:rPr>
          <w:rFonts w:ascii="Cambria" w:eastAsia="Calibri" w:hAnsi="Cambria" w:cs="Times New Roman"/>
          <w:sz w:val="24"/>
          <w:szCs w:val="24"/>
        </w:rPr>
        <w:t xml:space="preserve">Sustainable–consumption behaviour has been proven to be of high relevance to the consumers (Chan et al 2008). </w:t>
      </w:r>
      <w:r w:rsidR="00613DF0" w:rsidRPr="00A12D37">
        <w:rPr>
          <w:rFonts w:ascii="Cambria" w:eastAsia="Calibri" w:hAnsi="Cambria" w:cs="Times New Roman"/>
          <w:sz w:val="24"/>
          <w:szCs w:val="24"/>
        </w:rPr>
        <w:t xml:space="preserve">Extending this notion, ad with </w:t>
      </w:r>
      <w:r w:rsidR="00C7217E" w:rsidRPr="00A12D37">
        <w:rPr>
          <w:rFonts w:ascii="Cambria" w:eastAsia="Calibri" w:hAnsi="Cambria" w:cs="Times New Roman"/>
          <w:sz w:val="24"/>
          <w:szCs w:val="24"/>
        </w:rPr>
        <w:t>sustainability</w:t>
      </w:r>
      <w:r w:rsidR="00613DF0" w:rsidRPr="00A12D37">
        <w:rPr>
          <w:rFonts w:ascii="Cambria" w:eastAsia="Calibri" w:hAnsi="Cambria" w:cs="Times New Roman"/>
          <w:sz w:val="24"/>
          <w:szCs w:val="24"/>
        </w:rPr>
        <w:t xml:space="preserve"> message </w:t>
      </w:r>
      <w:r w:rsidR="00C7217E" w:rsidRPr="00A12D37">
        <w:rPr>
          <w:rFonts w:ascii="Cambria" w:eastAsia="Calibri" w:hAnsi="Cambria" w:cs="Times New Roman"/>
          <w:sz w:val="24"/>
          <w:szCs w:val="24"/>
        </w:rPr>
        <w:t xml:space="preserve">is deemed as high involvement </w:t>
      </w:r>
      <w:r w:rsidR="004570FC" w:rsidRPr="00A12D37">
        <w:rPr>
          <w:rFonts w:ascii="Cambria" w:eastAsia="Calibri" w:hAnsi="Cambria" w:cs="Times New Roman"/>
          <w:sz w:val="24"/>
          <w:szCs w:val="24"/>
        </w:rPr>
        <w:t>ad, which</w:t>
      </w:r>
      <w:r w:rsidR="00885BA1" w:rsidRPr="00A12D37">
        <w:rPr>
          <w:rFonts w:ascii="Cambria" w:eastAsia="Calibri" w:hAnsi="Cambria" w:cs="Times New Roman"/>
          <w:sz w:val="24"/>
          <w:szCs w:val="24"/>
        </w:rPr>
        <w:t xml:space="preserve"> should lead the </w:t>
      </w:r>
      <w:r w:rsidR="00C7217E" w:rsidRPr="00A12D37">
        <w:rPr>
          <w:rFonts w:ascii="Cambria" w:eastAsia="Calibri" w:hAnsi="Cambria" w:cs="Times New Roman"/>
          <w:sz w:val="24"/>
          <w:szCs w:val="24"/>
        </w:rPr>
        <w:t xml:space="preserve">consumers process the information from the ad </w:t>
      </w:r>
      <w:r w:rsidR="00903E64" w:rsidRPr="00A12D37">
        <w:rPr>
          <w:rFonts w:ascii="Cambria" w:eastAsia="Calibri" w:hAnsi="Cambria" w:cs="Times New Roman"/>
          <w:sz w:val="24"/>
          <w:szCs w:val="24"/>
        </w:rPr>
        <w:t xml:space="preserve">extensively </w:t>
      </w:r>
      <w:r w:rsidR="00C7217E" w:rsidRPr="00A12D37">
        <w:rPr>
          <w:rFonts w:ascii="Cambria" w:eastAsia="Calibri" w:hAnsi="Cambria" w:cs="Times New Roman"/>
          <w:sz w:val="24"/>
          <w:szCs w:val="24"/>
        </w:rPr>
        <w:t>(Huang 2015). The more relevant the issue is to the consumers, the more cognitive effort they put to evaluate it (</w:t>
      </w:r>
      <w:r w:rsidR="00C7217E" w:rsidRPr="00A12D37">
        <w:rPr>
          <w:rFonts w:ascii="Cambria" w:hAnsi="Cambria"/>
          <w:noProof/>
          <w:sz w:val="24"/>
          <w:szCs w:val="24"/>
        </w:rPr>
        <w:t xml:space="preserve">Mishina et al 2012; Greenwald and Leavitt 1984) </w:t>
      </w:r>
    </w:p>
    <w:p w14:paraId="6A38C28C" w14:textId="77777777" w:rsidR="00AA6BED" w:rsidRPr="00A12D37" w:rsidRDefault="003A1FD5">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On the other hand, c</w:t>
      </w:r>
      <w:r w:rsidR="00C7217E" w:rsidRPr="00A12D37">
        <w:rPr>
          <w:rFonts w:ascii="Cambria" w:eastAsia="Calibri" w:hAnsi="Cambria" w:cs="Times New Roman"/>
          <w:sz w:val="24"/>
          <w:szCs w:val="24"/>
        </w:rPr>
        <w:t>onsumption visions are deemed as self–relevant images, because envisioning self in a decision making and consumption situation as means of fulfilling self–relevant goals (Phillips 1996). This consumption vision is mostly triggered by the stimulation (</w:t>
      </w:r>
      <w:r w:rsidR="00C7217E" w:rsidRPr="00A12D37">
        <w:rPr>
          <w:rFonts w:ascii="Cambria" w:hAnsi="Cambria" w:cs="JansonText-Roman"/>
          <w:sz w:val="24"/>
          <w:szCs w:val="24"/>
        </w:rPr>
        <w:t>Barsalou 200</w:t>
      </w:r>
      <w:r w:rsidR="00986CA4" w:rsidRPr="00A12D37">
        <w:rPr>
          <w:rFonts w:ascii="Cambria" w:hAnsi="Cambria" w:cs="JansonText-Roman"/>
          <w:sz w:val="24"/>
          <w:szCs w:val="24"/>
        </w:rPr>
        <w:t>8</w:t>
      </w:r>
      <w:r w:rsidR="00C7217E" w:rsidRPr="00A12D37">
        <w:rPr>
          <w:rFonts w:ascii="Cambria" w:hAnsi="Cambria" w:cs="JansonText-Roman"/>
          <w:sz w:val="24"/>
          <w:szCs w:val="24"/>
        </w:rPr>
        <w:t xml:space="preserve">; </w:t>
      </w:r>
      <w:r w:rsidR="00C7217E" w:rsidRPr="00A12D37">
        <w:rPr>
          <w:rFonts w:ascii="Cambria" w:eastAsia="Calibri" w:hAnsi="Cambria" w:cs="Times New Roman"/>
          <w:sz w:val="24"/>
          <w:szCs w:val="24"/>
        </w:rPr>
        <w:t>Phillips et al 1995; Walters et al 2007</w:t>
      </w:r>
      <w:r w:rsidR="00C7217E" w:rsidRPr="00A12D37">
        <w:rPr>
          <w:rFonts w:ascii="Cambria" w:hAnsi="Cambria" w:cs="JansonText-Roman"/>
          <w:sz w:val="24"/>
          <w:szCs w:val="24"/>
        </w:rPr>
        <w:t xml:space="preserve">), which is </w:t>
      </w:r>
      <w:r w:rsidR="00025843" w:rsidRPr="00A12D37">
        <w:rPr>
          <w:rFonts w:ascii="Cambria" w:eastAsia="Calibri" w:hAnsi="Cambria" w:cs="Times New Roman"/>
          <w:sz w:val="24"/>
          <w:szCs w:val="24"/>
        </w:rPr>
        <w:t xml:space="preserve">ad with sustainability message </w:t>
      </w:r>
      <w:r w:rsidR="00C7217E" w:rsidRPr="00A12D37">
        <w:rPr>
          <w:rFonts w:ascii="Cambria" w:hAnsi="Cambria" w:cs="JansonText-Roman"/>
          <w:sz w:val="24"/>
          <w:szCs w:val="24"/>
        </w:rPr>
        <w:t>for this thesis</w:t>
      </w:r>
      <w:r w:rsidR="00C7217E" w:rsidRPr="00A12D37">
        <w:rPr>
          <w:rFonts w:ascii="Cambria" w:eastAsia="Calibri" w:hAnsi="Cambria" w:cs="Times New Roman"/>
          <w:sz w:val="24"/>
          <w:szCs w:val="24"/>
        </w:rPr>
        <w:t>. Individuals will identify the relevant attributes depicted in an ad and depending on the level of involvement or the importance of their values and goal, consumers will engage in more elaborate information processing and forming more vivid and complex consumption vision (Phillips et al 1995; Bone and Ellen 1992; Chang 2012).</w:t>
      </w:r>
      <w:r w:rsidR="00AA6BED" w:rsidRPr="00A12D37">
        <w:rPr>
          <w:rFonts w:ascii="Cambria" w:eastAsia="Calibri" w:hAnsi="Cambria" w:cs="Times New Roman"/>
          <w:sz w:val="24"/>
          <w:szCs w:val="24"/>
        </w:rPr>
        <w:t xml:space="preserve"> </w:t>
      </w:r>
      <w:r w:rsidR="003A12B4" w:rsidRPr="00A12D37">
        <w:rPr>
          <w:rFonts w:ascii="Cambria" w:eastAsia="Calibri" w:hAnsi="Cambria" w:cs="Times New Roman"/>
          <w:sz w:val="24"/>
          <w:szCs w:val="24"/>
        </w:rPr>
        <w:t>O</w:t>
      </w:r>
      <w:r w:rsidR="00C7217E" w:rsidRPr="00A12D37">
        <w:rPr>
          <w:rFonts w:ascii="Cambria" w:eastAsia="Calibri" w:hAnsi="Cambria" w:cs="Times New Roman"/>
          <w:sz w:val="24"/>
          <w:szCs w:val="24"/>
        </w:rPr>
        <w:t xml:space="preserve">n other words, higher involvement/ personal relevancy with the ad will produce higher SCV (Yim et al 2018). </w:t>
      </w:r>
    </w:p>
    <w:p w14:paraId="30D0307A" w14:textId="5A10646B" w:rsidR="00C7217E" w:rsidRPr="00A12D37" w:rsidRDefault="00675FB7">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It is argued in previous research that p</w:t>
      </w:r>
      <w:r w:rsidR="00C7217E" w:rsidRPr="00A12D37">
        <w:rPr>
          <w:rFonts w:ascii="Cambria" w:eastAsia="Calibri" w:hAnsi="Cambria" w:cs="Times New Roman"/>
          <w:sz w:val="24"/>
          <w:szCs w:val="24"/>
        </w:rPr>
        <w:t xml:space="preserve">erceived relevance or involvement is subject to that person’s values and interests (Zaichowsky 1985, Shan and King 2015). Considering the </w:t>
      </w:r>
      <w:r w:rsidR="009D0260">
        <w:rPr>
          <w:rFonts w:ascii="Cambria" w:eastAsia="Calibri" w:hAnsi="Cambria" w:cs="Times New Roman"/>
          <w:sz w:val="24"/>
          <w:szCs w:val="24"/>
        </w:rPr>
        <w:t xml:space="preserve">fact that </w:t>
      </w:r>
      <w:r w:rsidR="004570FC">
        <w:rPr>
          <w:rFonts w:ascii="Cambria" w:eastAsia="Calibri" w:hAnsi="Cambria" w:cs="Times New Roman"/>
          <w:sz w:val="24"/>
          <w:szCs w:val="24"/>
        </w:rPr>
        <w:t>consumers</w:t>
      </w:r>
      <w:r w:rsidR="009D0260">
        <w:rPr>
          <w:rFonts w:ascii="Cambria" w:eastAsia="Calibri" w:hAnsi="Cambria" w:cs="Times New Roman"/>
          <w:sz w:val="24"/>
          <w:szCs w:val="24"/>
        </w:rPr>
        <w:t xml:space="preserve"> are</w:t>
      </w:r>
      <w:r w:rsidR="00C3131B">
        <w:rPr>
          <w:rFonts w:ascii="Cambria" w:eastAsia="Calibri" w:hAnsi="Cambria" w:cs="Times New Roman"/>
          <w:sz w:val="24"/>
          <w:szCs w:val="24"/>
        </w:rPr>
        <w:t xml:space="preserve"> increasing</w:t>
      </w:r>
      <w:r w:rsidR="00283CC4">
        <w:rPr>
          <w:rFonts w:ascii="Cambria" w:eastAsia="Calibri" w:hAnsi="Cambria" w:cs="Times New Roman"/>
          <w:sz w:val="24"/>
          <w:szCs w:val="24"/>
        </w:rPr>
        <w:t>ly</w:t>
      </w:r>
      <w:r w:rsidR="009D0260">
        <w:rPr>
          <w:rFonts w:ascii="Cambria" w:eastAsia="Calibri" w:hAnsi="Cambria" w:cs="Times New Roman"/>
          <w:sz w:val="24"/>
          <w:szCs w:val="24"/>
        </w:rPr>
        <w:t xml:space="preserve"> r</w:t>
      </w:r>
      <w:r w:rsidR="00C3131B">
        <w:rPr>
          <w:rFonts w:ascii="Cambria" w:eastAsia="Calibri" w:hAnsi="Cambria" w:cs="Times New Roman"/>
          <w:sz w:val="24"/>
          <w:szCs w:val="24"/>
        </w:rPr>
        <w:t>e</w:t>
      </w:r>
      <w:r w:rsidR="009D0260">
        <w:rPr>
          <w:rFonts w:ascii="Cambria" w:eastAsia="Calibri" w:hAnsi="Cambria" w:cs="Times New Roman"/>
          <w:sz w:val="24"/>
          <w:szCs w:val="24"/>
        </w:rPr>
        <w:t>l</w:t>
      </w:r>
      <w:r w:rsidR="00C3131B">
        <w:rPr>
          <w:rFonts w:ascii="Cambria" w:eastAsia="Calibri" w:hAnsi="Cambria" w:cs="Times New Roman"/>
          <w:sz w:val="24"/>
          <w:szCs w:val="24"/>
        </w:rPr>
        <w:t>a</w:t>
      </w:r>
      <w:r w:rsidR="009D0260">
        <w:rPr>
          <w:rFonts w:ascii="Cambria" w:eastAsia="Calibri" w:hAnsi="Cambria" w:cs="Times New Roman"/>
          <w:sz w:val="24"/>
          <w:szCs w:val="24"/>
        </w:rPr>
        <w:t xml:space="preserve">ting with </w:t>
      </w:r>
      <w:r w:rsidR="00C7217E" w:rsidRPr="00A12D37">
        <w:rPr>
          <w:rFonts w:ascii="Cambria" w:eastAsia="Calibri" w:hAnsi="Cambria" w:cs="Times New Roman"/>
          <w:sz w:val="24"/>
          <w:szCs w:val="24"/>
        </w:rPr>
        <w:t xml:space="preserve">sustainability </w:t>
      </w:r>
      <w:r w:rsidR="00283CC4">
        <w:rPr>
          <w:rFonts w:ascii="Cambria" w:eastAsia="Calibri" w:hAnsi="Cambria" w:cs="Times New Roman"/>
          <w:sz w:val="24"/>
          <w:szCs w:val="24"/>
        </w:rPr>
        <w:t xml:space="preserve">as part of </w:t>
      </w:r>
      <w:r w:rsidR="00C7217E" w:rsidRPr="00A12D37">
        <w:rPr>
          <w:rFonts w:ascii="Cambria" w:eastAsia="Calibri" w:hAnsi="Cambria" w:cs="Times New Roman"/>
          <w:sz w:val="24"/>
          <w:szCs w:val="24"/>
        </w:rPr>
        <w:t>(</w:t>
      </w:r>
      <w:r w:rsidR="00C7217E" w:rsidRPr="00A12D37">
        <w:rPr>
          <w:rFonts w:ascii="Cambria" w:eastAsia="Calibri" w:hAnsi="Cambria" w:cs="Adobe Devanagari"/>
          <w:sz w:val="24"/>
          <w:szCs w:val="24"/>
        </w:rPr>
        <w:t>Davari and Strutton, 2014; McDonagh, and Prothero, 2014</w:t>
      </w:r>
      <w:r w:rsidR="00C7217E" w:rsidRPr="00A12D37">
        <w:rPr>
          <w:rFonts w:ascii="Cambria" w:eastAsia="Calibri" w:hAnsi="Cambria" w:cs="Times New Roman"/>
          <w:sz w:val="24"/>
          <w:szCs w:val="24"/>
        </w:rPr>
        <w:t xml:space="preserve">), user’s involvement with the </w:t>
      </w:r>
      <w:r w:rsidR="00331D05" w:rsidRPr="00A12D37">
        <w:rPr>
          <w:rFonts w:ascii="Cambria" w:eastAsia="Calibri" w:hAnsi="Cambria" w:cs="Times New Roman"/>
          <w:sz w:val="24"/>
          <w:szCs w:val="24"/>
        </w:rPr>
        <w:t xml:space="preserve">ad with sustainability message </w:t>
      </w:r>
      <w:r w:rsidR="00C7217E" w:rsidRPr="00A12D37">
        <w:rPr>
          <w:rFonts w:ascii="Cambria" w:eastAsia="Calibri" w:hAnsi="Cambria" w:cs="Times New Roman"/>
          <w:sz w:val="24"/>
          <w:szCs w:val="24"/>
        </w:rPr>
        <w:t xml:space="preserve">should have </w:t>
      </w:r>
      <w:r w:rsidR="00331D05" w:rsidRPr="00A12D37">
        <w:rPr>
          <w:rFonts w:ascii="Cambria" w:eastAsia="Calibri" w:hAnsi="Cambria" w:cs="Times New Roman"/>
          <w:sz w:val="24"/>
          <w:szCs w:val="24"/>
        </w:rPr>
        <w:t>hei</w:t>
      </w:r>
      <w:r w:rsidR="00BB2CF7">
        <w:rPr>
          <w:rFonts w:ascii="Cambria" w:eastAsia="Calibri" w:hAnsi="Cambria" w:cs="Times New Roman"/>
          <w:sz w:val="24"/>
          <w:szCs w:val="24"/>
        </w:rPr>
        <w:t>gh</w:t>
      </w:r>
      <w:r w:rsidR="00331D05" w:rsidRPr="00A12D37">
        <w:rPr>
          <w:rFonts w:ascii="Cambria" w:eastAsia="Calibri" w:hAnsi="Cambria" w:cs="Times New Roman"/>
          <w:sz w:val="24"/>
          <w:szCs w:val="24"/>
        </w:rPr>
        <w:t xml:space="preserve">tened </w:t>
      </w:r>
      <w:r w:rsidR="00C7217E" w:rsidRPr="00A12D37">
        <w:rPr>
          <w:rFonts w:ascii="Cambria" w:eastAsia="Calibri" w:hAnsi="Cambria" w:cs="Times New Roman"/>
          <w:sz w:val="24"/>
          <w:szCs w:val="24"/>
        </w:rPr>
        <w:t xml:space="preserve">impact on their mental effort to process the ad (Prendergast et al 2010). So, since higher ad involvement leads to higher level of information processing (Zaichkowsky 1994) and facilitate recall of the message (De Bono and Harnish 1988), higher ad involvement with the </w:t>
      </w:r>
      <w:r w:rsidR="003F6634" w:rsidRPr="00A12D37">
        <w:rPr>
          <w:rFonts w:ascii="Cambria" w:eastAsia="Calibri" w:hAnsi="Cambria" w:cs="Times New Roman"/>
          <w:sz w:val="24"/>
          <w:szCs w:val="24"/>
        </w:rPr>
        <w:t xml:space="preserve">ad with sustainability message </w:t>
      </w:r>
      <w:r w:rsidR="00C7217E" w:rsidRPr="00A12D37">
        <w:rPr>
          <w:rFonts w:ascii="Cambria" w:eastAsia="Calibri" w:hAnsi="Cambria" w:cs="Times New Roman"/>
          <w:sz w:val="24"/>
          <w:szCs w:val="24"/>
        </w:rPr>
        <w:t>should influence SCV accordingly</w:t>
      </w:r>
      <w:r w:rsidR="003F6634" w:rsidRPr="00A12D37">
        <w:rPr>
          <w:rFonts w:ascii="Cambria" w:eastAsia="Calibri" w:hAnsi="Cambria" w:cs="Times New Roman"/>
          <w:sz w:val="24"/>
          <w:szCs w:val="24"/>
        </w:rPr>
        <w:t>.</w:t>
      </w:r>
    </w:p>
    <w:p w14:paraId="3DE08A11" w14:textId="2E85269B" w:rsidR="00C7217E"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sz w:val="24"/>
          <w:szCs w:val="24"/>
        </w:rPr>
        <w:t>H</w:t>
      </w:r>
      <w:r w:rsidRPr="00A12D37">
        <w:rPr>
          <w:rFonts w:ascii="Cambria" w:eastAsia="Calibri" w:hAnsi="Cambria" w:cs="Times New Roman"/>
          <w:b/>
          <w:sz w:val="24"/>
          <w:szCs w:val="24"/>
          <w:vertAlign w:val="subscript"/>
        </w:rPr>
        <w:t>5</w:t>
      </w:r>
      <w:r w:rsidRPr="00A12D37">
        <w:rPr>
          <w:rFonts w:ascii="Cambria" w:eastAsia="Calibri" w:hAnsi="Cambria" w:cs="Times New Roman"/>
          <w:b/>
          <w:sz w:val="24"/>
          <w:szCs w:val="24"/>
        </w:rPr>
        <w:t xml:space="preserve">: Higher involvement with the </w:t>
      </w:r>
      <w:r w:rsidR="003F6634" w:rsidRPr="00A12D37">
        <w:rPr>
          <w:rFonts w:ascii="Cambria" w:eastAsia="Calibri" w:hAnsi="Cambria" w:cs="Times New Roman"/>
          <w:b/>
          <w:sz w:val="24"/>
          <w:szCs w:val="24"/>
        </w:rPr>
        <w:t>ad with sustainability message</w:t>
      </w:r>
      <w:r w:rsidR="003F6634" w:rsidRPr="00A12D37">
        <w:rPr>
          <w:rFonts w:ascii="Cambria" w:eastAsia="Calibri" w:hAnsi="Cambria" w:cs="Times New Roman"/>
          <w:sz w:val="24"/>
          <w:szCs w:val="24"/>
        </w:rPr>
        <w:t xml:space="preserve"> </w:t>
      </w:r>
      <w:r w:rsidRPr="00A12D37">
        <w:rPr>
          <w:rFonts w:ascii="Cambria" w:eastAsia="Calibri" w:hAnsi="Cambria" w:cs="Times New Roman"/>
          <w:b/>
          <w:sz w:val="24"/>
          <w:szCs w:val="24"/>
        </w:rPr>
        <w:t xml:space="preserve">will generate higher level </w:t>
      </w:r>
      <w:r w:rsidR="005420F5" w:rsidRPr="00A12D37">
        <w:rPr>
          <w:rFonts w:ascii="Cambria" w:eastAsia="Calibri" w:hAnsi="Cambria" w:cs="Times New Roman"/>
          <w:b/>
          <w:sz w:val="24"/>
          <w:szCs w:val="24"/>
        </w:rPr>
        <w:t>of SCV</w:t>
      </w:r>
      <w:r w:rsidRPr="00A12D37">
        <w:rPr>
          <w:rFonts w:ascii="Cambria" w:eastAsia="Calibri" w:hAnsi="Cambria" w:cs="Times New Roman"/>
          <w:b/>
          <w:sz w:val="24"/>
          <w:szCs w:val="24"/>
        </w:rPr>
        <w:t>.</w:t>
      </w:r>
    </w:p>
    <w:p w14:paraId="1AEE29FE" w14:textId="5D146D1E" w:rsidR="0089501A" w:rsidRPr="00A12D37" w:rsidRDefault="0089501A" w:rsidP="0089501A">
      <w:pPr>
        <w:pStyle w:val="Heading2"/>
        <w:rPr>
          <w:rFonts w:eastAsia="Calibri"/>
        </w:rPr>
      </w:pPr>
      <w:bookmarkStart w:id="60" w:name="_Toc115726239"/>
      <w:r>
        <w:rPr>
          <w:rFonts w:eastAsia="Calibri"/>
        </w:rPr>
        <w:t xml:space="preserve">3.5. Impact </w:t>
      </w:r>
      <w:r w:rsidR="004C474E" w:rsidRPr="004C474E">
        <w:rPr>
          <w:rFonts w:eastAsia="Calibri"/>
        </w:rPr>
        <w:t>Self–transformative consumption vision (</w:t>
      </w:r>
      <w:r w:rsidR="005420F5" w:rsidRPr="004C474E">
        <w:rPr>
          <w:rFonts w:eastAsia="Calibri"/>
        </w:rPr>
        <w:t xml:space="preserve">SCV) </w:t>
      </w:r>
      <w:r w:rsidR="005420F5">
        <w:rPr>
          <w:rFonts w:eastAsia="Calibri"/>
        </w:rPr>
        <w:t>on</w:t>
      </w:r>
      <w:r>
        <w:rPr>
          <w:rFonts w:eastAsia="Calibri"/>
        </w:rPr>
        <w:t xml:space="preserve"> Social media engagement</w:t>
      </w:r>
      <w:bookmarkEnd w:id="60"/>
      <w:r>
        <w:rPr>
          <w:rFonts w:eastAsia="Calibri"/>
        </w:rPr>
        <w:t xml:space="preserve"> </w:t>
      </w:r>
    </w:p>
    <w:p w14:paraId="6A1D8E88" w14:textId="0FAECAAF" w:rsidR="00C7217E" w:rsidRPr="00530906" w:rsidRDefault="00C7217E">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Yim et al (2018) have found the positive</w:t>
      </w:r>
      <w:r w:rsidR="00402508" w:rsidRPr="00A12D37">
        <w:rPr>
          <w:rFonts w:ascii="Cambria" w:eastAsia="Calibri" w:hAnsi="Cambria" w:cs="Times New Roman"/>
          <w:sz w:val="24"/>
          <w:szCs w:val="24"/>
        </w:rPr>
        <w:t xml:space="preserve"> causal relationship between</w:t>
      </w:r>
      <w:r w:rsidRPr="00A12D37">
        <w:rPr>
          <w:rFonts w:ascii="Cambria" w:eastAsia="Calibri" w:hAnsi="Cambria" w:cs="Times New Roman"/>
          <w:sz w:val="24"/>
          <w:szCs w:val="24"/>
        </w:rPr>
        <w:t xml:space="preserve"> SCV </w:t>
      </w:r>
      <w:r w:rsidR="005420F5" w:rsidRPr="00A12D37">
        <w:rPr>
          <w:rFonts w:ascii="Cambria" w:eastAsia="Calibri" w:hAnsi="Cambria" w:cs="Times New Roman"/>
          <w:sz w:val="24"/>
          <w:szCs w:val="24"/>
        </w:rPr>
        <w:t>and behavioural</w:t>
      </w:r>
      <w:r w:rsidRPr="00A12D37">
        <w:rPr>
          <w:rFonts w:ascii="Cambria" w:eastAsia="Calibri" w:hAnsi="Cambria" w:cs="Times New Roman"/>
          <w:sz w:val="24"/>
          <w:szCs w:val="24"/>
        </w:rPr>
        <w:t xml:space="preserve"> construct–purchase intention. They suggested this notion based on the fact that mental imagery generated from the ad allows consumers to assess actual and potential behaviour (Amit and Greene 2012; Escalas 2004; Walters, et al 2007; Phillips 1996). In consumption situation, consumers tend of project themselves to engage in activities which serves as an intrinsic motivation for particular behavioural (Hirschman 1983). Taking this idea further, it can be suggested that, as a behavioural construct social–media–engagement (Dolan et al 2016) should also be influenced by SCV</w:t>
      </w:r>
      <w:r w:rsidRPr="00A12D37">
        <w:rPr>
          <w:rFonts w:ascii="Cambria" w:hAnsi="Cambria"/>
          <w:sz w:val="24"/>
          <w:szCs w:val="24"/>
        </w:rPr>
        <w:t>.</w:t>
      </w:r>
      <w:r w:rsidRPr="00A12D37">
        <w:rPr>
          <w:rFonts w:ascii="Cambria" w:eastAsia="Calibri" w:hAnsi="Cambria" w:cs="Times New Roman"/>
          <w:sz w:val="24"/>
          <w:szCs w:val="24"/>
        </w:rPr>
        <w:t xml:space="preserve"> Since intensity of evoked imagery results in behavioural intention (Bone and </w:t>
      </w:r>
      <w:r w:rsidRPr="00530906">
        <w:rPr>
          <w:rFonts w:ascii="Cambria" w:eastAsia="Calibri" w:hAnsi="Cambria" w:cs="Times New Roman"/>
          <w:sz w:val="24"/>
          <w:szCs w:val="24"/>
        </w:rPr>
        <w:t>Ellen 1992), the more people are engrossed in an ad in social media, the more they interact with the ad. The mental transportation occurred by the ad in social–media may act as a motivator for social interaction in (Seo 2018).</w:t>
      </w:r>
    </w:p>
    <w:p w14:paraId="0AF1E7E1" w14:textId="19002B7D"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6</w:t>
      </w:r>
      <w:r w:rsidRPr="00530906">
        <w:rPr>
          <w:rFonts w:ascii="Cambria" w:eastAsia="Calibri" w:hAnsi="Cambria" w:cs="Times New Roman"/>
          <w:b/>
          <w:bCs/>
          <w:sz w:val="24"/>
          <w:szCs w:val="24"/>
        </w:rPr>
        <w:t>:</w:t>
      </w:r>
      <w:r w:rsidRPr="00530906">
        <w:rPr>
          <w:rFonts w:ascii="Cambria" w:eastAsia="Calibri" w:hAnsi="Cambria" w:cs="Times New Roman"/>
          <w:b/>
          <w:sz w:val="24"/>
          <w:szCs w:val="24"/>
        </w:rPr>
        <w:t xml:space="preserve"> SCV will positively and significantly influence the level of social–media–engagement with the</w:t>
      </w:r>
      <w:r w:rsidR="00991B5E">
        <w:rPr>
          <w:rFonts w:ascii="Cambria" w:eastAsia="Calibri" w:hAnsi="Cambria" w:cs="Times New Roman"/>
          <w:b/>
          <w:sz w:val="24"/>
          <w:szCs w:val="24"/>
        </w:rPr>
        <w:t xml:space="preserve"> ad with</w:t>
      </w:r>
      <w:r w:rsidRPr="00530906">
        <w:rPr>
          <w:rFonts w:ascii="Cambria" w:eastAsia="Calibri" w:hAnsi="Cambria" w:cs="Times New Roman"/>
          <w:b/>
          <w:sz w:val="24"/>
          <w:szCs w:val="24"/>
        </w:rPr>
        <w:t xml:space="preserve"> sustainability</w:t>
      </w:r>
      <w:r w:rsidR="00991B5E">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t>
      </w:r>
    </w:p>
    <w:p w14:paraId="7D594880" w14:textId="2E099194" w:rsidR="00C7217E" w:rsidRPr="00530906" w:rsidRDefault="009A4CCA" w:rsidP="008756B1">
      <w:pPr>
        <w:pStyle w:val="Heading2"/>
        <w:jc w:val="both"/>
        <w:rPr>
          <w:rFonts w:ascii="Cambria" w:eastAsia="Calibri" w:hAnsi="Cambria"/>
        </w:rPr>
      </w:pPr>
      <w:bookmarkStart w:id="61" w:name="_Toc115726240"/>
      <w:r w:rsidRPr="00530906">
        <w:rPr>
          <w:rFonts w:ascii="Cambria" w:eastAsia="Calibri" w:hAnsi="Cambria"/>
        </w:rPr>
        <w:t>3.</w:t>
      </w:r>
      <w:r w:rsidR="006F0A01">
        <w:rPr>
          <w:rFonts w:ascii="Cambria" w:eastAsia="Calibri" w:hAnsi="Cambria"/>
        </w:rPr>
        <w:t>6</w:t>
      </w:r>
      <w:r w:rsidRPr="00530906">
        <w:rPr>
          <w:rFonts w:ascii="Cambria" w:eastAsia="Calibri" w:hAnsi="Cambria"/>
        </w:rPr>
        <w:t>.</w:t>
      </w:r>
      <w:r w:rsidR="006F0A01">
        <w:rPr>
          <w:rFonts w:ascii="Cambria" w:eastAsia="Calibri" w:hAnsi="Cambria"/>
        </w:rPr>
        <w:t xml:space="preserve"> </w:t>
      </w:r>
      <w:r w:rsidR="004570FC">
        <w:rPr>
          <w:rFonts w:ascii="Cambria" w:eastAsia="Calibri" w:hAnsi="Cambria"/>
        </w:rPr>
        <w:t>Impact</w:t>
      </w:r>
      <w:r w:rsidR="006F0A01">
        <w:rPr>
          <w:rFonts w:ascii="Cambria" w:eastAsia="Calibri" w:hAnsi="Cambria"/>
        </w:rPr>
        <w:t xml:space="preserve"> S</w:t>
      </w:r>
      <w:r w:rsidR="006F0A01" w:rsidRPr="00530906">
        <w:rPr>
          <w:rFonts w:ascii="Cambria" w:eastAsia="Calibri" w:hAnsi="Cambria"/>
        </w:rPr>
        <w:t>elf–transformative consumption vision (SCV</w:t>
      </w:r>
      <w:r w:rsidR="003D3F91">
        <w:rPr>
          <w:rFonts w:ascii="Cambria" w:eastAsia="Calibri" w:hAnsi="Cambria"/>
        </w:rPr>
        <w:t>)</w:t>
      </w:r>
      <w:r w:rsidR="006F0A01">
        <w:rPr>
          <w:rFonts w:ascii="Cambria" w:eastAsia="Calibri" w:hAnsi="Cambria"/>
        </w:rPr>
        <w:t xml:space="preserve"> on </w:t>
      </w:r>
      <w:r w:rsidR="00C7217E" w:rsidRPr="00530906">
        <w:rPr>
          <w:rFonts w:ascii="Cambria" w:eastAsia="Calibri" w:hAnsi="Cambria"/>
        </w:rPr>
        <w:t>Emotional dimensions</w:t>
      </w:r>
      <w:r w:rsidR="00E95794">
        <w:rPr>
          <w:rFonts w:ascii="Cambria" w:eastAsia="Calibri" w:hAnsi="Cambria"/>
        </w:rPr>
        <w:t xml:space="preserve"> (PAD)</w:t>
      </w:r>
      <w:r w:rsidR="00C7217E" w:rsidRPr="00530906">
        <w:rPr>
          <w:rFonts w:ascii="Cambria" w:eastAsia="Calibri" w:hAnsi="Cambria"/>
        </w:rPr>
        <w:t>–</w:t>
      </w:r>
      <w:bookmarkEnd w:id="61"/>
    </w:p>
    <w:p w14:paraId="653F4551" w14:textId="0251AEC7" w:rsidR="00C7217E" w:rsidRDefault="005D09DD">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Earlier research has linked c</w:t>
      </w:r>
      <w:r w:rsidR="00C7217E" w:rsidRPr="00A12D37">
        <w:rPr>
          <w:rFonts w:ascii="Cambria" w:eastAsia="Calibri" w:hAnsi="Cambria" w:cs="Times New Roman"/>
          <w:sz w:val="24"/>
          <w:szCs w:val="24"/>
        </w:rPr>
        <w:t>onsumption experience with imaginal and emotional response (Lacher and Mizerski, 1994). Mental image can stimulate sensory fantasy (Christensen et al 2004)</w:t>
      </w:r>
      <w:r w:rsidR="00310867" w:rsidRPr="00A12D37">
        <w:rPr>
          <w:rFonts w:ascii="Cambria" w:eastAsia="Calibri" w:hAnsi="Cambria" w:cs="Times New Roman"/>
          <w:sz w:val="24"/>
          <w:szCs w:val="24"/>
        </w:rPr>
        <w:t>, which in turn can</w:t>
      </w:r>
      <w:r w:rsidR="00C7217E" w:rsidRPr="00A12D37">
        <w:rPr>
          <w:rFonts w:ascii="Cambria" w:eastAsia="Calibri" w:hAnsi="Cambria" w:cs="Times New Roman"/>
          <w:sz w:val="24"/>
          <w:szCs w:val="24"/>
        </w:rPr>
        <w:t xml:space="preserve"> initiate anticipation of satisfaction (Shiv and Huber 2008)</w:t>
      </w:r>
      <w:r w:rsidR="00310867" w:rsidRPr="00A12D37">
        <w:rPr>
          <w:rFonts w:ascii="Cambria" w:eastAsia="Calibri" w:hAnsi="Cambria" w:cs="Times New Roman"/>
          <w:sz w:val="24"/>
          <w:szCs w:val="24"/>
        </w:rPr>
        <w:t xml:space="preserve">. </w:t>
      </w:r>
    </w:p>
    <w:p w14:paraId="12AAC297" w14:textId="77777777" w:rsidR="005420F5" w:rsidRPr="00A12D37" w:rsidRDefault="005420F5">
      <w:pPr>
        <w:spacing w:line="360" w:lineRule="auto"/>
        <w:jc w:val="both"/>
        <w:rPr>
          <w:rFonts w:ascii="Cambria" w:eastAsia="Calibri" w:hAnsi="Cambria" w:cs="Times New Roman"/>
          <w:sz w:val="24"/>
          <w:szCs w:val="24"/>
        </w:rPr>
      </w:pPr>
    </w:p>
    <w:p w14:paraId="47532724" w14:textId="77777777" w:rsidR="00C7217E" w:rsidRPr="00A12D37"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sz w:val="24"/>
          <w:szCs w:val="24"/>
        </w:rPr>
        <w:t>Pleasure:</w:t>
      </w:r>
    </w:p>
    <w:p w14:paraId="5C116D70" w14:textId="7201B4DB" w:rsidR="00C7217E" w:rsidRPr="00A12D37" w:rsidRDefault="00C7217E" w:rsidP="00BB633C">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‘Pleasure’ dimension has been addressed as the extent of hedonic feeling evoked by a stimulus (</w:t>
      </w:r>
      <w:r w:rsidR="00986CA4" w:rsidRPr="00A12D37">
        <w:rPr>
          <w:rFonts w:ascii="Cambria" w:hAnsi="Cambria" w:cs="Segoe UI"/>
          <w:sz w:val="24"/>
          <w:szCs w:val="24"/>
        </w:rPr>
        <w:t>Batra</w:t>
      </w:r>
      <w:r w:rsidRPr="00A12D37">
        <w:rPr>
          <w:rFonts w:ascii="Cambria" w:eastAsia="Calibri" w:hAnsi="Cambria" w:cs="Times New Roman"/>
          <w:sz w:val="24"/>
          <w:szCs w:val="24"/>
        </w:rPr>
        <w:t xml:space="preserve"> and R</w:t>
      </w:r>
      <w:r w:rsidR="00986CA4" w:rsidRPr="00A12D37">
        <w:rPr>
          <w:rFonts w:ascii="Cambria" w:eastAsia="Calibri" w:hAnsi="Cambria" w:cs="Times New Roman"/>
          <w:sz w:val="24"/>
          <w:szCs w:val="24"/>
        </w:rPr>
        <w:t>a</w:t>
      </w:r>
      <w:r w:rsidRPr="00A12D37">
        <w:rPr>
          <w:rFonts w:ascii="Cambria" w:eastAsia="Calibri" w:hAnsi="Cambria" w:cs="Times New Roman"/>
          <w:sz w:val="24"/>
          <w:szCs w:val="24"/>
        </w:rPr>
        <w:t xml:space="preserve">y 1986). </w:t>
      </w:r>
      <w:r w:rsidR="000C610C" w:rsidRPr="00A12D37">
        <w:rPr>
          <w:rFonts w:ascii="Cambria" w:eastAsia="Calibri" w:hAnsi="Cambria" w:cs="Times New Roman"/>
          <w:sz w:val="24"/>
          <w:szCs w:val="24"/>
        </w:rPr>
        <w:t>Researchers have suggested t</w:t>
      </w:r>
      <w:r w:rsidRPr="00A12D37">
        <w:rPr>
          <w:rFonts w:ascii="Cambria" w:eastAsia="Calibri" w:hAnsi="Cambria" w:cs="Times New Roman"/>
          <w:sz w:val="24"/>
          <w:szCs w:val="24"/>
        </w:rPr>
        <w:t xml:space="preserve">he same relationship of pleasure dimension or the extent of hedonic </w:t>
      </w:r>
      <w:r w:rsidR="005420F5" w:rsidRPr="00A12D37">
        <w:rPr>
          <w:rFonts w:ascii="Cambria" w:eastAsia="Calibri" w:hAnsi="Cambria" w:cs="Times New Roman"/>
          <w:sz w:val="24"/>
          <w:szCs w:val="24"/>
        </w:rPr>
        <w:t>experience</w:t>
      </w:r>
      <w:r w:rsidRPr="00A12D37">
        <w:rPr>
          <w:rFonts w:ascii="Cambria" w:eastAsia="Calibri" w:hAnsi="Cambria" w:cs="Times New Roman"/>
          <w:sz w:val="24"/>
          <w:szCs w:val="24"/>
        </w:rPr>
        <w:t xml:space="preserve"> </w:t>
      </w:r>
      <w:r w:rsidR="000D68FA" w:rsidRPr="00A12D37">
        <w:rPr>
          <w:rFonts w:ascii="Cambria" w:eastAsia="Calibri" w:hAnsi="Cambria" w:cs="Times New Roman"/>
          <w:sz w:val="24"/>
          <w:szCs w:val="24"/>
        </w:rPr>
        <w:t>i</w:t>
      </w:r>
      <w:r w:rsidR="0078685C" w:rsidRPr="00A12D37">
        <w:rPr>
          <w:rFonts w:ascii="Cambria" w:eastAsia="Calibri" w:hAnsi="Cambria" w:cs="Times New Roman"/>
          <w:sz w:val="24"/>
          <w:szCs w:val="24"/>
        </w:rPr>
        <w:t>n</w:t>
      </w:r>
      <w:r w:rsidRPr="00A12D37">
        <w:rPr>
          <w:rFonts w:ascii="Cambria" w:eastAsia="Calibri" w:hAnsi="Cambria" w:cs="Times New Roman"/>
          <w:sz w:val="24"/>
          <w:szCs w:val="24"/>
        </w:rPr>
        <w:t xml:space="preserve"> consumption situation. When the product is consumed for self</w:t>
      </w:r>
      <w:r w:rsidR="004179CD" w:rsidRPr="00A12D37">
        <w:rPr>
          <w:rFonts w:ascii="Cambria" w:eastAsia="Calibri" w:hAnsi="Cambria" w:cs="Times New Roman"/>
          <w:sz w:val="24"/>
          <w:szCs w:val="24"/>
        </w:rPr>
        <w:t>–</w:t>
      </w:r>
      <w:r w:rsidRPr="00A12D37">
        <w:rPr>
          <w:rFonts w:ascii="Cambria" w:eastAsia="Calibri" w:hAnsi="Cambria" w:cs="Times New Roman"/>
          <w:sz w:val="24"/>
          <w:szCs w:val="24"/>
        </w:rPr>
        <w:t xml:space="preserve">gratification, the consumers derive </w:t>
      </w:r>
      <w:r w:rsidR="009F6388" w:rsidRPr="00A12D37">
        <w:rPr>
          <w:rFonts w:ascii="Cambria" w:eastAsia="Calibri" w:hAnsi="Cambria" w:cs="Times New Roman"/>
          <w:sz w:val="24"/>
          <w:szCs w:val="24"/>
        </w:rPr>
        <w:t>‘h</w:t>
      </w:r>
      <w:r w:rsidRPr="00A12D37">
        <w:rPr>
          <w:rFonts w:ascii="Cambria" w:eastAsia="Calibri" w:hAnsi="Cambria" w:cs="Times New Roman"/>
          <w:sz w:val="24"/>
          <w:szCs w:val="24"/>
        </w:rPr>
        <w:t>edonic experiences</w:t>
      </w:r>
      <w:r w:rsidR="009F6388" w:rsidRPr="00A12D37">
        <w:rPr>
          <w:rFonts w:ascii="Cambria" w:eastAsia="Calibri" w:hAnsi="Cambria" w:cs="Times New Roman"/>
          <w:sz w:val="24"/>
          <w:szCs w:val="24"/>
        </w:rPr>
        <w:t>’</w:t>
      </w:r>
      <w:r w:rsidRPr="00A12D37">
        <w:rPr>
          <w:rFonts w:ascii="Cambria" w:eastAsia="Calibri" w:hAnsi="Cambria" w:cs="Times New Roman"/>
          <w:sz w:val="24"/>
          <w:szCs w:val="24"/>
        </w:rPr>
        <w:t xml:space="preserve"> from the consumption experience, which results into pleasurable emotional response (Miniero et al 2014). Positive or negative feelings or ‘pleasure’ dimension of PAD model comes with consumers’ imagination of themselves experiencing a product (Yim et al 2018; Miniero et al 2014). </w:t>
      </w:r>
      <w:r w:rsidR="00BB633C">
        <w:rPr>
          <w:rFonts w:ascii="Cambria" w:eastAsia="Calibri" w:hAnsi="Cambria" w:cs="Times New Roman"/>
          <w:sz w:val="24"/>
          <w:szCs w:val="24"/>
        </w:rPr>
        <w:t xml:space="preserve">It has been proved thar </w:t>
      </w:r>
      <w:r w:rsidR="00BB633C" w:rsidRPr="00BB633C">
        <w:rPr>
          <w:rFonts w:ascii="Cambria" w:eastAsia="Calibri" w:hAnsi="Cambria" w:cs="Times New Roman"/>
          <w:sz w:val="24"/>
          <w:szCs w:val="24"/>
        </w:rPr>
        <w:t xml:space="preserve">SCV </w:t>
      </w:r>
      <w:r w:rsidR="00BB633C">
        <w:rPr>
          <w:rFonts w:ascii="Cambria" w:eastAsia="Calibri" w:hAnsi="Cambria" w:cs="Times New Roman"/>
          <w:sz w:val="24"/>
          <w:szCs w:val="24"/>
        </w:rPr>
        <w:t>is</w:t>
      </w:r>
      <w:r w:rsidR="00BB633C" w:rsidRPr="00BB633C">
        <w:rPr>
          <w:rFonts w:ascii="Cambria" w:eastAsia="Calibri" w:hAnsi="Cambria" w:cs="Times New Roman"/>
          <w:sz w:val="24"/>
          <w:szCs w:val="24"/>
        </w:rPr>
        <w:t xml:space="preserve"> a predictor of affective (pleasure</w:t>
      </w:r>
      <w:r w:rsidR="005420F5" w:rsidRPr="00BB633C">
        <w:rPr>
          <w:rFonts w:ascii="Cambria" w:eastAsia="Calibri" w:hAnsi="Cambria" w:cs="Times New Roman"/>
          <w:sz w:val="24"/>
          <w:szCs w:val="24"/>
        </w:rPr>
        <w:t>) (</w:t>
      </w:r>
      <w:r w:rsidR="00BB633C" w:rsidRPr="00BB633C">
        <w:rPr>
          <w:rFonts w:ascii="Cambria" w:eastAsia="Calibri" w:hAnsi="Cambria" w:cs="Times New Roman"/>
          <w:sz w:val="24"/>
          <w:szCs w:val="24"/>
        </w:rPr>
        <w:t>Yim et al 2018</w:t>
      </w:r>
      <w:r w:rsidR="00BB633C">
        <w:rPr>
          <w:rFonts w:ascii="Cambria" w:eastAsia="Calibri" w:hAnsi="Cambria" w:cs="Times New Roman"/>
          <w:sz w:val="24"/>
          <w:szCs w:val="24"/>
        </w:rPr>
        <w:t>)</w:t>
      </w:r>
      <w:r w:rsidR="004B477A">
        <w:rPr>
          <w:rFonts w:ascii="Cambria" w:eastAsia="Calibri" w:hAnsi="Cambria" w:cs="Times New Roman"/>
          <w:sz w:val="24"/>
          <w:szCs w:val="24"/>
        </w:rPr>
        <w:t>.</w:t>
      </w:r>
      <w:r w:rsidR="00BB633C">
        <w:rPr>
          <w:rFonts w:ascii="Cambria" w:eastAsia="Calibri" w:hAnsi="Cambria" w:cs="Times New Roman"/>
          <w:sz w:val="24"/>
          <w:szCs w:val="24"/>
        </w:rPr>
        <w:t xml:space="preserve"> </w:t>
      </w:r>
      <w:r w:rsidRPr="00A12D37">
        <w:rPr>
          <w:rFonts w:ascii="Cambria" w:eastAsia="Calibri" w:hAnsi="Cambria" w:cs="Times New Roman"/>
          <w:sz w:val="24"/>
          <w:szCs w:val="24"/>
        </w:rPr>
        <w:t xml:space="preserve">Consumption vision is more compatible with the pleasant experience of the product (Chang 2012; Hirschman 1983; Nielson et al 2018; Phillips and McQuarrie 2010). On the other hand, unpleasant imagery may result in unpleasant feelings (Phillips and McQuarrie 2010). Users may come across these experiences in social–media environment when stimulation is presented in the form of consumers opinion (Bakker et al 2014). </w:t>
      </w:r>
    </w:p>
    <w:p w14:paraId="23A047F7" w14:textId="2B462648" w:rsidR="00C7217E" w:rsidRPr="00A12D37" w:rsidRDefault="00C7217E">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If the</w:t>
      </w:r>
      <w:r w:rsidR="00D41E72" w:rsidRPr="00A12D37">
        <w:rPr>
          <w:rFonts w:ascii="Cambria" w:eastAsia="Calibri" w:hAnsi="Cambria" w:cs="Times New Roman"/>
          <w:sz w:val="24"/>
          <w:szCs w:val="24"/>
        </w:rPr>
        <w:t xml:space="preserve"> ad with</w:t>
      </w:r>
      <w:r w:rsidRPr="00A12D37">
        <w:rPr>
          <w:rFonts w:ascii="Cambria" w:eastAsia="Calibri" w:hAnsi="Cambria" w:cs="Times New Roman"/>
          <w:sz w:val="24"/>
          <w:szCs w:val="24"/>
        </w:rPr>
        <w:t xml:space="preserve"> sustainability </w:t>
      </w:r>
      <w:r w:rsidR="00D41E72" w:rsidRPr="00A12D37">
        <w:rPr>
          <w:rFonts w:ascii="Cambria" w:eastAsia="Calibri" w:hAnsi="Cambria" w:cs="Times New Roman"/>
          <w:sz w:val="24"/>
          <w:szCs w:val="24"/>
        </w:rPr>
        <w:t>message</w:t>
      </w:r>
      <w:r w:rsidRPr="00A12D37">
        <w:rPr>
          <w:rFonts w:ascii="Cambria" w:eastAsia="Calibri" w:hAnsi="Cambria" w:cs="Times New Roman"/>
          <w:sz w:val="24"/>
          <w:szCs w:val="24"/>
        </w:rPr>
        <w:t xml:space="preserve"> is considered as a context in this relationship, it has been observed </w:t>
      </w:r>
      <w:r w:rsidR="004570FC" w:rsidRPr="00A12D37">
        <w:rPr>
          <w:rFonts w:ascii="Cambria" w:eastAsia="Calibri" w:hAnsi="Cambria" w:cs="Times New Roman"/>
          <w:sz w:val="24"/>
          <w:szCs w:val="24"/>
        </w:rPr>
        <w:t>that, consumers</w:t>
      </w:r>
      <w:r w:rsidR="0006168F" w:rsidRPr="00A12D37">
        <w:rPr>
          <w:rFonts w:ascii="Cambria" w:eastAsia="Calibri" w:hAnsi="Cambria" w:cs="Times New Roman"/>
          <w:sz w:val="24"/>
          <w:szCs w:val="24"/>
        </w:rPr>
        <w:t xml:space="preserve"> </w:t>
      </w:r>
      <w:r w:rsidR="00374ADF" w:rsidRPr="00A12D37">
        <w:rPr>
          <w:rFonts w:ascii="Cambria" w:eastAsia="Calibri" w:hAnsi="Cambria" w:cs="Times New Roman"/>
          <w:sz w:val="24"/>
          <w:szCs w:val="24"/>
        </w:rPr>
        <w:t xml:space="preserve">experience hedonic feelings by consuming </w:t>
      </w:r>
      <w:r w:rsidRPr="00A12D37">
        <w:rPr>
          <w:rFonts w:ascii="Cambria" w:eastAsia="Calibri" w:hAnsi="Cambria" w:cs="Times New Roman"/>
          <w:sz w:val="24"/>
          <w:szCs w:val="24"/>
        </w:rPr>
        <w:t xml:space="preserve">sustainable products due to their high ethical claims (Here´dia–Colaco and do Vale 2018). More specifically </w:t>
      </w:r>
      <w:r w:rsidRPr="00E24832">
        <w:rPr>
          <w:rFonts w:ascii="Cambria" w:eastAsia="Calibri" w:hAnsi="Cambria" w:cs="Times New Roman"/>
          <w:sz w:val="24"/>
          <w:szCs w:val="24"/>
        </w:rPr>
        <w:t>speaking, individuals tend to adopt green</w:t>
      </w:r>
      <w:r w:rsidR="0097029C" w:rsidRPr="00E24832">
        <w:rPr>
          <w:rFonts w:ascii="Cambria" w:eastAsia="Calibri" w:hAnsi="Cambria" w:cs="Times New Roman"/>
          <w:sz w:val="24"/>
          <w:szCs w:val="24"/>
        </w:rPr>
        <w:t xml:space="preserve">/ </w:t>
      </w:r>
      <w:r w:rsidR="004570FC" w:rsidRPr="00E24832">
        <w:rPr>
          <w:rFonts w:ascii="Cambria" w:eastAsia="Calibri" w:hAnsi="Cambria" w:cs="Times New Roman"/>
          <w:sz w:val="24"/>
          <w:szCs w:val="24"/>
        </w:rPr>
        <w:t>sustainable</w:t>
      </w:r>
      <w:r w:rsidR="0097029C" w:rsidRPr="00E24832">
        <w:rPr>
          <w:rFonts w:ascii="Cambria" w:eastAsia="Calibri" w:hAnsi="Cambria" w:cs="Times New Roman"/>
          <w:sz w:val="24"/>
          <w:szCs w:val="24"/>
        </w:rPr>
        <w:t xml:space="preserve"> </w:t>
      </w:r>
      <w:r w:rsidRPr="00E24832">
        <w:rPr>
          <w:rFonts w:ascii="Cambria" w:eastAsia="Calibri" w:hAnsi="Cambria" w:cs="Times New Roman"/>
          <w:sz w:val="24"/>
          <w:szCs w:val="24"/>
        </w:rPr>
        <w:t xml:space="preserve">consumption behaviour because this </w:t>
      </w:r>
      <w:r w:rsidR="003D6741" w:rsidRPr="00E24832">
        <w:rPr>
          <w:rFonts w:ascii="Cambria" w:eastAsia="Calibri" w:hAnsi="Cambria" w:cs="Times New Roman"/>
          <w:sz w:val="24"/>
          <w:szCs w:val="24"/>
        </w:rPr>
        <w:t>gives</w:t>
      </w:r>
      <w:r w:rsidRPr="00E24832">
        <w:rPr>
          <w:rFonts w:ascii="Cambria" w:eastAsia="Calibri" w:hAnsi="Cambria" w:cs="Times New Roman"/>
          <w:sz w:val="24"/>
          <w:szCs w:val="24"/>
        </w:rPr>
        <w:t xml:space="preserve"> them a sense of accomplishment and they can uphold their </w:t>
      </w:r>
      <w:r w:rsidR="005400B4" w:rsidRPr="00E24832">
        <w:rPr>
          <w:rFonts w:ascii="Cambria" w:eastAsia="Calibri" w:hAnsi="Cambria" w:cs="Times New Roman"/>
          <w:sz w:val="24"/>
          <w:szCs w:val="24"/>
        </w:rPr>
        <w:t>self-image</w:t>
      </w:r>
      <w:r w:rsidRPr="00E24832">
        <w:rPr>
          <w:rFonts w:ascii="Cambria" w:eastAsia="Calibri" w:hAnsi="Cambria" w:cs="Times New Roman"/>
          <w:sz w:val="24"/>
          <w:szCs w:val="24"/>
        </w:rPr>
        <w:t xml:space="preserve"> (Lin &amp; Hsu 2015; Davies &amp; Gutsche, 2016; Huang and Rust 2011; Roberts, 1996; Kilbourne and Pickett 2008). Consumption </w:t>
      </w:r>
      <w:r w:rsidR="00007BF6" w:rsidRPr="00E24832">
        <w:rPr>
          <w:rFonts w:ascii="Cambria" w:eastAsia="Calibri" w:hAnsi="Cambria" w:cs="Times New Roman"/>
          <w:sz w:val="24"/>
          <w:szCs w:val="24"/>
        </w:rPr>
        <w:t>situation</w:t>
      </w:r>
      <w:r w:rsidRPr="00E24832">
        <w:rPr>
          <w:rFonts w:ascii="Cambria" w:eastAsia="Calibri" w:hAnsi="Cambria" w:cs="Times New Roman"/>
          <w:sz w:val="24"/>
          <w:szCs w:val="24"/>
        </w:rPr>
        <w:t xml:space="preserve"> associating with fulfilment generate more pleasure (Foxall et al 2005). </w:t>
      </w:r>
      <w:r w:rsidR="003E2A09" w:rsidRPr="00E24832">
        <w:rPr>
          <w:rFonts w:ascii="Cambria" w:eastAsia="Calibri" w:hAnsi="Cambria" w:cs="Times New Roman"/>
          <w:sz w:val="24"/>
          <w:szCs w:val="24"/>
        </w:rPr>
        <w:t xml:space="preserve">Hence, </w:t>
      </w:r>
      <w:r w:rsidR="00BA3D54" w:rsidRPr="00E24832">
        <w:rPr>
          <w:rFonts w:ascii="Cambria" w:eastAsia="Calibri" w:hAnsi="Cambria" w:cs="Times New Roman"/>
          <w:sz w:val="24"/>
          <w:szCs w:val="24"/>
        </w:rPr>
        <w:t xml:space="preserve">it is proposed that </w:t>
      </w:r>
      <w:r w:rsidR="003E2A09" w:rsidRPr="00E24832">
        <w:rPr>
          <w:rFonts w:ascii="Cambria" w:eastAsia="Calibri" w:hAnsi="Cambria" w:cs="Times New Roman"/>
          <w:sz w:val="24"/>
          <w:szCs w:val="24"/>
        </w:rPr>
        <w:t>the imagine</w:t>
      </w:r>
      <w:r w:rsidR="00A86D3C" w:rsidRPr="00E24832">
        <w:rPr>
          <w:rFonts w:ascii="Cambria" w:eastAsia="Calibri" w:hAnsi="Cambria" w:cs="Times New Roman"/>
          <w:sz w:val="24"/>
          <w:szCs w:val="24"/>
        </w:rPr>
        <w:t>d</w:t>
      </w:r>
      <w:r w:rsidR="003E2A09" w:rsidRPr="00E24832">
        <w:rPr>
          <w:rFonts w:ascii="Cambria" w:eastAsia="Calibri" w:hAnsi="Cambria" w:cs="Times New Roman"/>
          <w:sz w:val="24"/>
          <w:szCs w:val="24"/>
        </w:rPr>
        <w:t xml:space="preserve"> consumption sit</w:t>
      </w:r>
      <w:r w:rsidR="00A86D3C" w:rsidRPr="00E24832">
        <w:rPr>
          <w:rFonts w:ascii="Cambria" w:eastAsia="Calibri" w:hAnsi="Cambria" w:cs="Times New Roman"/>
          <w:sz w:val="24"/>
          <w:szCs w:val="24"/>
        </w:rPr>
        <w:t>uation (</w:t>
      </w:r>
      <w:r w:rsidR="005420F5" w:rsidRPr="00E24832">
        <w:rPr>
          <w:rFonts w:ascii="Cambria" w:eastAsia="Calibri" w:hAnsi="Cambria" w:cs="Times New Roman"/>
          <w:sz w:val="24"/>
          <w:szCs w:val="24"/>
        </w:rPr>
        <w:t>i.e.,</w:t>
      </w:r>
      <w:r w:rsidR="00A86D3C" w:rsidRPr="00E24832">
        <w:rPr>
          <w:rFonts w:ascii="Cambria" w:eastAsia="Calibri" w:hAnsi="Cambria" w:cs="Times New Roman"/>
          <w:sz w:val="24"/>
          <w:szCs w:val="24"/>
        </w:rPr>
        <w:t xml:space="preserve"> SCV)</w:t>
      </w:r>
      <w:r w:rsidR="006D2C52" w:rsidRPr="00E24832">
        <w:rPr>
          <w:rFonts w:ascii="Cambria" w:eastAsia="Calibri" w:hAnsi="Cambria" w:cs="Times New Roman"/>
          <w:sz w:val="24"/>
          <w:szCs w:val="24"/>
        </w:rPr>
        <w:t xml:space="preserve"> </w:t>
      </w:r>
      <w:r w:rsidR="00E05F2B" w:rsidRPr="00E24832">
        <w:rPr>
          <w:rFonts w:ascii="Cambria" w:eastAsia="Calibri" w:hAnsi="Cambria" w:cs="Times New Roman"/>
          <w:sz w:val="24"/>
          <w:szCs w:val="24"/>
        </w:rPr>
        <w:t xml:space="preserve">evoked by the ad with sustainability message </w:t>
      </w:r>
      <w:r w:rsidR="00FB6452" w:rsidRPr="00E24832">
        <w:rPr>
          <w:rFonts w:ascii="Cambria" w:eastAsia="Calibri" w:hAnsi="Cambria" w:cs="Times New Roman"/>
          <w:sz w:val="24"/>
          <w:szCs w:val="24"/>
        </w:rPr>
        <w:t>should</w:t>
      </w:r>
      <w:r w:rsidR="006D2C52" w:rsidRPr="00E24832">
        <w:rPr>
          <w:rFonts w:ascii="Cambria" w:eastAsia="Calibri" w:hAnsi="Cambria" w:cs="Times New Roman"/>
          <w:sz w:val="24"/>
          <w:szCs w:val="24"/>
        </w:rPr>
        <w:t xml:space="preserve"> generate the feeling </w:t>
      </w:r>
      <w:r w:rsidR="003D6741" w:rsidRPr="00E24832">
        <w:rPr>
          <w:rFonts w:ascii="Cambria" w:eastAsia="Calibri" w:hAnsi="Cambria" w:cs="Times New Roman"/>
          <w:sz w:val="24"/>
          <w:szCs w:val="24"/>
        </w:rPr>
        <w:t>of pleasurable</w:t>
      </w:r>
      <w:r w:rsidR="00E17049" w:rsidRPr="00E24832">
        <w:rPr>
          <w:rFonts w:ascii="Cambria" w:eastAsia="Calibri" w:hAnsi="Cambria" w:cs="Times New Roman"/>
          <w:sz w:val="24"/>
          <w:szCs w:val="24"/>
        </w:rPr>
        <w:t xml:space="preserve"> emotion </w:t>
      </w:r>
      <w:r w:rsidR="00FB6452" w:rsidRPr="00E24832">
        <w:rPr>
          <w:rFonts w:ascii="Cambria" w:eastAsia="Calibri" w:hAnsi="Cambria" w:cs="Times New Roman"/>
          <w:sz w:val="24"/>
          <w:szCs w:val="24"/>
        </w:rPr>
        <w:t>of</w:t>
      </w:r>
      <w:r w:rsidR="00427980" w:rsidRPr="00E24832">
        <w:rPr>
          <w:rFonts w:ascii="Cambria" w:eastAsia="Calibri" w:hAnsi="Cambria" w:cs="Times New Roman"/>
          <w:sz w:val="24"/>
          <w:szCs w:val="24"/>
        </w:rPr>
        <w:t xml:space="preserve"> consuming</w:t>
      </w:r>
      <w:r w:rsidR="00E05F2B" w:rsidRPr="00E24832">
        <w:rPr>
          <w:rFonts w:ascii="Cambria" w:eastAsia="Calibri" w:hAnsi="Cambria" w:cs="Times New Roman"/>
          <w:sz w:val="24"/>
          <w:szCs w:val="24"/>
        </w:rPr>
        <w:t xml:space="preserve"> the sustainable product</w:t>
      </w:r>
      <w:r w:rsidR="00333A08" w:rsidRPr="00E24832">
        <w:rPr>
          <w:rFonts w:ascii="Cambria" w:eastAsia="Calibri" w:hAnsi="Cambria" w:cs="Times New Roman"/>
          <w:sz w:val="24"/>
          <w:szCs w:val="24"/>
        </w:rPr>
        <w:t>.</w:t>
      </w:r>
      <w:r w:rsidR="00427980" w:rsidRPr="00E24832">
        <w:rPr>
          <w:rFonts w:ascii="Cambria" w:eastAsia="Calibri" w:hAnsi="Cambria" w:cs="Times New Roman"/>
          <w:sz w:val="24"/>
          <w:szCs w:val="24"/>
        </w:rPr>
        <w:t xml:space="preserve"> </w:t>
      </w:r>
      <w:r w:rsidR="00A86D3C" w:rsidRPr="00E24832">
        <w:rPr>
          <w:rFonts w:ascii="Cambria" w:eastAsia="Calibri" w:hAnsi="Cambria" w:cs="Times New Roman"/>
          <w:sz w:val="24"/>
          <w:szCs w:val="24"/>
        </w:rPr>
        <w:t xml:space="preserve"> </w:t>
      </w:r>
      <w:r w:rsidRPr="00E24832">
        <w:rPr>
          <w:rFonts w:ascii="Cambria" w:eastAsia="Calibri" w:hAnsi="Cambria" w:cs="Times New Roman"/>
          <w:sz w:val="24"/>
          <w:szCs w:val="24"/>
        </w:rPr>
        <w:t xml:space="preserve">Posts in online platform, social–media in this case, has the capacity to generate pleasant or unpleasant emotion (Li et al 2018). So, by envisioning themselves </w:t>
      </w:r>
      <w:r w:rsidRPr="00A12D37">
        <w:rPr>
          <w:rFonts w:ascii="Cambria" w:eastAsia="Calibri" w:hAnsi="Cambria" w:cs="Times New Roman"/>
          <w:sz w:val="24"/>
          <w:szCs w:val="24"/>
        </w:rPr>
        <w:t xml:space="preserve">consuming sustainable products, which is induced by the </w:t>
      </w:r>
      <w:r w:rsidR="00704E30" w:rsidRPr="00A12D37">
        <w:rPr>
          <w:rFonts w:ascii="Cambria" w:eastAsia="Calibri" w:hAnsi="Cambria" w:cs="Times New Roman"/>
          <w:sz w:val="24"/>
          <w:szCs w:val="24"/>
        </w:rPr>
        <w:t xml:space="preserve">ad with </w:t>
      </w:r>
      <w:r w:rsidRPr="00A12D37">
        <w:rPr>
          <w:rFonts w:ascii="Cambria" w:eastAsia="Calibri" w:hAnsi="Cambria" w:cs="Times New Roman"/>
          <w:sz w:val="24"/>
          <w:szCs w:val="24"/>
        </w:rPr>
        <w:t xml:space="preserve">sustainability </w:t>
      </w:r>
      <w:r w:rsidR="00704E30" w:rsidRPr="00A12D37">
        <w:rPr>
          <w:rFonts w:ascii="Cambria" w:eastAsia="Calibri" w:hAnsi="Cambria" w:cs="Times New Roman"/>
          <w:sz w:val="24"/>
          <w:szCs w:val="24"/>
        </w:rPr>
        <w:t xml:space="preserve">message </w:t>
      </w:r>
      <w:r w:rsidRPr="00A12D37">
        <w:rPr>
          <w:rFonts w:ascii="Cambria" w:eastAsia="Calibri" w:hAnsi="Cambria" w:cs="Times New Roman"/>
          <w:sz w:val="24"/>
          <w:szCs w:val="24"/>
        </w:rPr>
        <w:t xml:space="preserve">on social media should elicit greater form of pleasure among consumers. </w:t>
      </w:r>
    </w:p>
    <w:p w14:paraId="56F5A63F" w14:textId="4EECF109" w:rsidR="00C7217E" w:rsidRPr="00A12D37"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bCs/>
          <w:sz w:val="24"/>
          <w:szCs w:val="24"/>
        </w:rPr>
        <w:t>H</w:t>
      </w:r>
      <w:r w:rsidRPr="00A12D37">
        <w:rPr>
          <w:rFonts w:ascii="Cambria" w:eastAsia="Calibri" w:hAnsi="Cambria" w:cs="Times New Roman"/>
          <w:b/>
          <w:bCs/>
          <w:sz w:val="24"/>
          <w:szCs w:val="24"/>
          <w:vertAlign w:val="subscript"/>
        </w:rPr>
        <w:t>7</w:t>
      </w:r>
      <w:r w:rsidRPr="00A12D37">
        <w:rPr>
          <w:rFonts w:ascii="Cambria" w:eastAsia="Calibri" w:hAnsi="Cambria" w:cs="Times New Roman"/>
          <w:b/>
          <w:sz w:val="24"/>
          <w:szCs w:val="24"/>
        </w:rPr>
        <w:t xml:space="preserve">: SCV will positively and significantly influence the level of pleasure towards </w:t>
      </w:r>
      <w:r w:rsidR="00D82E36" w:rsidRPr="00A12D37">
        <w:rPr>
          <w:rFonts w:ascii="Cambria" w:eastAsia="Calibri" w:hAnsi="Cambria" w:cs="Times New Roman"/>
          <w:b/>
          <w:sz w:val="24"/>
          <w:szCs w:val="24"/>
        </w:rPr>
        <w:t>ad with s</w:t>
      </w:r>
      <w:r w:rsidRPr="00A12D37">
        <w:rPr>
          <w:rFonts w:ascii="Cambria" w:eastAsia="Calibri" w:hAnsi="Cambria" w:cs="Times New Roman"/>
          <w:b/>
          <w:sz w:val="24"/>
          <w:szCs w:val="24"/>
        </w:rPr>
        <w:t>ustainability</w:t>
      </w:r>
      <w:r w:rsidR="00D82E36" w:rsidRPr="00A12D37">
        <w:rPr>
          <w:rFonts w:ascii="Cambria" w:eastAsia="Calibri" w:hAnsi="Cambria" w:cs="Times New Roman"/>
          <w:b/>
          <w:sz w:val="24"/>
          <w:szCs w:val="24"/>
        </w:rPr>
        <w:t xml:space="preserve"> massage</w:t>
      </w:r>
      <w:r w:rsidRPr="00A12D37">
        <w:rPr>
          <w:rFonts w:ascii="Cambria" w:eastAsia="Calibri" w:hAnsi="Cambria" w:cs="Times New Roman"/>
          <w:b/>
          <w:sz w:val="24"/>
          <w:szCs w:val="24"/>
        </w:rPr>
        <w:t xml:space="preserve">. </w:t>
      </w:r>
    </w:p>
    <w:p w14:paraId="28F79EB9" w14:textId="77777777" w:rsidR="00C7217E" w:rsidRPr="00A12D37"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sz w:val="24"/>
          <w:szCs w:val="24"/>
        </w:rPr>
        <w:t>Arousal:</w:t>
      </w:r>
    </w:p>
    <w:p w14:paraId="2988379D" w14:textId="69CA391B" w:rsidR="00E767AD" w:rsidRPr="00E24832" w:rsidRDefault="00C7217E">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 xml:space="preserve">State of arousal is positively related with the ‘level of information’ through the stimulus (Mehrbian 1996). </w:t>
      </w:r>
      <w:r w:rsidRPr="00A12D37">
        <w:rPr>
          <w:rFonts w:ascii="Cambria" w:hAnsi="Cambria"/>
          <w:sz w:val="24"/>
          <w:szCs w:val="24"/>
        </w:rPr>
        <w:t>This mental/ cognitive alertness, or arousal has proved to be higher for other cognitive activities like information reinforcement. P</w:t>
      </w:r>
      <w:r w:rsidRPr="00A12D37">
        <w:rPr>
          <w:rFonts w:ascii="Cambria" w:eastAsia="Calibri" w:hAnsi="Cambria" w:cs="Times New Roman"/>
          <w:sz w:val="24"/>
          <w:szCs w:val="24"/>
        </w:rPr>
        <w:t xml:space="preserve">ast experiences or learning history is linked with </w:t>
      </w:r>
      <w:r w:rsidRPr="00E24832">
        <w:rPr>
          <w:rFonts w:ascii="Cambria" w:eastAsia="Calibri" w:hAnsi="Cambria" w:cs="Times New Roman"/>
          <w:sz w:val="24"/>
          <w:szCs w:val="24"/>
        </w:rPr>
        <w:t>arousal dimension of PAD theory (Foxall and Yani–de–Soriano 2005).</w:t>
      </w:r>
      <w:r w:rsidR="004C38A5" w:rsidRPr="00E24832">
        <w:rPr>
          <w:rFonts w:ascii="Cambria" w:eastAsia="Calibri" w:hAnsi="Cambria" w:cs="Times New Roman"/>
          <w:sz w:val="24"/>
          <w:szCs w:val="24"/>
        </w:rPr>
        <w:t xml:space="preserve"> </w:t>
      </w:r>
    </w:p>
    <w:p w14:paraId="3E90DEE6" w14:textId="1F3E327E" w:rsidR="00C7217E" w:rsidRPr="00A12D37" w:rsidRDefault="00E767AD">
      <w:pPr>
        <w:spacing w:line="360" w:lineRule="auto"/>
        <w:jc w:val="both"/>
        <w:rPr>
          <w:rFonts w:ascii="Cambria" w:eastAsia="Calibri" w:hAnsi="Cambria" w:cs="Times New Roman"/>
          <w:b/>
          <w:sz w:val="24"/>
          <w:szCs w:val="24"/>
        </w:rPr>
      </w:pPr>
      <w:r w:rsidRPr="00E24832">
        <w:rPr>
          <w:rFonts w:ascii="Cambria" w:eastAsia="Calibri" w:hAnsi="Cambria" w:cs="Times New Roman"/>
          <w:sz w:val="24"/>
          <w:szCs w:val="24"/>
        </w:rPr>
        <w:t xml:space="preserve">On the other hand, SCV has the potentiality to predict learning as a form of cognitive information processing </w:t>
      </w:r>
      <w:r w:rsidRPr="00E24832">
        <w:rPr>
          <w:rFonts w:ascii="Cambria" w:hAnsi="Cambria"/>
          <w:sz w:val="24"/>
          <w:szCs w:val="24"/>
        </w:rPr>
        <w:t xml:space="preserve">(Yim et al 2018). </w:t>
      </w:r>
      <w:r w:rsidRPr="00E24832">
        <w:rPr>
          <w:rFonts w:ascii="Cambria" w:eastAsia="Calibri" w:hAnsi="Cambria" w:cs="Times New Roman"/>
          <w:sz w:val="24"/>
          <w:szCs w:val="24"/>
        </w:rPr>
        <w:t xml:space="preserve">The cognitive/ information processing aspect of mental processing proved SCV a predictor of arousal, because arousal increases with the repeated exposure of information regarding consumption situation (Yani–de–Soriano et al 2013). </w:t>
      </w:r>
      <w:r w:rsidR="00756F4C" w:rsidRPr="00E24832">
        <w:rPr>
          <w:rFonts w:ascii="Cambria" w:hAnsi="Cambria"/>
          <w:sz w:val="24"/>
          <w:szCs w:val="24"/>
        </w:rPr>
        <w:t>T</w:t>
      </w:r>
      <w:r w:rsidR="00C7217E" w:rsidRPr="00E24832">
        <w:rPr>
          <w:rFonts w:ascii="Cambria" w:eastAsia="Calibri" w:hAnsi="Cambria" w:cs="Times New Roman"/>
          <w:sz w:val="24"/>
          <w:szCs w:val="24"/>
        </w:rPr>
        <w:t xml:space="preserve">his cognitive information processing may act as an informational reinforcement, which in turn generate arousal (Foxall et al 2005). </w:t>
      </w:r>
      <w:r w:rsidR="00C7217E" w:rsidRPr="00E24832">
        <w:rPr>
          <w:rFonts w:ascii="Cambria" w:hAnsi="Cambria"/>
          <w:sz w:val="24"/>
          <w:szCs w:val="24"/>
        </w:rPr>
        <w:t>On the top of that, ‘a</w:t>
      </w:r>
      <w:r w:rsidR="00C7217E" w:rsidRPr="00E24832">
        <w:rPr>
          <w:rFonts w:ascii="Cambria" w:eastAsia="Calibri" w:hAnsi="Cambria" w:cs="Times New Roman"/>
          <w:sz w:val="24"/>
          <w:szCs w:val="24"/>
        </w:rPr>
        <w:t>rousal' dimension is high for novel, complex, intense, unfamiliar, improbable, changing and uncertain consumption setting (Foxall et al 2005), which is true in the context of</w:t>
      </w:r>
      <w:r w:rsidR="00EF0DD5" w:rsidRPr="00E24832">
        <w:rPr>
          <w:rFonts w:ascii="Cambria" w:eastAsia="Calibri" w:hAnsi="Cambria" w:cs="Times New Roman"/>
          <w:sz w:val="24"/>
          <w:szCs w:val="24"/>
        </w:rPr>
        <w:t xml:space="preserve"> product with </w:t>
      </w:r>
      <w:r w:rsidR="00C7217E" w:rsidRPr="00E24832">
        <w:rPr>
          <w:rFonts w:ascii="Cambria" w:eastAsia="Calibri" w:hAnsi="Cambria" w:cs="Times New Roman"/>
          <w:sz w:val="24"/>
          <w:szCs w:val="24"/>
        </w:rPr>
        <w:t>sustainab</w:t>
      </w:r>
      <w:r w:rsidR="00EF0DD5" w:rsidRPr="00E24832">
        <w:rPr>
          <w:rFonts w:ascii="Cambria" w:eastAsia="Calibri" w:hAnsi="Cambria" w:cs="Times New Roman"/>
          <w:sz w:val="24"/>
          <w:szCs w:val="24"/>
        </w:rPr>
        <w:t>ility association</w:t>
      </w:r>
      <w:r w:rsidR="00C7217E" w:rsidRPr="00E24832">
        <w:rPr>
          <w:rFonts w:ascii="Cambria" w:eastAsia="Calibri" w:hAnsi="Cambria" w:cs="Times New Roman"/>
          <w:sz w:val="24"/>
          <w:szCs w:val="24"/>
        </w:rPr>
        <w:t xml:space="preserve">. Because </w:t>
      </w:r>
      <w:r w:rsidR="00EF0DD5" w:rsidRPr="00E24832">
        <w:rPr>
          <w:rFonts w:ascii="Cambria" w:eastAsia="Calibri" w:hAnsi="Cambria" w:cs="Times New Roman"/>
          <w:sz w:val="24"/>
          <w:szCs w:val="24"/>
        </w:rPr>
        <w:t xml:space="preserve">These types of </w:t>
      </w:r>
      <w:r w:rsidR="00C7217E" w:rsidRPr="00E24832">
        <w:rPr>
          <w:rFonts w:ascii="Cambria" w:eastAsia="Calibri" w:hAnsi="Cambria" w:cs="Times New Roman"/>
          <w:sz w:val="24"/>
          <w:szCs w:val="24"/>
        </w:rPr>
        <w:t>product</w:t>
      </w:r>
      <w:r w:rsidR="00EF0DD5" w:rsidRPr="00E24832">
        <w:rPr>
          <w:rFonts w:ascii="Cambria" w:eastAsia="Calibri" w:hAnsi="Cambria" w:cs="Times New Roman"/>
          <w:sz w:val="24"/>
          <w:szCs w:val="24"/>
        </w:rPr>
        <w:t>s</w:t>
      </w:r>
      <w:r w:rsidR="00C7217E" w:rsidRPr="00E24832">
        <w:rPr>
          <w:rFonts w:ascii="Cambria" w:eastAsia="Calibri" w:hAnsi="Cambria" w:cs="Times New Roman"/>
          <w:sz w:val="24"/>
          <w:szCs w:val="24"/>
        </w:rPr>
        <w:t xml:space="preserve"> </w:t>
      </w:r>
      <w:r w:rsidR="00EF0DD5" w:rsidRPr="00E24832">
        <w:rPr>
          <w:rFonts w:ascii="Cambria" w:eastAsia="Calibri" w:hAnsi="Cambria" w:cs="Times New Roman"/>
          <w:sz w:val="24"/>
          <w:szCs w:val="24"/>
        </w:rPr>
        <w:t>are</w:t>
      </w:r>
      <w:r w:rsidR="00C7217E" w:rsidRPr="00E24832">
        <w:rPr>
          <w:rFonts w:ascii="Cambria" w:eastAsia="Calibri" w:hAnsi="Cambria" w:cs="Times New Roman"/>
          <w:sz w:val="24"/>
          <w:szCs w:val="24"/>
        </w:rPr>
        <w:t xml:space="preserve"> considered as novelty product (Jung et al. 2016) along with the fact that they are also considered as unfamiliar and complex due to lack of understating of their features (</w:t>
      </w:r>
      <w:r w:rsidR="00C7217E" w:rsidRPr="00E24832">
        <w:rPr>
          <w:rFonts w:ascii="Cambria" w:eastAsia="Calibri" w:hAnsi="Cambria" w:cs="Adobe Devanagari"/>
          <w:sz w:val="24"/>
          <w:szCs w:val="24"/>
        </w:rPr>
        <w:t>Luchs and Kumar 2017)</w:t>
      </w:r>
      <w:r w:rsidR="00C7217E" w:rsidRPr="00E24832">
        <w:rPr>
          <w:rFonts w:ascii="Cambria" w:eastAsia="Calibri" w:hAnsi="Cambria" w:cs="Times New Roman"/>
          <w:sz w:val="24"/>
          <w:szCs w:val="24"/>
        </w:rPr>
        <w:t>.</w:t>
      </w:r>
      <w:r w:rsidR="00F140D8" w:rsidRPr="00E24832">
        <w:rPr>
          <w:rFonts w:ascii="Cambria" w:eastAsia="Calibri" w:hAnsi="Cambria" w:cs="Times New Roman"/>
          <w:sz w:val="24"/>
          <w:szCs w:val="24"/>
        </w:rPr>
        <w:t xml:space="preserve"> </w:t>
      </w:r>
      <w:r w:rsidRPr="00E24832">
        <w:rPr>
          <w:rFonts w:ascii="Cambria" w:eastAsia="Calibri" w:hAnsi="Cambria" w:cs="Times New Roman"/>
          <w:sz w:val="24"/>
          <w:szCs w:val="24"/>
        </w:rPr>
        <w:t>In the context of this thesis, exposure of the information is inevitable when exposed to the ad with sustainability message in social media. Moreover,</w:t>
      </w:r>
      <w:r w:rsidR="004C38A5" w:rsidRPr="00E24832">
        <w:rPr>
          <w:rFonts w:ascii="Cambria" w:eastAsia="Calibri" w:hAnsi="Cambria" w:cs="Times New Roman"/>
          <w:sz w:val="24"/>
          <w:szCs w:val="24"/>
        </w:rPr>
        <w:t xml:space="preserve"> </w:t>
      </w:r>
      <w:r w:rsidR="00785A10" w:rsidRPr="00E24832">
        <w:rPr>
          <w:rFonts w:ascii="Cambria" w:eastAsia="Calibri" w:hAnsi="Cambria" w:cs="Times New Roman"/>
          <w:sz w:val="24"/>
          <w:szCs w:val="24"/>
        </w:rPr>
        <w:t xml:space="preserve">SCV </w:t>
      </w:r>
      <w:r w:rsidR="00ED32D3" w:rsidRPr="00E24832">
        <w:rPr>
          <w:rFonts w:ascii="Cambria" w:eastAsia="Calibri" w:hAnsi="Cambria" w:cs="Times New Roman"/>
          <w:sz w:val="24"/>
          <w:szCs w:val="24"/>
        </w:rPr>
        <w:t xml:space="preserve">initiated by </w:t>
      </w:r>
      <w:r w:rsidR="00F140D8" w:rsidRPr="00E24832">
        <w:rPr>
          <w:rFonts w:ascii="Cambria" w:eastAsia="Calibri" w:hAnsi="Cambria" w:cs="Times New Roman"/>
          <w:sz w:val="24"/>
          <w:szCs w:val="24"/>
        </w:rPr>
        <w:t xml:space="preserve">the ad with sustainability message </w:t>
      </w:r>
      <w:r w:rsidR="009F6EAA" w:rsidRPr="00E24832">
        <w:rPr>
          <w:rFonts w:ascii="Cambria" w:eastAsia="Calibri" w:hAnsi="Cambria" w:cs="Times New Roman"/>
          <w:sz w:val="24"/>
          <w:szCs w:val="24"/>
        </w:rPr>
        <w:t xml:space="preserve">acts as </w:t>
      </w:r>
      <w:r w:rsidR="00723E3B" w:rsidRPr="00E24832">
        <w:rPr>
          <w:rFonts w:ascii="Cambria" w:eastAsia="Calibri" w:hAnsi="Cambria" w:cs="Times New Roman"/>
          <w:sz w:val="24"/>
          <w:szCs w:val="24"/>
        </w:rPr>
        <w:t xml:space="preserve">a source </w:t>
      </w:r>
      <w:r w:rsidR="00723E3B" w:rsidRPr="00A12D37">
        <w:rPr>
          <w:rFonts w:ascii="Cambria" w:eastAsia="Calibri" w:hAnsi="Cambria" w:cs="Times New Roman"/>
          <w:sz w:val="24"/>
          <w:szCs w:val="24"/>
        </w:rPr>
        <w:t>of information</w:t>
      </w:r>
      <w:r w:rsidR="00ED32D3" w:rsidRPr="00A12D37">
        <w:rPr>
          <w:rFonts w:ascii="Cambria" w:eastAsia="Calibri" w:hAnsi="Cambria" w:cs="Times New Roman"/>
          <w:sz w:val="24"/>
          <w:szCs w:val="24"/>
        </w:rPr>
        <w:t xml:space="preserve"> and </w:t>
      </w:r>
      <w:r w:rsidR="000A28F8" w:rsidRPr="00A12D37">
        <w:rPr>
          <w:rFonts w:ascii="Cambria" w:eastAsia="Calibri" w:hAnsi="Cambria" w:cs="Times New Roman"/>
          <w:sz w:val="24"/>
          <w:szCs w:val="24"/>
        </w:rPr>
        <w:t xml:space="preserve">facilitate the </w:t>
      </w:r>
      <w:r w:rsidR="00500552" w:rsidRPr="00A12D37">
        <w:rPr>
          <w:rFonts w:ascii="Cambria" w:eastAsia="Calibri" w:hAnsi="Cambria" w:cs="Times New Roman"/>
          <w:sz w:val="24"/>
          <w:szCs w:val="24"/>
        </w:rPr>
        <w:t>cognitive processing of information</w:t>
      </w:r>
      <w:r w:rsidR="007C6106" w:rsidRPr="00A12D37">
        <w:rPr>
          <w:rFonts w:ascii="Cambria" w:eastAsia="Calibri" w:hAnsi="Cambria" w:cs="Times New Roman"/>
          <w:sz w:val="24"/>
          <w:szCs w:val="24"/>
        </w:rPr>
        <w:t xml:space="preserve"> (</w:t>
      </w:r>
      <w:r w:rsidR="005420F5" w:rsidRPr="00A12D37">
        <w:rPr>
          <w:rFonts w:ascii="Cambria" w:eastAsia="Calibri" w:hAnsi="Cambria" w:cs="Times New Roman"/>
          <w:sz w:val="24"/>
          <w:szCs w:val="24"/>
        </w:rPr>
        <w:t>i.e.,</w:t>
      </w:r>
      <w:r w:rsidR="007C6106" w:rsidRPr="00A12D37">
        <w:rPr>
          <w:rFonts w:ascii="Cambria" w:eastAsia="Calibri" w:hAnsi="Cambria" w:cs="Times New Roman"/>
          <w:sz w:val="24"/>
          <w:szCs w:val="24"/>
        </w:rPr>
        <w:t xml:space="preserve"> make consumer feel aroused)</w:t>
      </w:r>
      <w:r w:rsidR="00500552" w:rsidRPr="00A12D37">
        <w:rPr>
          <w:rFonts w:ascii="Cambria" w:eastAsia="Calibri" w:hAnsi="Cambria" w:cs="Times New Roman"/>
          <w:sz w:val="24"/>
          <w:szCs w:val="24"/>
        </w:rPr>
        <w:t>.</w:t>
      </w:r>
      <w:r w:rsidR="000A28F8" w:rsidRPr="00A12D37">
        <w:rPr>
          <w:rFonts w:ascii="Cambria" w:eastAsia="Calibri" w:hAnsi="Cambria" w:cs="Times New Roman"/>
          <w:sz w:val="24"/>
          <w:szCs w:val="24"/>
        </w:rPr>
        <w:t xml:space="preserve"> </w:t>
      </w:r>
      <w:r w:rsidR="00C7217E" w:rsidRPr="00A12D37">
        <w:rPr>
          <w:rFonts w:ascii="Cambria" w:eastAsia="Calibri" w:hAnsi="Cambria" w:cs="Times New Roman"/>
          <w:sz w:val="24"/>
          <w:szCs w:val="24"/>
        </w:rPr>
        <w:t xml:space="preserve"> This leads to the idea the more vividly the</w:t>
      </w:r>
      <w:r w:rsidR="00893087" w:rsidRPr="00A12D37">
        <w:rPr>
          <w:rFonts w:ascii="Cambria" w:eastAsia="Calibri" w:hAnsi="Cambria" w:cs="Times New Roman"/>
          <w:sz w:val="24"/>
          <w:szCs w:val="24"/>
        </w:rPr>
        <w:t xml:space="preserve"> consumers</w:t>
      </w:r>
      <w:r w:rsidR="00C7217E" w:rsidRPr="00A12D37">
        <w:rPr>
          <w:rFonts w:ascii="Cambria" w:eastAsia="Calibri" w:hAnsi="Cambria" w:cs="Times New Roman"/>
          <w:sz w:val="24"/>
          <w:szCs w:val="24"/>
        </w:rPr>
        <w:t xml:space="preserve"> can envision the mental image, the more arouse</w:t>
      </w:r>
      <w:r w:rsidR="00D82E36" w:rsidRPr="00A12D37">
        <w:rPr>
          <w:rFonts w:ascii="Cambria" w:eastAsia="Calibri" w:hAnsi="Cambria" w:cs="Times New Roman"/>
          <w:sz w:val="24"/>
          <w:szCs w:val="24"/>
        </w:rPr>
        <w:t>d</w:t>
      </w:r>
      <w:r w:rsidR="00C7217E" w:rsidRPr="00A12D37">
        <w:rPr>
          <w:rFonts w:ascii="Cambria" w:eastAsia="Calibri" w:hAnsi="Cambria" w:cs="Times New Roman"/>
          <w:sz w:val="24"/>
          <w:szCs w:val="24"/>
        </w:rPr>
        <w:t xml:space="preserve"> they should be. </w:t>
      </w:r>
    </w:p>
    <w:p w14:paraId="56C3E02A" w14:textId="315EE21F" w:rsidR="00C7217E" w:rsidRPr="00A12D37"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bCs/>
          <w:sz w:val="24"/>
          <w:szCs w:val="24"/>
        </w:rPr>
        <w:t>H</w:t>
      </w:r>
      <w:r w:rsidRPr="00A12D37">
        <w:rPr>
          <w:rFonts w:ascii="Cambria" w:eastAsia="Calibri" w:hAnsi="Cambria" w:cs="Times New Roman"/>
          <w:b/>
          <w:bCs/>
          <w:sz w:val="24"/>
          <w:szCs w:val="24"/>
          <w:vertAlign w:val="subscript"/>
        </w:rPr>
        <w:t>8</w:t>
      </w:r>
      <w:r w:rsidRPr="00A12D37">
        <w:rPr>
          <w:rFonts w:ascii="Cambria" w:eastAsia="Calibri" w:hAnsi="Cambria" w:cs="Times New Roman"/>
          <w:b/>
          <w:sz w:val="24"/>
          <w:szCs w:val="24"/>
        </w:rPr>
        <w:t xml:space="preserve">:  SCV will positively and significantly influence level of arousal towards </w:t>
      </w:r>
      <w:r w:rsidR="00D82E36" w:rsidRPr="00A12D37">
        <w:rPr>
          <w:rFonts w:ascii="Cambria" w:eastAsia="Calibri" w:hAnsi="Cambria" w:cs="Times New Roman"/>
          <w:b/>
          <w:sz w:val="24"/>
          <w:szCs w:val="24"/>
        </w:rPr>
        <w:t>ad with sustainability massage</w:t>
      </w:r>
    </w:p>
    <w:p w14:paraId="337B9775" w14:textId="77777777" w:rsidR="00C7217E" w:rsidRPr="00A12D37" w:rsidRDefault="00C7217E">
      <w:pPr>
        <w:spacing w:line="360" w:lineRule="auto"/>
        <w:jc w:val="both"/>
        <w:rPr>
          <w:rFonts w:ascii="Cambria" w:eastAsia="Calibri" w:hAnsi="Cambria" w:cs="Times New Roman"/>
          <w:sz w:val="24"/>
          <w:szCs w:val="24"/>
        </w:rPr>
      </w:pPr>
      <w:r w:rsidRPr="00A12D37">
        <w:rPr>
          <w:rFonts w:ascii="Cambria" w:eastAsia="Calibri" w:hAnsi="Cambria" w:cs="Times New Roman"/>
          <w:b/>
          <w:sz w:val="24"/>
          <w:szCs w:val="24"/>
        </w:rPr>
        <w:t>Dominance</w:t>
      </w:r>
      <w:r w:rsidRPr="00A12D37">
        <w:rPr>
          <w:rFonts w:ascii="Cambria" w:eastAsia="Calibri" w:hAnsi="Cambria" w:cs="Times New Roman"/>
          <w:sz w:val="24"/>
          <w:szCs w:val="24"/>
        </w:rPr>
        <w:t xml:space="preserve">: </w:t>
      </w:r>
    </w:p>
    <w:p w14:paraId="23241B8E" w14:textId="61E145BE" w:rsidR="00A67232" w:rsidRPr="00A12D37" w:rsidRDefault="00C7217E">
      <w:pPr>
        <w:spacing w:line="360" w:lineRule="auto"/>
        <w:jc w:val="both"/>
        <w:rPr>
          <w:rFonts w:ascii="Cambria" w:eastAsia="Calibri" w:hAnsi="Cambria" w:cs="Times New Roman"/>
          <w:sz w:val="24"/>
          <w:szCs w:val="24"/>
        </w:rPr>
      </w:pPr>
      <w:r w:rsidRPr="00A12D37">
        <w:rPr>
          <w:rFonts w:ascii="Cambria" w:hAnsi="Cambria"/>
          <w:sz w:val="24"/>
          <w:szCs w:val="24"/>
        </w:rPr>
        <w:t xml:space="preserve">Dominance refers to the degree of freedom to act (Bakker et al 2014). </w:t>
      </w:r>
      <w:r w:rsidR="00DF64B2" w:rsidRPr="00A12D37">
        <w:rPr>
          <w:rFonts w:ascii="Cambria" w:hAnsi="Cambria"/>
          <w:sz w:val="24"/>
          <w:szCs w:val="24"/>
        </w:rPr>
        <w:t>On the other h</w:t>
      </w:r>
      <w:r w:rsidR="00DC2187" w:rsidRPr="00A12D37">
        <w:rPr>
          <w:rFonts w:ascii="Cambria" w:hAnsi="Cambria"/>
          <w:sz w:val="24"/>
          <w:szCs w:val="24"/>
        </w:rPr>
        <w:t>a</w:t>
      </w:r>
      <w:r w:rsidR="00DF64B2" w:rsidRPr="00A12D37">
        <w:rPr>
          <w:rFonts w:ascii="Cambria" w:hAnsi="Cambria"/>
          <w:sz w:val="24"/>
          <w:szCs w:val="24"/>
        </w:rPr>
        <w:t>nd, s</w:t>
      </w:r>
      <w:r w:rsidRPr="00A12D37">
        <w:rPr>
          <w:rFonts w:ascii="Cambria" w:hAnsi="Cambria"/>
          <w:sz w:val="24"/>
          <w:szCs w:val="24"/>
        </w:rPr>
        <w:t>ince SCV represents the mental image of consuming a product, consumers should have a proper understanding of their consumption act in a particular way (</w:t>
      </w:r>
      <w:r w:rsidRPr="00A12D37">
        <w:rPr>
          <w:rFonts w:ascii="Cambria" w:eastAsia="Calibri" w:hAnsi="Cambria" w:cs="Times New Roman"/>
          <w:sz w:val="24"/>
          <w:szCs w:val="24"/>
        </w:rPr>
        <w:t xml:space="preserve">Christensen et al 2004; Phillips et al 1995; </w:t>
      </w:r>
      <w:r w:rsidRPr="00A12D37">
        <w:rPr>
          <w:rFonts w:ascii="Cambria" w:hAnsi="Cambria"/>
          <w:sz w:val="24"/>
          <w:szCs w:val="24"/>
        </w:rPr>
        <w:t>Yim et al 2018). This makes SCV an antecedent to the feelings of freedom to act. I</w:t>
      </w:r>
      <w:r w:rsidRPr="00A12D37">
        <w:rPr>
          <w:rFonts w:ascii="Cambria" w:eastAsia="Calibri" w:hAnsi="Cambria" w:cs="Times New Roman"/>
          <w:sz w:val="24"/>
          <w:szCs w:val="24"/>
        </w:rPr>
        <w:t xml:space="preserve">ndividuals even project themselves </w:t>
      </w:r>
      <w:r w:rsidRPr="00A12D37">
        <w:rPr>
          <w:rFonts w:ascii="Cambria" w:hAnsi="Cambria"/>
          <w:sz w:val="24"/>
          <w:szCs w:val="24"/>
        </w:rPr>
        <w:t xml:space="preserve">not only in consumption situation, but also in </w:t>
      </w:r>
      <w:r w:rsidRPr="00A12D37">
        <w:rPr>
          <w:rFonts w:ascii="Cambria" w:eastAsia="Calibri" w:hAnsi="Cambria" w:cs="Times New Roman"/>
          <w:sz w:val="24"/>
          <w:szCs w:val="24"/>
        </w:rPr>
        <w:t>problems that they expect to encounter and act accordingly (Hirschman 1983).</w:t>
      </w:r>
      <w:r w:rsidR="00A7547C" w:rsidRPr="00A7547C">
        <w:rPr>
          <w:rFonts w:ascii="Cambria" w:eastAsia="Calibri" w:hAnsi="Cambria" w:cs="Times New Roman"/>
          <w:sz w:val="24"/>
          <w:szCs w:val="24"/>
        </w:rPr>
        <w:t xml:space="preserve"> </w:t>
      </w:r>
      <w:r w:rsidR="00A7547C" w:rsidRPr="00A12D37">
        <w:rPr>
          <w:rFonts w:ascii="Cambria" w:eastAsia="Calibri" w:hAnsi="Cambria" w:cs="Times New Roman"/>
          <w:sz w:val="24"/>
          <w:szCs w:val="24"/>
        </w:rPr>
        <w:t>SCV represents the mental image, when consumers picture themselves consuming the product (Yim et al 2018). So, visualising themselves at the event of consumption, should give them a better understanding of the consequence and product related behaviour (Walker and Olson 1997). This way SCV should understand and imagine the degree of freedom of how to behave, which otherwise known as ‘dominance’ (Bakker et al 2014)</w:t>
      </w:r>
      <w:r w:rsidR="00A7547C">
        <w:rPr>
          <w:rFonts w:ascii="Cambria" w:eastAsia="Calibri" w:hAnsi="Cambria" w:cs="Times New Roman"/>
          <w:sz w:val="24"/>
          <w:szCs w:val="24"/>
        </w:rPr>
        <w:t>.</w:t>
      </w:r>
      <w:r w:rsidR="00C77F78" w:rsidRPr="00A12D37">
        <w:rPr>
          <w:rFonts w:ascii="Cambria" w:eastAsia="Calibri" w:hAnsi="Cambria" w:cs="Times New Roman"/>
          <w:sz w:val="24"/>
          <w:szCs w:val="24"/>
        </w:rPr>
        <w:t xml:space="preserve"> </w:t>
      </w:r>
      <w:r w:rsidR="00E645E3" w:rsidRPr="00A12D37">
        <w:rPr>
          <w:rFonts w:ascii="Cambria" w:eastAsia="Calibri" w:hAnsi="Cambria" w:cs="Times New Roman"/>
          <w:sz w:val="24"/>
          <w:szCs w:val="24"/>
        </w:rPr>
        <w:t xml:space="preserve">This implies that, envisioning themselves in </w:t>
      </w:r>
      <w:r w:rsidR="002D474E" w:rsidRPr="00A12D37">
        <w:rPr>
          <w:rFonts w:ascii="Cambria" w:eastAsia="Calibri" w:hAnsi="Cambria" w:cs="Times New Roman"/>
          <w:sz w:val="24"/>
          <w:szCs w:val="24"/>
        </w:rPr>
        <w:t>consumption situation (</w:t>
      </w:r>
      <w:r w:rsidR="005420F5" w:rsidRPr="00A12D37">
        <w:rPr>
          <w:rFonts w:ascii="Cambria" w:eastAsia="Calibri" w:hAnsi="Cambria" w:cs="Times New Roman"/>
          <w:sz w:val="24"/>
          <w:szCs w:val="24"/>
        </w:rPr>
        <w:t>i.e.,</w:t>
      </w:r>
      <w:r w:rsidR="002D474E" w:rsidRPr="00A12D37">
        <w:rPr>
          <w:rFonts w:ascii="Cambria" w:eastAsia="Calibri" w:hAnsi="Cambria" w:cs="Times New Roman"/>
          <w:sz w:val="24"/>
          <w:szCs w:val="24"/>
        </w:rPr>
        <w:t xml:space="preserve"> SCV) will </w:t>
      </w:r>
      <w:r w:rsidR="00DB58AC" w:rsidRPr="00A12D37">
        <w:rPr>
          <w:rFonts w:ascii="Cambria" w:eastAsia="Calibri" w:hAnsi="Cambria" w:cs="Times New Roman"/>
          <w:sz w:val="24"/>
          <w:szCs w:val="24"/>
        </w:rPr>
        <w:t xml:space="preserve">enable the consumers to have feelings </w:t>
      </w:r>
      <w:r w:rsidR="008B31B9" w:rsidRPr="00A12D37">
        <w:rPr>
          <w:rFonts w:ascii="Cambria" w:eastAsia="Calibri" w:hAnsi="Cambria" w:cs="Times New Roman"/>
          <w:sz w:val="24"/>
          <w:szCs w:val="24"/>
        </w:rPr>
        <w:t>of having control over the situation (</w:t>
      </w:r>
      <w:r w:rsidR="005420F5" w:rsidRPr="00A12D37">
        <w:rPr>
          <w:rFonts w:ascii="Cambria" w:eastAsia="Calibri" w:hAnsi="Cambria" w:cs="Times New Roman"/>
          <w:sz w:val="24"/>
          <w:szCs w:val="24"/>
        </w:rPr>
        <w:t>i.e.,</w:t>
      </w:r>
      <w:r w:rsidR="008B31B9" w:rsidRPr="00A12D37">
        <w:rPr>
          <w:rFonts w:ascii="Cambria" w:eastAsia="Calibri" w:hAnsi="Cambria" w:cs="Times New Roman"/>
          <w:sz w:val="24"/>
          <w:szCs w:val="24"/>
        </w:rPr>
        <w:t xml:space="preserve"> dominance).</w:t>
      </w:r>
    </w:p>
    <w:p w14:paraId="276E2212" w14:textId="006F2D4C" w:rsidR="00C7217E" w:rsidRPr="00530906" w:rsidRDefault="00A76D32">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S</w:t>
      </w:r>
      <w:r w:rsidR="00A67232" w:rsidRPr="00A12D37">
        <w:rPr>
          <w:rFonts w:ascii="Cambria" w:eastAsia="Calibri" w:hAnsi="Cambria" w:cs="Times New Roman"/>
          <w:sz w:val="24"/>
          <w:szCs w:val="24"/>
        </w:rPr>
        <w:t>ustainability</w:t>
      </w:r>
      <w:r w:rsidRPr="00A12D37">
        <w:rPr>
          <w:rFonts w:ascii="Cambria" w:eastAsia="Calibri" w:hAnsi="Cambria" w:cs="Times New Roman"/>
          <w:sz w:val="24"/>
          <w:szCs w:val="24"/>
        </w:rPr>
        <w:t xml:space="preserve"> literature suggests</w:t>
      </w:r>
      <w:r w:rsidR="00E44A51" w:rsidRPr="00A12D37">
        <w:rPr>
          <w:rFonts w:ascii="Cambria" w:eastAsia="Calibri" w:hAnsi="Cambria" w:cs="Times New Roman"/>
          <w:sz w:val="24"/>
          <w:szCs w:val="24"/>
        </w:rPr>
        <w:t xml:space="preserve">, </w:t>
      </w:r>
      <w:r w:rsidR="00A67232" w:rsidRPr="00A12D37">
        <w:rPr>
          <w:rFonts w:ascii="Cambria" w:eastAsia="Calibri" w:hAnsi="Cambria" w:cs="Times New Roman"/>
          <w:sz w:val="24"/>
          <w:szCs w:val="24"/>
        </w:rPr>
        <w:t>i</w:t>
      </w:r>
      <w:r w:rsidR="00C7217E" w:rsidRPr="00A12D37">
        <w:rPr>
          <w:rFonts w:ascii="Cambria" w:eastAsia="Calibri" w:hAnsi="Cambria" w:cs="Times New Roman"/>
          <w:sz w:val="24"/>
          <w:szCs w:val="24"/>
        </w:rPr>
        <w:t>f the consumers believe that they cannot control the situation, the intention to adopt sustainable behaviour will also diminish (Johnstone and Tan 2015). Consumers face uncertainty to choose sustainable products on the basis of their attributes and price</w:t>
      </w:r>
      <w:r w:rsidR="00A12066" w:rsidRPr="00A12D37">
        <w:rPr>
          <w:rFonts w:ascii="Cambria" w:eastAsia="Calibri" w:hAnsi="Cambria" w:cs="Times New Roman"/>
          <w:sz w:val="24"/>
          <w:szCs w:val="24"/>
        </w:rPr>
        <w:t xml:space="preserve"> due to</w:t>
      </w:r>
      <w:r w:rsidR="00E81607" w:rsidRPr="00A12D37">
        <w:rPr>
          <w:rFonts w:ascii="Cambria" w:eastAsia="Calibri" w:hAnsi="Cambria" w:cs="Times New Roman"/>
          <w:sz w:val="24"/>
          <w:szCs w:val="24"/>
        </w:rPr>
        <w:t xml:space="preserve"> lack of </w:t>
      </w:r>
      <w:r w:rsidR="003D6741" w:rsidRPr="00A12D37">
        <w:rPr>
          <w:rFonts w:ascii="Cambria" w:eastAsia="Calibri" w:hAnsi="Cambria" w:cs="Times New Roman"/>
          <w:sz w:val="24"/>
          <w:szCs w:val="24"/>
        </w:rPr>
        <w:t>information (</w:t>
      </w:r>
      <w:r w:rsidR="0038784B" w:rsidRPr="00A12D37">
        <w:rPr>
          <w:rFonts w:ascii="Cambria" w:eastAsia="Calibri" w:hAnsi="Cambria" w:cs="Adobe Devanagari"/>
          <w:sz w:val="24"/>
          <w:szCs w:val="24"/>
        </w:rPr>
        <w:t>Luchs et al 2010</w:t>
      </w:r>
      <w:r w:rsidR="00A12066" w:rsidRPr="00A12D37">
        <w:rPr>
          <w:rFonts w:ascii="Cambria" w:eastAsia="Calibri" w:hAnsi="Cambria" w:cs="Adobe Devanagari"/>
          <w:sz w:val="24"/>
          <w:szCs w:val="24"/>
        </w:rPr>
        <w:t>)</w:t>
      </w:r>
      <w:r w:rsidR="00C7217E" w:rsidRPr="00A12D37">
        <w:rPr>
          <w:rFonts w:ascii="Cambria" w:eastAsia="Calibri" w:hAnsi="Cambria" w:cs="Times New Roman"/>
          <w:sz w:val="24"/>
          <w:szCs w:val="24"/>
        </w:rPr>
        <w:t xml:space="preserve">. In this situation, </w:t>
      </w:r>
      <w:r w:rsidR="008D6460" w:rsidRPr="00A12D37">
        <w:rPr>
          <w:rFonts w:ascii="Cambria" w:eastAsia="Calibri" w:hAnsi="Cambria" w:cs="Times New Roman"/>
          <w:sz w:val="24"/>
          <w:szCs w:val="24"/>
        </w:rPr>
        <w:t>info</w:t>
      </w:r>
      <w:r w:rsidR="00C7217E" w:rsidRPr="00A12D37">
        <w:rPr>
          <w:rFonts w:ascii="Cambria" w:eastAsia="Calibri" w:hAnsi="Cambria" w:cs="Times New Roman"/>
          <w:sz w:val="24"/>
          <w:szCs w:val="24"/>
        </w:rPr>
        <w:t xml:space="preserve">rmation about how their attainable actions can be helpful </w:t>
      </w:r>
      <w:r w:rsidR="003D6741" w:rsidRPr="00A12D37">
        <w:rPr>
          <w:rFonts w:ascii="Cambria" w:eastAsia="Calibri" w:hAnsi="Cambria" w:cs="Times New Roman"/>
          <w:sz w:val="24"/>
          <w:szCs w:val="24"/>
        </w:rPr>
        <w:t>to achieve</w:t>
      </w:r>
      <w:r w:rsidR="008D6460" w:rsidRPr="00A12D37">
        <w:rPr>
          <w:rFonts w:ascii="Cambria" w:eastAsia="Calibri" w:hAnsi="Cambria" w:cs="Times New Roman"/>
          <w:sz w:val="24"/>
          <w:szCs w:val="24"/>
        </w:rPr>
        <w:t xml:space="preserve"> sustainability </w:t>
      </w:r>
      <w:r w:rsidR="00C7217E" w:rsidRPr="00A12D37">
        <w:rPr>
          <w:rFonts w:ascii="Cambria" w:eastAsia="Calibri" w:hAnsi="Cambria" w:cs="Times New Roman"/>
          <w:sz w:val="24"/>
          <w:szCs w:val="24"/>
        </w:rPr>
        <w:t xml:space="preserve">in the form of caption and the </w:t>
      </w:r>
      <w:r w:rsidR="00E221E3" w:rsidRPr="00A12D37">
        <w:rPr>
          <w:rFonts w:ascii="Cambria" w:eastAsia="Calibri" w:hAnsi="Cambria" w:cs="Times New Roman"/>
          <w:sz w:val="24"/>
          <w:szCs w:val="24"/>
        </w:rPr>
        <w:t xml:space="preserve">ad with </w:t>
      </w:r>
      <w:r w:rsidR="00C7217E" w:rsidRPr="00A12D37">
        <w:rPr>
          <w:rFonts w:ascii="Cambria" w:eastAsia="Calibri" w:hAnsi="Cambria" w:cs="Times New Roman"/>
          <w:sz w:val="24"/>
          <w:szCs w:val="24"/>
        </w:rPr>
        <w:t>sustainab</w:t>
      </w:r>
      <w:r w:rsidR="0033721C" w:rsidRPr="00A12D37">
        <w:rPr>
          <w:rFonts w:ascii="Cambria" w:eastAsia="Calibri" w:hAnsi="Cambria" w:cs="Times New Roman"/>
          <w:sz w:val="24"/>
          <w:szCs w:val="24"/>
        </w:rPr>
        <w:t xml:space="preserve">ility </w:t>
      </w:r>
      <w:r w:rsidR="008D6460" w:rsidRPr="00A12D37">
        <w:rPr>
          <w:rFonts w:ascii="Cambria" w:eastAsia="Calibri" w:hAnsi="Cambria" w:cs="Times New Roman"/>
          <w:sz w:val="24"/>
          <w:szCs w:val="24"/>
        </w:rPr>
        <w:t>message</w:t>
      </w:r>
      <w:r w:rsidR="0033721C" w:rsidRPr="00A12D37">
        <w:rPr>
          <w:rFonts w:ascii="Cambria" w:eastAsia="Calibri" w:hAnsi="Cambria" w:cs="Times New Roman"/>
          <w:sz w:val="24"/>
          <w:szCs w:val="24"/>
        </w:rPr>
        <w:t xml:space="preserve"> </w:t>
      </w:r>
      <w:r w:rsidR="00C7217E" w:rsidRPr="00A12D37">
        <w:rPr>
          <w:rFonts w:ascii="Cambria" w:eastAsia="Calibri" w:hAnsi="Cambria" w:cs="Times New Roman"/>
          <w:sz w:val="24"/>
          <w:szCs w:val="24"/>
        </w:rPr>
        <w:t xml:space="preserve">may influence </w:t>
      </w:r>
      <w:r w:rsidR="003D6741" w:rsidRPr="00A12D37">
        <w:rPr>
          <w:rFonts w:ascii="Cambria" w:eastAsia="Calibri" w:hAnsi="Cambria" w:cs="Times New Roman"/>
          <w:sz w:val="24"/>
          <w:szCs w:val="24"/>
        </w:rPr>
        <w:t>consumers</w:t>
      </w:r>
      <w:r w:rsidR="00087103" w:rsidRPr="00A12D37">
        <w:rPr>
          <w:rFonts w:ascii="Cambria" w:eastAsia="Calibri" w:hAnsi="Cambria" w:cs="Times New Roman"/>
          <w:sz w:val="24"/>
          <w:szCs w:val="24"/>
        </w:rPr>
        <w:t xml:space="preserve">’ intention </w:t>
      </w:r>
      <w:r w:rsidR="002B3368" w:rsidRPr="00A12D37">
        <w:rPr>
          <w:rFonts w:ascii="Cambria" w:eastAsia="Calibri" w:hAnsi="Cambria" w:cs="Times New Roman"/>
          <w:sz w:val="24"/>
          <w:szCs w:val="24"/>
        </w:rPr>
        <w:t>to take actio</w:t>
      </w:r>
      <w:r w:rsidR="00087103" w:rsidRPr="00A12D37">
        <w:rPr>
          <w:rFonts w:ascii="Cambria" w:eastAsia="Calibri" w:hAnsi="Cambria" w:cs="Times New Roman"/>
          <w:sz w:val="24"/>
          <w:szCs w:val="24"/>
        </w:rPr>
        <w:t>n</w:t>
      </w:r>
      <w:r w:rsidR="00C7217E" w:rsidRPr="00A12D37">
        <w:rPr>
          <w:rFonts w:ascii="Cambria" w:eastAsia="Calibri" w:hAnsi="Cambria" w:cs="Times New Roman"/>
          <w:sz w:val="24"/>
          <w:szCs w:val="24"/>
        </w:rPr>
        <w:t xml:space="preserve"> (Thøgersen and Schrader 2012). </w:t>
      </w:r>
      <w:r w:rsidR="00087103" w:rsidRPr="00A12D37">
        <w:rPr>
          <w:rFonts w:ascii="Cambria" w:eastAsia="Calibri" w:hAnsi="Cambria" w:cs="Times New Roman"/>
          <w:sz w:val="24"/>
          <w:szCs w:val="24"/>
        </w:rPr>
        <w:t xml:space="preserve">The heightened interest </w:t>
      </w:r>
      <w:r w:rsidR="00AD488B" w:rsidRPr="00A12D37">
        <w:rPr>
          <w:rFonts w:ascii="Cambria" w:eastAsia="Calibri" w:hAnsi="Cambria" w:cs="Times New Roman"/>
          <w:sz w:val="24"/>
          <w:szCs w:val="24"/>
        </w:rPr>
        <w:t>of the consumers increases the feelings of dominance</w:t>
      </w:r>
      <w:r w:rsidR="00F652DB" w:rsidRPr="00A12D37">
        <w:rPr>
          <w:rFonts w:ascii="Cambria" w:eastAsia="Calibri" w:hAnsi="Cambria" w:cs="Times New Roman"/>
          <w:sz w:val="24"/>
          <w:szCs w:val="24"/>
        </w:rPr>
        <w:t>. Because research shows d</w:t>
      </w:r>
      <w:r w:rsidR="00C7217E" w:rsidRPr="00A12D37">
        <w:rPr>
          <w:rFonts w:ascii="Cambria" w:eastAsia="Calibri" w:hAnsi="Cambria" w:cs="Times New Roman"/>
          <w:sz w:val="24"/>
          <w:szCs w:val="24"/>
        </w:rPr>
        <w:t xml:space="preserve">ominance increases depending on the openness of the consumer behaviour setting (Foxall et al 2005). The feature of social media, which enables consumers to interact freely (Habibi et al., 2014; Schivinski et al. 2016), and visualisation of themselves </w:t>
      </w:r>
      <w:r w:rsidR="00C7217E" w:rsidRPr="00530906">
        <w:rPr>
          <w:rFonts w:ascii="Cambria" w:eastAsia="Calibri" w:hAnsi="Cambria" w:cs="Times New Roman"/>
          <w:sz w:val="24"/>
          <w:szCs w:val="24"/>
        </w:rPr>
        <w:t>at the event of consumption, should give them an understanding that how much possible it is to act that way. Hence it has been posited that SCV influences dominance.</w:t>
      </w:r>
    </w:p>
    <w:p w14:paraId="471DD9B7" w14:textId="04EB986D" w:rsidR="00C7217E" w:rsidRPr="00530906" w:rsidRDefault="00C7217E">
      <w:pPr>
        <w:spacing w:line="360" w:lineRule="auto"/>
        <w:jc w:val="both"/>
        <w:rPr>
          <w:rFonts w:ascii="Cambria" w:eastAsia="Calibri" w:hAnsi="Cambria" w:cs="Times New Roman"/>
          <w:b/>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9</w:t>
      </w:r>
      <w:r w:rsidRPr="00530906">
        <w:rPr>
          <w:rFonts w:ascii="Cambria" w:eastAsia="Calibri" w:hAnsi="Cambria" w:cs="Times New Roman"/>
          <w:b/>
          <w:sz w:val="24"/>
          <w:szCs w:val="24"/>
        </w:rPr>
        <w:t xml:space="preserve">: SCV will positively and significantly influence level of dominance towards </w:t>
      </w:r>
      <w:r w:rsidR="00F652DB">
        <w:rPr>
          <w:rFonts w:ascii="Cambria" w:eastAsia="Calibri" w:hAnsi="Cambria" w:cs="Times New Roman"/>
          <w:b/>
          <w:sz w:val="24"/>
          <w:szCs w:val="24"/>
        </w:rPr>
        <w:t xml:space="preserve">ad with </w:t>
      </w:r>
      <w:r w:rsidR="00A32D32">
        <w:rPr>
          <w:rFonts w:ascii="Cambria" w:eastAsia="Calibri" w:hAnsi="Cambria" w:cs="Times New Roman"/>
          <w:b/>
          <w:sz w:val="24"/>
          <w:szCs w:val="24"/>
        </w:rPr>
        <w:t>s</w:t>
      </w:r>
      <w:r w:rsidRPr="00530906">
        <w:rPr>
          <w:rFonts w:ascii="Cambria" w:eastAsia="Calibri" w:hAnsi="Cambria" w:cs="Times New Roman"/>
          <w:b/>
          <w:sz w:val="24"/>
          <w:szCs w:val="24"/>
        </w:rPr>
        <w:t>ustainability</w:t>
      </w:r>
      <w:r w:rsidR="00A037E0">
        <w:rPr>
          <w:rFonts w:ascii="Cambria" w:eastAsia="Calibri" w:hAnsi="Cambria" w:cs="Times New Roman"/>
          <w:b/>
          <w:sz w:val="24"/>
          <w:szCs w:val="24"/>
        </w:rPr>
        <w:t xml:space="preserve"> message</w:t>
      </w:r>
    </w:p>
    <w:p w14:paraId="5F361EC4" w14:textId="4921E63A" w:rsidR="00C7217E" w:rsidRPr="00530906" w:rsidRDefault="009A4CCA" w:rsidP="008756B1">
      <w:pPr>
        <w:pStyle w:val="Heading2"/>
        <w:jc w:val="both"/>
        <w:rPr>
          <w:rFonts w:ascii="Cambria" w:eastAsia="Calibri" w:hAnsi="Cambria"/>
        </w:rPr>
      </w:pPr>
      <w:bookmarkStart w:id="62" w:name="_Toc115726241"/>
      <w:r w:rsidRPr="00530906">
        <w:rPr>
          <w:rFonts w:ascii="Cambria" w:eastAsia="Calibri" w:hAnsi="Cambria"/>
        </w:rPr>
        <w:t>3.</w:t>
      </w:r>
      <w:r w:rsidR="00B31159">
        <w:rPr>
          <w:rFonts w:ascii="Cambria" w:eastAsia="Calibri" w:hAnsi="Cambria"/>
        </w:rPr>
        <w:t xml:space="preserve">7 </w:t>
      </w:r>
      <w:r w:rsidR="00915EC9">
        <w:rPr>
          <w:rFonts w:ascii="Cambria" w:eastAsia="Calibri" w:hAnsi="Cambria"/>
        </w:rPr>
        <w:t>Impact</w:t>
      </w:r>
      <w:r w:rsidR="00B31159">
        <w:rPr>
          <w:rFonts w:ascii="Cambria" w:eastAsia="Calibri" w:hAnsi="Cambria"/>
        </w:rPr>
        <w:t xml:space="preserve"> of Emotional dimensions (PAD) on </w:t>
      </w:r>
      <w:r w:rsidR="00C7217E" w:rsidRPr="00530906">
        <w:rPr>
          <w:rFonts w:ascii="Cambria" w:eastAsia="Calibri" w:hAnsi="Cambria"/>
        </w:rPr>
        <w:t>Ad attitude</w:t>
      </w:r>
      <w:bookmarkEnd w:id="62"/>
    </w:p>
    <w:p w14:paraId="64B0B48E" w14:textId="373DCF59" w:rsidR="00DB2477"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Positive feeling of pleasure (affective response), and arousal (cognitive response) has proved to result into favourable ad attitude and subsequent purchase decision (Yim, 2018). In the same way, in the context of </w:t>
      </w:r>
      <w:r w:rsidR="009D4FE8">
        <w:rPr>
          <w:rFonts w:ascii="Cambria" w:eastAsia="Calibri" w:hAnsi="Cambria" w:cs="Times New Roman"/>
          <w:sz w:val="24"/>
          <w:szCs w:val="24"/>
        </w:rPr>
        <w:t xml:space="preserve">ad with </w:t>
      </w:r>
      <w:r w:rsidRPr="00530906">
        <w:rPr>
          <w:rFonts w:ascii="Cambria" w:eastAsia="Calibri" w:hAnsi="Cambria" w:cs="Times New Roman"/>
          <w:sz w:val="24"/>
          <w:szCs w:val="24"/>
        </w:rPr>
        <w:t>sustainability</w:t>
      </w:r>
      <w:r w:rsidR="009D4FE8">
        <w:rPr>
          <w:rFonts w:ascii="Cambria" w:eastAsia="Calibri" w:hAnsi="Cambria" w:cs="Times New Roman"/>
          <w:sz w:val="24"/>
          <w:szCs w:val="24"/>
        </w:rPr>
        <w:t xml:space="preserve"> message</w:t>
      </w:r>
      <w:r w:rsidRPr="00530906">
        <w:rPr>
          <w:rFonts w:ascii="Cambria" w:eastAsia="Calibri" w:hAnsi="Cambria" w:cs="Times New Roman"/>
          <w:sz w:val="24"/>
          <w:szCs w:val="24"/>
        </w:rPr>
        <w:t xml:space="preserve">, understanding of attainable action to counter sustainability </w:t>
      </w:r>
      <w:r w:rsidR="009C6363">
        <w:rPr>
          <w:rFonts w:ascii="Cambria" w:eastAsia="Calibri" w:hAnsi="Cambria" w:cs="Times New Roman"/>
          <w:sz w:val="24"/>
          <w:szCs w:val="24"/>
        </w:rPr>
        <w:t>problems</w:t>
      </w:r>
      <w:r w:rsidRPr="00530906">
        <w:rPr>
          <w:rFonts w:ascii="Cambria" w:eastAsia="Calibri" w:hAnsi="Cambria" w:cs="Times New Roman"/>
          <w:sz w:val="24"/>
          <w:szCs w:val="24"/>
        </w:rPr>
        <w:t xml:space="preserve"> </w:t>
      </w:r>
      <w:r w:rsidR="00793EDC">
        <w:rPr>
          <w:rFonts w:ascii="Cambria" w:eastAsia="Calibri" w:hAnsi="Cambria" w:cs="Times New Roman"/>
          <w:sz w:val="24"/>
          <w:szCs w:val="24"/>
        </w:rPr>
        <w:t>has proved to be</w:t>
      </w:r>
      <w:r w:rsidRPr="00530906">
        <w:rPr>
          <w:rFonts w:ascii="Cambria" w:eastAsia="Calibri" w:hAnsi="Cambria" w:cs="Times New Roman"/>
          <w:sz w:val="24"/>
          <w:szCs w:val="24"/>
        </w:rPr>
        <w:t xml:space="preserve"> significantly influential on adopting sustainable–consumption</w:t>
      </w:r>
      <w:r w:rsidR="00D93A19">
        <w:rPr>
          <w:rFonts w:ascii="Cambria" w:eastAsia="Calibri" w:hAnsi="Cambria" w:cs="Times New Roman"/>
          <w:sz w:val="24"/>
          <w:szCs w:val="24"/>
        </w:rPr>
        <w:t xml:space="preserve"> behaviour</w:t>
      </w:r>
      <w:r w:rsidRPr="00530906">
        <w:rPr>
          <w:rFonts w:ascii="Cambria" w:eastAsia="Calibri" w:hAnsi="Cambria" w:cs="Times New Roman"/>
          <w:sz w:val="24"/>
          <w:szCs w:val="24"/>
        </w:rPr>
        <w:t xml:space="preserve"> (Kidwell et al 2013, Thøgersen and Schrader 2012, Reborts 1996, Tanner and Kast 2003). However, emotions generated by the ad, affect purchase behaviour through manifested ad attitude (Desmet, 2010, Aaker et al 1988, </w:t>
      </w:r>
      <w:r w:rsidR="00986CA4" w:rsidRPr="00530906">
        <w:rPr>
          <w:rFonts w:ascii="Cambria" w:hAnsi="Cambria" w:cs="Segoe UI"/>
          <w:sz w:val="24"/>
          <w:szCs w:val="24"/>
        </w:rPr>
        <w:t>Batra</w:t>
      </w:r>
      <w:r w:rsidRPr="00530906">
        <w:rPr>
          <w:rFonts w:ascii="Cambria" w:eastAsia="Calibri" w:hAnsi="Cambria" w:cs="Times New Roman"/>
          <w:sz w:val="24"/>
          <w:szCs w:val="24"/>
        </w:rPr>
        <w:t xml:space="preserve"> and R</w:t>
      </w:r>
      <w:r w:rsidR="00986CA4" w:rsidRPr="00530906">
        <w:rPr>
          <w:rFonts w:ascii="Cambria" w:eastAsia="Calibri" w:hAnsi="Cambria" w:cs="Times New Roman"/>
          <w:sz w:val="24"/>
          <w:szCs w:val="24"/>
        </w:rPr>
        <w:t>a</w:t>
      </w:r>
      <w:r w:rsidRPr="00530906">
        <w:rPr>
          <w:rFonts w:ascii="Cambria" w:eastAsia="Calibri" w:hAnsi="Cambria" w:cs="Times New Roman"/>
          <w:sz w:val="24"/>
          <w:szCs w:val="24"/>
        </w:rPr>
        <w:t>y 198</w:t>
      </w:r>
      <w:r w:rsidR="00F24B2C" w:rsidRPr="00530906">
        <w:rPr>
          <w:rFonts w:ascii="Cambria" w:eastAsia="Calibri" w:hAnsi="Cambria" w:cs="Times New Roman"/>
          <w:sz w:val="24"/>
          <w:szCs w:val="24"/>
        </w:rPr>
        <w:t>6</w:t>
      </w:r>
      <w:r w:rsidRPr="00530906">
        <w:rPr>
          <w:rFonts w:ascii="Cambria" w:eastAsia="Calibri" w:hAnsi="Cambria" w:cs="Times New Roman"/>
          <w:sz w:val="24"/>
          <w:szCs w:val="24"/>
        </w:rPr>
        <w:t xml:space="preserve">). </w:t>
      </w:r>
      <w:r w:rsidR="00915EC9" w:rsidRPr="00530906">
        <w:rPr>
          <w:rFonts w:ascii="Cambria" w:eastAsia="Calibri" w:hAnsi="Cambria" w:cs="Times New Roman"/>
          <w:sz w:val="24"/>
          <w:szCs w:val="24"/>
        </w:rPr>
        <w:t>Therefore,</w:t>
      </w:r>
      <w:r w:rsidRPr="00530906">
        <w:rPr>
          <w:rFonts w:ascii="Cambria" w:eastAsia="Calibri" w:hAnsi="Cambria" w:cs="Times New Roman"/>
          <w:sz w:val="24"/>
          <w:szCs w:val="24"/>
        </w:rPr>
        <w:t xml:space="preserve"> it can be assumed that the higher level of pleasure, arousal and dominance should elicit higher level of ad attitude. </w:t>
      </w:r>
    </w:p>
    <w:p w14:paraId="3A472483" w14:textId="26D73209" w:rsidR="00C7217E" w:rsidRPr="00E24832"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The role of emotion on ad attitude has been proved for emotional dimension ‘pleasure’ (Yim et al 2018)</w:t>
      </w:r>
      <w:r w:rsidR="004D733F">
        <w:rPr>
          <w:rFonts w:ascii="Cambria" w:eastAsia="Calibri" w:hAnsi="Cambria" w:cs="Times New Roman"/>
          <w:sz w:val="24"/>
          <w:szCs w:val="24"/>
        </w:rPr>
        <w:t xml:space="preserve">. </w:t>
      </w:r>
      <w:r w:rsidRPr="00530906">
        <w:rPr>
          <w:rFonts w:ascii="Cambria" w:eastAsia="Calibri" w:hAnsi="Cambria" w:cs="Times New Roman"/>
          <w:sz w:val="24"/>
          <w:szCs w:val="24"/>
        </w:rPr>
        <w:t xml:space="preserve">On the other hand, cognitive process, which denotes mental activities of </w:t>
      </w:r>
      <w:r w:rsidRPr="00E24832">
        <w:rPr>
          <w:rFonts w:ascii="Cambria" w:eastAsia="Calibri" w:hAnsi="Cambria" w:cs="Times New Roman"/>
          <w:sz w:val="24"/>
          <w:szCs w:val="24"/>
        </w:rPr>
        <w:t xml:space="preserve">information processing, has also proved to be a predictor of ad attitude (Yim et al 2018). Point to be noted that, emotional dimension– ‘arousal’ also represents mental </w:t>
      </w:r>
      <w:r w:rsidR="00915EC9" w:rsidRPr="00E24832">
        <w:rPr>
          <w:rFonts w:ascii="Cambria" w:eastAsia="Calibri" w:hAnsi="Cambria" w:cs="Times New Roman"/>
          <w:sz w:val="24"/>
          <w:szCs w:val="24"/>
        </w:rPr>
        <w:t>activity (</w:t>
      </w:r>
      <w:r w:rsidRPr="00E24832">
        <w:rPr>
          <w:rFonts w:ascii="Cambria" w:eastAsia="Calibri" w:hAnsi="Cambria" w:cs="Times New Roman"/>
          <w:sz w:val="24"/>
          <w:szCs w:val="24"/>
        </w:rPr>
        <w:t>Bakker et al 2014), hence has the possibility to be the predictor of ad attitude. In the line of the same argument, other dimensions</w:t>
      </w:r>
      <w:r w:rsidR="004179CD" w:rsidRPr="00E24832">
        <w:rPr>
          <w:rFonts w:ascii="Cambria" w:eastAsia="Calibri" w:hAnsi="Cambria" w:cs="Times New Roman"/>
          <w:sz w:val="24"/>
          <w:szCs w:val="24"/>
        </w:rPr>
        <w:t>–</w:t>
      </w:r>
      <w:r w:rsidRPr="00E24832">
        <w:rPr>
          <w:rFonts w:ascii="Cambria" w:eastAsia="Calibri" w:hAnsi="Cambria" w:cs="Times New Roman"/>
          <w:sz w:val="24"/>
          <w:szCs w:val="24"/>
        </w:rPr>
        <w:t xml:space="preserve"> ‘dominance’, should also influence ad attitude.</w:t>
      </w:r>
    </w:p>
    <w:p w14:paraId="5650913A" w14:textId="69C88DF8" w:rsidR="00C7217E" w:rsidRPr="008453D5" w:rsidRDefault="00BF6920">
      <w:pPr>
        <w:spacing w:line="360" w:lineRule="auto"/>
        <w:jc w:val="both"/>
        <w:rPr>
          <w:rFonts w:ascii="Cambria" w:eastAsia="Calibri" w:hAnsi="Cambria" w:cs="Times New Roman"/>
          <w:color w:val="538135" w:themeColor="accent6" w:themeShade="BF"/>
          <w:sz w:val="24"/>
          <w:szCs w:val="24"/>
        </w:rPr>
      </w:pPr>
      <w:r w:rsidRPr="00E24832">
        <w:rPr>
          <w:rFonts w:ascii="Cambria" w:eastAsia="Calibri" w:hAnsi="Cambria" w:cs="Times New Roman"/>
          <w:sz w:val="24"/>
          <w:szCs w:val="24"/>
        </w:rPr>
        <w:t>Study shows that</w:t>
      </w:r>
      <w:r w:rsidR="00905831" w:rsidRPr="00E24832">
        <w:rPr>
          <w:rFonts w:ascii="Cambria" w:eastAsia="Calibri" w:hAnsi="Cambria" w:cs="Times New Roman"/>
          <w:sz w:val="24"/>
          <w:szCs w:val="24"/>
        </w:rPr>
        <w:t xml:space="preserve"> pleasant </w:t>
      </w:r>
      <w:r w:rsidR="00915EC9" w:rsidRPr="00E24832">
        <w:rPr>
          <w:rFonts w:ascii="Cambria" w:eastAsia="Calibri" w:hAnsi="Cambria" w:cs="Times New Roman"/>
          <w:sz w:val="24"/>
          <w:szCs w:val="24"/>
        </w:rPr>
        <w:t>emotion</w:t>
      </w:r>
      <w:r w:rsidR="00905831" w:rsidRPr="00E24832">
        <w:rPr>
          <w:rFonts w:ascii="Cambria" w:eastAsia="Calibri" w:hAnsi="Cambria" w:cs="Times New Roman"/>
          <w:sz w:val="24"/>
          <w:szCs w:val="24"/>
        </w:rPr>
        <w:t xml:space="preserve"> evoked by social media ad</w:t>
      </w:r>
      <w:r w:rsidR="00E762FB" w:rsidRPr="00E24832">
        <w:rPr>
          <w:rFonts w:ascii="Cambria" w:eastAsia="Calibri" w:hAnsi="Cambria" w:cs="Times New Roman"/>
          <w:sz w:val="24"/>
          <w:szCs w:val="24"/>
        </w:rPr>
        <w:t xml:space="preserve">, generates positive ad attitude (Eckler and Bolls </w:t>
      </w:r>
      <w:r w:rsidR="00137624" w:rsidRPr="00E24832">
        <w:rPr>
          <w:rFonts w:ascii="Cambria" w:eastAsia="Calibri" w:hAnsi="Cambria" w:cs="Times New Roman"/>
          <w:sz w:val="24"/>
          <w:szCs w:val="24"/>
        </w:rPr>
        <w:t>2011</w:t>
      </w:r>
      <w:r w:rsidR="00E762FB" w:rsidRPr="00E24832">
        <w:rPr>
          <w:rFonts w:ascii="Cambria" w:eastAsia="Calibri" w:hAnsi="Cambria" w:cs="Times New Roman"/>
          <w:sz w:val="24"/>
          <w:szCs w:val="24"/>
        </w:rPr>
        <w:t>).</w:t>
      </w:r>
      <w:r w:rsidRPr="00E24832">
        <w:rPr>
          <w:rFonts w:ascii="Cambria" w:eastAsia="Calibri" w:hAnsi="Cambria" w:cs="Times New Roman"/>
          <w:sz w:val="24"/>
          <w:szCs w:val="24"/>
        </w:rPr>
        <w:t xml:space="preserve"> </w:t>
      </w:r>
      <w:r w:rsidR="003C21BF" w:rsidRPr="00E24832">
        <w:rPr>
          <w:rFonts w:ascii="Cambria" w:eastAsia="Calibri" w:hAnsi="Cambria" w:cs="Times New Roman"/>
          <w:sz w:val="24"/>
          <w:szCs w:val="24"/>
        </w:rPr>
        <w:t>It has been observed in previous research that</w:t>
      </w:r>
      <w:r w:rsidR="00C7217E" w:rsidRPr="00E24832">
        <w:rPr>
          <w:rFonts w:ascii="Cambria" w:eastAsia="Calibri" w:hAnsi="Cambria" w:cs="Times New Roman"/>
          <w:sz w:val="24"/>
          <w:szCs w:val="24"/>
        </w:rPr>
        <w:t xml:space="preserve">, people are more willing to do something if they enjoy </w:t>
      </w:r>
      <w:r w:rsidR="00B9036F" w:rsidRPr="00E24832">
        <w:rPr>
          <w:rFonts w:ascii="Cambria" w:eastAsia="Calibri" w:hAnsi="Cambria" w:cs="Times New Roman"/>
          <w:sz w:val="24"/>
          <w:szCs w:val="24"/>
        </w:rPr>
        <w:t>doing</w:t>
      </w:r>
      <w:r w:rsidR="00C7217E" w:rsidRPr="00E24832">
        <w:rPr>
          <w:rFonts w:ascii="Cambria" w:eastAsia="Calibri" w:hAnsi="Cambria" w:cs="Times New Roman"/>
          <w:sz w:val="24"/>
          <w:szCs w:val="24"/>
        </w:rPr>
        <w:t xml:space="preserve"> it (Martin and Schouten 2012). Consumers’ attitude is positively related with the feelings </w:t>
      </w:r>
      <w:r w:rsidR="00C7217E" w:rsidRPr="00530906">
        <w:rPr>
          <w:rFonts w:ascii="Cambria" w:eastAsia="Calibri" w:hAnsi="Cambria" w:cs="Times New Roman"/>
          <w:sz w:val="24"/>
          <w:szCs w:val="24"/>
        </w:rPr>
        <w:t xml:space="preserve">of pleasure (Richard and Chebat 2016). In the context of </w:t>
      </w:r>
      <w:r w:rsidR="00C7217E" w:rsidRPr="00A12D37">
        <w:rPr>
          <w:rFonts w:ascii="Cambria" w:eastAsia="Calibri" w:hAnsi="Cambria" w:cs="Times New Roman"/>
          <w:sz w:val="24"/>
          <w:szCs w:val="24"/>
        </w:rPr>
        <w:t xml:space="preserve">sustainability, consumers get psychic reward when they sacrifice for the environment (Huang and Rust 2011). Fulfilment of this type of hedonic need evoke pleasurable feelings (Miniero et al 2014; Foxall and Yani–de–Soriano 2005; Yani–de–Soriano et al 2013). So as a novelty product, acquisition of </w:t>
      </w:r>
      <w:r w:rsidR="00BB3F25" w:rsidRPr="00A12D37">
        <w:rPr>
          <w:rFonts w:ascii="Cambria" w:eastAsia="Calibri" w:hAnsi="Cambria" w:cs="Times New Roman"/>
          <w:sz w:val="24"/>
          <w:szCs w:val="24"/>
        </w:rPr>
        <w:t xml:space="preserve">the products with sustainability association </w:t>
      </w:r>
      <w:r w:rsidR="00C7217E" w:rsidRPr="00A12D37">
        <w:rPr>
          <w:rFonts w:ascii="Cambria" w:eastAsia="Calibri" w:hAnsi="Cambria" w:cs="Times New Roman"/>
          <w:sz w:val="24"/>
          <w:szCs w:val="24"/>
        </w:rPr>
        <w:t>should also generate pleasing feeling (</w:t>
      </w:r>
      <w:r w:rsidR="00C7217E" w:rsidRPr="00A12D37">
        <w:rPr>
          <w:rFonts w:ascii="Cambria" w:eastAsia="Calibri" w:hAnsi="Cambria" w:cs="Adobe Devanagari"/>
          <w:noProof/>
          <w:sz w:val="24"/>
          <w:szCs w:val="24"/>
        </w:rPr>
        <w:t>Jung et al., 2016</w:t>
      </w:r>
      <w:r w:rsidR="00C7217E" w:rsidRPr="00A12D37">
        <w:rPr>
          <w:rFonts w:ascii="Cambria" w:eastAsia="Calibri" w:hAnsi="Cambria" w:cs="Times New Roman"/>
          <w:sz w:val="24"/>
          <w:szCs w:val="24"/>
        </w:rPr>
        <w:t>)</w:t>
      </w:r>
      <w:r w:rsidR="0069181F" w:rsidRPr="00A12D37">
        <w:rPr>
          <w:rFonts w:ascii="Cambria" w:eastAsia="Calibri" w:hAnsi="Cambria" w:cs="Times New Roman"/>
          <w:sz w:val="24"/>
          <w:szCs w:val="24"/>
        </w:rPr>
        <w:t xml:space="preserve">. </w:t>
      </w:r>
      <w:r w:rsidR="00B036BF" w:rsidRPr="00A12D37">
        <w:rPr>
          <w:rFonts w:ascii="Cambria" w:eastAsia="Calibri" w:hAnsi="Cambria" w:cs="Times New Roman"/>
          <w:sz w:val="24"/>
          <w:szCs w:val="24"/>
        </w:rPr>
        <w:t>Hence</w:t>
      </w:r>
      <w:r w:rsidR="008453D5" w:rsidRPr="00A12D37">
        <w:rPr>
          <w:rFonts w:ascii="Cambria" w:eastAsia="Calibri" w:hAnsi="Cambria" w:cs="Times New Roman"/>
          <w:sz w:val="24"/>
          <w:szCs w:val="24"/>
        </w:rPr>
        <w:t xml:space="preserve">, a product promoted through ad with sustainability </w:t>
      </w:r>
      <w:r w:rsidR="00C15508" w:rsidRPr="00A12D37">
        <w:rPr>
          <w:rFonts w:ascii="Cambria" w:eastAsia="Calibri" w:hAnsi="Cambria" w:cs="Times New Roman"/>
          <w:sz w:val="24"/>
          <w:szCs w:val="24"/>
        </w:rPr>
        <w:t xml:space="preserve">message that gives the </w:t>
      </w:r>
      <w:r w:rsidR="009E68FB" w:rsidRPr="00A12D37">
        <w:rPr>
          <w:rFonts w:ascii="Cambria" w:eastAsia="Calibri" w:hAnsi="Cambria" w:cs="Times New Roman"/>
          <w:sz w:val="24"/>
          <w:szCs w:val="24"/>
        </w:rPr>
        <w:t xml:space="preserve">consumers a hint </w:t>
      </w:r>
      <w:r w:rsidR="00BB6BD8" w:rsidRPr="00A12D37">
        <w:rPr>
          <w:rFonts w:ascii="Cambria" w:eastAsia="Calibri" w:hAnsi="Cambria" w:cs="Times New Roman"/>
          <w:sz w:val="24"/>
          <w:szCs w:val="24"/>
        </w:rPr>
        <w:t xml:space="preserve">of pleasure acquired by </w:t>
      </w:r>
      <w:r w:rsidR="006D5FCD" w:rsidRPr="00A12D37">
        <w:rPr>
          <w:rFonts w:ascii="Cambria" w:eastAsia="Calibri" w:hAnsi="Cambria" w:cs="Times New Roman"/>
          <w:sz w:val="24"/>
          <w:szCs w:val="24"/>
        </w:rPr>
        <w:t xml:space="preserve">consuming it should also </w:t>
      </w:r>
      <w:r w:rsidR="00287E28" w:rsidRPr="00A12D37">
        <w:rPr>
          <w:rFonts w:ascii="Cambria" w:eastAsia="Calibri" w:hAnsi="Cambria" w:cs="Times New Roman"/>
          <w:sz w:val="24"/>
          <w:szCs w:val="24"/>
        </w:rPr>
        <w:t>increase the ad attitude.</w:t>
      </w:r>
    </w:p>
    <w:p w14:paraId="6BE03D87" w14:textId="78BCA0B7"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10</w:t>
      </w:r>
      <w:r w:rsidRPr="00530906">
        <w:rPr>
          <w:rFonts w:ascii="Cambria" w:eastAsia="Calibri" w:hAnsi="Cambria" w:cs="Times New Roman"/>
          <w:b/>
          <w:sz w:val="24"/>
          <w:szCs w:val="24"/>
        </w:rPr>
        <w:t xml:space="preserve">: Pleasure will positively and significantly influence ad attitude towards </w:t>
      </w:r>
      <w:r w:rsidR="00287E28">
        <w:rPr>
          <w:rFonts w:ascii="Cambria" w:eastAsia="Calibri" w:hAnsi="Cambria" w:cs="Times New Roman"/>
          <w:b/>
          <w:sz w:val="24"/>
          <w:szCs w:val="24"/>
        </w:rPr>
        <w:t>ad with s</w:t>
      </w:r>
      <w:r w:rsidRPr="00530906">
        <w:rPr>
          <w:rFonts w:ascii="Cambria" w:eastAsia="Calibri" w:hAnsi="Cambria" w:cs="Times New Roman"/>
          <w:b/>
          <w:sz w:val="24"/>
          <w:szCs w:val="24"/>
        </w:rPr>
        <w:t>ustainability</w:t>
      </w:r>
      <w:r w:rsidR="00A32D32">
        <w:rPr>
          <w:rFonts w:ascii="Cambria" w:eastAsia="Calibri" w:hAnsi="Cambria" w:cs="Times New Roman"/>
          <w:b/>
          <w:sz w:val="24"/>
          <w:szCs w:val="24"/>
        </w:rPr>
        <w:t xml:space="preserve"> </w:t>
      </w:r>
      <w:r w:rsidR="00287E28">
        <w:rPr>
          <w:rFonts w:ascii="Cambria" w:eastAsia="Calibri" w:hAnsi="Cambria" w:cs="Times New Roman"/>
          <w:b/>
          <w:sz w:val="24"/>
          <w:szCs w:val="24"/>
        </w:rPr>
        <w:t>message</w:t>
      </w:r>
    </w:p>
    <w:p w14:paraId="38EC396B" w14:textId="77777777" w:rsidR="008862B2"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Customers feel aroused with the prospect of receiving information (Carlson et al 2018). Arousal increases with the informational reinforcement of consumer situation, like it does in social–media (Yani–de–Soriano et al 2013). More specifically speaking, arousal has been associated with the information rate of feedback from the environment, which increases with the novelty (Foxall </w:t>
      </w:r>
      <w:r w:rsidRPr="00A12D37">
        <w:rPr>
          <w:rFonts w:ascii="Cambria" w:eastAsia="Calibri" w:hAnsi="Cambria" w:cs="Times New Roman"/>
          <w:sz w:val="24"/>
          <w:szCs w:val="24"/>
        </w:rPr>
        <w:t xml:space="preserve">and Yani–de–Soriano 2005; Yani–de–Soriano et al 2013) and </w:t>
      </w:r>
      <w:r w:rsidR="00BB3F25" w:rsidRPr="00A12D37">
        <w:rPr>
          <w:rFonts w:ascii="Cambria" w:eastAsia="Calibri" w:hAnsi="Cambria" w:cs="Times New Roman"/>
          <w:sz w:val="24"/>
          <w:szCs w:val="24"/>
        </w:rPr>
        <w:t xml:space="preserve">the products with sustainability association </w:t>
      </w:r>
      <w:r w:rsidRPr="00A12D37">
        <w:rPr>
          <w:rFonts w:ascii="Cambria" w:eastAsia="Calibri" w:hAnsi="Cambria" w:cs="Times New Roman"/>
          <w:sz w:val="24"/>
          <w:szCs w:val="24"/>
        </w:rPr>
        <w:t>are deemed to be novelty (</w:t>
      </w:r>
      <w:r w:rsidRPr="00A12D37">
        <w:rPr>
          <w:rFonts w:ascii="Cambria" w:eastAsia="Calibri" w:hAnsi="Cambria" w:cs="Adobe Devanagari"/>
          <w:noProof/>
          <w:sz w:val="24"/>
          <w:szCs w:val="24"/>
        </w:rPr>
        <w:t>Jung et al., 2016</w:t>
      </w:r>
      <w:r w:rsidRPr="00A12D37">
        <w:rPr>
          <w:rFonts w:ascii="Cambria" w:eastAsia="Calibri" w:hAnsi="Cambria" w:cs="Times New Roman"/>
          <w:sz w:val="24"/>
          <w:szCs w:val="24"/>
        </w:rPr>
        <w:t xml:space="preserve">). In </w:t>
      </w:r>
      <w:r w:rsidR="003919D0">
        <w:rPr>
          <w:rFonts w:ascii="Cambria" w:eastAsia="Calibri" w:hAnsi="Cambria" w:cs="Times New Roman"/>
          <w:sz w:val="24"/>
          <w:szCs w:val="24"/>
        </w:rPr>
        <w:t xml:space="preserve">case </w:t>
      </w:r>
      <w:r w:rsidRPr="00A12D37">
        <w:rPr>
          <w:rFonts w:ascii="Cambria" w:eastAsia="Calibri" w:hAnsi="Cambria" w:cs="Times New Roman"/>
          <w:sz w:val="24"/>
          <w:szCs w:val="24"/>
        </w:rPr>
        <w:t>of sustainability, the demand for information is a direct result of consumers’ lack of trust in business organisation, which lead them to have greater emotional involvement and action (Angus 2018; Algesheimer et al 2005).</w:t>
      </w:r>
    </w:p>
    <w:p w14:paraId="14A54D9F" w14:textId="62883968" w:rsidR="00C7217E" w:rsidRPr="00A12D37" w:rsidRDefault="00433761">
      <w:pPr>
        <w:spacing w:line="360" w:lineRule="auto"/>
        <w:jc w:val="both"/>
        <w:rPr>
          <w:rFonts w:ascii="Cambria" w:eastAsia="Calibri" w:hAnsi="Cambria" w:cs="Times New Roman"/>
          <w:sz w:val="24"/>
          <w:szCs w:val="24"/>
        </w:rPr>
      </w:pPr>
      <w:r w:rsidRPr="00E24832">
        <w:rPr>
          <w:rFonts w:ascii="Cambria" w:eastAsia="Calibri" w:hAnsi="Cambria" w:cs="Times New Roman"/>
          <w:sz w:val="24"/>
          <w:szCs w:val="24"/>
        </w:rPr>
        <w:t>A</w:t>
      </w:r>
      <w:r w:rsidR="008862B2" w:rsidRPr="00E24832">
        <w:rPr>
          <w:rFonts w:ascii="Cambria" w:eastAsia="Calibri" w:hAnsi="Cambria" w:cs="Times New Roman"/>
          <w:sz w:val="24"/>
          <w:szCs w:val="24"/>
        </w:rPr>
        <w:t xml:space="preserve">dvertisement </w:t>
      </w:r>
      <w:r w:rsidRPr="00E24832">
        <w:rPr>
          <w:rFonts w:ascii="Cambria" w:eastAsia="Calibri" w:hAnsi="Cambria" w:cs="Times New Roman"/>
          <w:sz w:val="24"/>
          <w:szCs w:val="24"/>
        </w:rPr>
        <w:t>in social media</w:t>
      </w:r>
      <w:r w:rsidR="008F7493" w:rsidRPr="00E24832">
        <w:rPr>
          <w:rFonts w:ascii="Cambria" w:eastAsia="Calibri" w:hAnsi="Cambria" w:cs="Times New Roman"/>
          <w:sz w:val="24"/>
          <w:szCs w:val="24"/>
        </w:rPr>
        <w:t xml:space="preserve">, which generates </w:t>
      </w:r>
      <w:r w:rsidR="00BF23ED" w:rsidRPr="00E24832">
        <w:rPr>
          <w:rFonts w:ascii="Cambria" w:eastAsia="Calibri" w:hAnsi="Cambria" w:cs="Times New Roman"/>
          <w:sz w:val="24"/>
          <w:szCs w:val="24"/>
        </w:rPr>
        <w:t xml:space="preserve">higher level of arousal tend to be more successful than the </w:t>
      </w:r>
      <w:r w:rsidR="006A5586" w:rsidRPr="00E24832">
        <w:rPr>
          <w:rFonts w:ascii="Cambria" w:eastAsia="Calibri" w:hAnsi="Cambria" w:cs="Times New Roman"/>
          <w:sz w:val="24"/>
          <w:szCs w:val="24"/>
        </w:rPr>
        <w:t>ones which generates low level</w:t>
      </w:r>
      <w:r w:rsidR="00E2195A" w:rsidRPr="00E24832">
        <w:rPr>
          <w:rFonts w:ascii="Cambria" w:eastAsia="Calibri" w:hAnsi="Cambria" w:cs="Times New Roman"/>
          <w:sz w:val="24"/>
          <w:szCs w:val="24"/>
        </w:rPr>
        <w:t xml:space="preserve"> of</w:t>
      </w:r>
      <w:r w:rsidR="006A5586" w:rsidRPr="00E24832">
        <w:rPr>
          <w:rFonts w:ascii="Cambria" w:eastAsia="Calibri" w:hAnsi="Cambria" w:cs="Times New Roman"/>
          <w:sz w:val="24"/>
          <w:szCs w:val="24"/>
        </w:rPr>
        <w:t xml:space="preserve"> arousal (Ber</w:t>
      </w:r>
      <w:r w:rsidR="00467495" w:rsidRPr="00E24832">
        <w:rPr>
          <w:rFonts w:ascii="Cambria" w:eastAsia="Calibri" w:hAnsi="Cambria" w:cs="Times New Roman"/>
          <w:sz w:val="24"/>
          <w:szCs w:val="24"/>
        </w:rPr>
        <w:t>ger and Milkman</w:t>
      </w:r>
      <w:r w:rsidR="00B27ABB" w:rsidRPr="00E24832">
        <w:rPr>
          <w:rFonts w:ascii="Cambria" w:eastAsia="Calibri" w:hAnsi="Cambria" w:cs="Times New Roman"/>
          <w:sz w:val="24"/>
          <w:szCs w:val="24"/>
        </w:rPr>
        <w:t xml:space="preserve"> 2012</w:t>
      </w:r>
      <w:r w:rsidR="006A5586" w:rsidRPr="00E24832">
        <w:rPr>
          <w:rFonts w:ascii="Cambria" w:eastAsia="Calibri" w:hAnsi="Cambria" w:cs="Times New Roman"/>
          <w:sz w:val="24"/>
          <w:szCs w:val="24"/>
        </w:rPr>
        <w:t>).</w:t>
      </w:r>
      <w:r w:rsidRPr="00E24832">
        <w:rPr>
          <w:rFonts w:ascii="Cambria" w:eastAsia="Calibri" w:hAnsi="Cambria" w:cs="Times New Roman"/>
          <w:sz w:val="24"/>
          <w:szCs w:val="24"/>
        </w:rPr>
        <w:t xml:space="preserve"> </w:t>
      </w:r>
      <w:r w:rsidR="00C7217E" w:rsidRPr="00E24832">
        <w:rPr>
          <w:rFonts w:ascii="Cambria" w:eastAsia="Calibri" w:hAnsi="Cambria" w:cs="Times New Roman"/>
          <w:sz w:val="24"/>
          <w:szCs w:val="24"/>
        </w:rPr>
        <w:t>Information gained from the social–media post of the</w:t>
      </w:r>
      <w:r w:rsidR="00C6685D" w:rsidRPr="00E24832">
        <w:rPr>
          <w:rFonts w:ascii="Cambria" w:eastAsia="Calibri" w:hAnsi="Cambria" w:cs="Times New Roman"/>
          <w:sz w:val="24"/>
          <w:szCs w:val="24"/>
        </w:rPr>
        <w:t xml:space="preserve"> ad with</w:t>
      </w:r>
      <w:r w:rsidR="00C7217E" w:rsidRPr="00E24832">
        <w:rPr>
          <w:rFonts w:ascii="Cambria" w:eastAsia="Calibri" w:hAnsi="Cambria" w:cs="Times New Roman"/>
          <w:sz w:val="24"/>
          <w:szCs w:val="24"/>
        </w:rPr>
        <w:t xml:space="preserve"> sustainabilit</w:t>
      </w:r>
      <w:r w:rsidR="00C6685D" w:rsidRPr="00E24832">
        <w:rPr>
          <w:rFonts w:ascii="Cambria" w:eastAsia="Calibri" w:hAnsi="Cambria" w:cs="Times New Roman"/>
          <w:sz w:val="24"/>
          <w:szCs w:val="24"/>
        </w:rPr>
        <w:t xml:space="preserve">y message </w:t>
      </w:r>
      <w:r w:rsidR="009E1035" w:rsidRPr="00E24832">
        <w:rPr>
          <w:rFonts w:ascii="Cambria" w:eastAsia="Calibri" w:hAnsi="Cambria" w:cs="Times New Roman"/>
          <w:sz w:val="24"/>
          <w:szCs w:val="24"/>
        </w:rPr>
        <w:t xml:space="preserve">will </w:t>
      </w:r>
      <w:r w:rsidR="00C7217E" w:rsidRPr="00E24832">
        <w:rPr>
          <w:rFonts w:ascii="Cambria" w:eastAsia="Calibri" w:hAnsi="Cambria" w:cs="Times New Roman"/>
          <w:sz w:val="24"/>
          <w:szCs w:val="24"/>
        </w:rPr>
        <w:t xml:space="preserve">be </w:t>
      </w:r>
      <w:r w:rsidR="00C7217E" w:rsidRPr="00A12D37">
        <w:rPr>
          <w:rFonts w:ascii="Cambria" w:eastAsia="Calibri" w:hAnsi="Cambria" w:cs="Times New Roman"/>
          <w:sz w:val="24"/>
          <w:szCs w:val="24"/>
        </w:rPr>
        <w:t>able to influence the attitude of the consumer (</w:t>
      </w:r>
      <w:r w:rsidR="009E1035" w:rsidRPr="00A12D37">
        <w:rPr>
          <w:rFonts w:ascii="Cambria" w:eastAsia="Calibri" w:hAnsi="Cambria" w:cs="Times New Roman"/>
          <w:sz w:val="24"/>
          <w:szCs w:val="24"/>
        </w:rPr>
        <w:t xml:space="preserve">see </w:t>
      </w:r>
      <w:r w:rsidR="00C7217E" w:rsidRPr="00A12D37">
        <w:rPr>
          <w:rFonts w:ascii="Cambria" w:eastAsia="Calibri" w:hAnsi="Cambria" w:cs="Times New Roman"/>
          <w:sz w:val="24"/>
          <w:szCs w:val="24"/>
        </w:rPr>
        <w:t>Richard and Chebat 2016; Holbrook and Batra 1987). So,</w:t>
      </w:r>
      <w:r w:rsidR="00114C02" w:rsidRPr="00A12D37">
        <w:rPr>
          <w:rFonts w:ascii="Cambria" w:eastAsia="Calibri" w:hAnsi="Cambria" w:cs="Times New Roman"/>
          <w:sz w:val="24"/>
          <w:szCs w:val="24"/>
        </w:rPr>
        <w:t xml:space="preserve"> increased</w:t>
      </w:r>
      <w:r w:rsidR="00C7217E" w:rsidRPr="00A12D37">
        <w:rPr>
          <w:rFonts w:ascii="Cambria" w:eastAsia="Calibri" w:hAnsi="Cambria" w:cs="Times New Roman"/>
          <w:sz w:val="24"/>
          <w:szCs w:val="24"/>
        </w:rPr>
        <w:t xml:space="preserve"> feeling of arousal generated form </w:t>
      </w:r>
      <w:r w:rsidR="001E295F" w:rsidRPr="00A12D37">
        <w:rPr>
          <w:rFonts w:ascii="Cambria" w:eastAsia="Calibri" w:hAnsi="Cambria" w:cs="Times New Roman"/>
          <w:sz w:val="24"/>
          <w:szCs w:val="24"/>
        </w:rPr>
        <w:t xml:space="preserve">ad with </w:t>
      </w:r>
      <w:r w:rsidR="00C7217E" w:rsidRPr="00A12D37">
        <w:rPr>
          <w:rFonts w:ascii="Cambria" w:eastAsia="Calibri" w:hAnsi="Cambria" w:cs="Times New Roman"/>
          <w:sz w:val="24"/>
          <w:szCs w:val="24"/>
        </w:rPr>
        <w:t>sustainability</w:t>
      </w:r>
      <w:r w:rsidR="001E295F" w:rsidRPr="00A12D37">
        <w:rPr>
          <w:rFonts w:ascii="Cambria" w:eastAsia="Calibri" w:hAnsi="Cambria" w:cs="Times New Roman"/>
          <w:sz w:val="24"/>
          <w:szCs w:val="24"/>
        </w:rPr>
        <w:t xml:space="preserve"> message</w:t>
      </w:r>
      <w:r w:rsidR="00C7217E" w:rsidRPr="00A12D37">
        <w:rPr>
          <w:rFonts w:ascii="Cambria" w:eastAsia="Calibri" w:hAnsi="Cambria" w:cs="Times New Roman"/>
          <w:sz w:val="24"/>
          <w:szCs w:val="24"/>
        </w:rPr>
        <w:t xml:space="preserve"> should have greater influence on attitude.  </w:t>
      </w:r>
    </w:p>
    <w:p w14:paraId="249F7DB1" w14:textId="68C9F3DE" w:rsidR="00C7217E" w:rsidRPr="00A12D37" w:rsidRDefault="00C7217E">
      <w:pPr>
        <w:spacing w:line="360" w:lineRule="auto"/>
        <w:jc w:val="both"/>
        <w:rPr>
          <w:rFonts w:ascii="Cambria" w:eastAsia="Calibri" w:hAnsi="Cambria" w:cs="Times New Roman"/>
          <w:b/>
          <w:sz w:val="24"/>
          <w:szCs w:val="24"/>
        </w:rPr>
      </w:pPr>
      <w:r w:rsidRPr="00A12D37">
        <w:rPr>
          <w:rFonts w:ascii="Cambria" w:eastAsia="Calibri" w:hAnsi="Cambria" w:cs="Times New Roman"/>
          <w:b/>
          <w:bCs/>
          <w:sz w:val="24"/>
          <w:szCs w:val="24"/>
        </w:rPr>
        <w:t>H</w:t>
      </w:r>
      <w:r w:rsidRPr="00A12D37">
        <w:rPr>
          <w:rFonts w:ascii="Cambria" w:eastAsia="Calibri" w:hAnsi="Cambria" w:cs="Times New Roman"/>
          <w:b/>
          <w:bCs/>
          <w:sz w:val="24"/>
          <w:szCs w:val="24"/>
          <w:vertAlign w:val="subscript"/>
        </w:rPr>
        <w:t>11</w:t>
      </w:r>
      <w:r w:rsidRPr="00A12D37">
        <w:rPr>
          <w:rFonts w:ascii="Cambria" w:eastAsia="Calibri" w:hAnsi="Cambria" w:cs="Times New Roman"/>
          <w:b/>
          <w:sz w:val="24"/>
          <w:szCs w:val="24"/>
        </w:rPr>
        <w:t xml:space="preserve">: Arousal will positively and significantly influence ad attitude towards </w:t>
      </w:r>
      <w:r w:rsidR="003503E2" w:rsidRPr="00A12D37">
        <w:rPr>
          <w:rFonts w:ascii="Cambria" w:eastAsia="Calibri" w:hAnsi="Cambria" w:cs="Times New Roman"/>
          <w:b/>
          <w:sz w:val="24"/>
          <w:szCs w:val="24"/>
        </w:rPr>
        <w:t xml:space="preserve">ad with </w:t>
      </w:r>
      <w:r w:rsidR="00A32D32" w:rsidRPr="00A12D37">
        <w:rPr>
          <w:rFonts w:ascii="Cambria" w:eastAsia="Calibri" w:hAnsi="Cambria" w:cs="Times New Roman"/>
          <w:b/>
          <w:sz w:val="24"/>
          <w:szCs w:val="24"/>
        </w:rPr>
        <w:t>s</w:t>
      </w:r>
      <w:r w:rsidRPr="00A12D37">
        <w:rPr>
          <w:rFonts w:ascii="Cambria" w:eastAsia="Calibri" w:hAnsi="Cambria" w:cs="Times New Roman"/>
          <w:b/>
          <w:sz w:val="24"/>
          <w:szCs w:val="24"/>
        </w:rPr>
        <w:t>ustainability</w:t>
      </w:r>
      <w:r w:rsidR="003503E2" w:rsidRPr="00A12D37">
        <w:rPr>
          <w:rFonts w:ascii="Cambria" w:eastAsia="Calibri" w:hAnsi="Cambria" w:cs="Times New Roman"/>
          <w:b/>
          <w:sz w:val="24"/>
          <w:szCs w:val="24"/>
        </w:rPr>
        <w:t xml:space="preserve"> message</w:t>
      </w:r>
    </w:p>
    <w:p w14:paraId="281B5FD1" w14:textId="5DEA05FA" w:rsidR="00634FBA" w:rsidRPr="00A12D37" w:rsidRDefault="00801D36">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Previous research shows that, w</w:t>
      </w:r>
      <w:r w:rsidR="00C7217E" w:rsidRPr="00A12D37">
        <w:rPr>
          <w:rFonts w:ascii="Cambria" w:eastAsia="Calibri" w:hAnsi="Cambria" w:cs="Times New Roman"/>
          <w:sz w:val="24"/>
          <w:szCs w:val="24"/>
        </w:rPr>
        <w:t xml:space="preserve">hen people perceive that their action have some impact, they have </w:t>
      </w:r>
      <w:r w:rsidR="00D13638" w:rsidRPr="00A12D37">
        <w:rPr>
          <w:rFonts w:ascii="Cambria" w:eastAsia="Calibri" w:hAnsi="Cambria" w:cs="Times New Roman"/>
          <w:sz w:val="24"/>
          <w:szCs w:val="24"/>
        </w:rPr>
        <w:t>positive attitude towards adopting</w:t>
      </w:r>
      <w:r w:rsidR="00C7217E" w:rsidRPr="00A12D37">
        <w:rPr>
          <w:rFonts w:ascii="Cambria" w:eastAsia="Calibri" w:hAnsi="Cambria" w:cs="Times New Roman"/>
          <w:sz w:val="24"/>
          <w:szCs w:val="24"/>
        </w:rPr>
        <w:t xml:space="preserve"> sustainable behaviour (Dermody et al 2018). </w:t>
      </w:r>
      <w:r w:rsidR="00B52A31" w:rsidRPr="00A12D37">
        <w:rPr>
          <w:rFonts w:ascii="Cambria" w:eastAsia="Calibri" w:hAnsi="Cambria" w:cs="Times New Roman"/>
          <w:sz w:val="24"/>
          <w:szCs w:val="24"/>
        </w:rPr>
        <w:t xml:space="preserve">This is </w:t>
      </w:r>
      <w:r w:rsidR="00B9036F" w:rsidRPr="00A12D37">
        <w:rPr>
          <w:rFonts w:ascii="Cambria" w:eastAsia="Calibri" w:hAnsi="Cambria" w:cs="Times New Roman"/>
          <w:sz w:val="24"/>
          <w:szCs w:val="24"/>
        </w:rPr>
        <w:t>especially</w:t>
      </w:r>
      <w:r w:rsidR="00B52A31" w:rsidRPr="00A12D37">
        <w:rPr>
          <w:rFonts w:ascii="Cambria" w:eastAsia="Calibri" w:hAnsi="Cambria" w:cs="Times New Roman"/>
          <w:sz w:val="24"/>
          <w:szCs w:val="24"/>
        </w:rPr>
        <w:t xml:space="preserve"> true when</w:t>
      </w:r>
      <w:r w:rsidR="00D13638" w:rsidRPr="00A12D37">
        <w:rPr>
          <w:rFonts w:ascii="Cambria" w:eastAsia="Calibri" w:hAnsi="Cambria" w:cs="Times New Roman"/>
          <w:sz w:val="24"/>
          <w:szCs w:val="24"/>
        </w:rPr>
        <w:t xml:space="preserve"> </w:t>
      </w:r>
      <w:r w:rsidR="00C7217E" w:rsidRPr="00A12D37">
        <w:rPr>
          <w:rFonts w:ascii="Cambria" w:eastAsia="Calibri" w:hAnsi="Cambria" w:cs="Times New Roman"/>
          <w:sz w:val="24"/>
          <w:szCs w:val="24"/>
        </w:rPr>
        <w:t xml:space="preserve">individuals who believe that they have the capability to make a difference to the environmental problem (Markkula and Moisander 2012, cited by Thøgersen and Schrader 2012). </w:t>
      </w:r>
      <w:r w:rsidR="00933D43" w:rsidRPr="00A12D37">
        <w:rPr>
          <w:rFonts w:ascii="Cambria" w:eastAsia="Calibri" w:hAnsi="Cambria" w:cs="Times New Roman"/>
          <w:sz w:val="24"/>
          <w:szCs w:val="24"/>
        </w:rPr>
        <w:t>In other words, their attitude</w:t>
      </w:r>
      <w:r w:rsidR="00A47E20" w:rsidRPr="00A12D37">
        <w:rPr>
          <w:rFonts w:ascii="Cambria" w:eastAsia="Calibri" w:hAnsi="Cambria" w:cs="Times New Roman"/>
          <w:sz w:val="24"/>
          <w:szCs w:val="24"/>
        </w:rPr>
        <w:t xml:space="preserve"> </w:t>
      </w:r>
      <w:r w:rsidR="009F1967" w:rsidRPr="00A12D37">
        <w:rPr>
          <w:rFonts w:ascii="Cambria" w:eastAsia="Calibri" w:hAnsi="Cambria" w:cs="Times New Roman"/>
          <w:sz w:val="24"/>
          <w:szCs w:val="24"/>
        </w:rPr>
        <w:t xml:space="preserve">regarding </w:t>
      </w:r>
      <w:r w:rsidR="000E0C16" w:rsidRPr="00A12D37">
        <w:rPr>
          <w:rFonts w:ascii="Cambria" w:eastAsia="Calibri" w:hAnsi="Cambria" w:cs="Times New Roman"/>
          <w:sz w:val="24"/>
          <w:szCs w:val="24"/>
        </w:rPr>
        <w:t xml:space="preserve">ad with sustainability message will </w:t>
      </w:r>
      <w:r w:rsidR="00A47E20" w:rsidRPr="00A12D37">
        <w:rPr>
          <w:rFonts w:ascii="Cambria" w:eastAsia="Calibri" w:hAnsi="Cambria" w:cs="Times New Roman"/>
          <w:sz w:val="24"/>
          <w:szCs w:val="24"/>
        </w:rPr>
        <w:t>chang</w:t>
      </w:r>
      <w:r w:rsidR="000E0C16" w:rsidRPr="00A12D37">
        <w:rPr>
          <w:rFonts w:ascii="Cambria" w:eastAsia="Calibri" w:hAnsi="Cambria" w:cs="Times New Roman"/>
          <w:sz w:val="24"/>
          <w:szCs w:val="24"/>
        </w:rPr>
        <w:t>e</w:t>
      </w:r>
      <w:r w:rsidR="00933D43" w:rsidRPr="00A12D37">
        <w:rPr>
          <w:rFonts w:ascii="Cambria" w:eastAsia="Calibri" w:hAnsi="Cambria" w:cs="Times New Roman"/>
          <w:sz w:val="24"/>
          <w:szCs w:val="24"/>
        </w:rPr>
        <w:t xml:space="preserve"> depending on their perception of their </w:t>
      </w:r>
      <w:r w:rsidR="00A47E20" w:rsidRPr="00A12D37">
        <w:rPr>
          <w:rFonts w:ascii="Cambria" w:eastAsia="Calibri" w:hAnsi="Cambria" w:cs="Times New Roman"/>
          <w:sz w:val="24"/>
          <w:szCs w:val="24"/>
        </w:rPr>
        <w:t xml:space="preserve">ability to act. </w:t>
      </w:r>
    </w:p>
    <w:p w14:paraId="15A5BA3B" w14:textId="1953C96B" w:rsidR="00C7217E" w:rsidRPr="00530906" w:rsidRDefault="00634FBA">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 xml:space="preserve">Study </w:t>
      </w:r>
      <w:r w:rsidR="00E07E20" w:rsidRPr="00A12D37">
        <w:rPr>
          <w:rFonts w:ascii="Cambria" w:eastAsia="Calibri" w:hAnsi="Cambria" w:cs="Times New Roman"/>
          <w:sz w:val="24"/>
          <w:szCs w:val="24"/>
        </w:rPr>
        <w:t>shows t</w:t>
      </w:r>
      <w:r w:rsidR="00C7217E" w:rsidRPr="00A12D37">
        <w:rPr>
          <w:rFonts w:ascii="Cambria" w:eastAsia="Calibri" w:hAnsi="Cambria" w:cs="Times New Roman"/>
          <w:sz w:val="24"/>
          <w:szCs w:val="24"/>
        </w:rPr>
        <w:t xml:space="preserve">he more control consumers have, the more favourable </w:t>
      </w:r>
      <w:r w:rsidR="00C7217E" w:rsidRPr="00530906">
        <w:rPr>
          <w:rFonts w:ascii="Cambria" w:eastAsia="Calibri" w:hAnsi="Cambria" w:cs="Times New Roman"/>
          <w:sz w:val="24"/>
          <w:szCs w:val="24"/>
        </w:rPr>
        <w:t xml:space="preserve">attitude they exhibit towards that object (Richard and Chebat 2016). </w:t>
      </w:r>
      <w:r w:rsidR="005D557D">
        <w:rPr>
          <w:rFonts w:ascii="Cambria" w:eastAsia="Calibri" w:hAnsi="Cambria" w:cs="Times New Roman"/>
          <w:sz w:val="24"/>
          <w:szCs w:val="24"/>
        </w:rPr>
        <w:t xml:space="preserve">If </w:t>
      </w:r>
      <w:r w:rsidR="00C7217E" w:rsidRPr="00530906">
        <w:rPr>
          <w:rFonts w:ascii="Cambria" w:eastAsia="Calibri" w:hAnsi="Cambria" w:cs="Times New Roman"/>
          <w:sz w:val="24"/>
          <w:szCs w:val="24"/>
        </w:rPr>
        <w:t>consumers</w:t>
      </w:r>
      <w:r w:rsidR="00367D81">
        <w:rPr>
          <w:rFonts w:ascii="Cambria" w:eastAsia="Calibri" w:hAnsi="Cambria" w:cs="Times New Roman"/>
          <w:sz w:val="24"/>
          <w:szCs w:val="24"/>
        </w:rPr>
        <w:t xml:space="preserve"> can</w:t>
      </w:r>
      <w:r w:rsidR="00C7217E" w:rsidRPr="00530906">
        <w:rPr>
          <w:rFonts w:ascii="Cambria" w:eastAsia="Calibri" w:hAnsi="Cambria" w:cs="Times New Roman"/>
          <w:sz w:val="24"/>
          <w:szCs w:val="24"/>
        </w:rPr>
        <w:t xml:space="preserve"> anticipate the outcome of the consumption while they watch an advertisement,</w:t>
      </w:r>
      <w:r w:rsidR="00367D81">
        <w:rPr>
          <w:rFonts w:ascii="Cambria" w:eastAsia="Calibri" w:hAnsi="Cambria" w:cs="Times New Roman"/>
          <w:sz w:val="24"/>
          <w:szCs w:val="24"/>
        </w:rPr>
        <w:t xml:space="preserve"> it</w:t>
      </w:r>
      <w:r w:rsidR="00C7217E" w:rsidRPr="00530906">
        <w:rPr>
          <w:rFonts w:ascii="Cambria" w:eastAsia="Calibri" w:hAnsi="Cambria" w:cs="Times New Roman"/>
          <w:sz w:val="24"/>
          <w:szCs w:val="24"/>
        </w:rPr>
        <w:t xml:space="preserve"> </w:t>
      </w:r>
      <w:r w:rsidR="00B9036F" w:rsidRPr="00530906">
        <w:rPr>
          <w:rFonts w:ascii="Cambria" w:eastAsia="Calibri" w:hAnsi="Cambria" w:cs="Times New Roman"/>
          <w:sz w:val="24"/>
          <w:szCs w:val="24"/>
        </w:rPr>
        <w:t>enhances</w:t>
      </w:r>
      <w:r w:rsidR="00C7217E" w:rsidRPr="00530906">
        <w:rPr>
          <w:rFonts w:ascii="Cambria" w:eastAsia="Calibri" w:hAnsi="Cambria" w:cs="Times New Roman"/>
          <w:sz w:val="24"/>
          <w:szCs w:val="24"/>
        </w:rPr>
        <w:t xml:space="preserve"> the advertisement attitude (Phillips 1996; Walker and Olson 1994).  </w:t>
      </w:r>
      <w:r w:rsidR="00B9036F" w:rsidRPr="00530906">
        <w:rPr>
          <w:rFonts w:ascii="Cambria" w:eastAsia="Calibri" w:hAnsi="Cambria" w:cs="Times New Roman"/>
          <w:sz w:val="24"/>
          <w:szCs w:val="24"/>
        </w:rPr>
        <w:t>So,</w:t>
      </w:r>
      <w:r w:rsidR="00C7217E" w:rsidRPr="00530906">
        <w:rPr>
          <w:rFonts w:ascii="Cambria" w:eastAsia="Calibri" w:hAnsi="Cambria" w:cs="Times New Roman"/>
          <w:sz w:val="24"/>
          <w:szCs w:val="24"/>
        </w:rPr>
        <w:t xml:space="preserve"> it is likely that, if they can understand the impact of their action on the band and environment by choosing sustainable </w:t>
      </w:r>
      <w:r w:rsidR="005420F5" w:rsidRPr="00530906">
        <w:rPr>
          <w:rFonts w:ascii="Cambria" w:eastAsia="Calibri" w:hAnsi="Cambria" w:cs="Times New Roman"/>
          <w:sz w:val="24"/>
          <w:szCs w:val="24"/>
        </w:rPr>
        <w:t>product,</w:t>
      </w:r>
      <w:r w:rsidR="00C7217E" w:rsidRPr="00530906">
        <w:rPr>
          <w:rFonts w:ascii="Cambria" w:eastAsia="Calibri" w:hAnsi="Cambria" w:cs="Times New Roman"/>
          <w:sz w:val="24"/>
          <w:szCs w:val="24"/>
        </w:rPr>
        <w:t xml:space="preserve"> they may have greater attitude towards the product’s advertisement</w:t>
      </w:r>
    </w:p>
    <w:p w14:paraId="11E6357D" w14:textId="000EB54B"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12</w:t>
      </w:r>
      <w:r w:rsidRPr="00530906">
        <w:rPr>
          <w:rFonts w:ascii="Cambria" w:eastAsia="Calibri" w:hAnsi="Cambria" w:cs="Times New Roman"/>
          <w:b/>
          <w:sz w:val="24"/>
          <w:szCs w:val="24"/>
        </w:rPr>
        <w:t xml:space="preserve">: Dominance will positively and significantly influence ad attitude towards </w:t>
      </w:r>
      <w:r w:rsidR="00AF02D6">
        <w:rPr>
          <w:rFonts w:ascii="Cambria" w:eastAsia="Calibri" w:hAnsi="Cambria" w:cs="Times New Roman"/>
          <w:b/>
          <w:sz w:val="24"/>
          <w:szCs w:val="24"/>
        </w:rPr>
        <w:t xml:space="preserve">ad with </w:t>
      </w:r>
      <w:r w:rsidR="00A32D32">
        <w:rPr>
          <w:rFonts w:ascii="Cambria" w:eastAsia="Calibri" w:hAnsi="Cambria" w:cs="Times New Roman"/>
          <w:b/>
          <w:sz w:val="24"/>
          <w:szCs w:val="24"/>
        </w:rPr>
        <w:t>s</w:t>
      </w:r>
      <w:r w:rsidRPr="00530906">
        <w:rPr>
          <w:rFonts w:ascii="Cambria" w:eastAsia="Calibri" w:hAnsi="Cambria" w:cs="Times New Roman"/>
          <w:b/>
          <w:sz w:val="24"/>
          <w:szCs w:val="24"/>
        </w:rPr>
        <w:t>ustainability</w:t>
      </w:r>
      <w:r w:rsidR="00AF02D6">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t>
      </w:r>
    </w:p>
    <w:p w14:paraId="19FFC5E9" w14:textId="530C871A" w:rsidR="003D6113" w:rsidRDefault="003D6113" w:rsidP="003D6113">
      <w:pPr>
        <w:pStyle w:val="Heading2"/>
        <w:rPr>
          <w:rFonts w:eastAsia="Calibri"/>
        </w:rPr>
      </w:pPr>
      <w:bookmarkStart w:id="63" w:name="_Toc115726242"/>
      <w:r>
        <w:rPr>
          <w:rFonts w:eastAsia="Calibri"/>
        </w:rPr>
        <w:t xml:space="preserve">3.8. Impact of Ad attitude on </w:t>
      </w:r>
      <w:r w:rsidR="00B9036F">
        <w:rPr>
          <w:rFonts w:eastAsia="Calibri"/>
        </w:rPr>
        <w:t>Social</w:t>
      </w:r>
      <w:r>
        <w:rPr>
          <w:rFonts w:eastAsia="Calibri"/>
        </w:rPr>
        <w:t xml:space="preserve"> media engagement</w:t>
      </w:r>
      <w:bookmarkEnd w:id="63"/>
      <w:r>
        <w:rPr>
          <w:rFonts w:eastAsia="Calibri"/>
        </w:rPr>
        <w:t xml:space="preserve"> </w:t>
      </w:r>
    </w:p>
    <w:p w14:paraId="2A400475" w14:textId="5B0E24BC" w:rsidR="00774930"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Attitude towards the advertisement has been directly linked with the social–media–engagement with it (de Gregorio and Sung 2010). Consumers’ attitude of the product and the brand may be influenced positively or negatively due to the social–media contents (Hutter et al. 2013). Online engagement or social–media–engagement has been characterised with consumer’s values, self–image and attitude with the subject (Bowden 2009).</w:t>
      </w:r>
    </w:p>
    <w:p w14:paraId="479EBDE6" w14:textId="2FA24BAC" w:rsidR="00C7217E" w:rsidRPr="00530906" w:rsidRDefault="00B3510C">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Similarly, attitude</w:t>
      </w:r>
      <w:r w:rsidR="00774930">
        <w:rPr>
          <w:rFonts w:ascii="Cambria" w:eastAsia="Calibri" w:hAnsi="Cambria" w:cs="Times New Roman"/>
          <w:sz w:val="24"/>
          <w:szCs w:val="24"/>
        </w:rPr>
        <w:t xml:space="preserve"> towards an ad</w:t>
      </w:r>
      <w:r w:rsidRPr="00530906">
        <w:rPr>
          <w:rFonts w:ascii="Cambria" w:eastAsia="Calibri" w:hAnsi="Cambria" w:cs="Times New Roman"/>
          <w:sz w:val="24"/>
          <w:szCs w:val="24"/>
        </w:rPr>
        <w:t xml:space="preserve"> represents the favourable or unfavourable feelings for the ad resulting from observing the ad, which dictates consumers’ further behaviour (MacKenzie et al 1986; Berkowitz, 1986). </w:t>
      </w:r>
      <w:r w:rsidR="00C7217E" w:rsidRPr="00530906">
        <w:rPr>
          <w:rFonts w:ascii="Cambria" w:eastAsia="Calibri" w:hAnsi="Cambria" w:cs="Times New Roman"/>
          <w:sz w:val="24"/>
          <w:szCs w:val="24"/>
        </w:rPr>
        <w:t xml:space="preserve">This should also be true in the context of </w:t>
      </w:r>
      <w:r w:rsidR="00774930">
        <w:rPr>
          <w:rFonts w:ascii="Cambria" w:eastAsia="Calibri" w:hAnsi="Cambria" w:cs="Times New Roman"/>
          <w:sz w:val="24"/>
          <w:szCs w:val="24"/>
        </w:rPr>
        <w:t xml:space="preserve">ad with </w:t>
      </w:r>
      <w:r w:rsidR="00C7217E" w:rsidRPr="00530906">
        <w:rPr>
          <w:rFonts w:ascii="Cambria" w:eastAsia="Calibri" w:hAnsi="Cambria" w:cs="Times New Roman"/>
          <w:sz w:val="24"/>
          <w:szCs w:val="24"/>
        </w:rPr>
        <w:t xml:space="preserve">sustainability </w:t>
      </w:r>
      <w:r w:rsidR="00774930">
        <w:rPr>
          <w:rFonts w:ascii="Cambria" w:eastAsia="Calibri" w:hAnsi="Cambria" w:cs="Times New Roman"/>
          <w:sz w:val="24"/>
          <w:szCs w:val="24"/>
        </w:rPr>
        <w:t>message</w:t>
      </w:r>
      <w:r w:rsidR="00C7217E" w:rsidRPr="00530906">
        <w:rPr>
          <w:rFonts w:ascii="Cambria" w:eastAsia="Calibri" w:hAnsi="Cambria" w:cs="Times New Roman"/>
          <w:sz w:val="24"/>
          <w:szCs w:val="24"/>
        </w:rPr>
        <w:t xml:space="preserve">. </w:t>
      </w:r>
      <w:r w:rsidRPr="00530906">
        <w:rPr>
          <w:rFonts w:ascii="Cambria" w:eastAsia="Calibri" w:hAnsi="Cambria" w:cs="Times New Roman"/>
          <w:sz w:val="24"/>
          <w:szCs w:val="24"/>
        </w:rPr>
        <w:t xml:space="preserve">Ad attitude engendered through </w:t>
      </w:r>
      <w:r w:rsidR="00D35921">
        <w:rPr>
          <w:rFonts w:ascii="Cambria" w:eastAsia="Calibri" w:hAnsi="Cambria" w:cs="Times New Roman"/>
          <w:sz w:val="24"/>
          <w:szCs w:val="24"/>
        </w:rPr>
        <w:t xml:space="preserve">ad with </w:t>
      </w:r>
      <w:r w:rsidRPr="00530906">
        <w:rPr>
          <w:rFonts w:ascii="Cambria" w:eastAsia="Calibri" w:hAnsi="Cambria" w:cs="Times New Roman"/>
          <w:sz w:val="24"/>
          <w:szCs w:val="24"/>
        </w:rPr>
        <w:t xml:space="preserve">sustainability </w:t>
      </w:r>
      <w:r w:rsidR="00D35921">
        <w:rPr>
          <w:rFonts w:ascii="Cambria" w:eastAsia="Calibri" w:hAnsi="Cambria" w:cs="Times New Roman"/>
          <w:sz w:val="24"/>
          <w:szCs w:val="24"/>
        </w:rPr>
        <w:t>message</w:t>
      </w:r>
      <w:r w:rsidRPr="00530906">
        <w:rPr>
          <w:rFonts w:ascii="Cambria" w:eastAsia="Calibri" w:hAnsi="Cambria" w:cs="Times New Roman"/>
          <w:sz w:val="24"/>
          <w:szCs w:val="24"/>
        </w:rPr>
        <w:t xml:space="preserve"> in social media will decide the behaviour of the of the users. </w:t>
      </w:r>
      <w:r w:rsidR="00C7217E" w:rsidRPr="00530906">
        <w:rPr>
          <w:rFonts w:ascii="Cambria" w:eastAsia="Calibri" w:hAnsi="Cambria" w:cs="Times New Roman"/>
          <w:sz w:val="24"/>
          <w:szCs w:val="24"/>
        </w:rPr>
        <w:t xml:space="preserve">This implies that consumers’ social media engagement </w:t>
      </w:r>
      <w:r w:rsidRPr="00530906">
        <w:rPr>
          <w:rFonts w:ascii="Cambria" w:eastAsia="Calibri" w:hAnsi="Cambria" w:cs="Times New Roman"/>
          <w:sz w:val="24"/>
          <w:szCs w:val="24"/>
        </w:rPr>
        <w:t xml:space="preserve">behaviour </w:t>
      </w:r>
      <w:r w:rsidR="00C7217E" w:rsidRPr="00530906">
        <w:rPr>
          <w:rFonts w:ascii="Cambria" w:eastAsia="Calibri" w:hAnsi="Cambria" w:cs="Times New Roman"/>
          <w:sz w:val="24"/>
          <w:szCs w:val="24"/>
        </w:rPr>
        <w:t xml:space="preserve">should be impacted depending on their attitude towards the content, which is the </w:t>
      </w:r>
      <w:r w:rsidR="007710E8">
        <w:rPr>
          <w:rFonts w:ascii="Cambria" w:eastAsia="Calibri" w:hAnsi="Cambria" w:cs="Times New Roman"/>
          <w:sz w:val="24"/>
          <w:szCs w:val="24"/>
        </w:rPr>
        <w:t xml:space="preserve">ad with </w:t>
      </w:r>
      <w:r w:rsidR="00C7217E" w:rsidRPr="00530906">
        <w:rPr>
          <w:rFonts w:ascii="Cambria" w:eastAsia="Calibri" w:hAnsi="Cambria" w:cs="Times New Roman"/>
          <w:sz w:val="24"/>
          <w:szCs w:val="24"/>
        </w:rPr>
        <w:t xml:space="preserve">sustainability </w:t>
      </w:r>
      <w:r w:rsidR="007710E8">
        <w:rPr>
          <w:rFonts w:ascii="Cambria" w:eastAsia="Calibri" w:hAnsi="Cambria" w:cs="Times New Roman"/>
          <w:sz w:val="24"/>
          <w:szCs w:val="24"/>
        </w:rPr>
        <w:t>message</w:t>
      </w:r>
      <w:r w:rsidR="00C7217E" w:rsidRPr="00530906">
        <w:rPr>
          <w:rFonts w:ascii="Cambria" w:eastAsia="Calibri" w:hAnsi="Cambria" w:cs="Times New Roman"/>
          <w:sz w:val="24"/>
          <w:szCs w:val="24"/>
        </w:rPr>
        <w:t xml:space="preserve"> accompanied by positive or negative caption.</w:t>
      </w:r>
    </w:p>
    <w:p w14:paraId="2FE7F0F4" w14:textId="70D62CD4"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13</w:t>
      </w:r>
      <w:r w:rsidRPr="00530906">
        <w:rPr>
          <w:rFonts w:ascii="Cambria" w:eastAsia="Calibri" w:hAnsi="Cambria" w:cs="Times New Roman"/>
          <w:b/>
          <w:sz w:val="24"/>
          <w:szCs w:val="24"/>
        </w:rPr>
        <w:t xml:space="preserve">: Ad attitude will positively and significantly influence social–media–engagement with the </w:t>
      </w:r>
      <w:r w:rsidR="007710E8">
        <w:rPr>
          <w:rFonts w:ascii="Cambria" w:eastAsia="Calibri" w:hAnsi="Cambria" w:cs="Times New Roman"/>
          <w:b/>
          <w:sz w:val="24"/>
          <w:szCs w:val="24"/>
        </w:rPr>
        <w:t xml:space="preserve">ad with </w:t>
      </w:r>
      <w:r w:rsidR="00A32D32">
        <w:rPr>
          <w:rFonts w:ascii="Cambria" w:eastAsia="Calibri" w:hAnsi="Cambria" w:cs="Times New Roman"/>
          <w:b/>
          <w:sz w:val="24"/>
          <w:szCs w:val="24"/>
        </w:rPr>
        <w:t>s</w:t>
      </w:r>
      <w:r w:rsidRPr="00530906">
        <w:rPr>
          <w:rFonts w:ascii="Cambria" w:eastAsia="Calibri" w:hAnsi="Cambria" w:cs="Times New Roman"/>
          <w:b/>
          <w:sz w:val="24"/>
          <w:szCs w:val="24"/>
        </w:rPr>
        <w:t>ustainability</w:t>
      </w:r>
      <w:r w:rsidR="007710E8">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t>
      </w:r>
    </w:p>
    <w:p w14:paraId="701396A8" w14:textId="3539A40F" w:rsidR="00C7217E" w:rsidRPr="00530906" w:rsidRDefault="009A4CCA" w:rsidP="008756B1">
      <w:pPr>
        <w:pStyle w:val="Heading2"/>
        <w:jc w:val="both"/>
        <w:rPr>
          <w:rFonts w:ascii="Cambria" w:eastAsia="Calibri" w:hAnsi="Cambria"/>
        </w:rPr>
      </w:pPr>
      <w:bookmarkStart w:id="64" w:name="_Toc115726243"/>
      <w:r w:rsidRPr="00530906">
        <w:rPr>
          <w:rFonts w:ascii="Cambria" w:eastAsia="Calibri" w:hAnsi="Cambria"/>
        </w:rPr>
        <w:t>3.</w:t>
      </w:r>
      <w:r w:rsidR="001B2A6A">
        <w:rPr>
          <w:rFonts w:ascii="Cambria" w:eastAsia="Calibri" w:hAnsi="Cambria"/>
        </w:rPr>
        <w:t>9</w:t>
      </w:r>
      <w:r w:rsidRPr="00530906">
        <w:rPr>
          <w:rFonts w:ascii="Cambria" w:eastAsia="Calibri" w:hAnsi="Cambria"/>
        </w:rPr>
        <w:t xml:space="preserve"> </w:t>
      </w:r>
      <w:r w:rsidR="002902D7">
        <w:rPr>
          <w:rFonts w:ascii="Cambria" w:eastAsia="Calibri" w:hAnsi="Cambria"/>
        </w:rPr>
        <w:t xml:space="preserve">Impact of </w:t>
      </w:r>
      <w:r w:rsidR="00C7217E" w:rsidRPr="00530906">
        <w:rPr>
          <w:rFonts w:ascii="Cambria" w:eastAsia="Calibri" w:hAnsi="Cambria"/>
        </w:rPr>
        <w:t>social–media engagement</w:t>
      </w:r>
      <w:bookmarkEnd w:id="64"/>
    </w:p>
    <w:p w14:paraId="3A8798F4" w14:textId="49462A7C" w:rsidR="00C7217E" w:rsidRPr="00530906" w:rsidRDefault="001B2A6A" w:rsidP="001B2A6A">
      <w:pPr>
        <w:pStyle w:val="Heading3"/>
        <w:rPr>
          <w:rFonts w:eastAsia="Calibri"/>
        </w:rPr>
      </w:pPr>
      <w:bookmarkStart w:id="65" w:name="_Toc115726244"/>
      <w:r>
        <w:rPr>
          <w:rFonts w:eastAsia="Calibri"/>
        </w:rPr>
        <w:t xml:space="preserve">3.9.1 </w:t>
      </w:r>
      <w:r w:rsidR="00C7217E" w:rsidRPr="00530906">
        <w:rPr>
          <w:rFonts w:eastAsia="Calibri"/>
        </w:rPr>
        <w:t>Normative influence</w:t>
      </w:r>
      <w:bookmarkEnd w:id="65"/>
    </w:p>
    <w:p w14:paraId="77DC91CE" w14:textId="6DD402AC" w:rsidR="00D66E97" w:rsidRPr="00E24832" w:rsidRDefault="00C7217E">
      <w:pPr>
        <w:spacing w:line="360" w:lineRule="auto"/>
        <w:jc w:val="both"/>
        <w:rPr>
          <w:rFonts w:ascii="Cambria" w:hAnsi="Cambria"/>
          <w:sz w:val="24"/>
          <w:szCs w:val="24"/>
        </w:rPr>
      </w:pPr>
      <w:r w:rsidRPr="00530906">
        <w:rPr>
          <w:rFonts w:ascii="Cambria" w:eastAsia="Calibri" w:hAnsi="Cambria" w:cs="Times New Roman"/>
          <w:sz w:val="24"/>
          <w:szCs w:val="24"/>
        </w:rPr>
        <w:t>The essence of normative influence is</w:t>
      </w:r>
      <w:r w:rsidR="004179CD" w:rsidRPr="00530906">
        <w:rPr>
          <w:rFonts w:ascii="Cambria" w:eastAsia="Calibri" w:hAnsi="Cambria" w:cs="Times New Roman"/>
          <w:sz w:val="24"/>
          <w:szCs w:val="24"/>
        </w:rPr>
        <w:t>–</w:t>
      </w:r>
      <w:r w:rsidRPr="00530906">
        <w:rPr>
          <w:rFonts w:ascii="Cambria" w:eastAsia="Calibri" w:hAnsi="Cambria" w:cs="Times New Roman"/>
          <w:sz w:val="24"/>
          <w:szCs w:val="24"/>
        </w:rPr>
        <w:t xml:space="preserve"> individuals are influenced by the majority of the community (Li 2013).</w:t>
      </w:r>
      <w:r w:rsidR="00C96D53">
        <w:rPr>
          <w:rFonts w:ascii="Cambria" w:eastAsia="Calibri" w:hAnsi="Cambria" w:cs="Times New Roman"/>
          <w:sz w:val="24"/>
          <w:szCs w:val="24"/>
        </w:rPr>
        <w:t xml:space="preserve"> In the context of social media</w:t>
      </w:r>
      <w:r w:rsidR="00733AD6">
        <w:rPr>
          <w:rFonts w:ascii="Cambria" w:eastAsia="Calibri" w:hAnsi="Cambria" w:cs="Times New Roman"/>
          <w:sz w:val="24"/>
          <w:szCs w:val="24"/>
        </w:rPr>
        <w:t>, t</w:t>
      </w:r>
      <w:r w:rsidRPr="00530906">
        <w:rPr>
          <w:rFonts w:ascii="Cambria" w:eastAsia="Calibri" w:hAnsi="Cambria" w:cs="Times New Roman"/>
          <w:sz w:val="24"/>
          <w:szCs w:val="24"/>
        </w:rPr>
        <w:t xml:space="preserve">he sense of community gained through the interaction in social–media affects users’ </w:t>
      </w:r>
      <w:r w:rsidR="005420F5" w:rsidRPr="00530906">
        <w:rPr>
          <w:rFonts w:ascii="Cambria" w:eastAsia="Calibri" w:hAnsi="Cambria" w:cs="Times New Roman"/>
          <w:sz w:val="24"/>
          <w:szCs w:val="24"/>
        </w:rPr>
        <w:t>self-esteem</w:t>
      </w:r>
      <w:r w:rsidRPr="00530906">
        <w:rPr>
          <w:rFonts w:ascii="Cambria" w:eastAsia="Calibri" w:hAnsi="Cambria" w:cs="Times New Roman"/>
          <w:sz w:val="24"/>
          <w:szCs w:val="24"/>
        </w:rPr>
        <w:t xml:space="preserve"> (Bolton et al 2013).</w:t>
      </w:r>
      <w:r w:rsidRPr="00530906">
        <w:rPr>
          <w:rFonts w:ascii="Cambria" w:eastAsia="Calibri" w:hAnsi="Cambria"/>
          <w:sz w:val="24"/>
          <w:szCs w:val="24"/>
        </w:rPr>
        <w:t xml:space="preserve"> The more people are engaged in social–media the more possibility for them to be influenced by others who engage in similar actions (Blazevic et al, 2013; Bolton et al 2013). This phenomenon occurs because of their desire to maintain harmony, which</w:t>
      </w:r>
      <w:r w:rsidRPr="00530906">
        <w:rPr>
          <w:rFonts w:ascii="Cambria" w:eastAsia="Calibri" w:hAnsi="Cambria" w:cs="Times New Roman"/>
          <w:sz w:val="24"/>
          <w:szCs w:val="24"/>
        </w:rPr>
        <w:t xml:space="preserve"> leads them to be socially influenced to comply positively with the expectation of others</w:t>
      </w:r>
      <w:r w:rsidRPr="00530906">
        <w:rPr>
          <w:rFonts w:ascii="Cambria" w:eastAsia="Calibri" w:hAnsi="Cambria"/>
          <w:sz w:val="24"/>
          <w:szCs w:val="24"/>
        </w:rPr>
        <w:t xml:space="preserve"> (Aronson et al 2005; Hsieh and Chang 2016). C</w:t>
      </w:r>
      <w:r w:rsidRPr="00530906">
        <w:rPr>
          <w:rFonts w:ascii="Cambria" w:hAnsi="Cambria"/>
          <w:sz w:val="24"/>
          <w:szCs w:val="24"/>
        </w:rPr>
        <w:t>onsumers</w:t>
      </w:r>
      <w:r w:rsidRPr="00530906">
        <w:rPr>
          <w:rFonts w:ascii="Cambria" w:eastAsia="Calibri" w:hAnsi="Cambria" w:cs="Times New Roman"/>
          <w:sz w:val="24"/>
          <w:szCs w:val="24"/>
        </w:rPr>
        <w:t xml:space="preserve"> gain sociability by interacting in social–media (Carlson et al 2018)</w:t>
      </w:r>
      <w:r w:rsidRPr="00530906">
        <w:rPr>
          <w:rFonts w:ascii="Cambria" w:hAnsi="Cambria"/>
          <w:sz w:val="24"/>
          <w:szCs w:val="24"/>
        </w:rPr>
        <w:t xml:space="preserve">. If the consumers identify themselves with their peers online, their engagement will represent their level of agreement with the norm and objective of that virtual community (Venkatesh and Brown </w:t>
      </w:r>
      <w:r w:rsidRPr="00E24832">
        <w:rPr>
          <w:rFonts w:ascii="Cambria" w:hAnsi="Cambria"/>
          <w:sz w:val="24"/>
          <w:szCs w:val="24"/>
        </w:rPr>
        <w:t xml:space="preserve">2001; Algesheimer et al 2005). </w:t>
      </w:r>
    </w:p>
    <w:p w14:paraId="5DB8D90C" w14:textId="71B0FBF1" w:rsidR="00120D1B" w:rsidRPr="00E24832" w:rsidRDefault="0034206A">
      <w:pPr>
        <w:spacing w:line="360" w:lineRule="auto"/>
        <w:jc w:val="both"/>
        <w:rPr>
          <w:rFonts w:ascii="Cambria" w:hAnsi="Cambria"/>
          <w:sz w:val="24"/>
          <w:szCs w:val="24"/>
        </w:rPr>
      </w:pPr>
      <w:r w:rsidRPr="00E24832">
        <w:rPr>
          <w:rFonts w:ascii="Cambria" w:hAnsi="Cambria"/>
          <w:sz w:val="24"/>
          <w:szCs w:val="24"/>
        </w:rPr>
        <w:t xml:space="preserve">However, </w:t>
      </w:r>
      <w:r w:rsidR="00AC00A0" w:rsidRPr="00E24832">
        <w:rPr>
          <w:rFonts w:ascii="Cambria" w:hAnsi="Cambria"/>
          <w:sz w:val="24"/>
          <w:szCs w:val="24"/>
        </w:rPr>
        <w:t>this may not be</w:t>
      </w:r>
      <w:r w:rsidR="008D383E" w:rsidRPr="00E24832">
        <w:rPr>
          <w:rFonts w:ascii="Cambria" w:hAnsi="Cambria"/>
          <w:sz w:val="24"/>
          <w:szCs w:val="24"/>
        </w:rPr>
        <w:t xml:space="preserve"> always</w:t>
      </w:r>
      <w:r w:rsidR="00AC00A0" w:rsidRPr="00E24832">
        <w:rPr>
          <w:rFonts w:ascii="Cambria" w:hAnsi="Cambria"/>
          <w:sz w:val="24"/>
          <w:szCs w:val="24"/>
        </w:rPr>
        <w:t xml:space="preserve"> true</w:t>
      </w:r>
      <w:r w:rsidR="008D383E" w:rsidRPr="00E24832">
        <w:rPr>
          <w:rFonts w:ascii="Cambria" w:hAnsi="Cambria"/>
          <w:sz w:val="24"/>
          <w:szCs w:val="24"/>
        </w:rPr>
        <w:t xml:space="preserve">. </w:t>
      </w:r>
      <w:r w:rsidR="00090B09" w:rsidRPr="00E24832">
        <w:rPr>
          <w:rFonts w:ascii="Cambria" w:hAnsi="Cambria"/>
          <w:sz w:val="24"/>
          <w:szCs w:val="24"/>
        </w:rPr>
        <w:t>Consumers may deviate from</w:t>
      </w:r>
      <w:r w:rsidR="003F0EF0" w:rsidRPr="00E24832">
        <w:rPr>
          <w:rFonts w:ascii="Cambria" w:hAnsi="Cambria"/>
          <w:sz w:val="24"/>
          <w:szCs w:val="24"/>
        </w:rPr>
        <w:t xml:space="preserve"> the positive comments of</w:t>
      </w:r>
      <w:r w:rsidR="00703AD3" w:rsidRPr="00E24832">
        <w:rPr>
          <w:rFonts w:ascii="Cambria" w:hAnsi="Cambria"/>
          <w:sz w:val="24"/>
          <w:szCs w:val="24"/>
        </w:rPr>
        <w:t xml:space="preserve"> the </w:t>
      </w:r>
      <w:r w:rsidR="003F0EF0" w:rsidRPr="00E24832">
        <w:rPr>
          <w:rFonts w:ascii="Cambria" w:hAnsi="Cambria"/>
          <w:sz w:val="24"/>
          <w:szCs w:val="24"/>
        </w:rPr>
        <w:t xml:space="preserve">majority </w:t>
      </w:r>
      <w:r w:rsidR="00703AD3" w:rsidRPr="00E24832">
        <w:rPr>
          <w:rFonts w:ascii="Cambria" w:hAnsi="Cambria"/>
          <w:sz w:val="24"/>
          <w:szCs w:val="24"/>
        </w:rPr>
        <w:t xml:space="preserve">audience </w:t>
      </w:r>
      <w:r w:rsidR="00A908B1" w:rsidRPr="00E24832">
        <w:rPr>
          <w:rFonts w:ascii="Cambria" w:hAnsi="Cambria"/>
          <w:sz w:val="24"/>
          <w:szCs w:val="24"/>
        </w:rPr>
        <w:t xml:space="preserve">in a branded webpage, if they suspect </w:t>
      </w:r>
      <w:r w:rsidR="00B9036F" w:rsidRPr="00E24832">
        <w:rPr>
          <w:rFonts w:ascii="Cambria" w:hAnsi="Cambria"/>
          <w:sz w:val="24"/>
          <w:szCs w:val="24"/>
        </w:rPr>
        <w:t>brands</w:t>
      </w:r>
      <w:r w:rsidR="00A908B1" w:rsidRPr="00E24832">
        <w:rPr>
          <w:rFonts w:ascii="Cambria" w:hAnsi="Cambria"/>
          <w:sz w:val="24"/>
          <w:szCs w:val="24"/>
        </w:rPr>
        <w:t xml:space="preserve"> are </w:t>
      </w:r>
      <w:r w:rsidR="004C6592" w:rsidRPr="00E24832">
        <w:rPr>
          <w:rFonts w:ascii="Cambria" w:hAnsi="Cambria"/>
          <w:sz w:val="24"/>
          <w:szCs w:val="24"/>
        </w:rPr>
        <w:t>eliminating the negative comments (</w:t>
      </w:r>
      <w:r w:rsidR="002D5543" w:rsidRPr="00E24832">
        <w:rPr>
          <w:rFonts w:ascii="Cambria" w:hAnsi="Cambria"/>
          <w:sz w:val="24"/>
          <w:szCs w:val="24"/>
        </w:rPr>
        <w:t xml:space="preserve">Morrongiello et al </w:t>
      </w:r>
      <w:r w:rsidR="004C6592" w:rsidRPr="00E24832">
        <w:rPr>
          <w:rFonts w:ascii="Cambria" w:hAnsi="Cambria"/>
          <w:sz w:val="24"/>
          <w:szCs w:val="24"/>
        </w:rPr>
        <w:t xml:space="preserve">2017). </w:t>
      </w:r>
      <w:r w:rsidR="00F23BD6" w:rsidRPr="00E24832">
        <w:rPr>
          <w:rFonts w:ascii="Cambria" w:hAnsi="Cambria"/>
          <w:sz w:val="24"/>
          <w:szCs w:val="24"/>
        </w:rPr>
        <w:t xml:space="preserve">Only 9% of time </w:t>
      </w:r>
      <w:r w:rsidR="00282615" w:rsidRPr="00E24832">
        <w:rPr>
          <w:rFonts w:ascii="Cambria" w:hAnsi="Cambria"/>
          <w:sz w:val="24"/>
          <w:szCs w:val="24"/>
        </w:rPr>
        <w:t xml:space="preserve">consumers </w:t>
      </w:r>
      <w:r w:rsidR="001D50B1" w:rsidRPr="00E24832">
        <w:rPr>
          <w:rFonts w:ascii="Cambria" w:hAnsi="Cambria"/>
          <w:sz w:val="24"/>
          <w:szCs w:val="24"/>
        </w:rPr>
        <w:t xml:space="preserve">act negatively in response to positive social media engagement </w:t>
      </w:r>
      <w:r w:rsidR="00B57813" w:rsidRPr="00E24832">
        <w:rPr>
          <w:rFonts w:ascii="Cambria" w:hAnsi="Cambria"/>
          <w:sz w:val="24"/>
          <w:szCs w:val="24"/>
        </w:rPr>
        <w:t>(</w:t>
      </w:r>
      <w:r w:rsidR="00B86C00" w:rsidRPr="00E24832">
        <w:rPr>
          <w:rFonts w:ascii="Cambria" w:hAnsi="Cambria"/>
          <w:sz w:val="24"/>
          <w:szCs w:val="24"/>
        </w:rPr>
        <w:t>Delbaer et al</w:t>
      </w:r>
      <w:r w:rsidR="00B57813" w:rsidRPr="00E24832">
        <w:rPr>
          <w:rFonts w:ascii="Cambria" w:hAnsi="Cambria"/>
          <w:sz w:val="24"/>
          <w:szCs w:val="24"/>
        </w:rPr>
        <w:t xml:space="preserve"> 2021). In other </w:t>
      </w:r>
      <w:r w:rsidR="005420F5" w:rsidRPr="00E24832">
        <w:rPr>
          <w:rFonts w:ascii="Cambria" w:hAnsi="Cambria"/>
          <w:sz w:val="24"/>
          <w:szCs w:val="24"/>
        </w:rPr>
        <w:t>words,</w:t>
      </w:r>
      <w:r w:rsidR="00B57813" w:rsidRPr="00E24832">
        <w:rPr>
          <w:rFonts w:ascii="Cambria" w:hAnsi="Cambria"/>
          <w:sz w:val="24"/>
          <w:szCs w:val="24"/>
        </w:rPr>
        <w:t xml:space="preserve"> </w:t>
      </w:r>
      <w:r w:rsidR="00B543C9" w:rsidRPr="00E24832">
        <w:rPr>
          <w:rFonts w:ascii="Cambria" w:hAnsi="Cambria"/>
          <w:sz w:val="24"/>
          <w:szCs w:val="24"/>
        </w:rPr>
        <w:t>social media engagement will not have normative influence if the audienc</w:t>
      </w:r>
      <w:r w:rsidR="00610A87" w:rsidRPr="00E24832">
        <w:rPr>
          <w:rFonts w:ascii="Cambria" w:hAnsi="Cambria"/>
          <w:sz w:val="24"/>
          <w:szCs w:val="24"/>
        </w:rPr>
        <w:t xml:space="preserve">e do not trust the content of social </w:t>
      </w:r>
      <w:r w:rsidR="00B9036F" w:rsidRPr="00E24832">
        <w:rPr>
          <w:rFonts w:ascii="Cambria" w:hAnsi="Cambria"/>
          <w:sz w:val="24"/>
          <w:szCs w:val="24"/>
        </w:rPr>
        <w:t>media. This</w:t>
      </w:r>
      <w:r w:rsidR="00E310D8" w:rsidRPr="00E24832">
        <w:rPr>
          <w:rFonts w:ascii="Cambria" w:hAnsi="Cambria"/>
          <w:sz w:val="24"/>
          <w:szCs w:val="24"/>
        </w:rPr>
        <w:t xml:space="preserve"> phenomenon is also observed in the case of social media ad</w:t>
      </w:r>
      <w:r w:rsidR="00D84BE2" w:rsidRPr="00E24832">
        <w:rPr>
          <w:rFonts w:ascii="Cambria" w:hAnsi="Cambria"/>
          <w:sz w:val="24"/>
          <w:szCs w:val="24"/>
        </w:rPr>
        <w:t xml:space="preserve">. Consumers will not </w:t>
      </w:r>
      <w:r w:rsidR="00AF5B2F" w:rsidRPr="00E24832">
        <w:rPr>
          <w:rFonts w:ascii="Cambria" w:hAnsi="Cambria"/>
          <w:sz w:val="24"/>
          <w:szCs w:val="24"/>
        </w:rPr>
        <w:t>be normatively influences if they c</w:t>
      </w:r>
      <w:r w:rsidR="00AC00A0" w:rsidRPr="00E24832">
        <w:rPr>
          <w:rFonts w:ascii="Cambria" w:hAnsi="Cambria"/>
          <w:sz w:val="24"/>
          <w:szCs w:val="24"/>
        </w:rPr>
        <w:t xml:space="preserve">annot trust </w:t>
      </w:r>
      <w:r w:rsidR="00DD4FDA" w:rsidRPr="00E24832">
        <w:rPr>
          <w:rFonts w:ascii="Cambria" w:hAnsi="Cambria"/>
          <w:sz w:val="24"/>
          <w:szCs w:val="24"/>
        </w:rPr>
        <w:t xml:space="preserve">the social media ad </w:t>
      </w:r>
      <w:r w:rsidR="005C7964" w:rsidRPr="00E24832">
        <w:rPr>
          <w:rFonts w:ascii="Cambria" w:hAnsi="Cambria"/>
          <w:sz w:val="24"/>
          <w:szCs w:val="24"/>
        </w:rPr>
        <w:t>(</w:t>
      </w:r>
      <w:r w:rsidR="00D03D12" w:rsidRPr="00E24832">
        <w:rPr>
          <w:rFonts w:ascii="Cambria" w:hAnsi="Cambria"/>
          <w:sz w:val="24"/>
          <w:szCs w:val="24"/>
        </w:rPr>
        <w:t>Cao et al</w:t>
      </w:r>
      <w:r w:rsidR="00A7244A" w:rsidRPr="00E24832">
        <w:rPr>
          <w:rFonts w:ascii="Cambria" w:hAnsi="Cambria"/>
          <w:sz w:val="24"/>
          <w:szCs w:val="24"/>
        </w:rPr>
        <w:t xml:space="preserve"> 2021</w:t>
      </w:r>
      <w:r w:rsidR="00D03D12" w:rsidRPr="00E24832">
        <w:rPr>
          <w:rFonts w:ascii="Cambria" w:hAnsi="Cambria"/>
          <w:sz w:val="24"/>
          <w:szCs w:val="24"/>
        </w:rPr>
        <w:t>)</w:t>
      </w:r>
      <w:r w:rsidR="005C7964" w:rsidRPr="00E24832">
        <w:rPr>
          <w:rFonts w:ascii="Cambria" w:hAnsi="Cambria"/>
          <w:sz w:val="24"/>
          <w:szCs w:val="24"/>
        </w:rPr>
        <w:t xml:space="preserve"> or the source (</w:t>
      </w:r>
      <w:r w:rsidR="004310FE" w:rsidRPr="00E24832">
        <w:rPr>
          <w:rFonts w:ascii="Cambria" w:hAnsi="Cambria"/>
          <w:sz w:val="24"/>
          <w:szCs w:val="24"/>
        </w:rPr>
        <w:t>Errmann et al 2019</w:t>
      </w:r>
      <w:r w:rsidR="005C7964" w:rsidRPr="00E24832">
        <w:rPr>
          <w:rFonts w:ascii="Cambria" w:hAnsi="Cambria"/>
          <w:sz w:val="24"/>
          <w:szCs w:val="24"/>
        </w:rPr>
        <w:t>).</w:t>
      </w:r>
    </w:p>
    <w:p w14:paraId="79CE2C1D" w14:textId="78AB4667" w:rsidR="002E1D5C" w:rsidRDefault="00CF494D">
      <w:pPr>
        <w:spacing w:line="360" w:lineRule="auto"/>
        <w:jc w:val="both"/>
        <w:rPr>
          <w:rFonts w:ascii="Cambria" w:hAnsi="Cambria"/>
          <w:sz w:val="24"/>
          <w:szCs w:val="24"/>
        </w:rPr>
      </w:pPr>
      <w:r w:rsidRPr="00E24832">
        <w:rPr>
          <w:rFonts w:ascii="Cambria" w:hAnsi="Cambria"/>
          <w:sz w:val="24"/>
          <w:szCs w:val="24"/>
        </w:rPr>
        <w:t xml:space="preserve"> </w:t>
      </w:r>
      <w:r w:rsidR="006932F5" w:rsidRPr="00E24832">
        <w:rPr>
          <w:rFonts w:ascii="Cambria" w:hAnsi="Cambria"/>
          <w:sz w:val="24"/>
          <w:szCs w:val="24"/>
        </w:rPr>
        <w:t>However, when we consider the context ‘sustainability’, consumers prefer positive news than negative news, especially when it shows that consumers’ action may bring some positive change (Thøgersen and Schrader 2012; Song and Kim 2018; Han et al 2019). On the top of that, in the context of sustainability, consumers behaviour is significantly influenced by social norm (Caprar and Neville 2012; Cho et al 2013; White and Simpson 2013; Chan et al 2008; Stern 2000; Heath and Gifford 2002; Vermeir and Verbeke 2008; Soyez 2011; Wu et al 2016; Chen and Hung 2016; Ryoo et al 2017; Yadav and Pathak 2017). Hence, it is posited that, since social media has the capability to inspire new norm (Bolton et al 2013), positive caption regarding the ad with sustainability message should be readily accepted by other consumers and have a normative influence.</w:t>
      </w:r>
    </w:p>
    <w:p w14:paraId="7F038E18" w14:textId="1E851AA8" w:rsidR="00C7217E" w:rsidRPr="00530906" w:rsidRDefault="00C7217E">
      <w:pPr>
        <w:spacing w:line="360" w:lineRule="auto"/>
        <w:jc w:val="both"/>
        <w:rPr>
          <w:rFonts w:ascii="Cambria" w:eastAsia="+mn-ea" w:hAnsi="Cambria" w:cs="+mn-cs"/>
          <w:kern w:val="24"/>
          <w:sz w:val="24"/>
          <w:szCs w:val="24"/>
        </w:rPr>
      </w:pPr>
      <w:r w:rsidRPr="00530906">
        <w:rPr>
          <w:rFonts w:ascii="Cambria" w:eastAsia="Calibri" w:hAnsi="Cambria" w:cs="Times New Roman"/>
          <w:sz w:val="24"/>
          <w:szCs w:val="24"/>
        </w:rPr>
        <w:t xml:space="preserve">Hence, it is posited that, higher level of engagement </w:t>
      </w:r>
      <w:r w:rsidR="0078193F">
        <w:rPr>
          <w:rFonts w:ascii="Cambria" w:eastAsia="Calibri" w:hAnsi="Cambria" w:cs="Times New Roman"/>
          <w:sz w:val="24"/>
          <w:szCs w:val="24"/>
        </w:rPr>
        <w:t>with the post (</w:t>
      </w:r>
      <w:r w:rsidR="005420F5">
        <w:rPr>
          <w:rFonts w:ascii="Cambria" w:eastAsia="Calibri" w:hAnsi="Cambria" w:cs="Times New Roman"/>
          <w:sz w:val="24"/>
          <w:szCs w:val="24"/>
        </w:rPr>
        <w:t>i.e.,</w:t>
      </w:r>
      <w:r w:rsidR="00DE6A67">
        <w:rPr>
          <w:rFonts w:ascii="Cambria" w:eastAsia="Calibri" w:hAnsi="Cambria" w:cs="Times New Roman"/>
          <w:sz w:val="24"/>
          <w:szCs w:val="24"/>
        </w:rPr>
        <w:t xml:space="preserve"> ad with sustainability message</w:t>
      </w:r>
      <w:r w:rsidR="0078193F">
        <w:rPr>
          <w:rFonts w:ascii="Cambria" w:eastAsia="Calibri" w:hAnsi="Cambria" w:cs="Times New Roman"/>
          <w:sz w:val="24"/>
          <w:szCs w:val="24"/>
        </w:rPr>
        <w:t xml:space="preserve">) </w:t>
      </w:r>
      <w:r w:rsidRPr="00530906">
        <w:rPr>
          <w:rFonts w:ascii="Cambria" w:eastAsia="Calibri" w:hAnsi="Cambria" w:cs="Times New Roman"/>
          <w:sz w:val="24"/>
          <w:szCs w:val="24"/>
        </w:rPr>
        <w:t>by the people in social media, the higher should be the normative social influence</w:t>
      </w:r>
    </w:p>
    <w:p w14:paraId="466F3D88" w14:textId="774B11D1" w:rsidR="00C7217E"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14</w:t>
      </w:r>
      <w:r w:rsidRPr="00530906">
        <w:rPr>
          <w:rFonts w:ascii="Cambria" w:eastAsia="Calibri" w:hAnsi="Cambria" w:cs="Times New Roman"/>
          <w:b/>
          <w:bCs/>
          <w:sz w:val="24"/>
          <w:szCs w:val="24"/>
        </w:rPr>
        <w:t>:</w:t>
      </w:r>
      <w:r w:rsidRPr="00530906">
        <w:rPr>
          <w:rFonts w:ascii="Cambria" w:eastAsia="Calibri" w:hAnsi="Cambria" w:cs="Times New Roman"/>
          <w:b/>
          <w:sz w:val="24"/>
          <w:szCs w:val="24"/>
        </w:rPr>
        <w:t xml:space="preserve"> Social–media–engagement with </w:t>
      </w:r>
      <w:r w:rsidR="00967BE1">
        <w:rPr>
          <w:rFonts w:ascii="Cambria" w:eastAsia="Calibri" w:hAnsi="Cambria" w:cs="Times New Roman"/>
          <w:b/>
          <w:sz w:val="24"/>
          <w:szCs w:val="24"/>
        </w:rPr>
        <w:t xml:space="preserve">ad with </w:t>
      </w:r>
      <w:r w:rsidRPr="00530906">
        <w:rPr>
          <w:rFonts w:ascii="Cambria" w:eastAsia="Calibri" w:hAnsi="Cambria" w:cs="Times New Roman"/>
          <w:b/>
          <w:sz w:val="24"/>
          <w:szCs w:val="24"/>
        </w:rPr>
        <w:t>sustainability</w:t>
      </w:r>
      <w:r w:rsidR="00967BE1">
        <w:rPr>
          <w:rFonts w:ascii="Cambria" w:eastAsia="Calibri" w:hAnsi="Cambria" w:cs="Times New Roman"/>
          <w:b/>
          <w:sz w:val="24"/>
          <w:szCs w:val="24"/>
        </w:rPr>
        <w:t xml:space="preserve"> message</w:t>
      </w:r>
      <w:r w:rsidR="0068049C">
        <w:rPr>
          <w:rFonts w:ascii="Cambria" w:eastAsia="Calibri" w:hAnsi="Cambria" w:cs="Times New Roman"/>
          <w:b/>
          <w:sz w:val="24"/>
          <w:szCs w:val="24"/>
        </w:rPr>
        <w:t xml:space="preserve"> </w:t>
      </w:r>
      <w:r w:rsidRPr="00530906">
        <w:rPr>
          <w:rFonts w:ascii="Cambria" w:eastAsia="Calibri" w:hAnsi="Cambria" w:cs="Times New Roman"/>
          <w:b/>
          <w:sz w:val="24"/>
          <w:szCs w:val="24"/>
        </w:rPr>
        <w:t>will have positive and significant impact on normative influence  </w:t>
      </w:r>
    </w:p>
    <w:p w14:paraId="545EB4F1" w14:textId="76409494" w:rsidR="00B55CC7" w:rsidRPr="00530906" w:rsidRDefault="00B55CC7" w:rsidP="00B55CC7">
      <w:pPr>
        <w:pStyle w:val="Heading3"/>
        <w:rPr>
          <w:rFonts w:eastAsia="Calibri"/>
        </w:rPr>
      </w:pPr>
      <w:bookmarkStart w:id="66" w:name="_Toc115726245"/>
      <w:r>
        <w:rPr>
          <w:rFonts w:eastAsia="Calibri"/>
        </w:rPr>
        <w:t xml:space="preserve">3.9.2 Impact of </w:t>
      </w:r>
      <w:r w:rsidRPr="00530906">
        <w:rPr>
          <w:rFonts w:eastAsia="Calibri"/>
        </w:rPr>
        <w:t xml:space="preserve">Normative </w:t>
      </w:r>
      <w:r w:rsidR="006B7516">
        <w:rPr>
          <w:rFonts w:eastAsia="Calibri"/>
        </w:rPr>
        <w:t>influence o</w:t>
      </w:r>
      <w:r>
        <w:rPr>
          <w:rFonts w:eastAsia="Calibri"/>
        </w:rPr>
        <w:t>n purchase intention</w:t>
      </w:r>
      <w:bookmarkEnd w:id="66"/>
    </w:p>
    <w:p w14:paraId="34986C57" w14:textId="5523D97D" w:rsidR="00C7217E" w:rsidRPr="00530906" w:rsidRDefault="00C7217E">
      <w:pPr>
        <w:spacing w:line="360" w:lineRule="auto"/>
        <w:jc w:val="both"/>
        <w:rPr>
          <w:rFonts w:ascii="Cambria" w:hAnsi="Cambria"/>
          <w:sz w:val="24"/>
          <w:szCs w:val="24"/>
        </w:rPr>
      </w:pPr>
      <w:r w:rsidRPr="00530906">
        <w:rPr>
          <w:rFonts w:ascii="Cambria" w:eastAsia="Calibri" w:hAnsi="Cambria" w:cs="Times New Roman"/>
          <w:sz w:val="24"/>
          <w:szCs w:val="24"/>
        </w:rPr>
        <w:t xml:space="preserve">Social–media has the potentiality to change the behaviour of people through </w:t>
      </w:r>
      <w:r w:rsidR="008D33A0" w:rsidRPr="00530906">
        <w:rPr>
          <w:rFonts w:ascii="Cambria" w:eastAsia="Calibri" w:hAnsi="Cambria" w:cs="Times New Roman"/>
          <w:sz w:val="24"/>
          <w:szCs w:val="24"/>
        </w:rPr>
        <w:t>engagement (</w:t>
      </w:r>
      <w:r w:rsidRPr="00530906">
        <w:rPr>
          <w:rFonts w:ascii="Cambria" w:eastAsia="Calibri" w:hAnsi="Cambria" w:cs="Times New Roman"/>
          <w:sz w:val="24"/>
          <w:szCs w:val="24"/>
        </w:rPr>
        <w:t xml:space="preserve">Muntinga et al., 2011; de Pelsmacker et al 2018), </w:t>
      </w:r>
      <w:r w:rsidR="00613FB3" w:rsidRPr="00530906">
        <w:rPr>
          <w:rFonts w:ascii="Cambria" w:eastAsia="Calibri" w:hAnsi="Cambria" w:cs="Times New Roman"/>
          <w:sz w:val="24"/>
          <w:szCs w:val="24"/>
        </w:rPr>
        <w:t>because</w:t>
      </w:r>
      <w:r w:rsidR="005420F5" w:rsidRPr="00530906">
        <w:rPr>
          <w:rFonts w:ascii="Cambria" w:eastAsia="Calibri" w:hAnsi="Cambria" w:cs="Times New Roman"/>
          <w:sz w:val="24"/>
          <w:szCs w:val="24"/>
        </w:rPr>
        <w:t xml:space="preserve"> the</w:t>
      </w:r>
      <w:r w:rsidRPr="00530906">
        <w:rPr>
          <w:rFonts w:ascii="Cambria" w:eastAsia="Calibri" w:hAnsi="Cambria" w:cs="Times New Roman"/>
          <w:sz w:val="24"/>
          <w:szCs w:val="24"/>
        </w:rPr>
        <w:t xml:space="preserve"> more people engage with others in social media, the more possibility there is to re–examine their own norm and behave accordingly (Bolton et al 2013). </w:t>
      </w:r>
      <w:r w:rsidR="00912BC0">
        <w:rPr>
          <w:rFonts w:ascii="Cambria" w:eastAsia="Calibri" w:hAnsi="Cambria" w:cs="Times New Roman"/>
          <w:sz w:val="24"/>
          <w:szCs w:val="24"/>
        </w:rPr>
        <w:t>Research on y</w:t>
      </w:r>
      <w:r w:rsidRPr="00530906">
        <w:rPr>
          <w:rFonts w:ascii="Cambria" w:hAnsi="Cambria"/>
          <w:sz w:val="24"/>
          <w:szCs w:val="24"/>
        </w:rPr>
        <w:t>oung people, like generation Y</w:t>
      </w:r>
      <w:r w:rsidR="00912BC0">
        <w:rPr>
          <w:rFonts w:ascii="Cambria" w:hAnsi="Cambria"/>
          <w:sz w:val="24"/>
          <w:szCs w:val="24"/>
        </w:rPr>
        <w:t xml:space="preserve"> shows that they</w:t>
      </w:r>
      <w:r w:rsidRPr="00530906">
        <w:rPr>
          <w:rFonts w:ascii="Cambria" w:hAnsi="Cambria"/>
          <w:sz w:val="24"/>
          <w:szCs w:val="24"/>
        </w:rPr>
        <w:t xml:space="preserve"> are susceptible to have a change in their norm, and behaviour due to their </w:t>
      </w:r>
      <w:r w:rsidRPr="00A12D37">
        <w:rPr>
          <w:rFonts w:ascii="Cambria" w:hAnsi="Cambria"/>
          <w:sz w:val="24"/>
          <w:szCs w:val="24"/>
        </w:rPr>
        <w:t>extensive level of engagement in social–media (Blazevic et al, 2013; Bolton et al 2013)</w:t>
      </w:r>
      <w:r w:rsidRPr="00A12D37">
        <w:rPr>
          <w:rFonts w:ascii="Cambria" w:eastAsia="Calibri" w:hAnsi="Cambria" w:cs="Times New Roman"/>
          <w:sz w:val="24"/>
          <w:szCs w:val="24"/>
        </w:rPr>
        <w:t>.</w:t>
      </w:r>
      <w:r w:rsidR="00BA2F42" w:rsidRPr="00A12D37">
        <w:rPr>
          <w:rFonts w:ascii="Cambria" w:eastAsia="Calibri" w:hAnsi="Cambria" w:cs="Times New Roman"/>
          <w:sz w:val="24"/>
          <w:szCs w:val="24"/>
        </w:rPr>
        <w:t xml:space="preserve"> </w:t>
      </w:r>
      <w:r w:rsidR="00E71F95" w:rsidRPr="00A12D37">
        <w:rPr>
          <w:rFonts w:ascii="Cambria" w:eastAsia="Calibri" w:hAnsi="Cambria" w:cs="Times New Roman"/>
          <w:sz w:val="24"/>
          <w:szCs w:val="24"/>
        </w:rPr>
        <w:t xml:space="preserve">Social norm formed in social media has been found to influence </w:t>
      </w:r>
      <w:r w:rsidR="00884BAE" w:rsidRPr="00A12D37">
        <w:rPr>
          <w:rFonts w:ascii="Cambria" w:eastAsia="Calibri" w:hAnsi="Cambria" w:cs="Times New Roman"/>
          <w:sz w:val="24"/>
          <w:szCs w:val="24"/>
        </w:rPr>
        <w:t>users’ behaviour (Nikolinakou and King 2018).</w:t>
      </w:r>
      <w:r w:rsidR="00884BAE" w:rsidRPr="00A12D37">
        <w:rPr>
          <w:rFonts w:ascii="Cambria" w:eastAsia="Times New Roman" w:hAnsi="Cambria" w:cs="Calibri"/>
          <w:sz w:val="24"/>
          <w:szCs w:val="24"/>
          <w:lang w:eastAsia="en-GB"/>
        </w:rPr>
        <w:t xml:space="preserve"> </w:t>
      </w:r>
      <w:r w:rsidRPr="00A12D37">
        <w:rPr>
          <w:rFonts w:ascii="Cambria" w:hAnsi="Cambria"/>
          <w:sz w:val="24"/>
          <w:szCs w:val="24"/>
        </w:rPr>
        <w:t xml:space="preserve">Intention for sustainable behaviour is influenced depending on how much that behaviour is similar </w:t>
      </w:r>
      <w:r w:rsidRPr="00530906">
        <w:rPr>
          <w:rFonts w:ascii="Cambria" w:hAnsi="Cambria"/>
          <w:sz w:val="24"/>
          <w:szCs w:val="24"/>
        </w:rPr>
        <w:t xml:space="preserve">to other people (Cho et al 2013). </w:t>
      </w:r>
      <w:r w:rsidRPr="00530906">
        <w:rPr>
          <w:rFonts w:ascii="Cambria" w:eastAsia="Calibri" w:hAnsi="Cambria" w:cs="Times New Roman"/>
          <w:sz w:val="24"/>
          <w:szCs w:val="24"/>
        </w:rPr>
        <w:t>Normative messages proved to be effective on the intention of adopting sustainable practice for people with collective mentality (White and Simpson 2013).</w:t>
      </w:r>
    </w:p>
    <w:p w14:paraId="56810897" w14:textId="77777777"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15</w:t>
      </w:r>
      <w:r w:rsidRPr="00530906">
        <w:rPr>
          <w:rFonts w:ascii="Cambria" w:eastAsia="Calibri" w:hAnsi="Cambria" w:cs="Times New Roman"/>
          <w:b/>
          <w:sz w:val="24"/>
          <w:szCs w:val="24"/>
        </w:rPr>
        <w:t>: Normative influence will positively and significantly impact purchase intention.</w:t>
      </w:r>
    </w:p>
    <w:p w14:paraId="2F337188" w14:textId="0101A722" w:rsidR="00C7217E" w:rsidRPr="00530906" w:rsidRDefault="00114C4D" w:rsidP="00114C4D">
      <w:pPr>
        <w:pStyle w:val="Heading3"/>
        <w:rPr>
          <w:rFonts w:eastAsia="Calibri"/>
        </w:rPr>
      </w:pPr>
      <w:bookmarkStart w:id="67" w:name="_Toc115726246"/>
      <w:r>
        <w:rPr>
          <w:rFonts w:eastAsia="Calibri"/>
        </w:rPr>
        <w:t xml:space="preserve">3.9.3 </w:t>
      </w:r>
      <w:r w:rsidR="00C7217E" w:rsidRPr="00530906">
        <w:rPr>
          <w:rFonts w:eastAsia="Calibri"/>
        </w:rPr>
        <w:t>Informational influence</w:t>
      </w:r>
      <w:bookmarkEnd w:id="67"/>
    </w:p>
    <w:p w14:paraId="63973EBA" w14:textId="7D46330A" w:rsidR="00C7217E" w:rsidRPr="00530906" w:rsidRDefault="00C7217E">
      <w:pPr>
        <w:spacing w:line="360" w:lineRule="auto"/>
        <w:jc w:val="both"/>
        <w:rPr>
          <w:rFonts w:ascii="Cambria" w:hAnsi="Cambria"/>
          <w:sz w:val="24"/>
          <w:szCs w:val="24"/>
        </w:rPr>
      </w:pPr>
      <w:r w:rsidRPr="00530906">
        <w:rPr>
          <w:rFonts w:ascii="Cambria" w:hAnsi="Cambria"/>
          <w:sz w:val="24"/>
          <w:szCs w:val="24"/>
        </w:rPr>
        <w:t>Technologically proficient people, like generation Y members, tend to seek information in the social media</w:t>
      </w:r>
      <w:r w:rsidR="000F74D5">
        <w:rPr>
          <w:rFonts w:ascii="Cambria" w:hAnsi="Cambria"/>
          <w:sz w:val="24"/>
          <w:szCs w:val="24"/>
        </w:rPr>
        <w:t xml:space="preserve"> </w:t>
      </w:r>
      <w:r w:rsidRPr="00530906">
        <w:rPr>
          <w:rFonts w:ascii="Cambria" w:hAnsi="Cambria"/>
          <w:sz w:val="24"/>
          <w:szCs w:val="24"/>
        </w:rPr>
        <w:t xml:space="preserve">(Bolton et al 2013). </w:t>
      </w:r>
      <w:r w:rsidRPr="00530906">
        <w:rPr>
          <w:rFonts w:ascii="Cambria" w:eastAsia="Calibri" w:hAnsi="Cambria" w:cs="Times New Roman"/>
          <w:sz w:val="24"/>
          <w:szCs w:val="24"/>
        </w:rPr>
        <w:t xml:space="preserve">In online platform, if majority act in a certain manner, that may cause informational cascade, where the users adopt the information provided by others and reshape their own (Huang and Chen 2006, Bolton et al 2013; Hamilton et al 2017). This especially true for uncertain products (Huang and Chen 2006), like </w:t>
      </w:r>
      <w:r w:rsidR="007F6E2C" w:rsidRPr="00530906">
        <w:rPr>
          <w:rFonts w:ascii="Cambria" w:eastAsia="Calibri" w:hAnsi="Cambria" w:cs="Times New Roman"/>
          <w:sz w:val="24"/>
          <w:szCs w:val="24"/>
        </w:rPr>
        <w:t>the products with sustainability association</w:t>
      </w:r>
      <w:r w:rsidRPr="00530906">
        <w:rPr>
          <w:rFonts w:ascii="Cambria" w:eastAsia="Calibri" w:hAnsi="Cambria" w:cs="Times New Roman"/>
          <w:sz w:val="24"/>
          <w:szCs w:val="24"/>
        </w:rPr>
        <w:t xml:space="preserve">, where consumers are unsure about the performance and features of the product (Lim 2017). </w:t>
      </w:r>
      <w:r w:rsidRPr="00530906">
        <w:rPr>
          <w:rFonts w:ascii="Cambria" w:hAnsi="Cambria"/>
          <w:sz w:val="24"/>
          <w:szCs w:val="24"/>
        </w:rPr>
        <w:t xml:space="preserve">Information from external sources can influence people’s confidence toward some objects and educate them (Lee et al 2006 cited by Li 2013).  </w:t>
      </w:r>
      <w:r w:rsidRPr="00530906">
        <w:rPr>
          <w:rFonts w:ascii="Cambria" w:eastAsia="Calibri" w:hAnsi="Cambria" w:cs="Times New Roman"/>
          <w:sz w:val="24"/>
          <w:szCs w:val="24"/>
        </w:rPr>
        <w:t xml:space="preserve">In fact, getting information from social–media has become so typical, that, it has been defined as a by–product of using social–media (Voorveld et al 2018; Scheinbaum, 2012). Moreover, members exchange information as a reciprocating behaviour (Chan and Li 2010). </w:t>
      </w:r>
      <w:r w:rsidRPr="00530906">
        <w:rPr>
          <w:rFonts w:ascii="Cambria" w:hAnsi="Cambria"/>
          <w:sz w:val="24"/>
          <w:szCs w:val="24"/>
        </w:rPr>
        <w:t xml:space="preserve">This dictates that, interaction in online social network enables participants to generate new ideas, influence others regarding an issue or product, and validate a decision already made or buying a product (Dholakia et al 2004; Marbach et al., 2016). </w:t>
      </w:r>
      <w:r w:rsidRPr="00530906">
        <w:rPr>
          <w:rFonts w:ascii="Cambria" w:eastAsia="Calibri" w:hAnsi="Cambria" w:cs="Times New Roman"/>
          <w:sz w:val="24"/>
          <w:szCs w:val="24"/>
        </w:rPr>
        <w:t xml:space="preserve">Due to the lack of trust on organisations, consumers are proactively seeking information (Angus 2018). The need for making good decision leads to informational influence (Henningsen et al. 2003, cited by Li 2013). </w:t>
      </w:r>
      <w:r w:rsidR="00613FB3" w:rsidRPr="00530906">
        <w:rPr>
          <w:rFonts w:ascii="Cambria" w:eastAsia="Calibri" w:hAnsi="Cambria" w:cs="Times New Roman"/>
          <w:sz w:val="24"/>
          <w:szCs w:val="24"/>
        </w:rPr>
        <w:t>So,</w:t>
      </w:r>
      <w:r w:rsidRPr="00530906">
        <w:rPr>
          <w:rFonts w:ascii="Cambria" w:eastAsia="Calibri" w:hAnsi="Cambria" w:cs="Times New Roman"/>
          <w:sz w:val="24"/>
          <w:szCs w:val="24"/>
        </w:rPr>
        <w:t xml:space="preserve"> the more information people will receive regarding sustainability in social–media, the more it will influence them</w:t>
      </w:r>
    </w:p>
    <w:p w14:paraId="3C4E5AFC" w14:textId="7F1D38B9"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16</w:t>
      </w:r>
      <w:r w:rsidRPr="00530906">
        <w:rPr>
          <w:rFonts w:ascii="Cambria" w:eastAsia="Calibri" w:hAnsi="Cambria" w:cs="Times New Roman"/>
          <w:b/>
          <w:bCs/>
          <w:sz w:val="24"/>
          <w:szCs w:val="24"/>
        </w:rPr>
        <w:t>:</w:t>
      </w:r>
      <w:r w:rsidRPr="00530906">
        <w:rPr>
          <w:rFonts w:ascii="Cambria" w:eastAsia="Calibri" w:hAnsi="Cambria" w:cs="Times New Roman"/>
          <w:b/>
          <w:sz w:val="24"/>
          <w:szCs w:val="24"/>
        </w:rPr>
        <w:t xml:space="preserve"> Social–media–engagement with </w:t>
      </w:r>
      <w:r w:rsidR="006C45C4">
        <w:rPr>
          <w:rFonts w:ascii="Cambria" w:eastAsia="Calibri" w:hAnsi="Cambria" w:cs="Times New Roman"/>
          <w:b/>
          <w:sz w:val="24"/>
          <w:szCs w:val="24"/>
        </w:rPr>
        <w:t xml:space="preserve">ad with </w:t>
      </w:r>
      <w:r w:rsidRPr="00530906">
        <w:rPr>
          <w:rFonts w:ascii="Cambria" w:eastAsia="Calibri" w:hAnsi="Cambria" w:cs="Times New Roman"/>
          <w:b/>
          <w:sz w:val="24"/>
          <w:szCs w:val="24"/>
        </w:rPr>
        <w:t>Sustainability</w:t>
      </w:r>
      <w:r w:rsidR="006C45C4">
        <w:rPr>
          <w:rFonts w:ascii="Cambria" w:eastAsia="Calibri" w:hAnsi="Cambria" w:cs="Times New Roman"/>
          <w:b/>
          <w:sz w:val="24"/>
          <w:szCs w:val="24"/>
        </w:rPr>
        <w:t xml:space="preserve"> message</w:t>
      </w:r>
      <w:r w:rsidRPr="00530906">
        <w:rPr>
          <w:rFonts w:ascii="Cambria" w:eastAsia="Calibri" w:hAnsi="Cambria" w:cs="Times New Roman"/>
          <w:b/>
          <w:sz w:val="24"/>
          <w:szCs w:val="24"/>
        </w:rPr>
        <w:t xml:space="preserve"> will have positive and significant impact on informational influence.</w:t>
      </w:r>
    </w:p>
    <w:p w14:paraId="4F9A790B" w14:textId="5C205391" w:rsidR="00114C4D" w:rsidRPr="00530906" w:rsidRDefault="00114C4D" w:rsidP="00114C4D">
      <w:pPr>
        <w:pStyle w:val="Heading3"/>
        <w:rPr>
          <w:rFonts w:eastAsia="Calibri"/>
        </w:rPr>
      </w:pPr>
      <w:bookmarkStart w:id="68" w:name="_Toc115726247"/>
      <w:r>
        <w:rPr>
          <w:rFonts w:eastAsia="Calibri"/>
        </w:rPr>
        <w:t>3.9.</w:t>
      </w:r>
      <w:r w:rsidR="001C4C7F">
        <w:rPr>
          <w:rFonts w:eastAsia="Calibri"/>
        </w:rPr>
        <w:t>4</w:t>
      </w:r>
      <w:r>
        <w:rPr>
          <w:rFonts w:eastAsia="Calibri"/>
        </w:rPr>
        <w:t xml:space="preserve"> Impact of </w:t>
      </w:r>
      <w:r w:rsidR="00DA1407">
        <w:rPr>
          <w:rFonts w:eastAsia="Calibri"/>
        </w:rPr>
        <w:t xml:space="preserve">informational </w:t>
      </w:r>
      <w:r w:rsidR="006B7516">
        <w:rPr>
          <w:rFonts w:eastAsia="Calibri"/>
        </w:rPr>
        <w:t xml:space="preserve">influence </w:t>
      </w:r>
      <w:r>
        <w:rPr>
          <w:rFonts w:eastAsia="Calibri"/>
        </w:rPr>
        <w:t>on purchase intention</w:t>
      </w:r>
      <w:bookmarkEnd w:id="68"/>
    </w:p>
    <w:p w14:paraId="2505413A" w14:textId="2E0507D3"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New information influences people to re–examine their belief and attitude and in turn change the behaviour (Li 2013). Thus, the information found in social–media has the potentiality to become new norm (Bolton et al 2013) and behaviour should reflect that. Consumers are motivated to </w:t>
      </w:r>
      <w:r w:rsidR="008D33A0" w:rsidRPr="00530906">
        <w:rPr>
          <w:rFonts w:ascii="Cambria" w:eastAsia="Calibri" w:hAnsi="Cambria" w:cs="Times New Roman"/>
          <w:sz w:val="24"/>
          <w:szCs w:val="24"/>
        </w:rPr>
        <w:t>choose</w:t>
      </w:r>
      <w:r w:rsidRPr="00530906">
        <w:rPr>
          <w:rFonts w:ascii="Cambria" w:eastAsia="Calibri" w:hAnsi="Cambria" w:cs="Times New Roman"/>
          <w:sz w:val="24"/>
          <w:szCs w:val="24"/>
        </w:rPr>
        <w:t xml:space="preserve"> </w:t>
      </w:r>
      <w:r w:rsidR="007F6E2C" w:rsidRPr="00530906">
        <w:rPr>
          <w:rFonts w:ascii="Cambria" w:eastAsia="Calibri" w:hAnsi="Cambria" w:cs="Times New Roman"/>
          <w:sz w:val="24"/>
          <w:szCs w:val="24"/>
        </w:rPr>
        <w:t xml:space="preserve">the products with sustainability association </w:t>
      </w:r>
      <w:r w:rsidRPr="00530906">
        <w:rPr>
          <w:rFonts w:ascii="Cambria" w:eastAsia="Calibri" w:hAnsi="Cambria" w:cs="Times New Roman"/>
          <w:sz w:val="24"/>
          <w:szCs w:val="24"/>
        </w:rPr>
        <w:t xml:space="preserve">to conform social norms (Caprar and Neville 2012). Normative messages proved to be effective on the intention of adopting sustainable practice for people with collective mentality as well as individualist mentality. Information regarding other consumers’ action and preferences may motivate consumers adopt sustainable practice. (White and Simpson 2013). People even can change their preference on brand depending on firms’ pursuit of sustainability (Cho et al 2013).  Furthermore, consumers purchase intension are influenced by the company’s environmental commitment (Choi and Ng 2011; Roberts, 1996). Since people are confused about </w:t>
      </w:r>
      <w:r w:rsidR="007F6E2C" w:rsidRPr="00530906">
        <w:rPr>
          <w:rFonts w:ascii="Cambria" w:eastAsia="Calibri" w:hAnsi="Cambria" w:cs="Times New Roman"/>
          <w:sz w:val="24"/>
          <w:szCs w:val="24"/>
        </w:rPr>
        <w:t>the products with sustainability association</w:t>
      </w:r>
      <w:r w:rsidRPr="00530906">
        <w:rPr>
          <w:rFonts w:ascii="Cambria" w:eastAsia="Calibri" w:hAnsi="Cambria" w:cs="Times New Roman"/>
          <w:sz w:val="24"/>
          <w:szCs w:val="24"/>
        </w:rPr>
        <w:t>, sustainable practice, or firms’ actions (Lim 2017)</w:t>
      </w:r>
      <w:r w:rsidR="007F6E2C" w:rsidRPr="00530906">
        <w:rPr>
          <w:rFonts w:ascii="Cambria" w:eastAsia="Calibri" w:hAnsi="Cambria" w:cs="Times New Roman"/>
          <w:sz w:val="24"/>
          <w:szCs w:val="24"/>
        </w:rPr>
        <w:t>,</w:t>
      </w:r>
      <w:r w:rsidRPr="00530906">
        <w:rPr>
          <w:rFonts w:ascii="Cambria" w:eastAsia="Calibri" w:hAnsi="Cambria" w:cs="Times New Roman"/>
          <w:sz w:val="24"/>
          <w:szCs w:val="24"/>
        </w:rPr>
        <w:t xml:space="preserve"> information about the</w:t>
      </w:r>
      <w:r w:rsidR="007F6E2C" w:rsidRPr="00530906">
        <w:rPr>
          <w:rFonts w:ascii="Cambria" w:eastAsia="Calibri" w:hAnsi="Cambria" w:cs="Times New Roman"/>
          <w:sz w:val="24"/>
          <w:szCs w:val="24"/>
        </w:rPr>
        <w:t xml:space="preserve">se </w:t>
      </w:r>
      <w:r w:rsidRPr="00530906">
        <w:rPr>
          <w:rFonts w:ascii="Cambria" w:eastAsia="Calibri" w:hAnsi="Cambria" w:cs="Times New Roman"/>
          <w:sz w:val="24"/>
          <w:szCs w:val="24"/>
        </w:rPr>
        <w:t>product</w:t>
      </w:r>
      <w:r w:rsidR="007F6E2C" w:rsidRPr="00530906">
        <w:rPr>
          <w:rFonts w:ascii="Cambria" w:eastAsia="Calibri" w:hAnsi="Cambria" w:cs="Times New Roman"/>
          <w:sz w:val="24"/>
          <w:szCs w:val="24"/>
        </w:rPr>
        <w:t>s</w:t>
      </w:r>
      <w:r w:rsidRPr="00530906">
        <w:rPr>
          <w:rFonts w:ascii="Cambria" w:eastAsia="Calibri" w:hAnsi="Cambria" w:cs="Times New Roman"/>
          <w:sz w:val="24"/>
          <w:szCs w:val="24"/>
        </w:rPr>
        <w:t xml:space="preserve"> may influence the purchase behaviour intention.</w:t>
      </w:r>
    </w:p>
    <w:p w14:paraId="55A41314" w14:textId="77777777"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17</w:t>
      </w:r>
      <w:r w:rsidRPr="00530906">
        <w:rPr>
          <w:rFonts w:ascii="Cambria" w:eastAsia="Calibri" w:hAnsi="Cambria" w:cs="Times New Roman"/>
          <w:b/>
          <w:bCs/>
          <w:sz w:val="24"/>
          <w:szCs w:val="24"/>
        </w:rPr>
        <w:t>:</w:t>
      </w:r>
      <w:r w:rsidRPr="00530906">
        <w:rPr>
          <w:rFonts w:ascii="Cambria" w:eastAsia="Calibri" w:hAnsi="Cambria" w:cs="Times New Roman"/>
          <w:b/>
          <w:sz w:val="24"/>
          <w:szCs w:val="24"/>
        </w:rPr>
        <w:t xml:space="preserve"> Informational influence will positively and significantly impact purchase intention.</w:t>
      </w:r>
    </w:p>
    <w:p w14:paraId="127CCB46" w14:textId="73A3142F" w:rsidR="00C7217E" w:rsidRPr="00530906" w:rsidRDefault="009A4CCA" w:rsidP="008756B1">
      <w:pPr>
        <w:pStyle w:val="Heading2"/>
        <w:jc w:val="both"/>
        <w:rPr>
          <w:rFonts w:ascii="Cambria" w:eastAsia="Calibri" w:hAnsi="Cambria"/>
        </w:rPr>
      </w:pPr>
      <w:bookmarkStart w:id="69" w:name="_Toc115726248"/>
      <w:r w:rsidRPr="00530906">
        <w:rPr>
          <w:rFonts w:ascii="Cambria" w:eastAsia="Calibri" w:hAnsi="Cambria"/>
        </w:rPr>
        <w:t>3.</w:t>
      </w:r>
      <w:r w:rsidR="001C4C7F">
        <w:rPr>
          <w:rFonts w:ascii="Cambria" w:eastAsia="Calibri" w:hAnsi="Cambria"/>
        </w:rPr>
        <w:t>10</w:t>
      </w:r>
      <w:r w:rsidRPr="00530906">
        <w:rPr>
          <w:rFonts w:ascii="Cambria" w:eastAsia="Calibri" w:hAnsi="Cambria"/>
        </w:rPr>
        <w:t xml:space="preserve"> </w:t>
      </w:r>
      <w:r w:rsidR="001C4C7F">
        <w:rPr>
          <w:rFonts w:ascii="Cambria" w:eastAsia="Calibri" w:hAnsi="Cambria"/>
        </w:rPr>
        <w:t>Impact of purchase intention on other b</w:t>
      </w:r>
      <w:r w:rsidR="00C7217E" w:rsidRPr="00530906">
        <w:rPr>
          <w:rFonts w:ascii="Cambria" w:eastAsia="Calibri" w:hAnsi="Cambria"/>
        </w:rPr>
        <w:t>ehavioural intension–</w:t>
      </w:r>
      <w:bookmarkStart w:id="70" w:name="_Toc513031888"/>
      <w:bookmarkEnd w:id="69"/>
    </w:p>
    <w:p w14:paraId="588EEA36" w14:textId="3A189D9B" w:rsidR="00C7217E" w:rsidRPr="00530906" w:rsidRDefault="00C7217E">
      <w:pPr>
        <w:spacing w:line="360" w:lineRule="auto"/>
        <w:jc w:val="both"/>
        <w:rPr>
          <w:rFonts w:ascii="Cambria" w:eastAsia="Calibri" w:hAnsi="Cambria" w:cs="Times New Roman"/>
          <w:sz w:val="24"/>
          <w:szCs w:val="24"/>
        </w:rPr>
      </w:pPr>
      <w:r w:rsidRPr="00530906">
        <w:rPr>
          <w:rFonts w:ascii="Cambria" w:hAnsi="Cambria"/>
          <w:sz w:val="24"/>
          <w:szCs w:val="24"/>
        </w:rPr>
        <w:t xml:space="preserve">Favourable attitude to the claim made in the ad influence the behavioural intention of the consumers (Fernando et al 2014; Tanner and Kast 2003; Bickart and Ruth 2012). </w:t>
      </w:r>
      <w:r w:rsidRPr="00530906">
        <w:rPr>
          <w:rFonts w:ascii="Cambria" w:eastAsia="Calibri" w:hAnsi="Cambria" w:cs="Times New Roman"/>
          <w:sz w:val="24"/>
          <w:szCs w:val="24"/>
        </w:rPr>
        <w:t xml:space="preserve">However, distrust in business organisation (Angus 2018) has made consumers sceptic about the brands sustainability claims </w:t>
      </w:r>
      <w:r w:rsidRPr="00530906">
        <w:rPr>
          <w:rFonts w:ascii="Cambria" w:eastAsia="Calibri" w:hAnsi="Cambria" w:cs="Adobe Devanagari"/>
          <w:sz w:val="24"/>
          <w:szCs w:val="24"/>
        </w:rPr>
        <w:t xml:space="preserve">(Keller 2013). </w:t>
      </w:r>
      <w:r w:rsidRPr="00530906">
        <w:rPr>
          <w:rFonts w:ascii="Cambria" w:hAnsi="Cambria"/>
          <w:sz w:val="24"/>
          <w:szCs w:val="24"/>
        </w:rPr>
        <w:t>People</w:t>
      </w:r>
      <w:r w:rsidR="007E378D">
        <w:rPr>
          <w:rFonts w:ascii="Cambria" w:hAnsi="Cambria"/>
          <w:sz w:val="24"/>
          <w:szCs w:val="24"/>
        </w:rPr>
        <w:t>’</w:t>
      </w:r>
      <w:r w:rsidRPr="00530906">
        <w:rPr>
          <w:rFonts w:ascii="Cambria" w:hAnsi="Cambria"/>
          <w:sz w:val="24"/>
          <w:szCs w:val="24"/>
        </w:rPr>
        <w:t xml:space="preserve">s </w:t>
      </w:r>
      <w:r w:rsidR="00613FB3" w:rsidRPr="00530906">
        <w:rPr>
          <w:rFonts w:ascii="Cambria" w:hAnsi="Cambria"/>
          <w:sz w:val="24"/>
          <w:szCs w:val="24"/>
        </w:rPr>
        <w:t>attitudes</w:t>
      </w:r>
      <w:r w:rsidRPr="00530906">
        <w:rPr>
          <w:rFonts w:ascii="Cambria" w:hAnsi="Cambria"/>
          <w:sz w:val="24"/>
          <w:szCs w:val="24"/>
        </w:rPr>
        <w:t xml:space="preserve"> influence their behaviour through thought and feelings (Pickett–Baker and Ozaki 2008; </w:t>
      </w:r>
      <w:r w:rsidRPr="00530906">
        <w:rPr>
          <w:rFonts w:ascii="Cambria" w:eastAsia="Times New Roman" w:hAnsi="Cambria" w:cs="Times New Roman"/>
          <w:sz w:val="24"/>
          <w:szCs w:val="24"/>
        </w:rPr>
        <w:t>Petty and Cacioppo 2018</w:t>
      </w:r>
      <w:r w:rsidRPr="00530906">
        <w:rPr>
          <w:rFonts w:ascii="Cambria" w:hAnsi="Cambria"/>
          <w:sz w:val="24"/>
          <w:szCs w:val="24"/>
        </w:rPr>
        <w:t xml:space="preserve">). </w:t>
      </w:r>
      <w:r w:rsidRPr="00530906">
        <w:rPr>
          <w:rFonts w:ascii="Cambria" w:eastAsia="Calibri" w:hAnsi="Cambria" w:cs="Times New Roman"/>
          <w:sz w:val="24"/>
          <w:szCs w:val="24"/>
        </w:rPr>
        <w:t xml:space="preserve">If the consumers can believe in and identify themselves with company’s social agenda, they tend to evaluate the company more favourably (Sen and Bhattacharya 2001). The more </w:t>
      </w:r>
      <w:r w:rsidRPr="00A12D37">
        <w:rPr>
          <w:rFonts w:ascii="Cambria" w:eastAsia="Calibri" w:hAnsi="Cambria" w:cs="Times New Roman"/>
          <w:sz w:val="24"/>
          <w:szCs w:val="24"/>
        </w:rPr>
        <w:t>people feel associated with the ad, the more possibility there is, that it may lead to formation of attitude as well as change in attitude (Grimmer and Bingham, 2013). Cause–related marketing (CRM) (Nan and Heo 2007), has the capability to induce favourable consumer attitude toward the company (Caprar and Neville 2012).</w:t>
      </w:r>
      <w:r w:rsidR="008129C5" w:rsidRPr="00A12D37">
        <w:rPr>
          <w:rFonts w:ascii="Cambria" w:eastAsia="Calibri" w:hAnsi="Cambria" w:cs="Times New Roman"/>
          <w:sz w:val="24"/>
          <w:szCs w:val="24"/>
        </w:rPr>
        <w:t xml:space="preserve"> This no</w:t>
      </w:r>
      <w:r w:rsidR="00543CAE" w:rsidRPr="00A12D37">
        <w:rPr>
          <w:rFonts w:ascii="Cambria" w:eastAsia="Calibri" w:hAnsi="Cambria" w:cs="Times New Roman"/>
          <w:sz w:val="24"/>
          <w:szCs w:val="24"/>
        </w:rPr>
        <w:t xml:space="preserve">tion can be extended to ad with sustainability message. </w:t>
      </w:r>
      <w:r w:rsidR="00E632E8" w:rsidRPr="00A12D37">
        <w:rPr>
          <w:rFonts w:ascii="Cambria" w:eastAsia="Calibri" w:hAnsi="Cambria" w:cs="Times New Roman"/>
          <w:sz w:val="24"/>
          <w:szCs w:val="24"/>
        </w:rPr>
        <w:t>Influe</w:t>
      </w:r>
      <w:r w:rsidR="001B7D2D" w:rsidRPr="00A12D37">
        <w:rPr>
          <w:rFonts w:ascii="Cambria" w:eastAsia="Calibri" w:hAnsi="Cambria" w:cs="Times New Roman"/>
          <w:sz w:val="24"/>
          <w:szCs w:val="24"/>
        </w:rPr>
        <w:t>n</w:t>
      </w:r>
      <w:r w:rsidR="004E6E48" w:rsidRPr="00A12D37">
        <w:rPr>
          <w:rFonts w:ascii="Cambria" w:eastAsia="Calibri" w:hAnsi="Cambria" w:cs="Times New Roman"/>
          <w:sz w:val="24"/>
          <w:szCs w:val="24"/>
        </w:rPr>
        <w:t>ce</w:t>
      </w:r>
      <w:r w:rsidR="00E632E8" w:rsidRPr="00A12D37">
        <w:rPr>
          <w:rFonts w:ascii="Cambria" w:eastAsia="Calibri" w:hAnsi="Cambria" w:cs="Times New Roman"/>
          <w:sz w:val="24"/>
          <w:szCs w:val="24"/>
        </w:rPr>
        <w:t xml:space="preserve"> of attitude </w:t>
      </w:r>
      <w:r w:rsidR="004E6E48" w:rsidRPr="00A12D37">
        <w:rPr>
          <w:rFonts w:ascii="Cambria" w:eastAsia="Calibri" w:hAnsi="Cambria" w:cs="Times New Roman"/>
          <w:sz w:val="24"/>
          <w:szCs w:val="24"/>
        </w:rPr>
        <w:t xml:space="preserve">towards sustainability on purchase intention </w:t>
      </w:r>
      <w:r w:rsidR="00E632E8" w:rsidRPr="00A12D37">
        <w:rPr>
          <w:rFonts w:ascii="Cambria" w:eastAsia="Calibri" w:hAnsi="Cambria" w:cs="Times New Roman"/>
          <w:sz w:val="24"/>
          <w:szCs w:val="24"/>
        </w:rPr>
        <w:t>has been observed in food industry</w:t>
      </w:r>
      <w:r w:rsidR="004E6E48" w:rsidRPr="00A12D37">
        <w:rPr>
          <w:rFonts w:ascii="Cambria" w:eastAsia="Calibri" w:hAnsi="Cambria" w:cs="Times New Roman"/>
          <w:sz w:val="24"/>
          <w:szCs w:val="24"/>
        </w:rPr>
        <w:t xml:space="preserve">. </w:t>
      </w:r>
      <w:r w:rsidRPr="00A12D37">
        <w:rPr>
          <w:rFonts w:ascii="Cambria" w:eastAsia="Calibri" w:hAnsi="Cambria" w:cs="Times New Roman"/>
          <w:sz w:val="24"/>
          <w:szCs w:val="24"/>
        </w:rPr>
        <w:t xml:space="preserve">sustainable–consumption of food is the result of positive </w:t>
      </w:r>
      <w:r w:rsidRPr="00530906">
        <w:rPr>
          <w:rFonts w:ascii="Cambria" w:eastAsia="Calibri" w:hAnsi="Cambria" w:cs="Times New Roman"/>
          <w:sz w:val="24"/>
          <w:szCs w:val="24"/>
        </w:rPr>
        <w:t xml:space="preserve">attitude towards sustainability related issues like – environmental protection, fair trade, local products, and availability of action–related knowledge (Tanner and Kast 2003). </w:t>
      </w:r>
      <w:r w:rsidR="00613FB3" w:rsidRPr="00530906">
        <w:rPr>
          <w:rFonts w:ascii="Cambria" w:eastAsia="Calibri" w:hAnsi="Cambria" w:cs="Times New Roman"/>
          <w:sz w:val="24"/>
          <w:szCs w:val="24"/>
        </w:rPr>
        <w:t>So,</w:t>
      </w:r>
      <w:r w:rsidRPr="00530906">
        <w:rPr>
          <w:rFonts w:ascii="Cambria" w:eastAsia="Calibri" w:hAnsi="Cambria" w:cs="Times New Roman"/>
          <w:sz w:val="24"/>
          <w:szCs w:val="24"/>
        </w:rPr>
        <w:t xml:space="preserve"> if the consumers develop a positive attitude towards the sustainability–ad, their purchase behavioural intention should also be affected</w:t>
      </w:r>
    </w:p>
    <w:p w14:paraId="7DBBF2C7" w14:textId="77777777" w:rsidR="00C7217E" w:rsidRPr="00530906" w:rsidRDefault="00C7217E">
      <w:pPr>
        <w:spacing w:line="360" w:lineRule="auto"/>
        <w:jc w:val="both"/>
        <w:rPr>
          <w:rFonts w:ascii="Cambria" w:eastAsia="Calibri" w:hAnsi="Cambria" w:cs="Times New Roman"/>
          <w:b/>
          <w:sz w:val="24"/>
          <w:szCs w:val="24"/>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18</w:t>
      </w:r>
      <w:r w:rsidRPr="00530906">
        <w:rPr>
          <w:rFonts w:ascii="Cambria" w:eastAsia="Calibri" w:hAnsi="Cambria" w:cs="Times New Roman"/>
          <w:b/>
          <w:bCs/>
          <w:sz w:val="24"/>
          <w:szCs w:val="24"/>
        </w:rPr>
        <w:t>:</w:t>
      </w:r>
      <w:r w:rsidRPr="00530906">
        <w:rPr>
          <w:rFonts w:ascii="Cambria" w:eastAsia="Calibri" w:hAnsi="Cambria" w:cs="Times New Roman"/>
          <w:b/>
          <w:sz w:val="24"/>
          <w:szCs w:val="24"/>
        </w:rPr>
        <w:t xml:space="preserve"> Ad attitude will positively and significantly influence the purchase intention of advertised brand</w:t>
      </w:r>
    </w:p>
    <w:p w14:paraId="2E5DC257" w14:textId="16A7B5EB"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Kiswell et al (2013) has proved that there is “</w:t>
      </w:r>
      <w:r w:rsidR="00694CD5">
        <w:rPr>
          <w:rFonts w:ascii="Cambria" w:eastAsia="Calibri" w:hAnsi="Cambria" w:cs="Times New Roman"/>
          <w:sz w:val="24"/>
          <w:szCs w:val="24"/>
        </w:rPr>
        <w:t xml:space="preserve">……. </w:t>
      </w:r>
      <w:r w:rsidRPr="00530906">
        <w:rPr>
          <w:rFonts w:ascii="Cambria" w:eastAsia="Calibri" w:hAnsi="Cambria" w:cs="Times New Roman"/>
          <w:sz w:val="24"/>
          <w:szCs w:val="24"/>
        </w:rPr>
        <w:t xml:space="preserve">increased intentions to engage in sustainable disposition behavior enhance intentions to engage in sustainable acquisition and consumption behaviors.” (p: 350). Prothero and McDonagh, (1992) have shown that the consumers who are interested in cruelty free products have also expand their horizon by taking into account other sustainability aspects of the products. Schlegelmilch, et al (1996) and Juhl, et al, (2017) indicated that, in order to fulfil the same goal, consumers who purchase </w:t>
      </w:r>
      <w:r w:rsidR="00AF7087" w:rsidRPr="00530906">
        <w:rPr>
          <w:rFonts w:ascii="Cambria" w:eastAsia="Calibri" w:hAnsi="Cambria" w:cs="Times New Roman"/>
          <w:sz w:val="24"/>
          <w:szCs w:val="24"/>
        </w:rPr>
        <w:t xml:space="preserve">the products with sustainability association </w:t>
      </w:r>
      <w:r w:rsidRPr="00530906">
        <w:rPr>
          <w:rFonts w:ascii="Cambria" w:eastAsia="Calibri" w:hAnsi="Cambria" w:cs="Times New Roman"/>
          <w:sz w:val="24"/>
          <w:szCs w:val="24"/>
        </w:rPr>
        <w:t xml:space="preserve">may adopt other sustainable </w:t>
      </w:r>
      <w:r w:rsidR="00545220" w:rsidRPr="00530906">
        <w:rPr>
          <w:rFonts w:ascii="Cambria" w:eastAsia="Calibri" w:hAnsi="Cambria" w:cs="Times New Roman"/>
          <w:sz w:val="24"/>
          <w:szCs w:val="24"/>
        </w:rPr>
        <w:t>behaviours,</w:t>
      </w:r>
      <w:r w:rsidRPr="00530906">
        <w:rPr>
          <w:rFonts w:ascii="Cambria" w:eastAsia="Calibri" w:hAnsi="Cambria" w:cs="Times New Roman"/>
          <w:sz w:val="24"/>
          <w:szCs w:val="24"/>
        </w:rPr>
        <w:t xml:space="preserve"> which represents that, buying of a specific product may influence other related behaviour. Therefore, it has been posited that</w:t>
      </w:r>
      <w:r w:rsidR="004179CD" w:rsidRPr="00530906">
        <w:rPr>
          <w:rFonts w:ascii="Cambria" w:eastAsia="Calibri" w:hAnsi="Cambria" w:cs="Times New Roman"/>
          <w:sz w:val="24"/>
          <w:szCs w:val="24"/>
        </w:rPr>
        <w:t>–</w:t>
      </w:r>
      <w:r w:rsidRPr="00530906">
        <w:rPr>
          <w:rFonts w:ascii="Cambria" w:eastAsia="Calibri" w:hAnsi="Cambria" w:cs="Times New Roman"/>
          <w:sz w:val="24"/>
          <w:szCs w:val="24"/>
        </w:rPr>
        <w:t xml:space="preserve"> </w:t>
      </w:r>
    </w:p>
    <w:p w14:paraId="1EC47C20" w14:textId="494478CC" w:rsidR="00C7217E" w:rsidRPr="00530906" w:rsidRDefault="00C7217E" w:rsidP="00F43D3B">
      <w:pPr>
        <w:spacing w:line="360" w:lineRule="auto"/>
        <w:jc w:val="both"/>
        <w:rPr>
          <w:rFonts w:ascii="Cambria" w:eastAsia="Calibri" w:hAnsi="Cambria" w:cs="Times New Roman"/>
        </w:rPr>
      </w:pPr>
      <w:r w:rsidRPr="00530906">
        <w:rPr>
          <w:rFonts w:ascii="Cambria" w:eastAsia="Calibri" w:hAnsi="Cambria" w:cs="Times New Roman"/>
          <w:b/>
          <w:bCs/>
          <w:sz w:val="24"/>
          <w:szCs w:val="24"/>
        </w:rPr>
        <w:t>H</w:t>
      </w:r>
      <w:r w:rsidRPr="00530906">
        <w:rPr>
          <w:rFonts w:ascii="Cambria" w:eastAsia="Calibri" w:hAnsi="Cambria" w:cs="Times New Roman"/>
          <w:b/>
          <w:bCs/>
          <w:sz w:val="24"/>
          <w:szCs w:val="24"/>
          <w:vertAlign w:val="subscript"/>
        </w:rPr>
        <w:t>19</w:t>
      </w:r>
      <w:r w:rsidRPr="00530906">
        <w:rPr>
          <w:rFonts w:ascii="Cambria" w:eastAsia="Calibri" w:hAnsi="Cambria" w:cs="Times New Roman"/>
          <w:b/>
          <w:bCs/>
          <w:sz w:val="24"/>
          <w:szCs w:val="24"/>
        </w:rPr>
        <w:t xml:space="preserve">: </w:t>
      </w:r>
      <w:r w:rsidRPr="00530906">
        <w:rPr>
          <w:rFonts w:ascii="Cambria" w:eastAsia="Calibri" w:hAnsi="Cambria" w:cs="Times New Roman"/>
          <w:b/>
          <w:sz w:val="24"/>
          <w:szCs w:val="24"/>
        </w:rPr>
        <w:t xml:space="preserve">Purchase intention of the advertised brand will positively and significantly influence other sustainable behaviour. </w:t>
      </w:r>
      <w:bookmarkEnd w:id="70"/>
    </w:p>
    <w:p w14:paraId="4A4899C6" w14:textId="6480373B" w:rsidR="00385F28" w:rsidRPr="00C85E8D" w:rsidRDefault="00E65C5B" w:rsidP="00385F28">
      <w:pPr>
        <w:pStyle w:val="Heading2"/>
        <w:jc w:val="both"/>
        <w:rPr>
          <w:rFonts w:ascii="Cambria" w:eastAsia="Calibri" w:hAnsi="Cambria"/>
        </w:rPr>
      </w:pPr>
      <w:bookmarkStart w:id="71" w:name="_Toc115726249"/>
      <w:r w:rsidRPr="00C85E8D">
        <w:rPr>
          <w:rFonts w:ascii="Cambria" w:eastAsia="Calibri" w:hAnsi="Cambria"/>
        </w:rPr>
        <w:t>3</w:t>
      </w:r>
      <w:r w:rsidR="00385F28" w:rsidRPr="00C85E8D">
        <w:rPr>
          <w:rFonts w:ascii="Cambria" w:eastAsia="Calibri" w:hAnsi="Cambria"/>
        </w:rPr>
        <w:t>.</w:t>
      </w:r>
      <w:r w:rsidR="001C4C7F">
        <w:rPr>
          <w:rFonts w:ascii="Cambria" w:eastAsia="Calibri" w:hAnsi="Cambria"/>
        </w:rPr>
        <w:t>11</w:t>
      </w:r>
      <w:r w:rsidR="00385F28" w:rsidRPr="00C85E8D">
        <w:rPr>
          <w:rFonts w:ascii="Cambria" w:eastAsia="Calibri" w:hAnsi="Cambria"/>
        </w:rPr>
        <w:t xml:space="preserve">. </w:t>
      </w:r>
      <w:r w:rsidR="00F153A0">
        <w:rPr>
          <w:rFonts w:ascii="Cambria" w:eastAsia="Calibri" w:hAnsi="Cambria"/>
        </w:rPr>
        <w:t>Conceptual</w:t>
      </w:r>
      <w:r w:rsidR="00385F28" w:rsidRPr="00C85E8D">
        <w:rPr>
          <w:rFonts w:ascii="Cambria" w:eastAsia="Calibri" w:hAnsi="Cambria"/>
        </w:rPr>
        <w:t xml:space="preserve"> framework</w:t>
      </w:r>
      <w:bookmarkEnd w:id="71"/>
      <w:r w:rsidR="00385F28" w:rsidRPr="00C85E8D">
        <w:rPr>
          <w:rFonts w:ascii="Cambria" w:eastAsia="Calibri" w:hAnsi="Cambria"/>
        </w:rPr>
        <w:t xml:space="preserve"> </w:t>
      </w:r>
    </w:p>
    <w:p w14:paraId="5E401CDD" w14:textId="77777777" w:rsidR="00385F28" w:rsidRPr="00A12D37" w:rsidRDefault="00385F28" w:rsidP="00385F28">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In a nutshell, this thesis aims to shed light on the impact consumers’ positive and negative caption accompanying a sustainability ad on social media on other consumers’ intention to purchase the products with sustainability association and adopt other sustainable behaviours. This study posits that consumers’ will be motivated to adopt sustainable behaviour depending on the opinion of their peers in social media, because social–media–engagement have the potential to reformulate consumers’ choice and behaviour (Bolton et al 2013; Hutter et al. 2013). When the actors of social–media initiate a post containing their positive or negative opinion along with the sustainability–ad, as form of EWOM (Hennig–Thurau 2004), has a greater impact than the company led advertisement (Muniz and Schau, 2007; Martin and Schouten 2012). In online settings, the stimuli and the situation (source characteristics) play major role on online behaviour (Li et al 2018). Furthermore, the expected experience from the product leads consumers to engage for greater value in online media (Kumar et al 2017). In this line of thinking, the value consumers derive from a product depends on their level on involvement (Lemke et al 2011). This infers that, consumers online behaviour on the post they are exposed to, is based on their involvement with it and the source of it. Consumers engage positively or negatively on social–media because of their predisposition on an issue (Li et al 2018). It should be true for sustainability–ad, because of products with sustainability association are deemed as novelty (</w:t>
      </w:r>
      <w:r w:rsidRPr="00A12D37">
        <w:rPr>
          <w:rFonts w:ascii="Cambria" w:eastAsia="Calibri" w:hAnsi="Cambria" w:cs="Adobe Devanagari"/>
          <w:noProof/>
          <w:sz w:val="24"/>
          <w:szCs w:val="24"/>
        </w:rPr>
        <w:t>Jung et al. 2016)</w:t>
      </w:r>
      <w:r w:rsidRPr="00A12D37">
        <w:rPr>
          <w:rFonts w:ascii="Cambria" w:eastAsia="Calibri" w:hAnsi="Cambria" w:cs="Times New Roman"/>
          <w:sz w:val="24"/>
          <w:szCs w:val="24"/>
        </w:rPr>
        <w:t>. Since purchase intention is a function of, how people see themselves experiencing the product (Yim et al 2018; Vaughn1980), how they feel about that (Yani–de–Soriano et al 2013) this research also employed SCV and PAD theoretical lens to understand the mechanism of adopting sustainable behaviour. Moreover, ethical behaviour is shaped by the aroused emotion as the individual confirm or violated the social norm (Steenhaut and Kenhove 2006), this conceptual framework posits that the widespread awareness of sustainability, should motivate the social–media users to engage and initiate the normalisation process of adopting sustainable behaviour.  Actors in a network are expected to share norms within that network and act according to the social norms and beliefs of other actors. Through engagement the actors shape the knowledge and practice of that system, which in turn reformulate the standard and norms of the system (Li et al 2018). Bolton et al (2013) showed that, social–media use of Generation Y has affected the social norm and their behaviour. Situational context should be considered in order to formulate an integrated and holistic model of promoting sustainable–consumption practice (Carrington et al 2010).</w:t>
      </w:r>
    </w:p>
    <w:p w14:paraId="5CA0459E" w14:textId="29B31AB3" w:rsidR="00385F28" w:rsidRPr="00A12D37" w:rsidRDefault="00385F28" w:rsidP="00385F28">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It is well documented that purchase intention is influenced by virtual community. In addition to that, learning and knowledge sharing on of the key motivators to engage in a virtual community or in this case social–media (Lowe and Johnson 2017). On the other hand, the reasons for not adopting the products with sustainability association include– normative influence along with lack of information regarding company and the product (Kilbourne 2004; Peattie and Crane 2005; Lim 2016). In this case, social–media platform has proved to be helpful for consumers to learn and improve their knowledge (Algesheimer et al., 2005; Nambisan and Baron, 2009; Zaglia, 2013). So, engagement in social–media regarding the products with sustainability association may influent the intention to implement sustainable practice (Fig 1</w:t>
      </w:r>
      <w:r w:rsidR="003953C6">
        <w:rPr>
          <w:rFonts w:ascii="Cambria" w:eastAsia="Calibri" w:hAnsi="Cambria" w:cs="Times New Roman"/>
          <w:sz w:val="24"/>
          <w:szCs w:val="24"/>
        </w:rPr>
        <w:t>5</w:t>
      </w:r>
      <w:r w:rsidRPr="00A12D37">
        <w:rPr>
          <w:rFonts w:ascii="Cambria" w:eastAsia="Calibri" w:hAnsi="Cambria" w:cs="Times New Roman"/>
          <w:sz w:val="24"/>
          <w:szCs w:val="24"/>
        </w:rPr>
        <w:t xml:space="preserve">). </w:t>
      </w:r>
    </w:p>
    <w:p w14:paraId="733784F4" w14:textId="77777777" w:rsidR="00694CD5" w:rsidRPr="00530906" w:rsidRDefault="00694CD5" w:rsidP="00694CD5">
      <w:pPr>
        <w:spacing w:line="360" w:lineRule="auto"/>
        <w:jc w:val="both"/>
        <w:rPr>
          <w:rFonts w:ascii="Cambria" w:eastAsia="Calibri" w:hAnsi="Cambria" w:cs="Times New Roman"/>
          <w:sz w:val="24"/>
          <w:szCs w:val="24"/>
        </w:rPr>
      </w:pPr>
      <w:r w:rsidRPr="00A12D37">
        <w:rPr>
          <w:rFonts w:ascii="Cambria" w:eastAsia="Calibri" w:hAnsi="Cambria" w:cs="Times New Roman"/>
          <w:sz w:val="24"/>
          <w:szCs w:val="24"/>
        </w:rPr>
        <w:t xml:space="preserve">Next chapter describe the methodology </w:t>
      </w:r>
      <w:r w:rsidRPr="00530906">
        <w:rPr>
          <w:rFonts w:ascii="Cambria" w:eastAsia="Calibri" w:hAnsi="Cambria" w:cs="Times New Roman"/>
          <w:sz w:val="24"/>
          <w:szCs w:val="24"/>
        </w:rPr>
        <w:t xml:space="preserve">that has been undertaken to verify the hypotheses. The chapter includes– ontological and epistemological stance of this research, approach taken to test the hypotheses, sampling technique, reliability test and assessment of assumptions for the statistical analysis. </w:t>
      </w:r>
    </w:p>
    <w:p w14:paraId="0B9B977E" w14:textId="77777777" w:rsidR="00385F28" w:rsidRPr="00530906" w:rsidRDefault="00385F28" w:rsidP="00385F28">
      <w:pPr>
        <w:jc w:val="both"/>
        <w:rPr>
          <w:rFonts w:ascii="Cambria" w:eastAsia="Calibri" w:hAnsi="Cambria" w:cs="Times New Roman"/>
        </w:rPr>
      </w:pPr>
      <w:r w:rsidRPr="00530906">
        <w:rPr>
          <w:rFonts w:ascii="Cambria" w:eastAsia="Calibri" w:hAnsi="Cambria" w:cs="Times New Roman"/>
        </w:rPr>
        <w:br w:type="page"/>
      </w:r>
    </w:p>
    <w:p w14:paraId="6B0F6F1F" w14:textId="77777777" w:rsidR="00385F28" w:rsidRPr="00530906" w:rsidRDefault="00385F28" w:rsidP="00385F28">
      <w:pPr>
        <w:spacing w:line="360" w:lineRule="auto"/>
        <w:jc w:val="both"/>
        <w:rPr>
          <w:rFonts w:ascii="Cambria" w:eastAsia="Calibri" w:hAnsi="Cambria" w:cs="Times New Roman"/>
        </w:rPr>
      </w:pPr>
      <w:r w:rsidRPr="00530906">
        <w:rPr>
          <w:rFonts w:ascii="Cambria" w:eastAsia="Calibri" w:hAnsi="Cambria" w:cs="Times New Roman"/>
          <w:noProof/>
        </w:rPr>
        <mc:AlternateContent>
          <mc:Choice Requires="wpg">
            <w:drawing>
              <wp:anchor distT="0" distB="0" distL="114300" distR="114300" simplePos="0" relativeHeight="251657287" behindDoc="0" locked="0" layoutInCell="1" allowOverlap="1" wp14:anchorId="1BA9A4B6" wp14:editId="30F74337">
                <wp:simplePos x="0" y="0"/>
                <wp:positionH relativeFrom="column">
                  <wp:posOffset>-57150</wp:posOffset>
                </wp:positionH>
                <wp:positionV relativeFrom="paragraph">
                  <wp:posOffset>-9525</wp:posOffset>
                </wp:positionV>
                <wp:extent cx="5506085" cy="7266940"/>
                <wp:effectExtent l="0" t="0" r="18415" b="10160"/>
                <wp:wrapNone/>
                <wp:docPr id="355" name="Group 355"/>
                <wp:cNvGraphicFramePr/>
                <a:graphic xmlns:a="http://schemas.openxmlformats.org/drawingml/2006/main">
                  <a:graphicData uri="http://schemas.microsoft.com/office/word/2010/wordprocessingGroup">
                    <wpg:wgp>
                      <wpg:cNvGrpSpPr/>
                      <wpg:grpSpPr>
                        <a:xfrm>
                          <a:off x="0" y="0"/>
                          <a:ext cx="5506085" cy="7266940"/>
                          <a:chOff x="0" y="-161925"/>
                          <a:chExt cx="5506085" cy="7266940"/>
                        </a:xfrm>
                      </wpg:grpSpPr>
                      <wpg:grpSp>
                        <wpg:cNvPr id="356" name="Group 356"/>
                        <wpg:cNvGrpSpPr>
                          <a:grpSpLocks/>
                        </wpg:cNvGrpSpPr>
                        <wpg:grpSpPr bwMode="auto">
                          <a:xfrm>
                            <a:off x="0" y="-161925"/>
                            <a:ext cx="5506085" cy="7266940"/>
                            <a:chOff x="1645" y="1600"/>
                            <a:chExt cx="8671" cy="11444"/>
                          </a:xfrm>
                        </wpg:grpSpPr>
                        <wps:wsp>
                          <wps:cNvPr id="357" name="Text Box 76"/>
                          <wps:cNvSpPr txBox="1">
                            <a:spLocks noChangeArrowheads="1"/>
                          </wps:cNvSpPr>
                          <wps:spPr bwMode="auto">
                            <a:xfrm>
                              <a:off x="6358" y="9321"/>
                              <a:ext cx="2460" cy="405"/>
                            </a:xfrm>
                            <a:prstGeom prst="rect">
                              <a:avLst/>
                            </a:prstGeom>
                            <a:solidFill>
                              <a:srgbClr val="F7CAAC"/>
                            </a:solidFill>
                            <a:ln w="6350">
                              <a:solidFill>
                                <a:srgbClr val="000000"/>
                              </a:solidFill>
                              <a:miter lim="800000"/>
                              <a:headEnd/>
                              <a:tailEnd/>
                            </a:ln>
                          </wps:spPr>
                          <wps:txbx>
                            <w:txbxContent>
                              <w:p w14:paraId="0B2DBA5F" w14:textId="77777777" w:rsidR="00385F28" w:rsidRDefault="00385F28" w:rsidP="00385F28">
                                <w:r>
                                  <w:t xml:space="preserve">Informational influence </w:t>
                                </w:r>
                              </w:p>
                            </w:txbxContent>
                          </wps:txbx>
                          <wps:bodyPr rot="0" vert="horz" wrap="square" lIns="91440" tIns="45720" rIns="91440" bIns="45720" anchor="t" anchorCtr="0" upright="1">
                            <a:noAutofit/>
                          </wps:bodyPr>
                        </wps:wsp>
                        <wpg:grpSp>
                          <wpg:cNvPr id="358" name="Group 81"/>
                          <wpg:cNvGrpSpPr>
                            <a:grpSpLocks/>
                          </wpg:cNvGrpSpPr>
                          <wpg:grpSpPr bwMode="auto">
                            <a:xfrm>
                              <a:off x="1645" y="1600"/>
                              <a:ext cx="8671" cy="11444"/>
                              <a:chOff x="1721" y="1600"/>
                              <a:chExt cx="8671" cy="11444"/>
                            </a:xfrm>
                          </wpg:grpSpPr>
                          <wps:wsp>
                            <wps:cNvPr id="359" name="Text Box 74"/>
                            <wps:cNvSpPr txBox="1">
                              <a:spLocks noChangeArrowheads="1"/>
                            </wps:cNvSpPr>
                            <wps:spPr bwMode="auto">
                              <a:xfrm>
                                <a:off x="1826" y="12422"/>
                                <a:ext cx="3258" cy="622"/>
                              </a:xfrm>
                              <a:prstGeom prst="rect">
                                <a:avLst/>
                              </a:prstGeom>
                              <a:solidFill>
                                <a:srgbClr val="FFFFFF"/>
                              </a:solidFill>
                              <a:ln w="9525">
                                <a:solidFill>
                                  <a:srgbClr val="000000"/>
                                </a:solidFill>
                                <a:miter lim="800000"/>
                                <a:headEnd/>
                                <a:tailEnd/>
                              </a:ln>
                            </wps:spPr>
                            <wps:txbx>
                              <w:txbxContent>
                                <w:p w14:paraId="74539385" w14:textId="22E9F792" w:rsidR="00385F28" w:rsidRDefault="00385F28" w:rsidP="00385F28">
                                  <w:r>
                                    <w:t>Fig 1</w:t>
                                  </w:r>
                                  <w:r w:rsidR="00A26F6C">
                                    <w:t>5</w:t>
                                  </w:r>
                                  <w:r>
                                    <w:t>: Conceptual Framework</w:t>
                                  </w:r>
                                </w:p>
                              </w:txbxContent>
                            </wps:txbx>
                            <wps:bodyPr rot="0" vert="horz" wrap="square" lIns="91440" tIns="45720" rIns="91440" bIns="45720" anchor="t" anchorCtr="0" upright="1">
                              <a:noAutofit/>
                            </wps:bodyPr>
                          </wps:wsp>
                          <wps:wsp>
                            <wps:cNvPr id="360" name="AutoShape 4"/>
                            <wps:cNvCnPr>
                              <a:cxnSpLocks noChangeShapeType="1"/>
                            </wps:cNvCnPr>
                            <wps:spPr bwMode="auto">
                              <a:xfrm>
                                <a:off x="6322" y="10645"/>
                                <a:ext cx="0" cy="327"/>
                              </a:xfrm>
                              <a:prstGeom prst="straightConnector1">
                                <a:avLst/>
                              </a:prstGeom>
                              <a:noFill/>
                              <a:ln w="190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1" name="Text Box 11"/>
                            <wps:cNvSpPr txBox="1">
                              <a:spLocks noChangeArrowheads="1"/>
                            </wps:cNvSpPr>
                            <wps:spPr bwMode="auto">
                              <a:xfrm>
                                <a:off x="4988" y="9676"/>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F3A52" w14:textId="5D3152B7" w:rsidR="00385F28" w:rsidRDefault="00385F28" w:rsidP="00385F28">
                                  <w:r>
                                    <w:t>H</w:t>
                                  </w:r>
                                  <w:r>
                                    <w:rPr>
                                      <w:vertAlign w:val="subscript"/>
                                    </w:rPr>
                                    <w:t>15</w:t>
                                  </w:r>
                                  <w:r w:rsidR="00727A4E">
                                    <w:t>+</w:t>
                                  </w:r>
                                </w:p>
                              </w:txbxContent>
                            </wps:txbx>
                            <wps:bodyPr rot="0" vert="horz" wrap="square" lIns="91440" tIns="45720" rIns="91440" bIns="45720" anchor="t" anchorCtr="0" upright="1">
                              <a:noAutofit/>
                            </wps:bodyPr>
                          </wps:wsp>
                          <wps:wsp>
                            <wps:cNvPr id="362" name="Straight Arrow Connector 88"/>
                            <wps:cNvCnPr>
                              <a:cxnSpLocks noChangeShapeType="1"/>
                            </wps:cNvCnPr>
                            <wps:spPr bwMode="auto">
                              <a:xfrm flipH="1">
                                <a:off x="5589" y="8877"/>
                                <a:ext cx="345" cy="42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cNvPr id="363" name="Group 80"/>
                            <wpg:cNvGrpSpPr>
                              <a:grpSpLocks/>
                            </wpg:cNvGrpSpPr>
                            <wpg:grpSpPr bwMode="auto">
                              <a:xfrm>
                                <a:off x="1721" y="1600"/>
                                <a:ext cx="8671" cy="10063"/>
                                <a:chOff x="1721" y="1600"/>
                                <a:chExt cx="8671" cy="10063"/>
                              </a:xfrm>
                            </wpg:grpSpPr>
                            <wps:wsp>
                              <wps:cNvPr id="364" name="Text Box 8"/>
                              <wps:cNvSpPr txBox="1">
                                <a:spLocks noChangeArrowheads="1"/>
                              </wps:cNvSpPr>
                              <wps:spPr bwMode="auto">
                                <a:xfrm>
                                  <a:off x="6265" y="10571"/>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2FF0" w14:textId="742F0FC3" w:rsidR="00385F28" w:rsidRDefault="00385F28" w:rsidP="00385F28">
                                    <w:r>
                                      <w:t>H</w:t>
                                    </w:r>
                                    <w:r>
                                      <w:rPr>
                                        <w:vertAlign w:val="subscript"/>
                                      </w:rPr>
                                      <w:t>19</w:t>
                                    </w:r>
                                    <w:r w:rsidR="00727A4E">
                                      <w:t>+</w:t>
                                    </w:r>
                                  </w:p>
                                </w:txbxContent>
                              </wps:txbx>
                              <wps:bodyPr rot="0" vert="horz" wrap="square" lIns="91440" tIns="45720" rIns="91440" bIns="45720" anchor="t" anchorCtr="0" upright="1">
                                <a:noAutofit/>
                              </wps:bodyPr>
                            </wps:wsp>
                            <wps:wsp>
                              <wps:cNvPr id="365" name="Text Box 31"/>
                              <wps:cNvSpPr txBox="1">
                                <a:spLocks noChangeArrowheads="1"/>
                              </wps:cNvSpPr>
                              <wps:spPr bwMode="auto">
                                <a:xfrm>
                                  <a:off x="5206" y="10972"/>
                                  <a:ext cx="2437" cy="691"/>
                                </a:xfrm>
                                <a:prstGeom prst="rect">
                                  <a:avLst/>
                                </a:prstGeom>
                                <a:solidFill>
                                  <a:srgbClr val="92D050"/>
                                </a:solidFill>
                                <a:ln w="9525">
                                  <a:solidFill>
                                    <a:srgbClr val="000000"/>
                                  </a:solidFill>
                                  <a:miter lim="800000"/>
                                  <a:headEnd/>
                                  <a:tailEnd/>
                                </a:ln>
                              </wps:spPr>
                              <wps:txbx>
                                <w:txbxContent>
                                  <w:p w14:paraId="5CA4BCFD" w14:textId="77777777" w:rsidR="00385F28" w:rsidRDefault="00385F28" w:rsidP="00385F28">
                                    <w:r>
                                      <w:t>Sustainable behaviour intention</w:t>
                                    </w:r>
                                  </w:p>
                                  <w:p w14:paraId="36F31598" w14:textId="77777777" w:rsidR="00385F28" w:rsidRDefault="00385F28" w:rsidP="00385F28"/>
                                </w:txbxContent>
                              </wps:txbx>
                              <wps:bodyPr rot="0" vert="horz" wrap="square" lIns="91440" tIns="45720" rIns="91440" bIns="45720" anchor="t" anchorCtr="0" upright="1">
                                <a:noAutofit/>
                              </wps:bodyPr>
                            </wps:wsp>
                            <wpg:grpSp>
                              <wpg:cNvPr id="366" name="Group 79"/>
                              <wpg:cNvGrpSpPr>
                                <a:grpSpLocks/>
                              </wpg:cNvGrpSpPr>
                              <wpg:grpSpPr bwMode="auto">
                                <a:xfrm>
                                  <a:off x="1721" y="1600"/>
                                  <a:ext cx="8671" cy="9045"/>
                                  <a:chOff x="1721" y="1600"/>
                                  <a:chExt cx="8671" cy="9045"/>
                                </a:xfrm>
                              </wpg:grpSpPr>
                              <wps:wsp>
                                <wps:cNvPr id="367" name="Straight Connector 235"/>
                                <wps:cNvCnPr>
                                  <a:cxnSpLocks noChangeShapeType="1"/>
                                </wps:cNvCnPr>
                                <wps:spPr bwMode="auto">
                                  <a:xfrm flipH="1">
                                    <a:off x="1789" y="2167"/>
                                    <a:ext cx="2861"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g:grpSp>
                                <wpg:cNvPr id="368" name="Group 78"/>
                                <wpg:cNvGrpSpPr>
                                  <a:grpSpLocks/>
                                </wpg:cNvGrpSpPr>
                                <wpg:grpSpPr bwMode="auto">
                                  <a:xfrm>
                                    <a:off x="1721" y="1600"/>
                                    <a:ext cx="8671" cy="9045"/>
                                    <a:chOff x="1721" y="1600"/>
                                    <a:chExt cx="8671" cy="9045"/>
                                  </a:xfrm>
                                </wpg:grpSpPr>
                                <wpg:grpSp>
                                  <wpg:cNvPr id="369" name="Group 76"/>
                                  <wpg:cNvGrpSpPr>
                                    <a:grpSpLocks/>
                                  </wpg:cNvGrpSpPr>
                                  <wpg:grpSpPr bwMode="auto">
                                    <a:xfrm>
                                      <a:off x="1796" y="2167"/>
                                      <a:ext cx="8596" cy="8478"/>
                                      <a:chOff x="1796" y="2676"/>
                                      <a:chExt cx="8596" cy="8478"/>
                                    </a:xfrm>
                                  </wpg:grpSpPr>
                                  <wps:wsp>
                                    <wps:cNvPr id="370" name="Straight Arrow Connector 90"/>
                                    <wps:cNvCnPr>
                                      <a:cxnSpLocks noChangeShapeType="1"/>
                                    </wps:cNvCnPr>
                                    <wps:spPr bwMode="auto">
                                      <a:xfrm>
                                        <a:off x="5408" y="10267"/>
                                        <a:ext cx="465" cy="31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71" name="Straight Arrow Connector 91"/>
                                    <wps:cNvCnPr>
                                      <a:cxnSpLocks noChangeShapeType="1"/>
                                    </wps:cNvCnPr>
                                    <wps:spPr bwMode="auto">
                                      <a:xfrm flipH="1">
                                        <a:off x="7134" y="10259"/>
                                        <a:ext cx="225" cy="31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72" name="Straight Arrow Connector 89"/>
                                    <wps:cNvCnPr>
                                      <a:cxnSpLocks noChangeShapeType="1"/>
                                    </wps:cNvCnPr>
                                    <wps:spPr bwMode="auto">
                                      <a:xfrm>
                                        <a:off x="6909" y="9341"/>
                                        <a:ext cx="345" cy="48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73" name="Text Box 16"/>
                                    <wps:cNvSpPr txBox="1">
                                      <a:spLocks noChangeArrowheads="1"/>
                                    </wps:cNvSpPr>
                                    <wps:spPr bwMode="auto">
                                      <a:xfrm>
                                        <a:off x="5209" y="9296"/>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4056" w14:textId="35E660A0" w:rsidR="00385F28" w:rsidRDefault="00385F28" w:rsidP="00385F28">
                                          <w:r>
                                            <w:t>H</w:t>
                                          </w:r>
                                          <w:r>
                                            <w:rPr>
                                              <w:vertAlign w:val="subscript"/>
                                            </w:rPr>
                                            <w:t>14</w:t>
                                          </w:r>
                                          <w:r w:rsidR="00727A4E">
                                            <w:t>+</w:t>
                                          </w:r>
                                        </w:p>
                                      </w:txbxContent>
                                    </wps:txbx>
                                    <wps:bodyPr rot="0" vert="horz" wrap="square" lIns="91440" tIns="45720" rIns="91440" bIns="45720" anchor="t" anchorCtr="0" upright="1">
                                      <a:noAutofit/>
                                    </wps:bodyPr>
                                  </wps:wsp>
                                  <wps:wsp>
                                    <wps:cNvPr id="374" name="Straight Arrow Connector 74"/>
                                    <wps:cNvCnPr>
                                      <a:cxnSpLocks noChangeShapeType="1"/>
                                    </wps:cNvCnPr>
                                    <wps:spPr bwMode="auto">
                                      <a:xfrm>
                                        <a:off x="6204" y="3042"/>
                                        <a:ext cx="0" cy="97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75" name="Text Box 79"/>
                                    <wps:cNvSpPr txBox="1">
                                      <a:spLocks noChangeArrowheads="1"/>
                                    </wps:cNvSpPr>
                                    <wps:spPr bwMode="auto">
                                      <a:xfrm>
                                        <a:off x="5769" y="8606"/>
                                        <a:ext cx="2650" cy="750"/>
                                      </a:xfrm>
                                      <a:prstGeom prst="rect">
                                        <a:avLst/>
                                      </a:prstGeom>
                                      <a:solidFill>
                                        <a:srgbClr val="C7ABFF"/>
                                      </a:solidFill>
                                      <a:ln w="6350">
                                        <a:solidFill>
                                          <a:srgbClr val="000000"/>
                                        </a:solidFill>
                                        <a:miter lim="800000"/>
                                        <a:headEnd/>
                                        <a:tailEnd/>
                                      </a:ln>
                                    </wps:spPr>
                                    <wps:txbx>
                                      <w:txbxContent>
                                        <w:p w14:paraId="0700EE19" w14:textId="77777777" w:rsidR="00385F28" w:rsidRDefault="00385F28" w:rsidP="00385F28">
                                          <w:r>
                                            <w:t>Social–media engagement with the ad</w:t>
                                          </w:r>
                                        </w:p>
                                      </w:txbxContent>
                                    </wps:txbx>
                                    <wps:bodyPr rot="0" vert="horz" wrap="square" lIns="91440" tIns="45720" rIns="91440" bIns="45720" anchor="t" anchorCtr="0" upright="1">
                                      <a:noAutofit/>
                                    </wps:bodyPr>
                                  </wps:wsp>
                                  <wps:wsp>
                                    <wps:cNvPr id="376" name="Straight Arrow Connector 65"/>
                                    <wps:cNvCnPr>
                                      <a:cxnSpLocks noChangeShapeType="1"/>
                                    </wps:cNvCnPr>
                                    <wps:spPr bwMode="auto">
                                      <a:xfrm>
                                        <a:off x="6219" y="7852"/>
                                        <a:ext cx="0" cy="749"/>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77" name="Text Box 77"/>
                                    <wps:cNvSpPr txBox="1">
                                      <a:spLocks noChangeArrowheads="1"/>
                                    </wps:cNvSpPr>
                                    <wps:spPr bwMode="auto">
                                      <a:xfrm>
                                        <a:off x="4030" y="9830"/>
                                        <a:ext cx="2129" cy="405"/>
                                      </a:xfrm>
                                      <a:prstGeom prst="rect">
                                        <a:avLst/>
                                      </a:prstGeom>
                                      <a:solidFill>
                                        <a:srgbClr val="F7CAAC"/>
                                      </a:solidFill>
                                      <a:ln w="6350">
                                        <a:solidFill>
                                          <a:srgbClr val="000000"/>
                                        </a:solidFill>
                                        <a:miter lim="800000"/>
                                        <a:headEnd/>
                                        <a:tailEnd/>
                                      </a:ln>
                                    </wps:spPr>
                                    <wps:txbx>
                                      <w:txbxContent>
                                        <w:p w14:paraId="49BAFA2A" w14:textId="77777777" w:rsidR="00385F28" w:rsidRDefault="00385F28" w:rsidP="00385F28">
                                          <w:r>
                                            <w:t xml:space="preserve">Normative influence </w:t>
                                          </w:r>
                                        </w:p>
                                      </w:txbxContent>
                                    </wps:txbx>
                                    <wps:bodyPr rot="0" vert="horz" wrap="square" lIns="91440" tIns="45720" rIns="91440" bIns="45720" anchor="t" anchorCtr="0" upright="1">
                                      <a:noAutofit/>
                                    </wps:bodyPr>
                                  </wps:wsp>
                                  <wps:wsp>
                                    <wps:cNvPr id="378" name="Straight Connector 236"/>
                                    <wps:cNvCnPr>
                                      <a:cxnSpLocks noChangeShapeType="1"/>
                                    </wps:cNvCnPr>
                                    <wps:spPr bwMode="auto">
                                      <a:xfrm>
                                        <a:off x="1802" y="2676"/>
                                        <a:ext cx="0" cy="6494"/>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379" name="Straight Arrow Connector 237"/>
                                    <wps:cNvCnPr>
                                      <a:cxnSpLocks noChangeShapeType="1"/>
                                    </wps:cNvCnPr>
                                    <wps:spPr bwMode="auto">
                                      <a:xfrm>
                                        <a:off x="1802" y="9170"/>
                                        <a:ext cx="3953"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0" name="Straight Arrow Connector 172"/>
                                    <wps:cNvCnPr>
                                      <a:cxnSpLocks noChangeShapeType="1"/>
                                    </wps:cNvCnPr>
                                    <wps:spPr bwMode="auto">
                                      <a:xfrm flipH="1">
                                        <a:off x="6563" y="3807"/>
                                        <a:ext cx="1502" cy="464"/>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1" name="Straight Arrow Connector 174"/>
                                    <wps:cNvCnPr>
                                      <a:cxnSpLocks noChangeShapeType="1"/>
                                    </wps:cNvCnPr>
                                    <wps:spPr bwMode="auto">
                                      <a:xfrm>
                                        <a:off x="4223" y="3789"/>
                                        <a:ext cx="1998"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2" name="Text Box 19"/>
                                    <wps:cNvSpPr txBox="1">
                                      <a:spLocks noChangeArrowheads="1"/>
                                    </wps:cNvSpPr>
                                    <wps:spPr bwMode="auto">
                                      <a:xfrm>
                                        <a:off x="7812" y="3366"/>
                                        <a:ext cx="2580" cy="441"/>
                                      </a:xfrm>
                                      <a:prstGeom prst="rect">
                                        <a:avLst/>
                                      </a:prstGeom>
                                      <a:solidFill>
                                        <a:srgbClr val="D9B6A3"/>
                                      </a:solidFill>
                                      <a:ln w="6350">
                                        <a:solidFill>
                                          <a:srgbClr val="000000"/>
                                        </a:solidFill>
                                        <a:miter lim="800000"/>
                                        <a:headEnd/>
                                        <a:tailEnd/>
                                      </a:ln>
                                    </wps:spPr>
                                    <wps:txbx>
                                      <w:txbxContent>
                                        <w:p w14:paraId="251C093B" w14:textId="77777777" w:rsidR="00385F28" w:rsidRDefault="00385F28" w:rsidP="00385F28">
                                          <w:r>
                                            <w:t>Involvement with the ad</w:t>
                                          </w:r>
                                        </w:p>
                                      </w:txbxContent>
                                    </wps:txbx>
                                    <wps:bodyPr rot="0" vert="horz" wrap="square" lIns="91440" tIns="45720" rIns="91440" bIns="45720" anchor="t" anchorCtr="0" upright="1">
                                      <a:noAutofit/>
                                    </wps:bodyPr>
                                  </wps:wsp>
                                  <wps:wsp>
                                    <wps:cNvPr id="383" name="Straight Arrow Connector 170"/>
                                    <wps:cNvCnPr>
                                      <a:cxnSpLocks noChangeShapeType="1"/>
                                    </wps:cNvCnPr>
                                    <wps:spPr bwMode="auto">
                                      <a:xfrm>
                                        <a:off x="4870" y="6067"/>
                                        <a:ext cx="945" cy="126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4" name="Arc 131"/>
                                    <wps:cNvSpPr>
                                      <a:spLocks/>
                                    </wps:cNvSpPr>
                                    <wps:spPr bwMode="auto">
                                      <a:xfrm>
                                        <a:off x="7089" y="7537"/>
                                        <a:ext cx="2415" cy="3284"/>
                                      </a:xfrm>
                                      <a:custGeom>
                                        <a:avLst/>
                                        <a:gdLst>
                                          <a:gd name="T0" fmla="*/ 0 w 1466850"/>
                                          <a:gd name="T1" fmla="*/ 0 h 2114550"/>
                                          <a:gd name="T2" fmla="*/ 0 w 1466850"/>
                                          <a:gd name="T3" fmla="*/ 0 h 2114550"/>
                                          <a:gd name="T4" fmla="*/ 0 w 1466850"/>
                                          <a:gd name="T5" fmla="*/ 0 h 2114550"/>
                                          <a:gd name="T6" fmla="*/ 0 60000 65536"/>
                                          <a:gd name="T7" fmla="*/ 0 60000 65536"/>
                                          <a:gd name="T8" fmla="*/ 0 60000 65536"/>
                                        </a:gdLst>
                                        <a:ahLst/>
                                        <a:cxnLst>
                                          <a:cxn ang="T6">
                                            <a:pos x="T0" y="T1"/>
                                          </a:cxn>
                                          <a:cxn ang="T7">
                                            <a:pos x="T2" y="T3"/>
                                          </a:cxn>
                                          <a:cxn ang="T8">
                                            <a:pos x="T4" y="T5"/>
                                          </a:cxn>
                                        </a:cxnLst>
                                        <a:rect l="0" t="0" r="r" b="b"/>
                                        <a:pathLst>
                                          <a:path w="1466850" h="2114550" stroke="0">
                                            <a:moveTo>
                                              <a:pt x="733425" y="0"/>
                                            </a:moveTo>
                                            <a:cubicBezTo>
                                              <a:pt x="1127181" y="0"/>
                                              <a:pt x="1450676" y="448214"/>
                                              <a:pt x="1466274" y="1015391"/>
                                            </a:cubicBezTo>
                                            <a:cubicBezTo>
                                              <a:pt x="1480929" y="1548240"/>
                                              <a:pt x="1218019" y="2013415"/>
                                              <a:pt x="853048" y="2100392"/>
                                            </a:cubicBezTo>
                                            <a:lnTo>
                                              <a:pt x="733425" y="1057275"/>
                                            </a:lnTo>
                                            <a:lnTo>
                                              <a:pt x="733425" y="0"/>
                                            </a:lnTo>
                                            <a:close/>
                                          </a:path>
                                          <a:path w="1466850" h="2114550" fill="none">
                                            <a:moveTo>
                                              <a:pt x="733425" y="0"/>
                                            </a:moveTo>
                                            <a:cubicBezTo>
                                              <a:pt x="1127181" y="0"/>
                                              <a:pt x="1450676" y="448214"/>
                                              <a:pt x="1466274" y="1015391"/>
                                            </a:cubicBezTo>
                                            <a:cubicBezTo>
                                              <a:pt x="1480929" y="1548240"/>
                                              <a:pt x="1218019" y="2013415"/>
                                              <a:pt x="853048" y="2100392"/>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Straight Connector 93"/>
                                    <wps:cNvCnPr>
                                      <a:cxnSpLocks noChangeShapeType="1"/>
                                    </wps:cNvCnPr>
                                    <wps:spPr bwMode="auto">
                                      <a:xfrm flipH="1">
                                        <a:off x="6939" y="7537"/>
                                        <a:ext cx="1365" cy="0"/>
                                      </a:xfrm>
                                      <a:prstGeom prst="line">
                                        <a:avLst/>
                                      </a:prstGeom>
                                      <a:noFill/>
                                      <a:ln w="19050">
                                        <a:solidFill>
                                          <a:srgbClr val="808080"/>
                                        </a:solidFill>
                                        <a:miter lim="800000"/>
                                        <a:headEnd/>
                                        <a:tailEnd/>
                                      </a:ln>
                                      <a:extLst>
                                        <a:ext uri="{909E8E84-426E-40DD-AFC4-6F175D3DCCD1}">
                                          <a14:hiddenFill xmlns:a14="http://schemas.microsoft.com/office/drawing/2010/main">
                                            <a:noFill/>
                                          </a14:hiddenFill>
                                        </a:ext>
                                      </a:extLst>
                                    </wps:spPr>
                                    <wps:bodyPr/>
                                  </wps:wsp>
                                  <wps:wsp>
                                    <wps:cNvPr id="386" name="Straight Arrow Connector 123"/>
                                    <wps:cNvCnPr>
                                      <a:cxnSpLocks noChangeShapeType="1"/>
                                    </wps:cNvCnPr>
                                    <wps:spPr bwMode="auto">
                                      <a:xfrm flipH="1">
                                        <a:off x="7373" y="10797"/>
                                        <a:ext cx="1139"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7" name="Straight Arrow Connector 87"/>
                                    <wps:cNvCnPr>
                                      <a:cxnSpLocks noChangeShapeType="1"/>
                                    </wps:cNvCnPr>
                                    <wps:spPr bwMode="auto">
                                      <a:xfrm flipH="1">
                                        <a:off x="6459" y="6127"/>
                                        <a:ext cx="990" cy="118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88" name="Text Box 69"/>
                                    <wps:cNvSpPr txBox="1">
                                      <a:spLocks noChangeArrowheads="1"/>
                                    </wps:cNvSpPr>
                                    <wps:spPr bwMode="auto">
                                      <a:xfrm>
                                        <a:off x="5769" y="4027"/>
                                        <a:ext cx="795" cy="420"/>
                                      </a:xfrm>
                                      <a:prstGeom prst="rect">
                                        <a:avLst/>
                                      </a:prstGeom>
                                      <a:solidFill>
                                        <a:srgbClr val="BDD6EE"/>
                                      </a:solidFill>
                                      <a:ln w="6350">
                                        <a:solidFill>
                                          <a:srgbClr val="000000"/>
                                        </a:solidFill>
                                        <a:miter lim="800000"/>
                                        <a:headEnd/>
                                        <a:tailEnd/>
                                      </a:ln>
                                    </wps:spPr>
                                    <wps:txbx>
                                      <w:txbxContent>
                                        <w:p w14:paraId="3F9AEC75" w14:textId="77777777" w:rsidR="00385F28" w:rsidRDefault="00385F28" w:rsidP="00385F28">
                                          <w:r>
                                            <w:t>SCV</w:t>
                                          </w:r>
                                        </w:p>
                                      </w:txbxContent>
                                    </wps:txbx>
                                    <wps:bodyPr rot="0" vert="horz" wrap="square" lIns="91440" tIns="45720" rIns="91440" bIns="45720" anchor="t" anchorCtr="0" upright="1">
                                      <a:noAutofit/>
                                    </wps:bodyPr>
                                  </wps:wsp>
                                  <wps:wsp>
                                    <wps:cNvPr id="389" name="Text Box 70"/>
                                    <wps:cNvSpPr txBox="1">
                                      <a:spLocks noChangeArrowheads="1"/>
                                    </wps:cNvSpPr>
                                    <wps:spPr bwMode="auto">
                                      <a:xfrm>
                                        <a:off x="5634" y="5692"/>
                                        <a:ext cx="1200" cy="419"/>
                                      </a:xfrm>
                                      <a:prstGeom prst="rect">
                                        <a:avLst/>
                                      </a:prstGeom>
                                      <a:solidFill>
                                        <a:srgbClr val="FFE599"/>
                                      </a:solidFill>
                                      <a:ln w="6350">
                                        <a:solidFill>
                                          <a:srgbClr val="000000"/>
                                        </a:solidFill>
                                        <a:miter lim="800000"/>
                                        <a:headEnd/>
                                        <a:tailEnd/>
                                      </a:ln>
                                    </wps:spPr>
                                    <wps:txbx>
                                      <w:txbxContent>
                                        <w:p w14:paraId="356E1E0B" w14:textId="77777777" w:rsidR="00385F28" w:rsidRDefault="00385F28" w:rsidP="00385F28">
                                          <w:r>
                                            <w:t>Arousal</w:t>
                                          </w:r>
                                        </w:p>
                                      </w:txbxContent>
                                    </wps:txbx>
                                    <wps:bodyPr rot="0" vert="horz" wrap="square" lIns="91440" tIns="45720" rIns="91440" bIns="45720" anchor="t" anchorCtr="0" upright="1">
                                      <a:noAutofit/>
                                    </wps:bodyPr>
                                  </wps:wsp>
                                  <wps:wsp>
                                    <wps:cNvPr id="390" name="Text Box 71"/>
                                    <wps:cNvSpPr txBox="1">
                                      <a:spLocks noChangeArrowheads="1"/>
                                    </wps:cNvSpPr>
                                    <wps:spPr bwMode="auto">
                                      <a:xfrm>
                                        <a:off x="7194" y="5692"/>
                                        <a:ext cx="1425" cy="420"/>
                                      </a:xfrm>
                                      <a:prstGeom prst="rect">
                                        <a:avLst/>
                                      </a:prstGeom>
                                      <a:solidFill>
                                        <a:srgbClr val="FFE599"/>
                                      </a:solidFill>
                                      <a:ln w="6350">
                                        <a:solidFill>
                                          <a:srgbClr val="000000"/>
                                        </a:solidFill>
                                        <a:miter lim="800000"/>
                                        <a:headEnd/>
                                        <a:tailEnd/>
                                      </a:ln>
                                    </wps:spPr>
                                    <wps:txbx>
                                      <w:txbxContent>
                                        <w:p w14:paraId="5C836828" w14:textId="77777777" w:rsidR="00385F28" w:rsidRDefault="00385F28" w:rsidP="00385F28">
                                          <w:r>
                                            <w:t>Dominance</w:t>
                                          </w:r>
                                        </w:p>
                                      </w:txbxContent>
                                    </wps:txbx>
                                    <wps:bodyPr rot="0" vert="horz" wrap="square" lIns="91440" tIns="45720" rIns="91440" bIns="45720" anchor="t" anchorCtr="0" upright="1">
                                      <a:noAutofit/>
                                    </wps:bodyPr>
                                  </wps:wsp>
                                  <wps:wsp>
                                    <wps:cNvPr id="391" name="Text Box 73"/>
                                    <wps:cNvSpPr txBox="1">
                                      <a:spLocks noChangeArrowheads="1"/>
                                    </wps:cNvSpPr>
                                    <wps:spPr bwMode="auto">
                                      <a:xfrm>
                                        <a:off x="2343" y="3460"/>
                                        <a:ext cx="1878" cy="709"/>
                                      </a:xfrm>
                                      <a:prstGeom prst="rect">
                                        <a:avLst/>
                                      </a:prstGeom>
                                      <a:solidFill>
                                        <a:srgbClr val="C5C4A0"/>
                                      </a:solidFill>
                                      <a:ln w="6350">
                                        <a:solidFill>
                                          <a:srgbClr val="000000"/>
                                        </a:solidFill>
                                        <a:miter lim="800000"/>
                                        <a:headEnd/>
                                        <a:tailEnd/>
                                      </a:ln>
                                    </wps:spPr>
                                    <wps:txbx>
                                      <w:txbxContent>
                                        <w:p w14:paraId="383FB068" w14:textId="77777777" w:rsidR="00385F28" w:rsidRDefault="00385F28" w:rsidP="00385F28">
                                          <w:r>
                                            <w:t xml:space="preserve">Source expertise High </w:t>
                                          </w:r>
                                          <w:r>
                                            <w:tab/>
                                            <w:t xml:space="preserve">    Low </w:t>
                                          </w:r>
                                        </w:p>
                                      </w:txbxContent>
                                    </wps:txbx>
                                    <wps:bodyPr rot="0" vert="horz" wrap="square" lIns="91440" tIns="45720" rIns="91440" bIns="45720" anchor="t" anchorCtr="0" upright="1">
                                      <a:noAutofit/>
                                    </wps:bodyPr>
                                  </wps:wsp>
                                  <wps:wsp>
                                    <wps:cNvPr id="392" name="Text Box 75"/>
                                    <wps:cNvSpPr txBox="1">
                                      <a:spLocks noChangeArrowheads="1"/>
                                    </wps:cNvSpPr>
                                    <wps:spPr bwMode="auto">
                                      <a:xfrm>
                                        <a:off x="4015" y="5707"/>
                                        <a:ext cx="1229" cy="389"/>
                                      </a:xfrm>
                                      <a:prstGeom prst="rect">
                                        <a:avLst/>
                                      </a:prstGeom>
                                      <a:solidFill>
                                        <a:srgbClr val="FFE599"/>
                                      </a:solidFill>
                                      <a:ln w="6350">
                                        <a:solidFill>
                                          <a:srgbClr val="000000"/>
                                        </a:solidFill>
                                        <a:miter lim="800000"/>
                                        <a:headEnd/>
                                        <a:tailEnd/>
                                      </a:ln>
                                    </wps:spPr>
                                    <wps:txbx>
                                      <w:txbxContent>
                                        <w:p w14:paraId="7E5F5281" w14:textId="77777777" w:rsidR="00385F28" w:rsidRDefault="00385F28" w:rsidP="00385F28">
                                          <w:r>
                                            <w:t>Pleasure</w:t>
                                          </w:r>
                                        </w:p>
                                      </w:txbxContent>
                                    </wps:txbx>
                                    <wps:bodyPr rot="0" vert="horz" wrap="square" lIns="91440" tIns="45720" rIns="91440" bIns="45720" anchor="t" anchorCtr="0" upright="1">
                                      <a:noAutofit/>
                                    </wps:bodyPr>
                                  </wps:wsp>
                                  <wps:wsp>
                                    <wps:cNvPr id="393" name="Text Box 78"/>
                                    <wps:cNvSpPr txBox="1">
                                      <a:spLocks noChangeArrowheads="1"/>
                                    </wps:cNvSpPr>
                                    <wps:spPr bwMode="auto">
                                      <a:xfrm>
                                        <a:off x="5484" y="7327"/>
                                        <a:ext cx="1425" cy="510"/>
                                      </a:xfrm>
                                      <a:prstGeom prst="rect">
                                        <a:avLst/>
                                      </a:prstGeom>
                                      <a:solidFill>
                                        <a:srgbClr val="D9E2F3"/>
                                      </a:solidFill>
                                      <a:ln w="6350">
                                        <a:solidFill>
                                          <a:srgbClr val="000000"/>
                                        </a:solidFill>
                                        <a:miter lim="800000"/>
                                        <a:headEnd/>
                                        <a:tailEnd/>
                                      </a:ln>
                                    </wps:spPr>
                                    <wps:txbx>
                                      <w:txbxContent>
                                        <w:p w14:paraId="29ED1F11" w14:textId="77777777" w:rsidR="00385F28" w:rsidRDefault="00385F28" w:rsidP="00385F28">
                                          <w:r>
                                            <w:t>Ad attitude</w:t>
                                          </w:r>
                                        </w:p>
                                      </w:txbxContent>
                                    </wps:txbx>
                                    <wps:bodyPr rot="0" vert="horz" wrap="square" lIns="91440" tIns="45720" rIns="91440" bIns="45720" anchor="t" anchorCtr="0" upright="1">
                                      <a:noAutofit/>
                                    </wps:bodyPr>
                                  </wps:wsp>
                                  <wps:wsp>
                                    <wps:cNvPr id="394" name="Straight Arrow Connector 81"/>
                                    <wps:cNvCnPr>
                                      <a:cxnSpLocks noChangeShapeType="1"/>
                                    </wps:cNvCnPr>
                                    <wps:spPr bwMode="auto">
                                      <a:xfrm flipH="1">
                                        <a:off x="4885" y="4477"/>
                                        <a:ext cx="1229" cy="123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95" name="Straight Arrow Connector 82"/>
                                    <wps:cNvCnPr>
                                      <a:cxnSpLocks noChangeShapeType="1"/>
                                    </wps:cNvCnPr>
                                    <wps:spPr bwMode="auto">
                                      <a:xfrm>
                                        <a:off x="6159" y="4466"/>
                                        <a:ext cx="0" cy="1215"/>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96" name="Straight Arrow Connector 83"/>
                                    <wps:cNvCnPr>
                                      <a:cxnSpLocks noChangeShapeType="1"/>
                                    </wps:cNvCnPr>
                                    <wps:spPr bwMode="auto">
                                      <a:xfrm>
                                        <a:off x="6189" y="4477"/>
                                        <a:ext cx="1200" cy="120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97" name="Straight Arrow Connector 84"/>
                                    <wps:cNvCnPr>
                                      <a:cxnSpLocks noChangeShapeType="1"/>
                                    </wps:cNvCnPr>
                                    <wps:spPr bwMode="auto">
                                      <a:xfrm>
                                        <a:off x="6174" y="6096"/>
                                        <a:ext cx="0" cy="120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s:wsp>
                                    <wps:cNvPr id="398" name="Arc 85"/>
                                    <wps:cNvSpPr>
                                      <a:spLocks/>
                                    </wps:cNvSpPr>
                                    <wps:spPr bwMode="auto">
                                      <a:xfrm rot="-10596356">
                                        <a:off x="3070" y="4282"/>
                                        <a:ext cx="5926" cy="4803"/>
                                      </a:xfrm>
                                      <a:custGeom>
                                        <a:avLst/>
                                        <a:gdLst>
                                          <a:gd name="T0" fmla="*/ 0 w 3763645"/>
                                          <a:gd name="T1" fmla="*/ 0 h 3050540"/>
                                          <a:gd name="T2" fmla="*/ 0 w 3763645"/>
                                          <a:gd name="T3" fmla="*/ 0 h 3050540"/>
                                          <a:gd name="T4" fmla="*/ 0 w 3763645"/>
                                          <a:gd name="T5" fmla="*/ 0 h 3050540"/>
                                          <a:gd name="T6" fmla="*/ 0 60000 65536"/>
                                          <a:gd name="T7" fmla="*/ 0 60000 65536"/>
                                          <a:gd name="T8" fmla="*/ 0 60000 65536"/>
                                        </a:gdLst>
                                        <a:ahLst/>
                                        <a:cxnLst>
                                          <a:cxn ang="T6">
                                            <a:pos x="T0" y="T1"/>
                                          </a:cxn>
                                          <a:cxn ang="T7">
                                            <a:pos x="T2" y="T3"/>
                                          </a:cxn>
                                          <a:cxn ang="T8">
                                            <a:pos x="T4" y="T5"/>
                                          </a:cxn>
                                        </a:cxnLst>
                                        <a:rect l="0" t="0" r="r" b="b"/>
                                        <a:pathLst>
                                          <a:path w="3763645" h="3050540" stroke="0">
                                            <a:moveTo>
                                              <a:pt x="1965084" y="1494"/>
                                            </a:moveTo>
                                            <a:cubicBezTo>
                                              <a:pt x="2919902" y="35769"/>
                                              <a:pt x="3691375" y="644720"/>
                                              <a:pt x="3758938" y="1417447"/>
                                            </a:cubicBezTo>
                                            <a:cubicBezTo>
                                              <a:pt x="3828953" y="2218210"/>
                                              <a:pt x="3121199" y="2925903"/>
                                              <a:pt x="2140145" y="3036101"/>
                                            </a:cubicBezTo>
                                            <a:lnTo>
                                              <a:pt x="1881823" y="1525270"/>
                                            </a:lnTo>
                                            <a:lnTo>
                                              <a:pt x="1965084" y="1494"/>
                                            </a:lnTo>
                                            <a:close/>
                                          </a:path>
                                          <a:path w="3763645" h="3050540" fill="none">
                                            <a:moveTo>
                                              <a:pt x="1965084" y="1494"/>
                                            </a:moveTo>
                                            <a:cubicBezTo>
                                              <a:pt x="2919902" y="35769"/>
                                              <a:pt x="3691375" y="644720"/>
                                              <a:pt x="3758938" y="1417447"/>
                                            </a:cubicBezTo>
                                            <a:cubicBezTo>
                                              <a:pt x="3828953" y="2218210"/>
                                              <a:pt x="3121199" y="2925903"/>
                                              <a:pt x="2140145" y="3036101"/>
                                            </a:cubicBezTo>
                                          </a:path>
                                        </a:pathLst>
                                      </a:cu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Text Box 80"/>
                                    <wps:cNvSpPr txBox="1">
                                      <a:spLocks noChangeArrowheads="1"/>
                                    </wps:cNvSpPr>
                                    <wps:spPr bwMode="auto">
                                      <a:xfrm>
                                        <a:off x="5263" y="10566"/>
                                        <a:ext cx="2153" cy="588"/>
                                      </a:xfrm>
                                      <a:prstGeom prst="rect">
                                        <a:avLst/>
                                      </a:prstGeom>
                                      <a:solidFill>
                                        <a:srgbClr val="C5E0B3"/>
                                      </a:solidFill>
                                      <a:ln w="6350">
                                        <a:solidFill>
                                          <a:srgbClr val="000000"/>
                                        </a:solidFill>
                                        <a:miter lim="800000"/>
                                        <a:headEnd/>
                                        <a:tailEnd/>
                                      </a:ln>
                                    </wps:spPr>
                                    <wps:txbx>
                                      <w:txbxContent>
                                        <w:p w14:paraId="08CDA0ED" w14:textId="2E36EE64" w:rsidR="00385F28" w:rsidRPr="008C1402" w:rsidRDefault="00940983" w:rsidP="00385F28">
                                          <w:pPr>
                                            <w:rPr>
                                              <w:sz w:val="18"/>
                                              <w:szCs w:val="18"/>
                                            </w:rPr>
                                          </w:pPr>
                                          <w:r>
                                            <w:rPr>
                                              <w:sz w:val="18"/>
                                              <w:szCs w:val="18"/>
                                            </w:rPr>
                                            <w:t>Advertised product</w:t>
                                          </w:r>
                                          <w:r w:rsidR="00385F28">
                                            <w:rPr>
                                              <w:sz w:val="18"/>
                                              <w:szCs w:val="18"/>
                                            </w:rPr>
                                            <w:t xml:space="preserve"> purchase intention</w:t>
                                          </w:r>
                                        </w:p>
                                      </w:txbxContent>
                                    </wps:txbx>
                                    <wps:bodyPr rot="0" vert="horz" wrap="square" lIns="91440" tIns="45720" rIns="91440" bIns="45720" anchor="t" anchorCtr="0" upright="1">
                                      <a:noAutofit/>
                                    </wps:bodyPr>
                                  </wps:wsp>
                                  <wps:wsp>
                                    <wps:cNvPr id="400" name="AutoShape 73"/>
                                    <wps:cNvCnPr>
                                      <a:cxnSpLocks noChangeShapeType="1"/>
                                    </wps:cNvCnPr>
                                    <wps:spPr bwMode="auto">
                                      <a:xfrm>
                                        <a:off x="5634" y="9078"/>
                                        <a:ext cx="135"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1" name="Straight Arrow Connector 5"/>
                                    <wps:cNvCnPr>
                                      <a:cxnSpLocks noChangeShapeType="1"/>
                                    </wps:cNvCnPr>
                                    <wps:spPr bwMode="auto">
                                      <a:xfrm flipH="1">
                                        <a:off x="1796" y="3779"/>
                                        <a:ext cx="541" cy="0"/>
                                      </a:xfrm>
                                      <a:prstGeom prst="straightConnector1">
                                        <a:avLst/>
                                      </a:prstGeom>
                                      <a:noFill/>
                                      <a:ln w="1905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402" name="Group 77"/>
                                  <wpg:cNvGrpSpPr>
                                    <a:grpSpLocks/>
                                  </wpg:cNvGrpSpPr>
                                  <wpg:grpSpPr bwMode="auto">
                                    <a:xfrm>
                                      <a:off x="1721" y="1600"/>
                                      <a:ext cx="7910" cy="7155"/>
                                      <a:chOff x="1721" y="2109"/>
                                      <a:chExt cx="7910" cy="7155"/>
                                    </a:xfrm>
                                  </wpg:grpSpPr>
                                  <wps:wsp>
                                    <wps:cNvPr id="403" name="Text Box 27"/>
                                    <wps:cNvSpPr txBox="1">
                                      <a:spLocks noChangeArrowheads="1"/>
                                    </wps:cNvSpPr>
                                    <wps:spPr bwMode="auto">
                                      <a:xfrm>
                                        <a:off x="6159" y="7994"/>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5E17" w14:textId="230FF8AA" w:rsidR="00385F28" w:rsidRDefault="00385F28" w:rsidP="00385F28">
                                          <w:r>
                                            <w:t>H</w:t>
                                          </w:r>
                                          <w:r>
                                            <w:rPr>
                                              <w:vertAlign w:val="subscript"/>
                                            </w:rPr>
                                            <w:t>13</w:t>
                                          </w:r>
                                          <w:r w:rsidR="00727A4E">
                                            <w:t>+</w:t>
                                          </w:r>
                                        </w:p>
                                      </w:txbxContent>
                                    </wps:txbx>
                                    <wps:bodyPr rot="0" vert="horz" wrap="square" lIns="91440" tIns="45720" rIns="91440" bIns="45720" anchor="t" anchorCtr="0" upright="1">
                                      <a:noAutofit/>
                                    </wps:bodyPr>
                                  </wps:wsp>
                                  <wps:wsp>
                                    <wps:cNvPr id="404" name="Text Box 68"/>
                                    <wps:cNvSpPr txBox="1">
                                      <a:spLocks noChangeArrowheads="1"/>
                                    </wps:cNvSpPr>
                                    <wps:spPr bwMode="auto">
                                      <a:xfrm>
                                        <a:off x="4649" y="2109"/>
                                        <a:ext cx="2800" cy="958"/>
                                      </a:xfrm>
                                      <a:prstGeom prst="rect">
                                        <a:avLst/>
                                      </a:prstGeom>
                                      <a:solidFill>
                                        <a:srgbClr val="A9CBB7"/>
                                      </a:solidFill>
                                      <a:ln w="6350">
                                        <a:solidFill>
                                          <a:srgbClr val="000000"/>
                                        </a:solidFill>
                                        <a:miter lim="800000"/>
                                        <a:headEnd/>
                                        <a:tailEnd/>
                                      </a:ln>
                                    </wps:spPr>
                                    <wps:txbx>
                                      <w:txbxContent>
                                        <w:p w14:paraId="77B92C6C" w14:textId="154AF18A" w:rsidR="00AA5BF7" w:rsidRDefault="00AA5BF7" w:rsidP="00AA5BF7">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4856D2C8" w14:textId="77777777" w:rsidR="00385F28" w:rsidRDefault="00385F28" w:rsidP="00385F28">
                                          <w:pPr>
                                            <w:pStyle w:val="NoSpacing"/>
                                          </w:pPr>
                                        </w:p>
                                      </w:txbxContent>
                                    </wps:txbx>
                                    <wps:bodyPr rot="0" vert="horz" wrap="square" lIns="91440" tIns="45720" rIns="91440" bIns="45720" anchor="t" anchorCtr="0" upright="1">
                                      <a:noAutofit/>
                                    </wps:bodyPr>
                                  </wps:wsp>
                                  <wps:wsp>
                                    <wps:cNvPr id="405" name="Text Box 60"/>
                                    <wps:cNvSpPr txBox="1">
                                      <a:spLocks noChangeArrowheads="1"/>
                                    </wps:cNvSpPr>
                                    <wps:spPr bwMode="auto">
                                      <a:xfrm>
                                        <a:off x="6112" y="3279"/>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10B1D" w14:textId="1BA953B4" w:rsidR="00385F28" w:rsidRDefault="00385F28" w:rsidP="00385F28">
                                          <w:r>
                                            <w:t>H</w:t>
                                          </w:r>
                                          <w:r>
                                            <w:rPr>
                                              <w:vertAlign w:val="subscript"/>
                                            </w:rPr>
                                            <w:t>3</w:t>
                                          </w:r>
                                          <w:r w:rsidR="00727A4E">
                                            <w:t>+</w:t>
                                          </w:r>
                                        </w:p>
                                      </w:txbxContent>
                                    </wps:txbx>
                                    <wps:bodyPr rot="0" vert="horz" wrap="square" lIns="91440" tIns="45720" rIns="91440" bIns="45720" anchor="t" anchorCtr="0" upright="1">
                                      <a:noAutofit/>
                                    </wps:bodyPr>
                                  </wps:wsp>
                                  <wps:wsp>
                                    <wps:cNvPr id="406" name="Text Box 61"/>
                                    <wps:cNvSpPr txBox="1">
                                      <a:spLocks noChangeArrowheads="1"/>
                                    </wps:cNvSpPr>
                                    <wps:spPr bwMode="auto">
                                      <a:xfrm>
                                        <a:off x="7119" y="3970"/>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423CF" w14:textId="49FCD1C5" w:rsidR="00385F28" w:rsidRDefault="00385F28" w:rsidP="00385F28">
                                          <w:r>
                                            <w:t>H</w:t>
                                          </w:r>
                                          <w:r>
                                            <w:rPr>
                                              <w:vertAlign w:val="subscript"/>
                                            </w:rPr>
                                            <w:t>5</w:t>
                                          </w:r>
                                          <w:r w:rsidR="00727A4E">
                                            <w:t>+</w:t>
                                          </w:r>
                                        </w:p>
                                      </w:txbxContent>
                                    </wps:txbx>
                                    <wps:bodyPr rot="0" vert="horz" wrap="square" lIns="91440" tIns="45720" rIns="91440" bIns="45720" anchor="t" anchorCtr="0" upright="1">
                                      <a:noAutofit/>
                                    </wps:bodyPr>
                                  </wps:wsp>
                                  <wps:wsp>
                                    <wps:cNvPr id="407" name="Text Box 63"/>
                                    <wps:cNvSpPr txBox="1">
                                      <a:spLocks noChangeArrowheads="1"/>
                                    </wps:cNvSpPr>
                                    <wps:spPr bwMode="auto">
                                      <a:xfrm>
                                        <a:off x="4754" y="3665"/>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B8F5" w14:textId="77777777" w:rsidR="00385F28" w:rsidRDefault="00385F28" w:rsidP="00385F28">
                                          <w:r>
                                            <w:t>H</w:t>
                                          </w:r>
                                          <w:r>
                                            <w:rPr>
                                              <w:vertAlign w:val="subscript"/>
                                            </w:rPr>
                                            <w:t>4</w:t>
                                          </w:r>
                                        </w:p>
                                      </w:txbxContent>
                                    </wps:txbx>
                                    <wps:bodyPr rot="0" vert="horz" wrap="square" lIns="91440" tIns="45720" rIns="91440" bIns="45720" anchor="t" anchorCtr="0" upright="1">
                                      <a:noAutofit/>
                                    </wps:bodyPr>
                                  </wps:wsp>
                                  <wps:wsp>
                                    <wps:cNvPr id="408" name="Text Box 64"/>
                                    <wps:cNvSpPr txBox="1">
                                      <a:spLocks noChangeArrowheads="1"/>
                                    </wps:cNvSpPr>
                                    <wps:spPr bwMode="auto">
                                      <a:xfrm>
                                        <a:off x="1826" y="3384"/>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530B" w14:textId="77777777" w:rsidR="00385F28" w:rsidRDefault="00385F28" w:rsidP="00385F28">
                                          <w:r>
                                            <w:t>H</w:t>
                                          </w:r>
                                          <w:r>
                                            <w:rPr>
                                              <w:vertAlign w:val="subscript"/>
                                            </w:rPr>
                                            <w:t>2</w:t>
                                          </w:r>
                                        </w:p>
                                      </w:txbxContent>
                                    </wps:txbx>
                                    <wps:bodyPr rot="0" vert="horz" wrap="square" lIns="91440" tIns="45720" rIns="91440" bIns="45720" anchor="t" anchorCtr="0" upright="1">
                                      <a:noAutofit/>
                                    </wps:bodyPr>
                                  </wps:wsp>
                                  <wps:wsp>
                                    <wps:cNvPr id="409" name="Text Box 65"/>
                                    <wps:cNvSpPr txBox="1">
                                      <a:spLocks noChangeArrowheads="1"/>
                                    </wps:cNvSpPr>
                                    <wps:spPr bwMode="auto">
                                      <a:xfrm>
                                        <a:off x="4829" y="4989"/>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07DC6" w14:textId="030840F2" w:rsidR="00385F28" w:rsidRDefault="00385F28" w:rsidP="00385F28">
                                          <w:r>
                                            <w:t>H</w:t>
                                          </w:r>
                                          <w:r>
                                            <w:rPr>
                                              <w:vertAlign w:val="subscript"/>
                                            </w:rPr>
                                            <w:t>7</w:t>
                                          </w:r>
                                          <w:r w:rsidR="00727A4E">
                                            <w:t>+</w:t>
                                          </w:r>
                                        </w:p>
                                      </w:txbxContent>
                                    </wps:txbx>
                                    <wps:bodyPr rot="0" vert="horz" wrap="square" lIns="91440" tIns="45720" rIns="91440" bIns="45720" anchor="t" anchorCtr="0" upright="1">
                                      <a:noAutofit/>
                                    </wps:bodyPr>
                                  </wps:wsp>
                                  <wps:wsp>
                                    <wps:cNvPr id="410" name="Text Box 66"/>
                                    <wps:cNvSpPr txBox="1">
                                      <a:spLocks noChangeArrowheads="1"/>
                                    </wps:cNvSpPr>
                                    <wps:spPr bwMode="auto">
                                      <a:xfrm>
                                        <a:off x="5675" y="4989"/>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F848" w14:textId="79440942" w:rsidR="00385F28" w:rsidRDefault="00385F28" w:rsidP="00385F28">
                                          <w:r>
                                            <w:t>H</w:t>
                                          </w:r>
                                          <w:r>
                                            <w:rPr>
                                              <w:vertAlign w:val="subscript"/>
                                            </w:rPr>
                                            <w:t>8</w:t>
                                          </w:r>
                                          <w:r w:rsidR="00727A4E">
                                            <w:t>+</w:t>
                                          </w:r>
                                        </w:p>
                                      </w:txbxContent>
                                    </wps:txbx>
                                    <wps:bodyPr rot="0" vert="horz" wrap="square" lIns="91440" tIns="45720" rIns="91440" bIns="45720" anchor="t" anchorCtr="0" upright="1">
                                      <a:noAutofit/>
                                    </wps:bodyPr>
                                  </wps:wsp>
                                  <wps:wsp>
                                    <wps:cNvPr id="411" name="Text Box 67"/>
                                    <wps:cNvSpPr txBox="1">
                                      <a:spLocks noChangeArrowheads="1"/>
                                    </wps:cNvSpPr>
                                    <wps:spPr bwMode="auto">
                                      <a:xfrm>
                                        <a:off x="4678" y="6465"/>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DCF6" w14:textId="25A95E4D" w:rsidR="00385F28" w:rsidRDefault="00385F28" w:rsidP="00385F28">
                                          <w:r>
                                            <w:t>H</w:t>
                                          </w:r>
                                          <w:r>
                                            <w:rPr>
                                              <w:vertAlign w:val="subscript"/>
                                            </w:rPr>
                                            <w:t>10</w:t>
                                          </w:r>
                                          <w:r w:rsidR="00727A4E">
                                            <w:t>+</w:t>
                                          </w:r>
                                        </w:p>
                                      </w:txbxContent>
                                    </wps:txbx>
                                    <wps:bodyPr rot="0" vert="horz" wrap="square" lIns="91440" tIns="45720" rIns="91440" bIns="45720" anchor="t" anchorCtr="0" upright="1">
                                      <a:noAutofit/>
                                    </wps:bodyPr>
                                  </wps:wsp>
                                  <wps:wsp>
                                    <wps:cNvPr id="412" name="Text Box 68"/>
                                    <wps:cNvSpPr txBox="1">
                                      <a:spLocks noChangeArrowheads="1"/>
                                    </wps:cNvSpPr>
                                    <wps:spPr bwMode="auto">
                                      <a:xfrm>
                                        <a:off x="5588" y="6456"/>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BE68" w14:textId="59449F45" w:rsidR="00385F28" w:rsidRDefault="00385F28" w:rsidP="00385F28">
                                          <w:r>
                                            <w:t>H</w:t>
                                          </w:r>
                                          <w:r>
                                            <w:rPr>
                                              <w:vertAlign w:val="subscript"/>
                                            </w:rPr>
                                            <w:t>11</w:t>
                                          </w:r>
                                          <w:r w:rsidR="00727A4E">
                                            <w:t>+</w:t>
                                          </w:r>
                                        </w:p>
                                      </w:txbxContent>
                                    </wps:txbx>
                                    <wps:bodyPr rot="0" vert="horz" wrap="square" lIns="91440" tIns="45720" rIns="91440" bIns="45720" anchor="t" anchorCtr="0" upright="1">
                                      <a:noAutofit/>
                                    </wps:bodyPr>
                                  </wps:wsp>
                                  <wps:wsp>
                                    <wps:cNvPr id="413" name="Text Box 69"/>
                                    <wps:cNvSpPr txBox="1">
                                      <a:spLocks noChangeArrowheads="1"/>
                                    </wps:cNvSpPr>
                                    <wps:spPr bwMode="auto">
                                      <a:xfrm>
                                        <a:off x="6864" y="6619"/>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6AFB" w14:textId="65B9C6E4" w:rsidR="00385F28" w:rsidRDefault="00385F28" w:rsidP="00385F28">
                                          <w:r>
                                            <w:t>H</w:t>
                                          </w:r>
                                          <w:r>
                                            <w:rPr>
                                              <w:vertAlign w:val="subscript"/>
                                            </w:rPr>
                                            <w:t>12</w:t>
                                          </w:r>
                                          <w:r w:rsidR="00727A4E">
                                            <w:t>+</w:t>
                                          </w:r>
                                        </w:p>
                                      </w:txbxContent>
                                    </wps:txbx>
                                    <wps:bodyPr rot="0" vert="horz" wrap="square" lIns="91440" tIns="45720" rIns="91440" bIns="45720" anchor="t" anchorCtr="0" upright="1">
                                      <a:noAutofit/>
                                    </wps:bodyPr>
                                  </wps:wsp>
                                  <wps:wsp>
                                    <wps:cNvPr id="414" name="Text Box 70"/>
                                    <wps:cNvSpPr txBox="1">
                                      <a:spLocks noChangeArrowheads="1"/>
                                    </wps:cNvSpPr>
                                    <wps:spPr bwMode="auto">
                                      <a:xfrm>
                                        <a:off x="6834" y="4989"/>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F8CC" w14:textId="02735ACD" w:rsidR="00385F28" w:rsidRDefault="00385F28" w:rsidP="00385F28">
                                          <w:r>
                                            <w:t>H</w:t>
                                          </w:r>
                                          <w:r>
                                            <w:rPr>
                                              <w:vertAlign w:val="subscript"/>
                                            </w:rPr>
                                            <w:t>9</w:t>
                                          </w:r>
                                          <w:r w:rsidR="00727A4E">
                                            <w:t>+</w:t>
                                          </w:r>
                                        </w:p>
                                      </w:txbxContent>
                                    </wps:txbx>
                                    <wps:bodyPr rot="0" vert="horz" wrap="square" lIns="91440" tIns="45720" rIns="91440" bIns="45720" anchor="t" anchorCtr="0" upright="1">
                                      <a:noAutofit/>
                                    </wps:bodyPr>
                                  </wps:wsp>
                                  <wps:wsp>
                                    <wps:cNvPr id="415" name="Text Box 71"/>
                                    <wps:cNvSpPr txBox="1">
                                      <a:spLocks noChangeArrowheads="1"/>
                                    </wps:cNvSpPr>
                                    <wps:spPr bwMode="auto">
                                      <a:xfrm>
                                        <a:off x="2995" y="6615"/>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8D3D" w14:textId="1E6F0F44" w:rsidR="00385F28" w:rsidRDefault="00385F28" w:rsidP="00385F28">
                                          <w:r>
                                            <w:t>H</w:t>
                                          </w:r>
                                          <w:r>
                                            <w:rPr>
                                              <w:vertAlign w:val="subscript"/>
                                            </w:rPr>
                                            <w:t>6</w:t>
                                          </w:r>
                                          <w:r w:rsidR="00727A4E">
                                            <w:t>+</w:t>
                                          </w:r>
                                        </w:p>
                                      </w:txbxContent>
                                    </wps:txbx>
                                    <wps:bodyPr rot="0" vert="horz" wrap="square" lIns="91440" tIns="45720" rIns="91440" bIns="45720" anchor="t" anchorCtr="0" upright="1">
                                      <a:noAutofit/>
                                    </wps:bodyPr>
                                  </wps:wsp>
                                  <wps:wsp>
                                    <wps:cNvPr id="416" name="Text Box 72"/>
                                    <wps:cNvSpPr txBox="1">
                                      <a:spLocks noChangeArrowheads="1"/>
                                    </wps:cNvSpPr>
                                    <wps:spPr bwMode="auto">
                                      <a:xfrm>
                                        <a:off x="1721" y="5723"/>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42EB" w14:textId="7340E54B" w:rsidR="00385F28" w:rsidRDefault="00385F28" w:rsidP="00385F28">
                                          <w:r>
                                            <w:t>H</w:t>
                                          </w:r>
                                          <w:r>
                                            <w:rPr>
                                              <w:vertAlign w:val="subscript"/>
                                            </w:rPr>
                                            <w:t>1</w:t>
                                          </w:r>
                                          <w:r w:rsidR="00727A4E">
                                            <w:t>+</w:t>
                                          </w:r>
                                        </w:p>
                                      </w:txbxContent>
                                    </wps:txbx>
                                    <wps:bodyPr rot="0" vert="horz" wrap="square" lIns="91440" tIns="45720" rIns="91440" bIns="45720" anchor="t" anchorCtr="0" upright="1">
                                      <a:noAutofit/>
                                    </wps:bodyPr>
                                  </wps:wsp>
                                  <wps:wsp>
                                    <wps:cNvPr id="417" name="Text Box 75"/>
                                    <wps:cNvSpPr txBox="1">
                                      <a:spLocks noChangeArrowheads="1"/>
                                    </wps:cNvSpPr>
                                    <wps:spPr bwMode="auto">
                                      <a:xfrm>
                                        <a:off x="8901" y="8845"/>
                                        <a:ext cx="7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D842" w14:textId="36C35173" w:rsidR="00385F28" w:rsidRDefault="00385F28" w:rsidP="00385F28">
                                          <w:r>
                                            <w:t>H</w:t>
                                          </w:r>
                                          <w:r>
                                            <w:rPr>
                                              <w:vertAlign w:val="subscript"/>
                                            </w:rPr>
                                            <w:t>18</w:t>
                                          </w:r>
                                          <w:r w:rsidR="00727A4E">
                                            <w:t>+</w:t>
                                          </w:r>
                                        </w:p>
                                      </w:txbxContent>
                                    </wps:txbx>
                                    <wps:bodyPr rot="0" vert="horz" wrap="square" lIns="91440" tIns="45720" rIns="91440" bIns="45720" anchor="t" anchorCtr="0" upright="1">
                                      <a:noAutofit/>
                                    </wps:bodyPr>
                                  </wps:wsp>
                                </wpg:grpSp>
                              </wpg:grpSp>
                            </wpg:grpSp>
                          </wpg:grpSp>
                        </wpg:grpSp>
                      </wpg:grpSp>
                      <wps:wsp>
                        <wps:cNvPr id="418" name="Text Box 75"/>
                        <wps:cNvSpPr txBox="1">
                          <a:spLocks noChangeArrowheads="1"/>
                        </wps:cNvSpPr>
                        <wps:spPr bwMode="auto">
                          <a:xfrm>
                            <a:off x="3407434" y="4408098"/>
                            <a:ext cx="4635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403C" w14:textId="44285EFC" w:rsidR="00385F28" w:rsidRDefault="00385F28" w:rsidP="00385F28">
                              <w:r>
                                <w:t>H</w:t>
                              </w:r>
                              <w:r>
                                <w:rPr>
                                  <w:vertAlign w:val="subscript"/>
                                </w:rPr>
                                <w:t>16</w:t>
                              </w:r>
                              <w:r w:rsidR="00727A4E">
                                <w:t>+</w:t>
                              </w:r>
                            </w:p>
                          </w:txbxContent>
                        </wps:txbx>
                        <wps:bodyPr rot="0" vert="horz" wrap="square" lIns="91440" tIns="45720" rIns="91440" bIns="45720" anchor="t" anchorCtr="0" upright="1">
                          <a:noAutofit/>
                        </wps:bodyPr>
                      </wps:wsp>
                      <wps:wsp>
                        <wps:cNvPr id="419" name="Text Box 75"/>
                        <wps:cNvSpPr txBox="1">
                          <a:spLocks noChangeArrowheads="1"/>
                        </wps:cNvSpPr>
                        <wps:spPr bwMode="auto">
                          <a:xfrm>
                            <a:off x="3510951" y="4960189"/>
                            <a:ext cx="4635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F29F" w14:textId="5BD0CC00" w:rsidR="00385F28" w:rsidRDefault="00385F28" w:rsidP="00385F28">
                              <w:r>
                                <w:t>H</w:t>
                              </w:r>
                              <w:r>
                                <w:rPr>
                                  <w:vertAlign w:val="subscript"/>
                                </w:rPr>
                                <w:t>17</w:t>
                              </w:r>
                              <w:r w:rsidR="00727A4E">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A9A4B6" id="Group 355" o:spid="_x0000_s1294" style="position:absolute;left:0;text-align:left;margin-left:-4.5pt;margin-top:-.75pt;width:433.55pt;height:572.2pt;z-index:251657287;mso-width-relative:margin;mso-height-relative:margin" coordorigin=",-1619" coordsize="55060,7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">
                <v:group id="Group 356" o:spid="_x0000_s1295" style="position:absolute;top:-1619;width:55060;height:72669" coordorigin="1645,1600" coordsize="8671,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Text Box 76" o:spid="_x0000_s1296" type="#_x0000_t202" style="position:absolute;left:6358;top:9321;width:24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" fillcolor="#f7caac" strokeweight=".5pt">
                    <v:textbox>
                      <w:txbxContent>
                        <w:p w14:paraId="0B2DBA5F" w14:textId="77777777" w:rsidR="00385F28" w:rsidRDefault="00385F28" w:rsidP="00385F28">
                          <w:r>
                            <w:t xml:space="preserve">Informational influence </w:t>
                          </w:r>
                        </w:p>
                      </w:txbxContent>
                    </v:textbox>
                  </v:shape>
                  <v:group id="Group 81" o:spid="_x0000_s1297" style="position:absolute;left:1645;top:1600;width:8671;height:11444" coordorigin="1721,1600" coordsize="8671,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74" o:spid="_x0000_s1298" type="#_x0000_t202" style="position:absolute;left:1826;top:12422;width:325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14:paraId="74539385" w14:textId="22E9F792" w:rsidR="00385F28" w:rsidRDefault="00385F28" w:rsidP="00385F28">
                            <w:r>
                              <w:t>Fig 1</w:t>
                            </w:r>
                            <w:r w:rsidR="00A26F6C">
                              <w:t>5</w:t>
                            </w:r>
                            <w:r>
                              <w:t>: Conceptual Framework</w:t>
                            </w:r>
                          </w:p>
                        </w:txbxContent>
                      </v:textbox>
                    </v:shape>
                    <v:shape id="AutoShape 4" o:spid="_x0000_s1299" type="#_x0000_t32" style="position:absolute;left:6322;top:10645;width:0;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" strokecolor="#7f7f7f [1612]" strokeweight="1.5pt">
                      <v:stroke endarrow="block"/>
                    </v:shape>
                    <v:shape id="Text Box 11" o:spid="_x0000_s1300" type="#_x0000_t202" style="position:absolute;left:4988;top:9676;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454F3A52" w14:textId="5D3152B7" w:rsidR="00385F28" w:rsidRDefault="00385F28" w:rsidP="00385F28">
                            <w:r>
                              <w:t>H</w:t>
                            </w:r>
                            <w:r>
                              <w:rPr>
                                <w:vertAlign w:val="subscript"/>
                              </w:rPr>
                              <w:t>15</w:t>
                            </w:r>
                            <w:r w:rsidR="00727A4E">
                              <w:t>+</w:t>
                            </w:r>
                          </w:p>
                        </w:txbxContent>
                      </v:textbox>
                    </v:shape>
                    <v:shape id="Straight Arrow Connector 88" o:spid="_x0000_s1301" type="#_x0000_t32" style="position:absolute;left:5589;top:8877;width:345;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" strokecolor="gray" strokeweight="1.5pt">
                      <v:stroke endarrow="block" joinstyle="miter"/>
                    </v:shape>
                    <v:group id="Group 80" o:spid="_x0000_s1302" style="position:absolute;left:1721;top:1600;width:8671;height:10063" coordorigin="1721,1600" coordsize="8671,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Text Box 8" o:spid="_x0000_s1303" type="#_x0000_t202" style="position:absolute;left:6265;top:10571;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B7D2FF0" w14:textId="742F0FC3" w:rsidR="00385F28" w:rsidRDefault="00385F28" w:rsidP="00385F28">
                              <w:r>
                                <w:t>H</w:t>
                              </w:r>
                              <w:r>
                                <w:rPr>
                                  <w:vertAlign w:val="subscript"/>
                                </w:rPr>
                                <w:t>19</w:t>
                              </w:r>
                              <w:r w:rsidR="00727A4E">
                                <w:t>+</w:t>
                              </w:r>
                            </w:p>
                          </w:txbxContent>
                        </v:textbox>
                      </v:shape>
                      <v:shape id="Text Box 31" o:spid="_x0000_s1304" type="#_x0000_t202" style="position:absolute;left:5206;top:10972;width:2437;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" fillcolor="#92d050">
                        <v:textbox>
                          <w:txbxContent>
                            <w:p w14:paraId="5CA4BCFD" w14:textId="77777777" w:rsidR="00385F28" w:rsidRDefault="00385F28" w:rsidP="00385F28">
                              <w:r>
                                <w:t>Sustainable behaviour intention</w:t>
                              </w:r>
                            </w:p>
                            <w:p w14:paraId="36F31598" w14:textId="77777777" w:rsidR="00385F28" w:rsidRDefault="00385F28" w:rsidP="00385F28"/>
                          </w:txbxContent>
                        </v:textbox>
                      </v:shape>
                      <v:group id="Group 79" o:spid="_x0000_s1305" style="position:absolute;left:1721;top:1600;width:8671;height:9045" coordorigin="1721,1600" coordsize="8671,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Straight Connector 235" o:spid="_x0000_s1306" style="position:absolute;flip:x;visibility:visible;mso-wrap-style:square" from="1789,2167" to="4650,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" strokecolor="gray" strokeweight="1.5pt">
                          <v:stroke joinstyle="miter"/>
                        </v:line>
                        <v:group id="Group 78" o:spid="_x0000_s1307" style="position:absolute;left:1721;top:1600;width:8671;height:9045" coordorigin="1721,1600" coordsize="8671,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76" o:spid="_x0000_s1308" style="position:absolute;left:1796;top:2167;width:8596;height:8478" coordorigin="1796,2676" coordsize="8596,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Straight Arrow Connector 90" o:spid="_x0000_s1309" type="#_x0000_t32" style="position:absolute;left:5408;top:10267;width:465;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" strokecolor="gray" strokeweight="1.5pt">
                              <v:stroke endarrow="block" joinstyle="miter"/>
                            </v:shape>
                            <v:shape id="Straight Arrow Connector 91" o:spid="_x0000_s1310" type="#_x0000_t32" style="position:absolute;left:7134;top:10259;width:225;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" strokecolor="gray" strokeweight="1.5pt">
                              <v:stroke endarrow="block" joinstyle="miter"/>
                            </v:shape>
                            <v:shape id="Straight Arrow Connector 89" o:spid="_x0000_s1311" type="#_x0000_t32" style="position:absolute;left:6909;top:9341;width:345;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" strokecolor="gray" strokeweight="1.5pt">
                              <v:stroke endarrow="block" joinstyle="miter"/>
                            </v:shape>
                            <v:shape id="Text Box 16" o:spid="_x0000_s1312" type="#_x0000_t202" style="position:absolute;left:5209;top:9296;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26904056" w14:textId="35E660A0" w:rsidR="00385F28" w:rsidRDefault="00385F28" w:rsidP="00385F28">
                                    <w:r>
                                      <w:t>H</w:t>
                                    </w:r>
                                    <w:r>
                                      <w:rPr>
                                        <w:vertAlign w:val="subscript"/>
                                      </w:rPr>
                                      <w:t>14</w:t>
                                    </w:r>
                                    <w:r w:rsidR="00727A4E">
                                      <w:t>+</w:t>
                                    </w:r>
                                  </w:p>
                                </w:txbxContent>
                              </v:textbox>
                            </v:shape>
                            <v:shape id="Straight Arrow Connector 74" o:spid="_x0000_s1313" type="#_x0000_t32" style="position:absolute;left:6204;top:3042;width:0;height: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" strokecolor="gray" strokeweight="1.5pt">
                              <v:stroke endarrow="block" joinstyle="miter"/>
                            </v:shape>
                            <v:shape id="_x0000_s1314" type="#_x0000_t202" style="position:absolute;left:5769;top:8606;width:26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" fillcolor="#c7abff" strokeweight=".5pt">
                              <v:textbox>
                                <w:txbxContent>
                                  <w:p w14:paraId="0700EE19" w14:textId="77777777" w:rsidR="00385F28" w:rsidRDefault="00385F28" w:rsidP="00385F28">
                                    <w:r>
                                      <w:t>Social–media engagement with the ad</w:t>
                                    </w:r>
                                  </w:p>
                                </w:txbxContent>
                              </v:textbox>
                            </v:shape>
                            <v:shape id="Straight Arrow Connector 65" o:spid="_x0000_s1315" type="#_x0000_t32" style="position:absolute;left:6219;top:7852;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" strokecolor="gray" strokeweight="1.5pt">
                              <v:stroke endarrow="block" joinstyle="miter"/>
                            </v:shape>
                            <v:shape id="_x0000_s1316" type="#_x0000_t202" style="position:absolute;left:4030;top:9830;width:212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" fillcolor="#f7caac" strokeweight=".5pt">
                              <v:textbox>
                                <w:txbxContent>
                                  <w:p w14:paraId="49BAFA2A" w14:textId="77777777" w:rsidR="00385F28" w:rsidRDefault="00385F28" w:rsidP="00385F28">
                                    <w:r>
                                      <w:t xml:space="preserve">Normative influence </w:t>
                                    </w:r>
                                  </w:p>
                                </w:txbxContent>
                              </v:textbox>
                            </v:shape>
                            <v:line id="Straight Connector 236" o:spid="_x0000_s1317" style="position:absolute;visibility:visible;mso-wrap-style:square" from="1802,2676" to="180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" strokecolor="gray" strokeweight="1.5pt">
                              <v:stroke joinstyle="miter"/>
                            </v:line>
                            <v:shape id="Straight Arrow Connector 237" o:spid="_x0000_s1318" type="#_x0000_t32" style="position:absolute;left:1802;top:9170;width:3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" strokecolor="gray" strokeweight="1.5pt">
                              <v:stroke endarrow="block" joinstyle="miter"/>
                            </v:shape>
                            <v:shape id="Straight Arrow Connector 172" o:spid="_x0000_s1319" type="#_x0000_t32" style="position:absolute;left:6563;top:3807;width:1502;height: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" strokecolor="gray" strokeweight="1.5pt">
                              <v:stroke endarrow="block" joinstyle="miter"/>
                            </v:shape>
                            <v:shape id="Straight Arrow Connector 174" o:spid="_x0000_s1320" type="#_x0000_t32" style="position:absolute;left:4223;top:3789;width:19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" strokecolor="gray" strokeweight="1.5pt">
                              <v:stroke endarrow="block" joinstyle="miter"/>
                            </v:shape>
                            <v:shape id="Text Box 19" o:spid="_x0000_s1321" type="#_x0000_t202" style="position:absolute;left:7812;top:3366;width:258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" fillcolor="#d9b6a3" strokeweight=".5pt">
                              <v:textbox>
                                <w:txbxContent>
                                  <w:p w14:paraId="251C093B" w14:textId="77777777" w:rsidR="00385F28" w:rsidRDefault="00385F28" w:rsidP="00385F28">
                                    <w:r>
                                      <w:t>Involvement with the ad</w:t>
                                    </w:r>
                                  </w:p>
                                </w:txbxContent>
                              </v:textbox>
                            </v:shape>
                            <v:shape id="Straight Arrow Connector 170" o:spid="_x0000_s1322" type="#_x0000_t32" style="position:absolute;left:4870;top:6067;width:945;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" strokecolor="gray" strokeweight="1.5pt">
                              <v:stroke endarrow="block" joinstyle="miter"/>
                            </v:shape>
                            <v:shape id="Arc 131" o:spid="_x0000_s1323" style="position:absolute;left:7089;top:7537;width:2415;height:3284;visibility:visible;mso-wrap-style:square;v-text-anchor:middle" coordsize="146685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" path="m733425,nsc1127181,,1450676,448214,1466274,1015391v14655,532849,-248255,998024,-613226,1085001l733425,1057275,733425,xem733425,nfc1127181,,1450676,448214,1466274,1015391v14655,532849,-248255,998024,-613226,1085001e" filled="f" strokecolor="gray" strokeweight="1.5pt">
                              <v:stroke joinstyle="miter"/>
                              <v:path arrowok="t" o:connecttype="custom" o:connectlocs="0,0;0,0;0,0" o:connectangles="0,0,0"/>
                            </v:shape>
                            <v:line id="Straight Connector 93" o:spid="_x0000_s1324" style="position:absolute;flip:x;visibility:visible;mso-wrap-style:square" from="6939,7537" to="8304,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" strokecolor="gray" strokeweight="1.5pt">
                              <v:stroke joinstyle="miter"/>
                            </v:line>
                            <v:shape id="Straight Arrow Connector 123" o:spid="_x0000_s1325" type="#_x0000_t32" style="position:absolute;left:7373;top:10797;width:11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" strokecolor="gray" strokeweight="1.5pt">
                              <v:stroke endarrow="block" joinstyle="miter"/>
                            </v:shape>
                            <v:shape id="Straight Arrow Connector 87" o:spid="_x0000_s1326" type="#_x0000_t32" style="position:absolute;left:6459;top:6127;width:990;height:11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" strokecolor="gray" strokeweight="1.5pt">
                              <v:stroke endarrow="block" joinstyle="miter"/>
                            </v:shape>
                            <v:shape id="Text Box 69" o:spid="_x0000_s1327" type="#_x0000_t202" style="position:absolute;left:5769;top:4027;width:7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" fillcolor="#bdd6ee" strokeweight=".5pt">
                              <v:textbox>
                                <w:txbxContent>
                                  <w:p w14:paraId="3F9AEC75" w14:textId="77777777" w:rsidR="00385F28" w:rsidRDefault="00385F28" w:rsidP="00385F28">
                                    <w:r>
                                      <w:t>SCV</w:t>
                                    </w:r>
                                  </w:p>
                                </w:txbxContent>
                              </v:textbox>
                            </v:shape>
                            <v:shape id="_x0000_s1328" type="#_x0000_t202" style="position:absolute;left:5634;top:5692;width:120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" fillcolor="#ffe599" strokeweight=".5pt">
                              <v:textbox>
                                <w:txbxContent>
                                  <w:p w14:paraId="356E1E0B" w14:textId="77777777" w:rsidR="00385F28" w:rsidRDefault="00385F28" w:rsidP="00385F28">
                                    <w:r>
                                      <w:t>Arousal</w:t>
                                    </w:r>
                                  </w:p>
                                </w:txbxContent>
                              </v:textbox>
                            </v:shape>
                            <v:shape id="_x0000_s1329" type="#_x0000_t202" style="position:absolute;left:7194;top:5692;width:14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" fillcolor="#ffe599" strokeweight=".5pt">
                              <v:textbox>
                                <w:txbxContent>
                                  <w:p w14:paraId="5C836828" w14:textId="77777777" w:rsidR="00385F28" w:rsidRDefault="00385F28" w:rsidP="00385F28">
                                    <w:r>
                                      <w:t>Dominance</w:t>
                                    </w:r>
                                  </w:p>
                                </w:txbxContent>
                              </v:textbox>
                            </v:shape>
                            <v:shape id="_x0000_s1330" type="#_x0000_t202" style="position:absolute;left:2343;top:3460;width:187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" fillcolor="#c5c4a0" strokeweight=".5pt">
                              <v:textbox>
                                <w:txbxContent>
                                  <w:p w14:paraId="383FB068" w14:textId="77777777" w:rsidR="00385F28" w:rsidRDefault="00385F28" w:rsidP="00385F28">
                                    <w:r>
                                      <w:t xml:space="preserve">Source expertise High </w:t>
                                    </w:r>
                                    <w:r>
                                      <w:tab/>
                                      <w:t xml:space="preserve">    Low </w:t>
                                    </w:r>
                                  </w:p>
                                </w:txbxContent>
                              </v:textbox>
                            </v:shape>
                            <v:shape id="_x0000_s1331" type="#_x0000_t202" style="position:absolute;left:4015;top:5707;width:122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" fillcolor="#ffe599" strokeweight=".5pt">
                              <v:textbox>
                                <w:txbxContent>
                                  <w:p w14:paraId="7E5F5281" w14:textId="77777777" w:rsidR="00385F28" w:rsidRDefault="00385F28" w:rsidP="00385F28">
                                    <w:r>
                                      <w:t>Pleasure</w:t>
                                    </w:r>
                                  </w:p>
                                </w:txbxContent>
                              </v:textbox>
                            </v:shape>
                            <v:shape id="Text Box 78" o:spid="_x0000_s1332" type="#_x0000_t202" style="position:absolute;left:5484;top:7327;width:14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" fillcolor="#d9e2f3" strokeweight=".5pt">
                              <v:textbox>
                                <w:txbxContent>
                                  <w:p w14:paraId="29ED1F11" w14:textId="77777777" w:rsidR="00385F28" w:rsidRDefault="00385F28" w:rsidP="00385F28">
                                    <w:r>
                                      <w:t>Ad attitude</w:t>
                                    </w:r>
                                  </w:p>
                                </w:txbxContent>
                              </v:textbox>
                            </v:shape>
                            <v:shape id="Straight Arrow Connector 81" o:spid="_x0000_s1333" type="#_x0000_t32" style="position:absolute;left:4885;top:4477;width:1229;height:1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" strokecolor="gray" strokeweight="1.5pt">
                              <v:stroke endarrow="block" joinstyle="miter"/>
                            </v:shape>
                            <v:shape id="Straight Arrow Connector 82" o:spid="_x0000_s1334" type="#_x0000_t32" style="position:absolute;left:6159;top:4466;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" strokecolor="gray" strokeweight="1.5pt">
                              <v:stroke endarrow="block" joinstyle="miter"/>
                            </v:shape>
                            <v:shape id="Straight Arrow Connector 83" o:spid="_x0000_s1335" type="#_x0000_t32" style="position:absolute;left:6189;top:4477;width:120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" strokecolor="gray" strokeweight="1.5pt">
                              <v:stroke endarrow="block" joinstyle="miter"/>
                            </v:shape>
                            <v:shape id="Straight Arrow Connector 84" o:spid="_x0000_s1336" type="#_x0000_t32" style="position:absolute;left:6174;top:6096;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" strokecolor="gray" strokeweight="1.5pt">
                              <v:stroke endarrow="block" joinstyle="miter"/>
                            </v:shape>
                            <v:shape id="Arc 85" o:spid="_x0000_s1337" style="position:absolute;left:3070;top:4282;width:5926;height:4803;rotation:-11574046fd;visibility:visible;mso-wrap-style:square;v-text-anchor:middle" coordsize="3763645,305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" path="m1965084,1494nsc2919902,35769,3691375,644720,3758938,1417447v70015,800763,-637739,1508456,-1618793,1618654l1881823,1525270,1965084,1494xem1965084,1494nfc2919902,35769,3691375,644720,3758938,1417447v70015,800763,-637739,1508456,-1618793,1618654e" filled="f" strokecolor="gray" strokeweight="1.5pt">
                              <v:stroke joinstyle="miter"/>
                              <v:path arrowok="t" o:connecttype="custom" o:connectlocs="0,0;0,0;0,0" o:connectangles="0,0,0"/>
                            </v:shape>
                            <v:shape id="_x0000_s1338" type="#_x0000_t202" style="position:absolute;left:5263;top:10566;width:215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" fillcolor="#c5e0b3" strokeweight=".5pt">
                              <v:textbox>
                                <w:txbxContent>
                                  <w:p w14:paraId="08CDA0ED" w14:textId="2E36EE64" w:rsidR="00385F28" w:rsidRPr="008C1402" w:rsidRDefault="00940983" w:rsidP="00385F28">
                                    <w:pPr>
                                      <w:rPr>
                                        <w:sz w:val="18"/>
                                        <w:szCs w:val="18"/>
                                      </w:rPr>
                                    </w:pPr>
                                    <w:r>
                                      <w:rPr>
                                        <w:sz w:val="18"/>
                                        <w:szCs w:val="18"/>
                                      </w:rPr>
                                      <w:t>Advertised product</w:t>
                                    </w:r>
                                    <w:r w:rsidR="00385F28">
                                      <w:rPr>
                                        <w:sz w:val="18"/>
                                        <w:szCs w:val="18"/>
                                      </w:rPr>
                                      <w:t xml:space="preserve"> purchase intention</w:t>
                                    </w:r>
                                  </w:p>
                                </w:txbxContent>
                              </v:textbox>
                            </v:shape>
                            <v:shape id="AutoShape 73" o:spid="_x0000_s1339" type="#_x0000_t32" style="position:absolute;left:5634;top:9078;width: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" strokecolor="#7f7f7f [1612]">
                              <v:stroke endarrow="block"/>
                            </v:shape>
                            <v:shape id="Straight Arrow Connector 5" o:spid="_x0000_s1340" type="#_x0000_t32" style="position:absolute;left:1796;top:3779;width:5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" strokecolor="gray" strokeweight="1.5pt">
                              <v:stroke endarrow="block" joinstyle="miter"/>
                            </v:shape>
                          </v:group>
                          <v:group id="Group 77" o:spid="_x0000_s1341" style="position:absolute;left:1721;top:1600;width:7910;height:7155" coordorigin="1721,2109" coordsize="79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7" o:spid="_x0000_s1342" type="#_x0000_t202" style="position:absolute;left:6159;top:7994;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53A35E17" w14:textId="230FF8AA" w:rsidR="00385F28" w:rsidRDefault="00385F28" w:rsidP="00385F28">
                                    <w:r>
                                      <w:t>H</w:t>
                                    </w:r>
                                    <w:r>
                                      <w:rPr>
                                        <w:vertAlign w:val="subscript"/>
                                      </w:rPr>
                                      <w:t>13</w:t>
                                    </w:r>
                                    <w:r w:rsidR="00727A4E">
                                      <w:t>+</w:t>
                                    </w:r>
                                  </w:p>
                                </w:txbxContent>
                              </v:textbox>
                            </v:shape>
                            <v:shape id="_x0000_s1343" type="#_x0000_t202" style="position:absolute;left:4649;top:2109;width:280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" fillcolor="#a9cbb7" strokeweight=".5pt">
                              <v:textbox>
                                <w:txbxContent>
                                  <w:p w14:paraId="77B92C6C" w14:textId="154AF18A" w:rsidR="00AA5BF7" w:rsidRDefault="00AA5BF7" w:rsidP="00AA5BF7">
                                    <w:pPr>
                                      <w:pStyle w:val="NoSpacing"/>
                                    </w:pPr>
                                    <w:r>
                                      <w:t xml:space="preserve">Positive vs negative caption accompanying </w:t>
                                    </w:r>
                                    <w:r w:rsidRPr="003311FC">
                                      <w:t xml:space="preserve">ad with </w:t>
                                    </w:r>
                                    <w:r w:rsidR="0071302D" w:rsidRPr="003311FC">
                                      <w:t>sustainability</w:t>
                                    </w:r>
                                    <w:r w:rsidRPr="003311FC">
                                      <w:t xml:space="preserve"> message</w:t>
                                    </w:r>
                                  </w:p>
                                  <w:p w14:paraId="4856D2C8" w14:textId="77777777" w:rsidR="00385F28" w:rsidRDefault="00385F28" w:rsidP="00385F28">
                                    <w:pPr>
                                      <w:pStyle w:val="NoSpacing"/>
                                    </w:pPr>
                                  </w:p>
                                </w:txbxContent>
                              </v:textbox>
                            </v:shape>
                            <v:shape id="Text Box 60" o:spid="_x0000_s1344" type="#_x0000_t202" style="position:absolute;left:6112;top:3279;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45E10B1D" w14:textId="1BA953B4" w:rsidR="00385F28" w:rsidRDefault="00385F28" w:rsidP="00385F28">
                                    <w:r>
                                      <w:t>H</w:t>
                                    </w:r>
                                    <w:r>
                                      <w:rPr>
                                        <w:vertAlign w:val="subscript"/>
                                      </w:rPr>
                                      <w:t>3</w:t>
                                    </w:r>
                                    <w:r w:rsidR="00727A4E">
                                      <w:t>+</w:t>
                                    </w:r>
                                  </w:p>
                                </w:txbxContent>
                              </v:textbox>
                            </v:shape>
                            <v:shape id="_x0000_s1345" type="#_x0000_t202" style="position:absolute;left:7119;top:3970;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57423CF" w14:textId="49FCD1C5" w:rsidR="00385F28" w:rsidRDefault="00385F28" w:rsidP="00385F28">
                                    <w:r>
                                      <w:t>H</w:t>
                                    </w:r>
                                    <w:r>
                                      <w:rPr>
                                        <w:vertAlign w:val="subscript"/>
                                      </w:rPr>
                                      <w:t>5</w:t>
                                    </w:r>
                                    <w:r w:rsidR="00727A4E">
                                      <w:t>+</w:t>
                                    </w:r>
                                  </w:p>
                                </w:txbxContent>
                              </v:textbox>
                            </v:shape>
                            <v:shape id="_x0000_s1346" type="#_x0000_t202" style="position:absolute;left:4754;top:3665;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338EB8F5" w14:textId="77777777" w:rsidR="00385F28" w:rsidRDefault="00385F28" w:rsidP="00385F28">
                                    <w:r>
                                      <w:t>H</w:t>
                                    </w:r>
                                    <w:r>
                                      <w:rPr>
                                        <w:vertAlign w:val="subscript"/>
                                      </w:rPr>
                                      <w:t>4</w:t>
                                    </w:r>
                                  </w:p>
                                </w:txbxContent>
                              </v:textbox>
                            </v:shape>
                            <v:shape id="_x0000_s1347" type="#_x0000_t202" style="position:absolute;left:1826;top:3384;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055A530B" w14:textId="77777777" w:rsidR="00385F28" w:rsidRDefault="00385F28" w:rsidP="00385F28">
                                    <w:r>
                                      <w:t>H</w:t>
                                    </w:r>
                                    <w:r>
                                      <w:rPr>
                                        <w:vertAlign w:val="subscript"/>
                                      </w:rPr>
                                      <w:t>2</w:t>
                                    </w:r>
                                  </w:p>
                                </w:txbxContent>
                              </v:textbox>
                            </v:shape>
                            <v:shape id="_x0000_s1348" type="#_x0000_t202" style="position:absolute;left:4829;top:4989;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75307DC6" w14:textId="030840F2" w:rsidR="00385F28" w:rsidRDefault="00385F28" w:rsidP="00385F28">
                                    <w:r>
                                      <w:t>H</w:t>
                                    </w:r>
                                    <w:r>
                                      <w:rPr>
                                        <w:vertAlign w:val="subscript"/>
                                      </w:rPr>
                                      <w:t>7</w:t>
                                    </w:r>
                                    <w:r w:rsidR="00727A4E">
                                      <w:t>+</w:t>
                                    </w:r>
                                  </w:p>
                                </w:txbxContent>
                              </v:textbox>
                            </v:shape>
                            <v:shape id="Text Box 66" o:spid="_x0000_s1349" type="#_x0000_t202" style="position:absolute;left:5675;top:4989;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055F848" w14:textId="79440942" w:rsidR="00385F28" w:rsidRDefault="00385F28" w:rsidP="00385F28">
                                    <w:r>
                                      <w:t>H</w:t>
                                    </w:r>
                                    <w:r>
                                      <w:rPr>
                                        <w:vertAlign w:val="subscript"/>
                                      </w:rPr>
                                      <w:t>8</w:t>
                                    </w:r>
                                    <w:r w:rsidR="00727A4E">
                                      <w:t>+</w:t>
                                    </w:r>
                                  </w:p>
                                </w:txbxContent>
                              </v:textbox>
                            </v:shape>
                            <v:shape id="_x0000_s1350" type="#_x0000_t202" style="position:absolute;left:4678;top:6465;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D22DCF6" w14:textId="25A95E4D" w:rsidR="00385F28" w:rsidRDefault="00385F28" w:rsidP="00385F28">
                                    <w:r>
                                      <w:t>H</w:t>
                                    </w:r>
                                    <w:r>
                                      <w:rPr>
                                        <w:vertAlign w:val="subscript"/>
                                      </w:rPr>
                                      <w:t>10</w:t>
                                    </w:r>
                                    <w:r w:rsidR="00727A4E">
                                      <w:t>+</w:t>
                                    </w:r>
                                  </w:p>
                                </w:txbxContent>
                              </v:textbox>
                            </v:shape>
                            <v:shape id="_x0000_s1351" type="#_x0000_t202" style="position:absolute;left:5588;top:6456;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1D83BE68" w14:textId="59449F45" w:rsidR="00385F28" w:rsidRDefault="00385F28" w:rsidP="00385F28">
                                    <w:r>
                                      <w:t>H</w:t>
                                    </w:r>
                                    <w:r>
                                      <w:rPr>
                                        <w:vertAlign w:val="subscript"/>
                                      </w:rPr>
                                      <w:t>11</w:t>
                                    </w:r>
                                    <w:r w:rsidR="00727A4E">
                                      <w:t>+</w:t>
                                    </w:r>
                                  </w:p>
                                </w:txbxContent>
                              </v:textbox>
                            </v:shape>
                            <v:shape id="Text Box 69" o:spid="_x0000_s1352" type="#_x0000_t202" style="position:absolute;left:6864;top:6619;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622C6AFB" w14:textId="65B9C6E4" w:rsidR="00385F28" w:rsidRDefault="00385F28" w:rsidP="00385F28">
                                    <w:r>
                                      <w:t>H</w:t>
                                    </w:r>
                                    <w:r>
                                      <w:rPr>
                                        <w:vertAlign w:val="subscript"/>
                                      </w:rPr>
                                      <w:t>12</w:t>
                                    </w:r>
                                    <w:r w:rsidR="00727A4E">
                                      <w:t>+</w:t>
                                    </w:r>
                                  </w:p>
                                </w:txbxContent>
                              </v:textbox>
                            </v:shape>
                            <v:shape id="_x0000_s1353" type="#_x0000_t202" style="position:absolute;left:6834;top:4989;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5D10F8CC" w14:textId="02735ACD" w:rsidR="00385F28" w:rsidRDefault="00385F28" w:rsidP="00385F28">
                                    <w:r>
                                      <w:t>H</w:t>
                                    </w:r>
                                    <w:r>
                                      <w:rPr>
                                        <w:vertAlign w:val="subscript"/>
                                      </w:rPr>
                                      <w:t>9</w:t>
                                    </w:r>
                                    <w:r w:rsidR="00727A4E">
                                      <w:t>+</w:t>
                                    </w:r>
                                  </w:p>
                                </w:txbxContent>
                              </v:textbox>
                            </v:shape>
                            <v:shape id="_x0000_s1354" type="#_x0000_t202" style="position:absolute;left:2995;top:6615;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6F258D3D" w14:textId="1E6F0F44" w:rsidR="00385F28" w:rsidRDefault="00385F28" w:rsidP="00385F28">
                                    <w:r>
                                      <w:t>H</w:t>
                                    </w:r>
                                    <w:r>
                                      <w:rPr>
                                        <w:vertAlign w:val="subscript"/>
                                      </w:rPr>
                                      <w:t>6</w:t>
                                    </w:r>
                                    <w:r w:rsidR="00727A4E">
                                      <w:t>+</w:t>
                                    </w:r>
                                  </w:p>
                                </w:txbxContent>
                              </v:textbox>
                            </v:shape>
                            <v:shape id="_x0000_s1355" type="#_x0000_t202" style="position:absolute;left:1721;top:5723;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0EA842EB" w14:textId="7340E54B" w:rsidR="00385F28" w:rsidRDefault="00385F28" w:rsidP="00385F28">
                                    <w:r>
                                      <w:t>H</w:t>
                                    </w:r>
                                    <w:r>
                                      <w:rPr>
                                        <w:vertAlign w:val="subscript"/>
                                      </w:rPr>
                                      <w:t>1</w:t>
                                    </w:r>
                                    <w:r w:rsidR="00727A4E">
                                      <w:t>+</w:t>
                                    </w:r>
                                  </w:p>
                                </w:txbxContent>
                              </v:textbox>
                            </v:shape>
                            <v:shape id="_x0000_s1356" type="#_x0000_t202" style="position:absolute;left:8901;top:8845;width:73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681BD842" w14:textId="36C35173" w:rsidR="00385F28" w:rsidRDefault="00385F28" w:rsidP="00385F28">
                                    <w:r>
                                      <w:t>H</w:t>
                                    </w:r>
                                    <w:r>
                                      <w:rPr>
                                        <w:vertAlign w:val="subscript"/>
                                      </w:rPr>
                                      <w:t>18</w:t>
                                    </w:r>
                                    <w:r w:rsidR="00727A4E">
                                      <w:t>+</w:t>
                                    </w:r>
                                  </w:p>
                                </w:txbxContent>
                              </v:textbox>
                            </v:shape>
                          </v:group>
                        </v:group>
                      </v:group>
                    </v:group>
                  </v:group>
                </v:group>
                <v:shape id="_x0000_s1357" type="#_x0000_t202" style="position:absolute;left:34074;top:44080;width:463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0F44403C" w14:textId="44285EFC" w:rsidR="00385F28" w:rsidRDefault="00385F28" w:rsidP="00385F28">
                        <w:r>
                          <w:t>H</w:t>
                        </w:r>
                        <w:r>
                          <w:rPr>
                            <w:vertAlign w:val="subscript"/>
                          </w:rPr>
                          <w:t>16</w:t>
                        </w:r>
                        <w:r w:rsidR="00727A4E">
                          <w:t>+</w:t>
                        </w:r>
                      </w:p>
                    </w:txbxContent>
                  </v:textbox>
                </v:shape>
                <v:shape id="_x0000_s1358" type="#_x0000_t202" style="position:absolute;left:35109;top:49601;width:463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4860F29F" w14:textId="5BD0CC00" w:rsidR="00385F28" w:rsidRDefault="00385F28" w:rsidP="00385F28">
                        <w:r>
                          <w:t>H</w:t>
                        </w:r>
                        <w:r>
                          <w:rPr>
                            <w:vertAlign w:val="subscript"/>
                          </w:rPr>
                          <w:t>17</w:t>
                        </w:r>
                        <w:r w:rsidR="00727A4E">
                          <w:t>+</w:t>
                        </w:r>
                      </w:p>
                    </w:txbxContent>
                  </v:textbox>
                </v:shape>
              </v:group>
            </w:pict>
          </mc:Fallback>
        </mc:AlternateContent>
      </w:r>
    </w:p>
    <w:p w14:paraId="4A26FADD" w14:textId="77777777" w:rsidR="00385F28" w:rsidRPr="00530906" w:rsidRDefault="00385F28" w:rsidP="00385F28">
      <w:pPr>
        <w:spacing w:line="360" w:lineRule="auto"/>
        <w:jc w:val="both"/>
        <w:rPr>
          <w:rFonts w:ascii="Cambria" w:eastAsia="Calibri" w:hAnsi="Cambria" w:cs="Times New Roman"/>
        </w:rPr>
      </w:pPr>
      <w:bookmarkStart w:id="72" w:name="_Toc513031902"/>
      <w:r w:rsidRPr="00530906">
        <w:rPr>
          <w:rFonts w:ascii="Cambria" w:eastAsia="Calibri" w:hAnsi="Cambria" w:cs="Times New Roman"/>
        </w:rPr>
        <w:br w:type="page"/>
      </w:r>
      <w:bookmarkEnd w:id="72"/>
    </w:p>
    <w:p w14:paraId="5472BAD6" w14:textId="77777777" w:rsidR="00385F28" w:rsidRPr="00530906" w:rsidRDefault="00385F28" w:rsidP="00385F28">
      <w:pPr>
        <w:spacing w:line="360" w:lineRule="auto"/>
        <w:jc w:val="both"/>
        <w:rPr>
          <w:rFonts w:ascii="Cambria" w:eastAsia="Calibri" w:hAnsi="Cambria" w:cs="Times New Roman"/>
        </w:rPr>
      </w:pPr>
    </w:p>
    <w:p w14:paraId="507699AE" w14:textId="77777777" w:rsidR="00385F28" w:rsidRPr="00530906" w:rsidRDefault="00385F28" w:rsidP="00385F28">
      <w:pPr>
        <w:spacing w:line="360" w:lineRule="auto"/>
        <w:jc w:val="both"/>
        <w:rPr>
          <w:rFonts w:ascii="Cambria" w:eastAsia="Calibri" w:hAnsi="Cambria" w:cs="Times New Roman"/>
        </w:rPr>
      </w:pPr>
    </w:p>
    <w:p w14:paraId="70F27E4D" w14:textId="77777777" w:rsidR="00385F28" w:rsidRPr="00530906" w:rsidRDefault="00385F28" w:rsidP="00385F28">
      <w:pPr>
        <w:spacing w:line="360" w:lineRule="auto"/>
        <w:jc w:val="both"/>
        <w:rPr>
          <w:rFonts w:ascii="Cambria" w:eastAsia="Calibri" w:hAnsi="Cambria" w:cs="Times New Roman"/>
        </w:rPr>
      </w:pPr>
    </w:p>
    <w:p w14:paraId="21E444DD" w14:textId="77777777" w:rsidR="00385F28" w:rsidRPr="00530906" w:rsidRDefault="00385F28" w:rsidP="00385F28">
      <w:pPr>
        <w:spacing w:line="360" w:lineRule="auto"/>
        <w:jc w:val="both"/>
        <w:rPr>
          <w:rFonts w:ascii="Cambria" w:eastAsia="Calibri" w:hAnsi="Cambria" w:cs="Times New Roman"/>
        </w:rPr>
      </w:pPr>
    </w:p>
    <w:p w14:paraId="4D32938C" w14:textId="77777777" w:rsidR="00385F28" w:rsidRPr="00530906" w:rsidRDefault="00385F28" w:rsidP="00385F28">
      <w:pPr>
        <w:spacing w:line="360" w:lineRule="auto"/>
        <w:jc w:val="both"/>
        <w:rPr>
          <w:rFonts w:ascii="Cambria" w:eastAsia="Calibri" w:hAnsi="Cambria" w:cs="Times New Roman"/>
        </w:rPr>
      </w:pPr>
    </w:p>
    <w:p w14:paraId="285343B8" w14:textId="77777777" w:rsidR="00385F28" w:rsidRPr="00530906" w:rsidRDefault="00385F28" w:rsidP="00385F28">
      <w:pPr>
        <w:spacing w:line="360" w:lineRule="auto"/>
        <w:jc w:val="both"/>
        <w:rPr>
          <w:rFonts w:ascii="Cambria" w:eastAsia="Calibri" w:hAnsi="Cambria" w:cs="Times New Roman"/>
        </w:rPr>
      </w:pPr>
    </w:p>
    <w:p w14:paraId="1D59A5DD" w14:textId="77777777" w:rsidR="00385F28" w:rsidRPr="00530906" w:rsidRDefault="00385F28" w:rsidP="00385F28">
      <w:pPr>
        <w:spacing w:line="360" w:lineRule="auto"/>
        <w:jc w:val="both"/>
        <w:rPr>
          <w:rFonts w:ascii="Cambria" w:eastAsia="Calibri" w:hAnsi="Cambria" w:cs="Times New Roman"/>
        </w:rPr>
      </w:pPr>
    </w:p>
    <w:p w14:paraId="133CD5B9" w14:textId="77777777" w:rsidR="00385F28" w:rsidRPr="00530906" w:rsidRDefault="00385F28" w:rsidP="00385F28">
      <w:pPr>
        <w:spacing w:line="360" w:lineRule="auto"/>
        <w:jc w:val="both"/>
        <w:rPr>
          <w:rFonts w:ascii="Cambria" w:eastAsia="Calibri" w:hAnsi="Cambria" w:cs="Times New Roman"/>
        </w:rPr>
      </w:pPr>
    </w:p>
    <w:p w14:paraId="1FDFC3CB" w14:textId="77777777" w:rsidR="00385F28" w:rsidRPr="00530906" w:rsidRDefault="00385F28" w:rsidP="00385F28">
      <w:pPr>
        <w:spacing w:line="360" w:lineRule="auto"/>
        <w:jc w:val="both"/>
        <w:rPr>
          <w:rFonts w:ascii="Cambria" w:eastAsia="Calibri" w:hAnsi="Cambria" w:cs="Times New Roman"/>
        </w:rPr>
      </w:pPr>
    </w:p>
    <w:p w14:paraId="66671551" w14:textId="77777777" w:rsidR="00385F28" w:rsidRPr="00530906" w:rsidRDefault="00385F28" w:rsidP="00385F28">
      <w:pPr>
        <w:spacing w:line="360" w:lineRule="auto"/>
        <w:jc w:val="both"/>
        <w:rPr>
          <w:rFonts w:ascii="Cambria" w:eastAsia="Calibri" w:hAnsi="Cambria" w:cs="Times New Roman"/>
        </w:rPr>
      </w:pPr>
    </w:p>
    <w:p w14:paraId="4E247EB2" w14:textId="63F5DF42" w:rsidR="00C7217E" w:rsidRPr="00530906" w:rsidRDefault="00E0273F" w:rsidP="008756B1">
      <w:pPr>
        <w:pStyle w:val="Heading1"/>
        <w:jc w:val="both"/>
        <w:rPr>
          <w:rFonts w:ascii="Cambria" w:hAnsi="Cambria"/>
        </w:rPr>
      </w:pPr>
      <w:bookmarkStart w:id="73" w:name="_Toc115726250"/>
      <w:r w:rsidRPr="00530906">
        <w:rPr>
          <w:rFonts w:ascii="Cambria" w:hAnsi="Cambria"/>
        </w:rPr>
        <w:t>4.</w:t>
      </w:r>
      <w:r w:rsidR="00C7217E" w:rsidRPr="00530906">
        <w:rPr>
          <w:rFonts w:ascii="Cambria" w:hAnsi="Cambria"/>
        </w:rPr>
        <w:t xml:space="preserve"> Research philosophy and methodology:</w:t>
      </w:r>
      <w:bookmarkEnd w:id="73"/>
    </w:p>
    <w:p w14:paraId="0C1E5231" w14:textId="77777777" w:rsidR="00EE655C" w:rsidRPr="00530906" w:rsidRDefault="00EE655C" w:rsidP="008756B1">
      <w:pPr>
        <w:spacing w:line="259" w:lineRule="auto"/>
        <w:jc w:val="both"/>
        <w:rPr>
          <w:rFonts w:ascii="Cambria" w:eastAsiaTheme="majorEastAsia" w:hAnsi="Cambria" w:cstheme="majorBidi"/>
          <w:color w:val="2F5496" w:themeColor="accent1" w:themeShade="BF"/>
          <w:sz w:val="26"/>
          <w:szCs w:val="26"/>
        </w:rPr>
      </w:pPr>
      <w:r w:rsidRPr="00530906">
        <w:rPr>
          <w:rFonts w:ascii="Cambria" w:hAnsi="Cambria"/>
        </w:rPr>
        <w:br w:type="page"/>
      </w:r>
    </w:p>
    <w:p w14:paraId="691D4B74" w14:textId="0B7856BD" w:rsidR="00C7217E" w:rsidRPr="00530906" w:rsidRDefault="00E0273F" w:rsidP="008756B1">
      <w:pPr>
        <w:pStyle w:val="Heading2"/>
        <w:jc w:val="both"/>
        <w:rPr>
          <w:rFonts w:ascii="Cambria" w:hAnsi="Cambria"/>
        </w:rPr>
      </w:pPr>
      <w:bookmarkStart w:id="74" w:name="_Toc115726251"/>
      <w:r w:rsidRPr="00530906">
        <w:rPr>
          <w:rFonts w:ascii="Cambria" w:hAnsi="Cambria"/>
        </w:rPr>
        <w:t>4</w:t>
      </w:r>
      <w:r w:rsidR="00C7217E" w:rsidRPr="00530906">
        <w:rPr>
          <w:rFonts w:ascii="Cambria" w:hAnsi="Cambria"/>
        </w:rPr>
        <w:t>.1.</w:t>
      </w:r>
      <w:r w:rsidR="00AD5650">
        <w:rPr>
          <w:rFonts w:ascii="Cambria" w:hAnsi="Cambria"/>
        </w:rPr>
        <w:t xml:space="preserve"> </w:t>
      </w:r>
      <w:r w:rsidR="00C7217E" w:rsidRPr="00530906">
        <w:rPr>
          <w:rFonts w:ascii="Cambria" w:hAnsi="Cambria"/>
        </w:rPr>
        <w:t>Philosophy</w:t>
      </w:r>
      <w:bookmarkEnd w:id="74"/>
      <w:r w:rsidR="00C7217E" w:rsidRPr="00530906">
        <w:rPr>
          <w:rFonts w:ascii="Cambria" w:hAnsi="Cambria"/>
        </w:rPr>
        <w:t xml:space="preserve"> </w:t>
      </w:r>
    </w:p>
    <w:p w14:paraId="23E48459"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The objective of this thesis is to observe social phenomenon through measuring and understanding the causal relationship of the variables, leads this research to follow post positivism philosophy, which has its origin in positivism (Sayer 2004; Hindess 1977; Siliquini–Cinelli 2019; Fox 2012). However, unlike positivism, which considers the phenomena of research as objects to be unaffected by the research activities (Collis and Hussey 2014), post positivism is more suitable for social science studies, because social sciences are concerned about activities and behaviour of people (Collis and Hussey 2014). As a subject of study, people get affected by their own backgrounds and other social circumstances along with the means of the study. Hence, they cannot be treated as unaffected objects, like natural science treats the object of study. Therefore, social phenomenon cannot be considered as only observable objects as considered in positivism (Hindess 1977; Rosenberg 1995). Post–positivism can be seen as the social production of all scientific knowledge in both natural and social science steam (Fox 2012). This is also named as ‘critical rationalism’ with the assumption that natural and social science may differ in content but not in the logical form of their content (Blaikie 1993). This research aspires to understand causal relationships in social context. Post positivism has accepted the use of both objective nature of theories and subjective nature of interpretation depending on context (Salkind 2010; Fox 2012). Hence this research embraces the post positivism philosophy. </w:t>
      </w:r>
    </w:p>
    <w:p w14:paraId="10B610B1" w14:textId="24491DA7" w:rsidR="00C7217E" w:rsidRPr="00530906" w:rsidRDefault="00E0273F" w:rsidP="008756B1">
      <w:pPr>
        <w:pStyle w:val="Heading2"/>
        <w:jc w:val="both"/>
        <w:rPr>
          <w:rFonts w:ascii="Cambria" w:hAnsi="Cambria"/>
        </w:rPr>
      </w:pPr>
      <w:bookmarkStart w:id="75" w:name="_Toc115726252"/>
      <w:r w:rsidRPr="00530906">
        <w:rPr>
          <w:rFonts w:ascii="Cambria" w:hAnsi="Cambria"/>
        </w:rPr>
        <w:t>4</w:t>
      </w:r>
      <w:r w:rsidR="00C7217E" w:rsidRPr="00530906">
        <w:rPr>
          <w:rFonts w:ascii="Cambria" w:hAnsi="Cambria"/>
        </w:rPr>
        <w:t>.2. General research approach</w:t>
      </w:r>
      <w:bookmarkEnd w:id="75"/>
    </w:p>
    <w:p w14:paraId="33AB1F48" w14:textId="467B12F2"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The study focusses on revealing causal relationships among the constructs like– emotion, involvement with the ad, self–consumption vision (SCV), ad attitude, social media engagement with the ad, social influence and behavioural intentions, through hypothesis testing, which are posited in the light of previous theories, makes the study leans toward deductive approach (Saunders et al 2016). Online experiment has been conducted as the means of data collection, because for this study, it is necessary to manipulate the independent variables– caption (positive and negative) and source expertise (high and low) (Fairweather and Tornatzky 1977). Table </w:t>
      </w:r>
      <w:r w:rsidR="000351DA">
        <w:rPr>
          <w:rFonts w:ascii="Cambria" w:hAnsi="Cambria"/>
          <w:sz w:val="24"/>
          <w:szCs w:val="24"/>
        </w:rPr>
        <w:t>7</w:t>
      </w:r>
      <w:r w:rsidRPr="00530906">
        <w:rPr>
          <w:rFonts w:ascii="Cambria" w:hAnsi="Cambria"/>
          <w:sz w:val="24"/>
          <w:szCs w:val="24"/>
        </w:rPr>
        <w:t xml:space="preserve"> shows the outline of the philosophical approach to this research.</w:t>
      </w:r>
    </w:p>
    <w:p w14:paraId="64A3E895" w14:textId="77777777" w:rsidR="00604A05" w:rsidRPr="00530906" w:rsidRDefault="00604A05">
      <w:pPr>
        <w:spacing w:line="360" w:lineRule="auto"/>
        <w:jc w:val="both"/>
        <w:rPr>
          <w:rFonts w:ascii="Cambria" w:hAnsi="Cambria"/>
          <w:sz w:val="24"/>
          <w:szCs w:val="24"/>
        </w:rPr>
      </w:pPr>
    </w:p>
    <w:p w14:paraId="54723B77" w14:textId="77777777" w:rsidR="00EE655C" w:rsidRPr="00530906" w:rsidRDefault="00EE655C" w:rsidP="008756B1">
      <w:pPr>
        <w:spacing w:line="259" w:lineRule="auto"/>
        <w:jc w:val="both"/>
        <w:rPr>
          <w:rFonts w:ascii="Cambria" w:hAnsi="Cambria"/>
          <w:sz w:val="24"/>
          <w:szCs w:val="24"/>
        </w:rPr>
      </w:pPr>
      <w:r w:rsidRPr="00530906">
        <w:rPr>
          <w:rFonts w:ascii="Cambria" w:hAnsi="Cambria"/>
          <w:sz w:val="24"/>
          <w:szCs w:val="24"/>
        </w:rPr>
        <w:br w:type="page"/>
      </w:r>
    </w:p>
    <w:p w14:paraId="46DBE3D9" w14:textId="06EE560F"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Table </w:t>
      </w:r>
      <w:r w:rsidR="00F43D3B">
        <w:rPr>
          <w:rFonts w:ascii="Cambria" w:hAnsi="Cambria"/>
          <w:sz w:val="24"/>
          <w:szCs w:val="24"/>
        </w:rPr>
        <w:t>7</w:t>
      </w:r>
      <w:r w:rsidRPr="00530906">
        <w:rPr>
          <w:rFonts w:ascii="Cambria" w:hAnsi="Cambria"/>
          <w:sz w:val="24"/>
          <w:szCs w:val="24"/>
        </w:rPr>
        <w:t>: Outline of the Philosophical and methodological stance</w:t>
      </w:r>
    </w:p>
    <w:tbl>
      <w:tblPr>
        <w:tblStyle w:val="TableGrid3"/>
        <w:tblW w:w="0" w:type="auto"/>
        <w:tblLook w:val="04A0" w:firstRow="1" w:lastRow="0" w:firstColumn="1" w:lastColumn="0" w:noHBand="0" w:noVBand="1"/>
      </w:tblPr>
      <w:tblGrid>
        <w:gridCol w:w="4531"/>
        <w:gridCol w:w="4485"/>
      </w:tblGrid>
      <w:tr w:rsidR="00C7217E" w:rsidRPr="00530906" w14:paraId="5297CE23" w14:textId="77777777" w:rsidTr="00C7217E">
        <w:tc>
          <w:tcPr>
            <w:tcW w:w="4531" w:type="dxa"/>
          </w:tcPr>
          <w:p w14:paraId="7CC0DBBD" w14:textId="77777777" w:rsidR="00C7217E" w:rsidRPr="00530906" w:rsidRDefault="00C7217E" w:rsidP="008756B1">
            <w:pPr>
              <w:spacing w:line="360" w:lineRule="auto"/>
              <w:jc w:val="both"/>
              <w:rPr>
                <w:rFonts w:ascii="Cambria" w:hAnsi="Cambria"/>
                <w:b/>
                <w:bCs/>
                <w:sz w:val="24"/>
                <w:szCs w:val="24"/>
              </w:rPr>
            </w:pPr>
            <w:r w:rsidRPr="00530906">
              <w:rPr>
                <w:rFonts w:ascii="Cambria" w:hAnsi="Cambria"/>
                <w:b/>
                <w:bCs/>
                <w:sz w:val="24"/>
                <w:szCs w:val="24"/>
              </w:rPr>
              <w:t xml:space="preserve">Philosophical assumption </w:t>
            </w:r>
          </w:p>
        </w:tc>
        <w:tc>
          <w:tcPr>
            <w:tcW w:w="4485" w:type="dxa"/>
          </w:tcPr>
          <w:p w14:paraId="0DBACEAF" w14:textId="77777777" w:rsidR="00C7217E" w:rsidRPr="00530906" w:rsidRDefault="00C7217E" w:rsidP="008756B1">
            <w:pPr>
              <w:spacing w:line="360" w:lineRule="auto"/>
              <w:jc w:val="both"/>
              <w:rPr>
                <w:rFonts w:ascii="Cambria" w:hAnsi="Cambria"/>
                <w:b/>
                <w:bCs/>
                <w:sz w:val="24"/>
                <w:szCs w:val="24"/>
              </w:rPr>
            </w:pPr>
            <w:r w:rsidRPr="00530906">
              <w:rPr>
                <w:rFonts w:ascii="Cambria" w:hAnsi="Cambria"/>
                <w:b/>
                <w:bCs/>
                <w:sz w:val="24"/>
                <w:szCs w:val="24"/>
              </w:rPr>
              <w:t xml:space="preserve">Post–Positivism </w:t>
            </w:r>
          </w:p>
        </w:tc>
      </w:tr>
      <w:tr w:rsidR="00C7217E" w:rsidRPr="00530906" w14:paraId="4B5B90DD" w14:textId="77777777" w:rsidTr="00C7217E">
        <w:tc>
          <w:tcPr>
            <w:tcW w:w="4531" w:type="dxa"/>
          </w:tcPr>
          <w:p w14:paraId="24CC0842"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Ontological assumption – This refers the fundamental idea of social reality/ phenomena (Salkind 2010)</w:t>
            </w:r>
          </w:p>
        </w:tc>
        <w:tc>
          <w:tcPr>
            <w:tcW w:w="4485" w:type="dxa"/>
          </w:tcPr>
          <w:p w14:paraId="426582E6"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This research denotes objects as a part of social world (see Fox 2012)</w:t>
            </w:r>
          </w:p>
        </w:tc>
      </w:tr>
      <w:tr w:rsidR="00C7217E" w:rsidRPr="00530906" w14:paraId="64DFBB5F" w14:textId="77777777" w:rsidTr="00C7217E">
        <w:tc>
          <w:tcPr>
            <w:tcW w:w="4531" w:type="dxa"/>
          </w:tcPr>
          <w:p w14:paraId="12D149ED" w14:textId="77777777" w:rsidR="00C7217E" w:rsidRPr="00530906" w:rsidRDefault="00C7217E" w:rsidP="008756B1">
            <w:pPr>
              <w:tabs>
                <w:tab w:val="center" w:pos="2146"/>
              </w:tabs>
              <w:spacing w:line="360" w:lineRule="auto"/>
              <w:jc w:val="both"/>
              <w:rPr>
                <w:rFonts w:ascii="Cambria" w:hAnsi="Cambria"/>
                <w:sz w:val="24"/>
                <w:szCs w:val="24"/>
              </w:rPr>
            </w:pPr>
            <w:r w:rsidRPr="00530906">
              <w:rPr>
                <w:rFonts w:ascii="Cambria" w:hAnsi="Cambria"/>
                <w:sz w:val="24"/>
                <w:szCs w:val="24"/>
              </w:rPr>
              <w:t>Epistemological assumption– This refers the relationship between the researcher (knower) and the knowledge (known) and dictated how the study will conducted and analysed (Salkind 2010; Saunders et al 2016).</w:t>
            </w:r>
          </w:p>
        </w:tc>
        <w:tc>
          <w:tcPr>
            <w:tcW w:w="4485" w:type="dxa"/>
          </w:tcPr>
          <w:p w14:paraId="020DC232"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Context specific knowledge is derived objectively and in a detached manner from the practical commitments and interests of the researcher’s subjects (Fox 2012)</w:t>
            </w:r>
          </w:p>
        </w:tc>
      </w:tr>
      <w:tr w:rsidR="00C7217E" w:rsidRPr="00530906" w14:paraId="6CDBF8D4" w14:textId="77777777" w:rsidTr="00C7217E">
        <w:tc>
          <w:tcPr>
            <w:tcW w:w="4531" w:type="dxa"/>
          </w:tcPr>
          <w:p w14:paraId="76242917"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Axiological assumption– The role of researcher and the participants’ value (Saunders et al 2016)</w:t>
            </w:r>
          </w:p>
        </w:tc>
        <w:tc>
          <w:tcPr>
            <w:tcW w:w="4485" w:type="dxa"/>
          </w:tcPr>
          <w:p w14:paraId="644958AE"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The phenomenon– behavioural intentions – social media engagement, purchase intention of branded sustainable products and intention of adopting sustainable behaviour– have been studied in an unbiased and value–free manner (see Collis and Hussey 2014; Saunders et al 2016).</w:t>
            </w:r>
          </w:p>
        </w:tc>
      </w:tr>
      <w:tr w:rsidR="00C7217E" w:rsidRPr="00530906" w14:paraId="0DDA5221" w14:textId="77777777" w:rsidTr="00C7217E">
        <w:tc>
          <w:tcPr>
            <w:tcW w:w="4531" w:type="dxa"/>
          </w:tcPr>
          <w:p w14:paraId="4DE5D341"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Approach</w:t>
            </w:r>
          </w:p>
        </w:tc>
        <w:tc>
          <w:tcPr>
            <w:tcW w:w="4485" w:type="dxa"/>
          </w:tcPr>
          <w:p w14:paraId="04E6305F"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Deductive – this study tests the SCV theory, PAD theory of emotion and social influence theory in the context of sustainable product. Specially, this research focused on causal relationship between constructs.  Furthermore, the conclusion is derived by testing hypothesis from collected data to generalise (see Collis and Hussey 2014; Saunders et al 2016).</w:t>
            </w:r>
          </w:p>
        </w:tc>
      </w:tr>
      <w:tr w:rsidR="00C7217E" w:rsidRPr="00530906" w14:paraId="4DCFCE07" w14:textId="77777777" w:rsidTr="00C7217E">
        <w:tc>
          <w:tcPr>
            <w:tcW w:w="4531" w:type="dxa"/>
          </w:tcPr>
          <w:p w14:paraId="0B8D7683"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Strategy </w:t>
            </w:r>
          </w:p>
        </w:tc>
        <w:tc>
          <w:tcPr>
            <w:tcW w:w="4485" w:type="dxa"/>
          </w:tcPr>
          <w:p w14:paraId="4D082DBF" w14:textId="7745F942"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Experiment– social phenomenon like, behavioural intentions, are explored by manipulating relevant variables like, types of </w:t>
            </w:r>
            <w:r w:rsidR="009F723F" w:rsidRPr="00530906">
              <w:rPr>
                <w:rFonts w:ascii="Cambria" w:hAnsi="Cambria"/>
                <w:sz w:val="24"/>
                <w:szCs w:val="24"/>
              </w:rPr>
              <w:t>captions</w:t>
            </w:r>
            <w:r w:rsidRPr="00530906">
              <w:rPr>
                <w:rFonts w:ascii="Cambria" w:hAnsi="Cambria"/>
                <w:sz w:val="24"/>
                <w:szCs w:val="24"/>
              </w:rPr>
              <w:t xml:space="preserve"> and level of expertise, and creating artificial conditions (see Fairweather and Tornatzky 1977). </w:t>
            </w:r>
          </w:p>
        </w:tc>
      </w:tr>
      <w:tr w:rsidR="00C7217E" w:rsidRPr="00530906" w14:paraId="7C961B60" w14:textId="77777777" w:rsidTr="00C7217E">
        <w:tc>
          <w:tcPr>
            <w:tcW w:w="4531" w:type="dxa"/>
          </w:tcPr>
          <w:p w14:paraId="381FD3F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Time horizon</w:t>
            </w:r>
          </w:p>
        </w:tc>
        <w:tc>
          <w:tcPr>
            <w:tcW w:w="4485" w:type="dxa"/>
          </w:tcPr>
          <w:p w14:paraId="3814448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Cross sectional – The data was collected once from each respondent from February to April (see Saunders et al 2016) </w:t>
            </w:r>
          </w:p>
        </w:tc>
      </w:tr>
    </w:tbl>
    <w:p w14:paraId="25A52963" w14:textId="77777777" w:rsidR="00C7217E" w:rsidRPr="00530906" w:rsidRDefault="00C7217E" w:rsidP="008756B1">
      <w:pPr>
        <w:spacing w:line="240" w:lineRule="auto"/>
        <w:jc w:val="both"/>
        <w:rPr>
          <w:rFonts w:ascii="Cambria" w:hAnsi="Cambria"/>
          <w:sz w:val="24"/>
          <w:szCs w:val="24"/>
        </w:rPr>
      </w:pPr>
    </w:p>
    <w:p w14:paraId="4C318A04" w14:textId="62F01E23" w:rsidR="00C7217E" w:rsidRPr="00530906" w:rsidRDefault="00E8252A" w:rsidP="008756B1">
      <w:pPr>
        <w:pStyle w:val="Heading2"/>
        <w:jc w:val="both"/>
        <w:rPr>
          <w:rFonts w:ascii="Cambria" w:hAnsi="Cambria"/>
        </w:rPr>
      </w:pPr>
      <w:bookmarkStart w:id="76" w:name="_Toc115726253"/>
      <w:r w:rsidRPr="00530906">
        <w:rPr>
          <w:rFonts w:ascii="Cambria" w:hAnsi="Cambria"/>
        </w:rPr>
        <w:t>4.3</w:t>
      </w:r>
      <w:r w:rsidR="00C7217E" w:rsidRPr="00530906">
        <w:rPr>
          <w:rFonts w:ascii="Cambria" w:hAnsi="Cambria"/>
        </w:rPr>
        <w:t>. Methodological approach: Online Experiment</w:t>
      </w:r>
      <w:bookmarkEnd w:id="76"/>
    </w:p>
    <w:p w14:paraId="23888722" w14:textId="1C068B8D"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This is a 2 x 2 (two types of </w:t>
      </w:r>
      <w:r w:rsidR="00613FB3" w:rsidRPr="00530906">
        <w:rPr>
          <w:rFonts w:ascii="Cambria" w:hAnsi="Cambria"/>
          <w:sz w:val="24"/>
          <w:szCs w:val="24"/>
        </w:rPr>
        <w:t>captions</w:t>
      </w:r>
      <w:r w:rsidRPr="00530906">
        <w:rPr>
          <w:rFonts w:ascii="Cambria" w:hAnsi="Cambria"/>
          <w:sz w:val="24"/>
          <w:szCs w:val="24"/>
        </w:rPr>
        <w:t xml:space="preserve"> accompanying sustainability ad: positive vs negative; and source expertise: high vs low) factorial design to explore the interactions among the independent variables. Experimental study is the best fit to measure the interaction effect between variables like–the level of source expertise and types of users’ caption have (see Collis and Hussey 2014; Zikmund et al 2010). Though experiment as a method is not suggested in social science, because it is hard to replicate social phenomenon in laboratory and susceptible of Hawthorne effect (Quinlan, 2011; Zikmund et al 2010). Yet, the need to manipulate those factors and to understand their interaction lead to the between group experiment (Zikmund et al 2010; Malhotra and Das 2013).</w:t>
      </w:r>
    </w:p>
    <w:p w14:paraId="47B4E85C" w14:textId="6F0287EE" w:rsidR="00C7217E" w:rsidRPr="00530906" w:rsidRDefault="00E8252A" w:rsidP="008756B1">
      <w:pPr>
        <w:pStyle w:val="Heading3"/>
        <w:jc w:val="both"/>
        <w:rPr>
          <w:rFonts w:ascii="Cambria" w:hAnsi="Cambria"/>
        </w:rPr>
      </w:pPr>
      <w:bookmarkStart w:id="77" w:name="_Toc115726254"/>
      <w:r w:rsidRPr="00530906">
        <w:rPr>
          <w:rFonts w:ascii="Cambria" w:hAnsi="Cambria"/>
        </w:rPr>
        <w:t>4.</w:t>
      </w:r>
      <w:r w:rsidR="00C7217E" w:rsidRPr="00530906">
        <w:rPr>
          <w:rFonts w:ascii="Cambria" w:hAnsi="Cambria"/>
        </w:rPr>
        <w:t>3.1 Fictional brand and chosen product category</w:t>
      </w:r>
      <w:bookmarkEnd w:id="77"/>
    </w:p>
    <w:p w14:paraId="03BE4CEF" w14:textId="7969461D" w:rsidR="009C745E" w:rsidRDefault="00C7217E">
      <w:pPr>
        <w:spacing w:line="360" w:lineRule="auto"/>
        <w:jc w:val="both"/>
        <w:rPr>
          <w:rFonts w:ascii="Cambria" w:hAnsi="Cambria"/>
          <w:sz w:val="24"/>
          <w:szCs w:val="24"/>
        </w:rPr>
      </w:pPr>
      <w:r w:rsidRPr="00530906">
        <w:rPr>
          <w:rFonts w:ascii="Cambria" w:hAnsi="Cambria"/>
          <w:sz w:val="24"/>
          <w:szCs w:val="24"/>
        </w:rPr>
        <w:t>Coffee has been chosen for this study, because of the sustainability footprint of this industry. In Paris climate meetings 2015 Conservation International, launched ‘Sustainable coffee challenge’, which has 100 international partners till 2019. They have taken account of all the dimensions of sustainability– economy, society and environment and taken initiative to improve sustainability by ensuring income to the producers and the raw material supplying communities, sustainable agricultural practice, and conserving forests and other natural resources (</w:t>
      </w:r>
      <w:hyperlink r:id="rId28" w:history="1">
        <w:r w:rsidRPr="00530906">
          <w:rPr>
            <w:rFonts w:ascii="Cambria" w:hAnsi="Cambria"/>
            <w:sz w:val="24"/>
            <w:szCs w:val="24"/>
            <w:u w:val="single"/>
          </w:rPr>
          <w:t>sustaincoffee.org</w:t>
        </w:r>
      </w:hyperlink>
      <w:r w:rsidRPr="00530906">
        <w:rPr>
          <w:rFonts w:ascii="Cambria" w:hAnsi="Cambria"/>
          <w:sz w:val="24"/>
          <w:szCs w:val="24"/>
        </w:rPr>
        <w:t xml:space="preserve">, 2019). On the top of that, since sustainability advertisement influences differently depending on product category </w:t>
      </w:r>
      <w:r w:rsidRPr="00530906">
        <w:rPr>
          <w:rFonts w:ascii="Cambria" w:eastAsia="Calibri" w:hAnsi="Cambria" w:cs="Adobe Devanagari"/>
          <w:sz w:val="24"/>
          <w:szCs w:val="24"/>
        </w:rPr>
        <w:t xml:space="preserve">(Herédia–Colaço and do Vale 2018), choice of coffee as a product, ensures minimum confounding effect. Because Coffee is a moderately involved product according to Foote, </w:t>
      </w:r>
      <w:r w:rsidR="00613FB3" w:rsidRPr="00530906">
        <w:rPr>
          <w:rFonts w:ascii="Cambria" w:eastAsia="Calibri" w:hAnsi="Cambria" w:cs="Adobe Devanagari"/>
          <w:sz w:val="24"/>
          <w:szCs w:val="24"/>
        </w:rPr>
        <w:t>Cone,</w:t>
      </w:r>
      <w:r w:rsidRPr="00530906">
        <w:rPr>
          <w:rFonts w:ascii="Cambria" w:eastAsia="Calibri" w:hAnsi="Cambria" w:cs="Adobe Devanagari"/>
          <w:sz w:val="24"/>
          <w:szCs w:val="24"/>
        </w:rPr>
        <w:t xml:space="preserve"> and Belding (FCB</w:t>
      </w:r>
      <w:r w:rsidRPr="00530906">
        <w:rPr>
          <w:rFonts w:ascii="Cambria" w:hAnsi="Cambria"/>
          <w:sz w:val="24"/>
          <w:szCs w:val="24"/>
        </w:rPr>
        <w:t xml:space="preserve">)’s product map based on emotion and involvement (Ratchford 1987). Coffee is a product from the mid region of the map, so that the feeling or thinking process associated with the product do not substantially affect the respondents (see Zaichkowsky, 1987; Ngobo, 2011). A fictitious coffee brand was used for the experiment to eliminate prior associations with the brand name, which may have a confounding effect on the level of social media engagement with the brand related post and the purchase intention of the branded product (Gilly et al 1998; Zikmund et al 2010). A google search of the coffee brand used shows no evidence of existing coffee brand. The use of fictitious brand is also expected to eliminate the effect of environmental association/ involvement associated with brand and product category (Montororio et al 2008). Moreover, a fictitious brand name also increases the internal validity (Zikmund et al 2010). </w:t>
      </w:r>
    </w:p>
    <w:p w14:paraId="134FDF17" w14:textId="1838453F" w:rsidR="004E78E2" w:rsidRPr="001435A7" w:rsidRDefault="005D7BBF" w:rsidP="00427B92">
      <w:pPr>
        <w:pStyle w:val="Heading3"/>
        <w:tabs>
          <w:tab w:val="left" w:pos="5670"/>
        </w:tabs>
        <w:rPr>
          <w:rFonts w:ascii="Cambria" w:hAnsi="Cambria"/>
          <w:color w:val="auto"/>
        </w:rPr>
      </w:pPr>
      <w:bookmarkStart w:id="78" w:name="_Toc115726255"/>
      <w:r w:rsidRPr="00F74DE2">
        <w:rPr>
          <w:rFonts w:ascii="Cambria" w:hAnsi="Cambria"/>
        </w:rPr>
        <w:t xml:space="preserve">4.3.2. </w:t>
      </w:r>
      <w:r w:rsidR="004E78E2" w:rsidRPr="00F74DE2">
        <w:rPr>
          <w:rFonts w:ascii="Cambria" w:hAnsi="Cambria"/>
        </w:rPr>
        <w:t>Pre-test:</w:t>
      </w:r>
      <w:bookmarkEnd w:id="78"/>
      <w:r w:rsidR="004E78E2" w:rsidRPr="00F74DE2">
        <w:rPr>
          <w:rFonts w:ascii="Cambria" w:hAnsi="Cambria"/>
        </w:rPr>
        <w:t xml:space="preserve"> </w:t>
      </w:r>
    </w:p>
    <w:p w14:paraId="2AD48630" w14:textId="45EB1FBA" w:rsidR="00D42517" w:rsidRPr="001435A7" w:rsidRDefault="004E78E2" w:rsidP="008E4138">
      <w:pPr>
        <w:spacing w:line="360" w:lineRule="auto"/>
        <w:jc w:val="both"/>
        <w:rPr>
          <w:rFonts w:ascii="Cambria" w:hAnsi="Cambria"/>
          <w:sz w:val="24"/>
          <w:szCs w:val="24"/>
        </w:rPr>
      </w:pPr>
      <w:r w:rsidRPr="001435A7">
        <w:rPr>
          <w:rFonts w:ascii="Cambria" w:hAnsi="Cambria"/>
          <w:sz w:val="24"/>
          <w:szCs w:val="24"/>
        </w:rPr>
        <w:t xml:space="preserve">A pre–test has been conducted with 8 students as respondents before the experiment to identify </w:t>
      </w:r>
      <w:r w:rsidR="00613FB3" w:rsidRPr="001435A7">
        <w:rPr>
          <w:rFonts w:ascii="Cambria" w:hAnsi="Cambria"/>
          <w:sz w:val="24"/>
          <w:szCs w:val="24"/>
        </w:rPr>
        <w:t>lack of</w:t>
      </w:r>
      <w:r w:rsidRPr="001435A7">
        <w:rPr>
          <w:rFonts w:ascii="Cambria" w:hAnsi="Cambria"/>
          <w:sz w:val="24"/>
          <w:szCs w:val="24"/>
        </w:rPr>
        <w:t xml:space="preserve"> the proposed experimental model (Quinlan 2011). </w:t>
      </w:r>
      <w:r w:rsidR="00E14101" w:rsidRPr="001435A7">
        <w:rPr>
          <w:rFonts w:ascii="Cambria" w:hAnsi="Cambria"/>
          <w:sz w:val="24"/>
          <w:szCs w:val="24"/>
        </w:rPr>
        <w:t>It was limited to 8 because no new information was being found after 6th respondent. Yet to be sure another 2 respondent</w:t>
      </w:r>
      <w:r w:rsidR="00CE0096" w:rsidRPr="001435A7">
        <w:rPr>
          <w:rFonts w:ascii="Cambria" w:hAnsi="Cambria"/>
          <w:sz w:val="24"/>
          <w:szCs w:val="24"/>
        </w:rPr>
        <w:t>s</w:t>
      </w:r>
      <w:r w:rsidR="00E14101" w:rsidRPr="001435A7">
        <w:rPr>
          <w:rFonts w:ascii="Cambria" w:hAnsi="Cambria"/>
          <w:sz w:val="24"/>
          <w:szCs w:val="24"/>
        </w:rPr>
        <w:t xml:space="preserve"> w</w:t>
      </w:r>
      <w:r w:rsidR="00CE0096" w:rsidRPr="001435A7">
        <w:rPr>
          <w:rFonts w:ascii="Cambria" w:hAnsi="Cambria"/>
          <w:sz w:val="24"/>
          <w:szCs w:val="24"/>
        </w:rPr>
        <w:t>ere</w:t>
      </w:r>
      <w:r w:rsidR="00E14101" w:rsidRPr="001435A7">
        <w:rPr>
          <w:rFonts w:ascii="Cambria" w:hAnsi="Cambria"/>
          <w:sz w:val="24"/>
          <w:szCs w:val="24"/>
        </w:rPr>
        <w:t xml:space="preserve"> added in the pre</w:t>
      </w:r>
      <w:r w:rsidR="00545220">
        <w:rPr>
          <w:rFonts w:ascii="Cambria" w:hAnsi="Cambria"/>
          <w:sz w:val="24"/>
          <w:szCs w:val="24"/>
        </w:rPr>
        <w:t>-</w:t>
      </w:r>
      <w:r w:rsidR="00E14101" w:rsidRPr="001435A7">
        <w:rPr>
          <w:rFonts w:ascii="Cambria" w:hAnsi="Cambria"/>
          <w:sz w:val="24"/>
          <w:szCs w:val="24"/>
        </w:rPr>
        <w:t xml:space="preserve">test </w:t>
      </w:r>
      <w:r w:rsidRPr="001435A7">
        <w:rPr>
          <w:rFonts w:ascii="Cambria" w:hAnsi="Cambria"/>
          <w:sz w:val="24"/>
          <w:szCs w:val="24"/>
        </w:rPr>
        <w:t xml:space="preserve">The ad and the questionnaire was changed according to </w:t>
      </w:r>
      <w:r w:rsidR="00F87EA2" w:rsidRPr="001435A7">
        <w:rPr>
          <w:rFonts w:ascii="Cambria" w:hAnsi="Cambria"/>
          <w:sz w:val="24"/>
          <w:szCs w:val="24"/>
        </w:rPr>
        <w:t>the immediate intervie</w:t>
      </w:r>
      <w:r w:rsidR="00832F2D" w:rsidRPr="001435A7">
        <w:rPr>
          <w:rFonts w:ascii="Cambria" w:hAnsi="Cambria"/>
          <w:sz w:val="24"/>
          <w:szCs w:val="24"/>
        </w:rPr>
        <w:t>w</w:t>
      </w:r>
      <w:r w:rsidRPr="001435A7">
        <w:rPr>
          <w:rFonts w:ascii="Cambria" w:hAnsi="Cambria"/>
          <w:sz w:val="24"/>
          <w:szCs w:val="24"/>
        </w:rPr>
        <w:t xml:space="preserve">. </w:t>
      </w:r>
      <w:r w:rsidR="00801C73" w:rsidRPr="001435A7">
        <w:rPr>
          <w:rFonts w:ascii="Cambria" w:hAnsi="Cambria"/>
          <w:sz w:val="24"/>
          <w:szCs w:val="24"/>
        </w:rPr>
        <w:t>Five</w:t>
      </w:r>
      <w:r w:rsidRPr="001435A7">
        <w:rPr>
          <w:rFonts w:ascii="Cambria" w:hAnsi="Cambria"/>
          <w:sz w:val="24"/>
          <w:szCs w:val="24"/>
        </w:rPr>
        <w:t xml:space="preserve"> of them commented that </w:t>
      </w:r>
      <w:r w:rsidR="005345D4" w:rsidRPr="001435A7">
        <w:rPr>
          <w:rFonts w:ascii="Cambria" w:hAnsi="Cambria"/>
          <w:sz w:val="24"/>
          <w:szCs w:val="24"/>
        </w:rPr>
        <w:t xml:space="preserve">since the visual of the ad do not </w:t>
      </w:r>
      <w:r w:rsidR="00DC4BCE" w:rsidRPr="001435A7">
        <w:rPr>
          <w:rFonts w:ascii="Cambria" w:hAnsi="Cambria"/>
          <w:sz w:val="24"/>
          <w:szCs w:val="24"/>
        </w:rPr>
        <w:t xml:space="preserve">have any human element, it is hard </w:t>
      </w:r>
      <w:r w:rsidR="00135F1F" w:rsidRPr="001435A7">
        <w:rPr>
          <w:rFonts w:ascii="Cambria" w:hAnsi="Cambria"/>
          <w:sz w:val="24"/>
          <w:szCs w:val="24"/>
        </w:rPr>
        <w:t xml:space="preserve">to </w:t>
      </w:r>
      <w:r w:rsidR="00DC4BCE" w:rsidRPr="001435A7">
        <w:rPr>
          <w:rFonts w:ascii="Cambria" w:hAnsi="Cambria"/>
          <w:sz w:val="24"/>
          <w:szCs w:val="24"/>
        </w:rPr>
        <w:t xml:space="preserve">visualise </w:t>
      </w:r>
      <w:r w:rsidR="008A041D" w:rsidRPr="001435A7">
        <w:rPr>
          <w:rFonts w:ascii="Cambria" w:hAnsi="Cambria"/>
          <w:sz w:val="24"/>
          <w:szCs w:val="24"/>
        </w:rPr>
        <w:t xml:space="preserve">themselves in the ad. In other words, it was hard for them to relate with the </w:t>
      </w:r>
      <w:r w:rsidR="003A5730" w:rsidRPr="001435A7">
        <w:rPr>
          <w:rFonts w:ascii="Cambria" w:hAnsi="Cambria"/>
          <w:sz w:val="24"/>
          <w:szCs w:val="24"/>
        </w:rPr>
        <w:t xml:space="preserve">items of </w:t>
      </w:r>
      <w:r w:rsidR="008A041D" w:rsidRPr="001435A7">
        <w:rPr>
          <w:rFonts w:ascii="Cambria" w:hAnsi="Cambria"/>
          <w:sz w:val="24"/>
          <w:szCs w:val="24"/>
        </w:rPr>
        <w:t>SCV</w:t>
      </w:r>
      <w:r w:rsidR="003A5730" w:rsidRPr="001435A7">
        <w:rPr>
          <w:rFonts w:ascii="Cambria" w:hAnsi="Cambria"/>
          <w:sz w:val="24"/>
          <w:szCs w:val="24"/>
        </w:rPr>
        <w:t xml:space="preserve"> in the questionnaire. Hence, </w:t>
      </w:r>
      <w:r w:rsidR="00210308" w:rsidRPr="001435A7">
        <w:rPr>
          <w:rFonts w:ascii="Cambria" w:hAnsi="Cambria"/>
          <w:sz w:val="24"/>
          <w:szCs w:val="24"/>
        </w:rPr>
        <w:t xml:space="preserve">the print of the ad was changed where </w:t>
      </w:r>
      <w:r w:rsidR="00772835" w:rsidRPr="001435A7">
        <w:rPr>
          <w:rFonts w:ascii="Cambria" w:hAnsi="Cambria"/>
          <w:sz w:val="24"/>
          <w:szCs w:val="24"/>
        </w:rPr>
        <w:t xml:space="preserve">human hands were </w:t>
      </w:r>
      <w:r w:rsidR="00545220" w:rsidRPr="001435A7">
        <w:rPr>
          <w:rFonts w:ascii="Cambria" w:hAnsi="Cambria"/>
          <w:sz w:val="24"/>
          <w:szCs w:val="24"/>
        </w:rPr>
        <w:t>visible</w:t>
      </w:r>
      <w:r w:rsidR="00772835" w:rsidRPr="001435A7">
        <w:rPr>
          <w:rFonts w:ascii="Cambria" w:hAnsi="Cambria"/>
          <w:sz w:val="24"/>
          <w:szCs w:val="24"/>
        </w:rPr>
        <w:t xml:space="preserve">. </w:t>
      </w:r>
      <w:r w:rsidR="00CE3278" w:rsidRPr="001435A7">
        <w:rPr>
          <w:rFonts w:ascii="Cambria" w:hAnsi="Cambria"/>
          <w:sz w:val="24"/>
          <w:szCs w:val="24"/>
        </w:rPr>
        <w:t>Later another pre-test of 15 respondent</w:t>
      </w:r>
      <w:r w:rsidR="00057F9F" w:rsidRPr="001435A7">
        <w:rPr>
          <w:rFonts w:ascii="Cambria" w:hAnsi="Cambria"/>
          <w:sz w:val="24"/>
          <w:szCs w:val="24"/>
        </w:rPr>
        <w:t>s</w:t>
      </w:r>
      <w:r w:rsidR="00CE3278" w:rsidRPr="001435A7">
        <w:rPr>
          <w:rFonts w:ascii="Cambria" w:hAnsi="Cambria"/>
          <w:sz w:val="24"/>
          <w:szCs w:val="24"/>
        </w:rPr>
        <w:t xml:space="preserve"> confirmed that it is an acceptable </w:t>
      </w:r>
      <w:r w:rsidR="00057F9F" w:rsidRPr="001435A7">
        <w:rPr>
          <w:rFonts w:ascii="Cambria" w:hAnsi="Cambria"/>
          <w:sz w:val="24"/>
          <w:szCs w:val="24"/>
        </w:rPr>
        <w:t xml:space="preserve">ad. </w:t>
      </w:r>
      <w:r w:rsidR="008E6F5B" w:rsidRPr="001435A7">
        <w:rPr>
          <w:rFonts w:ascii="Cambria" w:hAnsi="Cambria"/>
          <w:sz w:val="24"/>
          <w:szCs w:val="24"/>
        </w:rPr>
        <w:t>The respondents also mentioned</w:t>
      </w:r>
      <w:r w:rsidR="009D6957" w:rsidRPr="001435A7">
        <w:rPr>
          <w:rFonts w:ascii="Cambria" w:hAnsi="Cambria"/>
          <w:sz w:val="24"/>
          <w:szCs w:val="24"/>
        </w:rPr>
        <w:t xml:space="preserve"> that</w:t>
      </w:r>
      <w:r w:rsidR="008E6F5B" w:rsidRPr="001435A7">
        <w:rPr>
          <w:rFonts w:ascii="Cambria" w:hAnsi="Cambria"/>
          <w:sz w:val="24"/>
          <w:szCs w:val="24"/>
        </w:rPr>
        <w:t xml:space="preserve"> the</w:t>
      </w:r>
      <w:r w:rsidR="009D6957" w:rsidRPr="001435A7">
        <w:rPr>
          <w:rFonts w:ascii="Cambria" w:hAnsi="Cambria"/>
          <w:sz w:val="24"/>
          <w:szCs w:val="24"/>
        </w:rPr>
        <w:t xml:space="preserve"> use of word ‘normal coffee drinker’ was vague to represent low source expertise (hence changed to ‘working in coffee industry for 5 years’ for ‘high expertise’ and ‘not a coffee drinker’ for ‘low</w:t>
      </w:r>
      <w:r w:rsidR="00C2128E" w:rsidRPr="001435A7">
        <w:rPr>
          <w:rFonts w:ascii="Cambria" w:hAnsi="Cambria"/>
          <w:sz w:val="24"/>
          <w:szCs w:val="24"/>
        </w:rPr>
        <w:t xml:space="preserve"> expertise’),</w:t>
      </w:r>
      <w:r w:rsidR="00F96382" w:rsidRPr="001435A7">
        <w:rPr>
          <w:rFonts w:ascii="Cambria" w:hAnsi="Cambria"/>
          <w:sz w:val="24"/>
          <w:szCs w:val="24"/>
        </w:rPr>
        <w:t xml:space="preserve"> </w:t>
      </w:r>
      <w:r w:rsidR="00057F9F" w:rsidRPr="001435A7">
        <w:rPr>
          <w:rFonts w:ascii="Cambria" w:hAnsi="Cambria"/>
          <w:sz w:val="24"/>
          <w:szCs w:val="24"/>
        </w:rPr>
        <w:t xml:space="preserve">In addition to that, </w:t>
      </w:r>
      <w:r w:rsidR="002C250F" w:rsidRPr="001435A7">
        <w:rPr>
          <w:rFonts w:ascii="Cambria" w:hAnsi="Cambria"/>
          <w:sz w:val="24"/>
          <w:szCs w:val="24"/>
        </w:rPr>
        <w:t>wordings of the questionnai</w:t>
      </w:r>
      <w:r w:rsidR="00705D28" w:rsidRPr="001435A7">
        <w:rPr>
          <w:rFonts w:ascii="Cambria" w:hAnsi="Cambria"/>
          <w:sz w:val="24"/>
          <w:szCs w:val="24"/>
        </w:rPr>
        <w:t xml:space="preserve">re was also changed to be more relevant with the context of the </w:t>
      </w:r>
      <w:r w:rsidR="00E26035" w:rsidRPr="001435A7">
        <w:rPr>
          <w:rFonts w:ascii="Cambria" w:hAnsi="Cambria"/>
          <w:sz w:val="24"/>
          <w:szCs w:val="24"/>
        </w:rPr>
        <w:t>study</w:t>
      </w:r>
      <w:r w:rsidR="00391213" w:rsidRPr="001435A7">
        <w:rPr>
          <w:rFonts w:ascii="Cambria" w:hAnsi="Cambria"/>
          <w:sz w:val="24"/>
          <w:szCs w:val="24"/>
        </w:rPr>
        <w:t xml:space="preserve"> (Table 8)</w:t>
      </w:r>
      <w:r w:rsidR="00E26035" w:rsidRPr="001435A7">
        <w:rPr>
          <w:rFonts w:ascii="Cambria" w:hAnsi="Cambria"/>
          <w:sz w:val="24"/>
          <w:szCs w:val="24"/>
        </w:rPr>
        <w:t xml:space="preserve">. </w:t>
      </w:r>
      <w:r w:rsidR="00D432D9" w:rsidRPr="001435A7">
        <w:rPr>
          <w:rFonts w:ascii="Cambria" w:hAnsi="Cambria"/>
          <w:sz w:val="24"/>
          <w:szCs w:val="24"/>
        </w:rPr>
        <w:t>All of t</w:t>
      </w:r>
      <w:r w:rsidR="00E26035" w:rsidRPr="001435A7">
        <w:rPr>
          <w:rFonts w:ascii="Cambria" w:hAnsi="Cambria"/>
          <w:sz w:val="24"/>
          <w:szCs w:val="24"/>
        </w:rPr>
        <w:t xml:space="preserve">he first pre-test respondents </w:t>
      </w:r>
      <w:r w:rsidR="00D432D9" w:rsidRPr="001435A7">
        <w:rPr>
          <w:rFonts w:ascii="Cambria" w:hAnsi="Cambria"/>
          <w:sz w:val="24"/>
          <w:szCs w:val="24"/>
        </w:rPr>
        <w:t>scored quite low and stated</w:t>
      </w:r>
      <w:r w:rsidR="008A041D" w:rsidRPr="001435A7">
        <w:rPr>
          <w:rFonts w:ascii="Cambria" w:hAnsi="Cambria"/>
          <w:sz w:val="24"/>
          <w:szCs w:val="24"/>
        </w:rPr>
        <w:t xml:space="preserve"> </w:t>
      </w:r>
      <w:r w:rsidR="00D432D9" w:rsidRPr="001435A7">
        <w:rPr>
          <w:rFonts w:ascii="Cambria" w:hAnsi="Cambria"/>
          <w:sz w:val="24"/>
          <w:szCs w:val="24"/>
        </w:rPr>
        <w:t xml:space="preserve">their confusions about the </w:t>
      </w:r>
      <w:r w:rsidR="00A52BEE" w:rsidRPr="001435A7">
        <w:rPr>
          <w:rFonts w:ascii="Cambria" w:hAnsi="Cambria"/>
          <w:sz w:val="24"/>
          <w:szCs w:val="24"/>
        </w:rPr>
        <w:t>‘creation’ items of the ‘social media engagement’ variables</w:t>
      </w:r>
      <w:r w:rsidR="00C90D00" w:rsidRPr="001435A7">
        <w:rPr>
          <w:rFonts w:ascii="Cambria" w:hAnsi="Cambria"/>
          <w:sz w:val="24"/>
          <w:szCs w:val="24"/>
        </w:rPr>
        <w:t xml:space="preserve">. According to them, the items </w:t>
      </w:r>
      <w:r w:rsidR="001A15E5" w:rsidRPr="001435A7">
        <w:rPr>
          <w:rFonts w:ascii="Cambria" w:hAnsi="Cambria"/>
          <w:sz w:val="24"/>
          <w:szCs w:val="24"/>
        </w:rPr>
        <w:t>(</w:t>
      </w:r>
      <w:r w:rsidR="009932EF" w:rsidRPr="001435A7">
        <w:rPr>
          <w:rFonts w:ascii="Cambria" w:hAnsi="Cambria"/>
          <w:sz w:val="24"/>
          <w:szCs w:val="24"/>
        </w:rPr>
        <w:t xml:space="preserve">1. </w:t>
      </w:r>
      <w:r w:rsidR="001A15E5" w:rsidRPr="001435A7">
        <w:rPr>
          <w:rFonts w:ascii="Cambria" w:hAnsi="Cambria"/>
          <w:sz w:val="24"/>
          <w:szCs w:val="24"/>
        </w:rPr>
        <w:t xml:space="preserve">I Initiate post related to the brand, </w:t>
      </w:r>
      <w:r w:rsidR="009932EF" w:rsidRPr="001435A7">
        <w:rPr>
          <w:rFonts w:ascii="Cambria" w:hAnsi="Cambria"/>
          <w:sz w:val="24"/>
          <w:szCs w:val="24"/>
        </w:rPr>
        <w:t xml:space="preserve">2. </w:t>
      </w:r>
      <w:r w:rsidR="001A15E5" w:rsidRPr="001435A7">
        <w:rPr>
          <w:rFonts w:ascii="Cambria" w:hAnsi="Cambria"/>
          <w:sz w:val="24"/>
          <w:szCs w:val="24"/>
        </w:rPr>
        <w:t xml:space="preserve">I </w:t>
      </w:r>
      <w:r w:rsidR="00F04E58" w:rsidRPr="001435A7">
        <w:rPr>
          <w:rFonts w:ascii="Cambria" w:hAnsi="Cambria"/>
          <w:sz w:val="24"/>
          <w:szCs w:val="24"/>
        </w:rPr>
        <w:t>i</w:t>
      </w:r>
      <w:r w:rsidR="001A15E5" w:rsidRPr="001435A7">
        <w:rPr>
          <w:rFonts w:ascii="Cambria" w:hAnsi="Cambria"/>
          <w:sz w:val="24"/>
          <w:szCs w:val="24"/>
        </w:rPr>
        <w:t>nitiate post social media issues of brand</w:t>
      </w:r>
      <w:r w:rsidR="00162C4C" w:rsidRPr="001435A7">
        <w:rPr>
          <w:rFonts w:ascii="Cambria" w:hAnsi="Cambria"/>
          <w:sz w:val="24"/>
          <w:szCs w:val="24"/>
        </w:rPr>
        <w:t xml:space="preserve">, </w:t>
      </w:r>
      <w:r w:rsidR="009932EF" w:rsidRPr="001435A7">
        <w:rPr>
          <w:rFonts w:ascii="Cambria" w:hAnsi="Cambria"/>
          <w:sz w:val="24"/>
          <w:szCs w:val="24"/>
        </w:rPr>
        <w:t xml:space="preserve">3. </w:t>
      </w:r>
      <w:r w:rsidR="001A15E5" w:rsidRPr="001435A7">
        <w:rPr>
          <w:rFonts w:ascii="Cambria" w:hAnsi="Cambria"/>
          <w:sz w:val="24"/>
          <w:szCs w:val="24"/>
        </w:rPr>
        <w:t xml:space="preserve">I </w:t>
      </w:r>
      <w:r w:rsidR="00296CFB" w:rsidRPr="001435A7">
        <w:rPr>
          <w:rFonts w:ascii="Cambria" w:hAnsi="Cambria"/>
          <w:sz w:val="24"/>
          <w:szCs w:val="24"/>
        </w:rPr>
        <w:t xml:space="preserve">post </w:t>
      </w:r>
      <w:r w:rsidR="001A15E5" w:rsidRPr="001435A7">
        <w:rPr>
          <w:rFonts w:ascii="Cambria" w:hAnsi="Cambria"/>
          <w:sz w:val="24"/>
          <w:szCs w:val="24"/>
        </w:rPr>
        <w:t>pictures or graphics related to the brand</w:t>
      </w:r>
      <w:r w:rsidR="00162C4C" w:rsidRPr="001435A7">
        <w:rPr>
          <w:rFonts w:ascii="Cambria" w:hAnsi="Cambria"/>
          <w:sz w:val="24"/>
          <w:szCs w:val="24"/>
        </w:rPr>
        <w:t xml:space="preserve">, </w:t>
      </w:r>
      <w:r w:rsidR="009932EF" w:rsidRPr="001435A7">
        <w:rPr>
          <w:rFonts w:ascii="Cambria" w:hAnsi="Cambria"/>
          <w:sz w:val="24"/>
          <w:szCs w:val="24"/>
        </w:rPr>
        <w:t xml:space="preserve">4. </w:t>
      </w:r>
      <w:r w:rsidR="001A15E5" w:rsidRPr="001435A7">
        <w:rPr>
          <w:rFonts w:ascii="Cambria" w:hAnsi="Cambria"/>
          <w:sz w:val="24"/>
          <w:szCs w:val="24"/>
        </w:rPr>
        <w:t>I Write reviews related to the brand)</w:t>
      </w:r>
      <w:r w:rsidR="00F04E58" w:rsidRPr="001435A7">
        <w:rPr>
          <w:rFonts w:ascii="Cambria" w:hAnsi="Cambria"/>
          <w:sz w:val="24"/>
          <w:szCs w:val="24"/>
        </w:rPr>
        <w:t xml:space="preserve"> </w:t>
      </w:r>
      <w:r w:rsidR="00C90D00" w:rsidRPr="001435A7">
        <w:rPr>
          <w:rFonts w:ascii="Cambria" w:hAnsi="Cambria"/>
          <w:sz w:val="24"/>
          <w:szCs w:val="24"/>
        </w:rPr>
        <w:t xml:space="preserve">are </w:t>
      </w:r>
      <w:r w:rsidR="004155E7" w:rsidRPr="001435A7">
        <w:rPr>
          <w:rFonts w:ascii="Cambria" w:hAnsi="Cambria"/>
          <w:sz w:val="24"/>
          <w:szCs w:val="24"/>
        </w:rPr>
        <w:t>not relevant with the study</w:t>
      </w:r>
      <w:r w:rsidR="002F034B" w:rsidRPr="001435A7">
        <w:rPr>
          <w:rFonts w:ascii="Cambria" w:hAnsi="Cambria"/>
          <w:sz w:val="24"/>
          <w:szCs w:val="24"/>
        </w:rPr>
        <w:t>, si</w:t>
      </w:r>
      <w:r w:rsidR="006555E8" w:rsidRPr="001435A7">
        <w:rPr>
          <w:rFonts w:ascii="Cambria" w:hAnsi="Cambria"/>
          <w:sz w:val="24"/>
          <w:szCs w:val="24"/>
        </w:rPr>
        <w:t xml:space="preserve">nce </w:t>
      </w:r>
      <w:r w:rsidR="001571F7" w:rsidRPr="001435A7">
        <w:rPr>
          <w:rFonts w:ascii="Cambria" w:hAnsi="Cambria"/>
          <w:sz w:val="24"/>
          <w:szCs w:val="24"/>
        </w:rPr>
        <w:t>the</w:t>
      </w:r>
      <w:r w:rsidR="00162C4C" w:rsidRPr="001435A7">
        <w:rPr>
          <w:rFonts w:ascii="Cambria" w:hAnsi="Cambria"/>
          <w:sz w:val="24"/>
          <w:szCs w:val="24"/>
        </w:rPr>
        <w:t>y did not make the ad</w:t>
      </w:r>
      <w:r w:rsidR="00F04E58" w:rsidRPr="001435A7">
        <w:rPr>
          <w:rFonts w:ascii="Cambria" w:hAnsi="Cambria"/>
          <w:sz w:val="24"/>
          <w:szCs w:val="24"/>
        </w:rPr>
        <w:t xml:space="preserve">. </w:t>
      </w:r>
      <w:r w:rsidR="0040124D" w:rsidRPr="001435A7">
        <w:rPr>
          <w:rFonts w:ascii="Cambria" w:hAnsi="Cambria"/>
          <w:sz w:val="24"/>
          <w:szCs w:val="24"/>
        </w:rPr>
        <w:t xml:space="preserve">According to respondent 3 ‘company made this </w:t>
      </w:r>
      <w:r w:rsidR="00545220" w:rsidRPr="001435A7">
        <w:rPr>
          <w:rFonts w:ascii="Cambria" w:hAnsi="Cambria"/>
          <w:sz w:val="24"/>
          <w:szCs w:val="24"/>
        </w:rPr>
        <w:t>ad,</w:t>
      </w:r>
      <w:r w:rsidR="0040124D" w:rsidRPr="001435A7">
        <w:rPr>
          <w:rFonts w:ascii="Cambria" w:hAnsi="Cambria"/>
          <w:sz w:val="24"/>
          <w:szCs w:val="24"/>
        </w:rPr>
        <w:t xml:space="preserve"> right? </w:t>
      </w:r>
      <w:r w:rsidR="005B6BAC" w:rsidRPr="001435A7">
        <w:rPr>
          <w:rFonts w:ascii="Cambria" w:hAnsi="Cambria"/>
          <w:sz w:val="24"/>
          <w:szCs w:val="24"/>
        </w:rPr>
        <w:t>Then how can I answer this?</w:t>
      </w:r>
      <w:r w:rsidR="0040124D" w:rsidRPr="001435A7">
        <w:rPr>
          <w:rFonts w:ascii="Cambria" w:hAnsi="Cambria"/>
          <w:sz w:val="24"/>
          <w:szCs w:val="24"/>
        </w:rPr>
        <w:t xml:space="preserve">’ </w:t>
      </w:r>
      <w:r w:rsidR="00F04E58" w:rsidRPr="001435A7">
        <w:rPr>
          <w:rFonts w:ascii="Cambria" w:hAnsi="Cambria"/>
          <w:sz w:val="24"/>
          <w:szCs w:val="24"/>
        </w:rPr>
        <w:t>Hence</w:t>
      </w:r>
      <w:r w:rsidR="00296CFB" w:rsidRPr="001435A7">
        <w:rPr>
          <w:rFonts w:ascii="Cambria" w:hAnsi="Cambria"/>
          <w:sz w:val="24"/>
          <w:szCs w:val="24"/>
        </w:rPr>
        <w:t>, the ‘creation’</w:t>
      </w:r>
      <w:r w:rsidR="001571F7" w:rsidRPr="001435A7">
        <w:rPr>
          <w:rFonts w:ascii="Cambria" w:hAnsi="Cambria"/>
          <w:sz w:val="24"/>
          <w:szCs w:val="24"/>
        </w:rPr>
        <w:t xml:space="preserve"> </w:t>
      </w:r>
      <w:r w:rsidR="00296CFB" w:rsidRPr="001435A7">
        <w:rPr>
          <w:rFonts w:ascii="Cambria" w:hAnsi="Cambria"/>
          <w:sz w:val="24"/>
          <w:szCs w:val="24"/>
        </w:rPr>
        <w:t>scale was omitted</w:t>
      </w:r>
      <w:r w:rsidR="003A2C20" w:rsidRPr="001435A7">
        <w:rPr>
          <w:rFonts w:ascii="Cambria" w:hAnsi="Cambria"/>
          <w:sz w:val="24"/>
          <w:szCs w:val="24"/>
        </w:rPr>
        <w:t>.</w:t>
      </w:r>
      <w:r w:rsidR="001E49B4" w:rsidRPr="001435A7">
        <w:rPr>
          <w:rFonts w:ascii="Cambria" w:hAnsi="Cambria"/>
          <w:sz w:val="24"/>
          <w:szCs w:val="24"/>
        </w:rPr>
        <w:t xml:space="preserve"> </w:t>
      </w:r>
      <w:r w:rsidR="00C2128E" w:rsidRPr="001435A7">
        <w:rPr>
          <w:rFonts w:ascii="Cambria" w:hAnsi="Cambria"/>
          <w:sz w:val="24"/>
          <w:szCs w:val="24"/>
        </w:rPr>
        <w:t>Some items seem</w:t>
      </w:r>
      <w:r w:rsidR="007905B7" w:rsidRPr="001435A7">
        <w:rPr>
          <w:rFonts w:ascii="Cambria" w:hAnsi="Cambria"/>
          <w:sz w:val="24"/>
          <w:szCs w:val="24"/>
        </w:rPr>
        <w:t>ed</w:t>
      </w:r>
      <w:r w:rsidR="00C2128E" w:rsidRPr="001435A7">
        <w:rPr>
          <w:rFonts w:ascii="Cambria" w:hAnsi="Cambria"/>
          <w:sz w:val="24"/>
          <w:szCs w:val="24"/>
        </w:rPr>
        <w:t xml:space="preserve"> redundant to them</w:t>
      </w:r>
      <w:r w:rsidR="007905B7" w:rsidRPr="001435A7">
        <w:rPr>
          <w:rFonts w:ascii="Cambria" w:hAnsi="Cambria"/>
          <w:sz w:val="24"/>
          <w:szCs w:val="24"/>
        </w:rPr>
        <w:t xml:space="preserve"> and irrelevant to them</w:t>
      </w:r>
      <w:r w:rsidR="008E4138" w:rsidRPr="001435A7">
        <w:rPr>
          <w:rFonts w:ascii="Cambria" w:hAnsi="Cambria"/>
          <w:sz w:val="24"/>
          <w:szCs w:val="24"/>
        </w:rPr>
        <w:t xml:space="preserve">. </w:t>
      </w:r>
      <w:r w:rsidR="00C2128E" w:rsidRPr="001435A7">
        <w:rPr>
          <w:rFonts w:ascii="Cambria" w:hAnsi="Cambria"/>
          <w:sz w:val="24"/>
          <w:szCs w:val="24"/>
        </w:rPr>
        <w:t>These were corrected in the final questionnaire</w:t>
      </w:r>
      <w:r w:rsidR="00D42517" w:rsidRPr="001435A7">
        <w:rPr>
          <w:rFonts w:ascii="Cambria" w:hAnsi="Cambria"/>
          <w:sz w:val="24"/>
          <w:szCs w:val="24"/>
        </w:rPr>
        <w:t>.</w:t>
      </w:r>
    </w:p>
    <w:p w14:paraId="0E15309F" w14:textId="77777777" w:rsidR="00B66590" w:rsidRPr="001435A7" w:rsidRDefault="00B66590" w:rsidP="008E4138">
      <w:pPr>
        <w:spacing w:line="360" w:lineRule="auto"/>
        <w:jc w:val="both"/>
        <w:rPr>
          <w:rFonts w:ascii="Cambria" w:hAnsi="Cambria"/>
          <w:sz w:val="24"/>
          <w:szCs w:val="24"/>
        </w:rPr>
        <w:sectPr w:rsidR="00B66590" w:rsidRPr="001435A7" w:rsidSect="002B23CE">
          <w:pgSz w:w="11906" w:h="16838"/>
          <w:pgMar w:top="1440" w:right="1440" w:bottom="1440" w:left="1440" w:header="709" w:footer="709" w:gutter="0"/>
          <w:cols w:space="708"/>
          <w:docGrid w:linePitch="360"/>
        </w:sectPr>
      </w:pPr>
    </w:p>
    <w:p w14:paraId="29869D90" w14:textId="43B923BE" w:rsidR="0054474F" w:rsidRPr="001435A7" w:rsidRDefault="0054474F" w:rsidP="008E4138">
      <w:pPr>
        <w:spacing w:line="360" w:lineRule="auto"/>
        <w:jc w:val="both"/>
        <w:rPr>
          <w:rFonts w:ascii="Cambria" w:hAnsi="Cambria"/>
          <w:sz w:val="24"/>
          <w:szCs w:val="24"/>
        </w:rPr>
      </w:pPr>
      <w:r w:rsidRPr="001435A7">
        <w:rPr>
          <w:rFonts w:ascii="Cambria" w:hAnsi="Cambria"/>
          <w:sz w:val="24"/>
          <w:szCs w:val="24"/>
        </w:rPr>
        <w:t>Table</w:t>
      </w:r>
      <w:r w:rsidR="00F43D3B" w:rsidRPr="001435A7">
        <w:rPr>
          <w:rFonts w:ascii="Cambria" w:hAnsi="Cambria"/>
          <w:sz w:val="24"/>
          <w:szCs w:val="24"/>
        </w:rPr>
        <w:t xml:space="preserve"> 8</w:t>
      </w:r>
      <w:r w:rsidRPr="001435A7">
        <w:rPr>
          <w:rFonts w:ascii="Cambria" w:hAnsi="Cambria"/>
          <w:sz w:val="24"/>
          <w:szCs w:val="24"/>
        </w:rPr>
        <w:t>: the rationale for changing and omitting the items</w:t>
      </w:r>
    </w:p>
    <w:tbl>
      <w:tblPr>
        <w:tblStyle w:val="TableGrid3"/>
        <w:tblW w:w="13744" w:type="dxa"/>
        <w:tblLook w:val="04A0" w:firstRow="1" w:lastRow="0" w:firstColumn="1" w:lastColumn="0" w:noHBand="0" w:noVBand="1"/>
      </w:tblPr>
      <w:tblGrid>
        <w:gridCol w:w="6091"/>
        <w:gridCol w:w="5528"/>
        <w:gridCol w:w="2125"/>
      </w:tblGrid>
      <w:tr w:rsidR="001435A7" w:rsidRPr="001435A7" w14:paraId="3452F1BA" w14:textId="75564B4A" w:rsidTr="004D6545">
        <w:trPr>
          <w:trHeight w:val="1160"/>
        </w:trPr>
        <w:tc>
          <w:tcPr>
            <w:tcW w:w="6091" w:type="dxa"/>
          </w:tcPr>
          <w:p w14:paraId="3502F5E6" w14:textId="0D4AD92E" w:rsidR="004D6545" w:rsidRPr="001435A7" w:rsidRDefault="004D6545" w:rsidP="00876DC0">
            <w:pPr>
              <w:autoSpaceDE w:val="0"/>
              <w:autoSpaceDN w:val="0"/>
              <w:adjustRightInd w:val="0"/>
              <w:spacing w:line="360" w:lineRule="auto"/>
              <w:ind w:left="-72"/>
              <w:jc w:val="both"/>
              <w:rPr>
                <w:rFonts w:ascii="Cambria" w:hAnsi="Cambria" w:cs="AdvTT6120e2aa"/>
                <w:sz w:val="24"/>
                <w:szCs w:val="24"/>
              </w:rPr>
            </w:pPr>
            <w:r w:rsidRPr="001435A7">
              <w:rPr>
                <w:rFonts w:ascii="Cambria" w:hAnsi="Cambria" w:cs="AdvTT6120e2aa"/>
                <w:sz w:val="24"/>
                <w:szCs w:val="24"/>
              </w:rPr>
              <w:t xml:space="preserve">Engrossment </w:t>
            </w:r>
          </w:p>
          <w:p w14:paraId="4DA04295" w14:textId="77777777" w:rsidR="004D6545" w:rsidRPr="001435A7" w:rsidRDefault="004D6545" w:rsidP="00876DC0">
            <w:pPr>
              <w:autoSpaceDE w:val="0"/>
              <w:autoSpaceDN w:val="0"/>
              <w:adjustRightInd w:val="0"/>
              <w:spacing w:line="360" w:lineRule="auto"/>
              <w:ind w:left="212"/>
              <w:jc w:val="both"/>
              <w:rPr>
                <w:rFonts w:ascii="Cambria" w:hAnsi="Cambria" w:cs="AdvTT6120e2aa"/>
                <w:sz w:val="24"/>
                <w:szCs w:val="24"/>
              </w:rPr>
            </w:pPr>
            <w:r w:rsidRPr="001435A7">
              <w:rPr>
                <w:rFonts w:ascii="Cambria" w:hAnsi="Cambria" w:cs="AdvTT6120e2aa"/>
                <w:sz w:val="24"/>
                <w:szCs w:val="24"/>
              </w:rPr>
              <w:t>While watching the ad, I felt that time was disconnected from my real world</w:t>
            </w:r>
          </w:p>
          <w:p w14:paraId="2B8BBE0B" w14:textId="77777777" w:rsidR="00646656" w:rsidRPr="001435A7" w:rsidRDefault="00646656" w:rsidP="00876DC0">
            <w:pPr>
              <w:autoSpaceDE w:val="0"/>
              <w:autoSpaceDN w:val="0"/>
              <w:adjustRightInd w:val="0"/>
              <w:spacing w:line="360" w:lineRule="auto"/>
              <w:ind w:left="252"/>
              <w:jc w:val="both"/>
              <w:rPr>
                <w:rFonts w:ascii="Cambria" w:hAnsi="Cambria" w:cs="AdvTT6120e2aa"/>
                <w:sz w:val="24"/>
                <w:szCs w:val="24"/>
              </w:rPr>
            </w:pPr>
          </w:p>
          <w:p w14:paraId="182739A7" w14:textId="319B3D4F" w:rsidR="004D6545" w:rsidRPr="001435A7" w:rsidRDefault="004D6545" w:rsidP="00876DC0">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While watching the ad, I lost track of time and heavily focused on the images described in the ad.</w:t>
            </w:r>
          </w:p>
          <w:p w14:paraId="2AFFBFF6" w14:textId="77777777" w:rsidR="000F2453" w:rsidRPr="001435A7" w:rsidRDefault="000F2453" w:rsidP="00876DC0">
            <w:pPr>
              <w:autoSpaceDE w:val="0"/>
              <w:autoSpaceDN w:val="0"/>
              <w:adjustRightInd w:val="0"/>
              <w:spacing w:line="360" w:lineRule="auto"/>
              <w:ind w:left="252"/>
              <w:jc w:val="both"/>
              <w:rPr>
                <w:rFonts w:ascii="Cambria" w:hAnsi="Cambria" w:cs="AdvTT6120e2aa"/>
                <w:sz w:val="24"/>
                <w:szCs w:val="24"/>
              </w:rPr>
            </w:pPr>
          </w:p>
          <w:p w14:paraId="33DB883F" w14:textId="20BDC372" w:rsidR="004D6545" w:rsidRPr="001435A7" w:rsidRDefault="004D6545" w:rsidP="00876DC0">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 xml:space="preserve">While looking at the ad, I felt I was in a different world. </w:t>
            </w:r>
          </w:p>
          <w:p w14:paraId="64AF5249" w14:textId="77777777" w:rsidR="004D6545" w:rsidRPr="001435A7" w:rsidRDefault="004D6545" w:rsidP="00876DC0">
            <w:pPr>
              <w:autoSpaceDE w:val="0"/>
              <w:autoSpaceDN w:val="0"/>
              <w:adjustRightInd w:val="0"/>
              <w:spacing w:line="360" w:lineRule="auto"/>
              <w:ind w:left="252"/>
              <w:jc w:val="both"/>
              <w:rPr>
                <w:rFonts w:ascii="Cambria" w:hAnsi="Cambria" w:cs="AdvTT6120e2aa"/>
                <w:sz w:val="24"/>
                <w:szCs w:val="24"/>
              </w:rPr>
            </w:pPr>
          </w:p>
          <w:p w14:paraId="52EA6DAB" w14:textId="7C3350E0" w:rsidR="004D6545" w:rsidRPr="001435A7" w:rsidRDefault="004D6545" w:rsidP="00646656">
            <w:pPr>
              <w:autoSpaceDE w:val="0"/>
              <w:autoSpaceDN w:val="0"/>
              <w:adjustRightInd w:val="0"/>
              <w:spacing w:line="360" w:lineRule="auto"/>
              <w:ind w:left="252"/>
              <w:jc w:val="both"/>
              <w:rPr>
                <w:rFonts w:ascii="Cambria" w:hAnsi="Cambria"/>
                <w:sz w:val="24"/>
                <w:szCs w:val="24"/>
              </w:rPr>
            </w:pPr>
            <w:r w:rsidRPr="001435A7">
              <w:rPr>
                <w:rFonts w:ascii="Cambria" w:hAnsi="Cambria" w:cs="AdvTT6120e2aa"/>
                <w:sz w:val="24"/>
                <w:szCs w:val="24"/>
              </w:rPr>
              <w:t xml:space="preserve">I felt like I was a different person while looking at the ad. </w:t>
            </w:r>
          </w:p>
        </w:tc>
        <w:tc>
          <w:tcPr>
            <w:tcW w:w="5528" w:type="dxa"/>
          </w:tcPr>
          <w:p w14:paraId="4692713A" w14:textId="77777777" w:rsidR="003D70E6" w:rsidRPr="001435A7" w:rsidRDefault="003D70E6" w:rsidP="000876D7">
            <w:pPr>
              <w:spacing w:line="360" w:lineRule="auto"/>
              <w:jc w:val="both"/>
              <w:rPr>
                <w:rFonts w:ascii="Cambria" w:hAnsi="Cambria"/>
                <w:sz w:val="24"/>
                <w:szCs w:val="24"/>
              </w:rPr>
            </w:pPr>
          </w:p>
          <w:p w14:paraId="136E2F39" w14:textId="4BDBB3ED" w:rsidR="004D6545" w:rsidRPr="001435A7" w:rsidRDefault="004D6545" w:rsidP="000876D7">
            <w:pPr>
              <w:spacing w:line="360" w:lineRule="auto"/>
              <w:jc w:val="both"/>
              <w:rPr>
                <w:rFonts w:ascii="Cambria" w:hAnsi="Cambria"/>
                <w:sz w:val="24"/>
                <w:szCs w:val="24"/>
              </w:rPr>
            </w:pPr>
            <w:r w:rsidRPr="001435A7">
              <w:rPr>
                <w:rFonts w:ascii="Cambria" w:hAnsi="Cambria"/>
                <w:sz w:val="24"/>
                <w:szCs w:val="24"/>
              </w:rPr>
              <w:t xml:space="preserve">While looking at the advertisement </w:t>
            </w:r>
            <w:r w:rsidRPr="001435A7">
              <w:rPr>
                <w:rFonts w:ascii="Cambria" w:hAnsi="Cambria"/>
                <w:b/>
                <w:bCs/>
                <w:i/>
                <w:iCs/>
                <w:sz w:val="24"/>
                <w:szCs w:val="24"/>
              </w:rPr>
              <w:t xml:space="preserve">posted on Facebook, I felt that I was </w:t>
            </w:r>
            <w:r w:rsidRPr="001435A7">
              <w:rPr>
                <w:rFonts w:ascii="Cambria" w:hAnsi="Cambria"/>
                <w:sz w:val="24"/>
                <w:szCs w:val="24"/>
              </w:rPr>
              <w:t>disconnected from my real world.</w:t>
            </w:r>
          </w:p>
          <w:p w14:paraId="051661F8" w14:textId="77777777" w:rsidR="004D6545" w:rsidRPr="001435A7" w:rsidRDefault="004D6545" w:rsidP="000876D7">
            <w:pPr>
              <w:spacing w:line="360" w:lineRule="auto"/>
              <w:jc w:val="both"/>
              <w:rPr>
                <w:rFonts w:ascii="Cambria" w:hAnsi="Cambria"/>
                <w:sz w:val="24"/>
                <w:szCs w:val="24"/>
              </w:rPr>
            </w:pPr>
            <w:r w:rsidRPr="001435A7">
              <w:rPr>
                <w:rFonts w:ascii="Cambria" w:hAnsi="Cambria"/>
                <w:sz w:val="24"/>
                <w:szCs w:val="24"/>
              </w:rPr>
              <w:t>While looking at the advertisement</w:t>
            </w:r>
            <w:r w:rsidRPr="001435A7">
              <w:rPr>
                <w:rFonts w:ascii="Cambria" w:hAnsi="Cambria"/>
                <w:b/>
                <w:bCs/>
                <w:i/>
                <w:iCs/>
                <w:sz w:val="24"/>
                <w:szCs w:val="24"/>
              </w:rPr>
              <w:t xml:space="preserve"> posted on Facebook</w:t>
            </w:r>
            <w:r w:rsidRPr="001435A7">
              <w:rPr>
                <w:rFonts w:ascii="Cambria" w:hAnsi="Cambria"/>
                <w:sz w:val="24"/>
                <w:szCs w:val="24"/>
              </w:rPr>
              <w:t>, I lost track of time and focused on the images described in it</w:t>
            </w:r>
          </w:p>
          <w:p w14:paraId="46B92CC7" w14:textId="77777777" w:rsidR="004D6545" w:rsidRPr="001435A7" w:rsidRDefault="004D6545" w:rsidP="000876D7">
            <w:pPr>
              <w:spacing w:line="360" w:lineRule="auto"/>
              <w:jc w:val="both"/>
              <w:rPr>
                <w:rFonts w:ascii="Cambria" w:hAnsi="Cambria"/>
                <w:sz w:val="24"/>
                <w:szCs w:val="24"/>
              </w:rPr>
            </w:pPr>
            <w:r w:rsidRPr="001435A7">
              <w:rPr>
                <w:rFonts w:ascii="Cambria" w:hAnsi="Cambria"/>
                <w:sz w:val="24"/>
                <w:szCs w:val="24"/>
              </w:rPr>
              <w:t xml:space="preserve">While looking at the </w:t>
            </w:r>
            <w:r w:rsidRPr="001435A7">
              <w:rPr>
                <w:rFonts w:ascii="Cambria" w:hAnsi="Cambria"/>
                <w:b/>
                <w:bCs/>
                <w:i/>
                <w:iCs/>
                <w:sz w:val="24"/>
                <w:szCs w:val="24"/>
              </w:rPr>
              <w:t>advertisement, posted on Facebook,</w:t>
            </w:r>
            <w:r w:rsidRPr="001435A7">
              <w:rPr>
                <w:rFonts w:ascii="Cambria" w:hAnsi="Cambria"/>
                <w:sz w:val="24"/>
                <w:szCs w:val="24"/>
              </w:rPr>
              <w:t xml:space="preserve"> I felt I was in a different world.</w:t>
            </w:r>
          </w:p>
          <w:p w14:paraId="48F7A549" w14:textId="77777777" w:rsidR="004D6545" w:rsidRPr="001435A7" w:rsidRDefault="004D6545" w:rsidP="000876D7">
            <w:pPr>
              <w:spacing w:line="360" w:lineRule="auto"/>
              <w:jc w:val="both"/>
              <w:rPr>
                <w:rFonts w:ascii="Cambria" w:hAnsi="Cambria"/>
                <w:sz w:val="24"/>
                <w:szCs w:val="24"/>
              </w:rPr>
            </w:pPr>
            <w:r w:rsidRPr="001435A7">
              <w:rPr>
                <w:rFonts w:ascii="Cambria" w:hAnsi="Cambria"/>
                <w:sz w:val="24"/>
                <w:szCs w:val="24"/>
              </w:rPr>
              <w:t xml:space="preserve">I felt like I was a different person while looking at the advertisement </w:t>
            </w:r>
            <w:r w:rsidRPr="001435A7">
              <w:rPr>
                <w:rFonts w:ascii="Cambria" w:hAnsi="Cambria"/>
                <w:b/>
                <w:bCs/>
                <w:i/>
                <w:iCs/>
                <w:sz w:val="24"/>
                <w:szCs w:val="24"/>
              </w:rPr>
              <w:t>posted on Facebook</w:t>
            </w:r>
            <w:r w:rsidRPr="001435A7">
              <w:rPr>
                <w:rFonts w:ascii="Cambria" w:hAnsi="Cambria"/>
                <w:sz w:val="24"/>
                <w:szCs w:val="24"/>
              </w:rPr>
              <w:t>.</w:t>
            </w:r>
          </w:p>
        </w:tc>
        <w:tc>
          <w:tcPr>
            <w:tcW w:w="2125" w:type="dxa"/>
          </w:tcPr>
          <w:p w14:paraId="0A934AC6" w14:textId="4FA49705" w:rsidR="004D6545" w:rsidRPr="001435A7" w:rsidRDefault="00D2283D" w:rsidP="000876D7">
            <w:pPr>
              <w:spacing w:line="360" w:lineRule="auto"/>
              <w:jc w:val="both"/>
              <w:rPr>
                <w:rFonts w:ascii="Cambria" w:hAnsi="Cambria"/>
                <w:sz w:val="24"/>
                <w:szCs w:val="24"/>
              </w:rPr>
            </w:pPr>
            <w:r w:rsidRPr="001435A7">
              <w:rPr>
                <w:rFonts w:ascii="Cambria" w:hAnsi="Cambria"/>
                <w:sz w:val="24"/>
                <w:szCs w:val="24"/>
              </w:rPr>
              <w:t>Wordings has been made more relevant to the study</w:t>
            </w:r>
            <w:r w:rsidR="00C15B63" w:rsidRPr="001435A7">
              <w:rPr>
                <w:rFonts w:ascii="Cambria" w:hAnsi="Cambria"/>
                <w:sz w:val="24"/>
                <w:szCs w:val="24"/>
              </w:rPr>
              <w:t>, to facilitate the understanding of the respondents</w:t>
            </w:r>
          </w:p>
        </w:tc>
      </w:tr>
      <w:tr w:rsidR="001435A7" w:rsidRPr="001435A7" w14:paraId="73D61A94" w14:textId="306DCB6A" w:rsidTr="00E7503B">
        <w:trPr>
          <w:trHeight w:val="2117"/>
        </w:trPr>
        <w:tc>
          <w:tcPr>
            <w:tcW w:w="6091" w:type="dxa"/>
          </w:tcPr>
          <w:p w14:paraId="7F7E036D" w14:textId="34DD9775" w:rsidR="00C15B63" w:rsidRPr="001435A7" w:rsidRDefault="00C15B63" w:rsidP="00C15B63">
            <w:pPr>
              <w:autoSpaceDE w:val="0"/>
              <w:autoSpaceDN w:val="0"/>
              <w:adjustRightInd w:val="0"/>
              <w:spacing w:line="360" w:lineRule="auto"/>
              <w:ind w:left="-72"/>
              <w:jc w:val="both"/>
              <w:rPr>
                <w:rFonts w:ascii="Cambria" w:hAnsi="Cambria" w:cs="AdvTT6120e2aa"/>
                <w:sz w:val="24"/>
                <w:szCs w:val="24"/>
              </w:rPr>
            </w:pPr>
            <w:r w:rsidRPr="001435A7">
              <w:rPr>
                <w:rFonts w:ascii="Cambria" w:hAnsi="Cambria" w:cs="AdvTT6120e2aa"/>
                <w:sz w:val="24"/>
                <w:szCs w:val="24"/>
              </w:rPr>
              <w:t>Self–projection</w:t>
            </w:r>
          </w:p>
          <w:p w14:paraId="20566383"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 xml:space="preserve">I had images of myself in the ad. </w:t>
            </w:r>
          </w:p>
          <w:p w14:paraId="2A341947"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p>
          <w:p w14:paraId="2D345642" w14:textId="1F18CE1F"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 xml:space="preserve">I pictured </w:t>
            </w:r>
            <w:r w:rsidR="00613FB3" w:rsidRPr="001435A7">
              <w:rPr>
                <w:rFonts w:ascii="Cambria" w:hAnsi="Cambria" w:cs="AdvTT6120e2aa"/>
                <w:sz w:val="24"/>
                <w:szCs w:val="24"/>
              </w:rPr>
              <w:t>myself using</w:t>
            </w:r>
            <w:r w:rsidRPr="001435A7">
              <w:rPr>
                <w:rFonts w:ascii="Cambria" w:hAnsi="Cambria" w:cs="AdvTT6120e2aa"/>
                <w:sz w:val="24"/>
                <w:szCs w:val="24"/>
              </w:rPr>
              <w:t xml:space="preserve"> the product. </w:t>
            </w:r>
          </w:p>
          <w:p w14:paraId="04222C66"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p>
          <w:p w14:paraId="4BDDE842" w14:textId="7D536A4E"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The mental images that came to mind formed a picture in my mind in which I was a part.</w:t>
            </w:r>
          </w:p>
          <w:p w14:paraId="1B24145B"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I could easily construct a story about myself and the featured product based on the mental images that came to mind.</w:t>
            </w:r>
          </w:p>
          <w:p w14:paraId="272411C8" w14:textId="737FFB8D" w:rsidR="00C15B63" w:rsidRPr="001435A7" w:rsidRDefault="00C15B63" w:rsidP="00C15B63">
            <w:pPr>
              <w:autoSpaceDE w:val="0"/>
              <w:autoSpaceDN w:val="0"/>
              <w:adjustRightInd w:val="0"/>
              <w:spacing w:line="360" w:lineRule="auto"/>
              <w:ind w:left="252"/>
              <w:jc w:val="both"/>
              <w:rPr>
                <w:rFonts w:ascii="Cambria" w:hAnsi="Cambria"/>
                <w:sz w:val="24"/>
                <w:szCs w:val="24"/>
              </w:rPr>
            </w:pPr>
            <w:r w:rsidRPr="001435A7">
              <w:rPr>
                <w:rFonts w:ascii="Cambria" w:hAnsi="Cambria" w:cs="AdvTT6120e2aa"/>
                <w:sz w:val="24"/>
                <w:szCs w:val="24"/>
              </w:rPr>
              <w:t>I was easily able to project myself into the story in the ad.</w:t>
            </w:r>
          </w:p>
        </w:tc>
        <w:tc>
          <w:tcPr>
            <w:tcW w:w="5528" w:type="dxa"/>
          </w:tcPr>
          <w:p w14:paraId="2A504C87" w14:textId="77777777" w:rsidR="00C15B63" w:rsidRPr="001435A7" w:rsidRDefault="00C15B63" w:rsidP="00C15B63">
            <w:pPr>
              <w:spacing w:line="360" w:lineRule="auto"/>
              <w:jc w:val="both"/>
              <w:rPr>
                <w:rFonts w:ascii="Cambria" w:hAnsi="Cambria"/>
                <w:sz w:val="24"/>
                <w:szCs w:val="24"/>
              </w:rPr>
            </w:pPr>
          </w:p>
          <w:p w14:paraId="6D102C8F" w14:textId="34F4B1A8"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had images of myself in the advertisement </w:t>
            </w:r>
            <w:r w:rsidRPr="001435A7">
              <w:rPr>
                <w:rFonts w:ascii="Cambria" w:hAnsi="Cambria"/>
                <w:b/>
                <w:bCs/>
                <w:i/>
                <w:iCs/>
                <w:sz w:val="24"/>
                <w:szCs w:val="24"/>
              </w:rPr>
              <w:t>posted on Facebook</w:t>
            </w:r>
            <w:r w:rsidRPr="001435A7">
              <w:rPr>
                <w:rFonts w:ascii="Cambria" w:hAnsi="Cambria"/>
                <w:sz w:val="24"/>
                <w:szCs w:val="24"/>
              </w:rPr>
              <w:t>.</w:t>
            </w:r>
          </w:p>
          <w:p w14:paraId="208A4870" w14:textId="5C7A6FF5"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can picture myself </w:t>
            </w:r>
            <w:r w:rsidRPr="001435A7">
              <w:rPr>
                <w:rFonts w:ascii="Cambria" w:hAnsi="Cambria"/>
                <w:b/>
                <w:bCs/>
                <w:i/>
                <w:iCs/>
                <w:sz w:val="24"/>
                <w:szCs w:val="24"/>
              </w:rPr>
              <w:t>drinking the coffee like the advertisement posted on Facebook</w:t>
            </w:r>
            <w:r w:rsidRPr="001435A7">
              <w:rPr>
                <w:rFonts w:ascii="Cambria" w:hAnsi="Cambria"/>
                <w:sz w:val="24"/>
                <w:szCs w:val="24"/>
              </w:rPr>
              <w:t>.</w:t>
            </w:r>
          </w:p>
          <w:p w14:paraId="7409A61C" w14:textId="77777777"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This advertisement </w:t>
            </w:r>
            <w:r w:rsidRPr="001435A7">
              <w:rPr>
                <w:rFonts w:ascii="Cambria" w:hAnsi="Cambria"/>
                <w:b/>
                <w:bCs/>
                <w:i/>
                <w:iCs/>
                <w:sz w:val="24"/>
                <w:szCs w:val="24"/>
              </w:rPr>
              <w:t>posted on Facebook inspires</w:t>
            </w:r>
            <w:r w:rsidRPr="001435A7">
              <w:rPr>
                <w:rFonts w:ascii="Cambria" w:hAnsi="Cambria"/>
                <w:sz w:val="24"/>
                <w:szCs w:val="24"/>
              </w:rPr>
              <w:t xml:space="preserve"> mental images in me </w:t>
            </w:r>
            <w:r w:rsidRPr="001435A7">
              <w:rPr>
                <w:rFonts w:ascii="Cambria" w:hAnsi="Cambria"/>
                <w:b/>
                <w:bCs/>
                <w:i/>
                <w:iCs/>
                <w:sz w:val="24"/>
                <w:szCs w:val="24"/>
              </w:rPr>
              <w:t>as if</w:t>
            </w:r>
            <w:r w:rsidRPr="001435A7">
              <w:rPr>
                <w:rFonts w:ascii="Cambria" w:hAnsi="Cambria"/>
                <w:sz w:val="24"/>
                <w:szCs w:val="24"/>
              </w:rPr>
              <w:t xml:space="preserve"> I am a part </w:t>
            </w:r>
            <w:r w:rsidRPr="001435A7">
              <w:rPr>
                <w:rFonts w:ascii="Cambria" w:hAnsi="Cambria"/>
                <w:b/>
                <w:bCs/>
                <w:i/>
                <w:iCs/>
                <w:sz w:val="24"/>
                <w:szCs w:val="24"/>
              </w:rPr>
              <w:t>of the scenario shown in it.</w:t>
            </w:r>
          </w:p>
          <w:p w14:paraId="31366D92" w14:textId="77777777"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could construct a story about myself and the featured </w:t>
            </w:r>
            <w:r w:rsidRPr="001435A7">
              <w:rPr>
                <w:rFonts w:ascii="Cambria" w:hAnsi="Cambria"/>
                <w:b/>
                <w:bCs/>
                <w:i/>
                <w:iCs/>
                <w:sz w:val="24"/>
                <w:szCs w:val="24"/>
              </w:rPr>
              <w:t>coffee</w:t>
            </w:r>
            <w:r w:rsidRPr="001435A7">
              <w:rPr>
                <w:rFonts w:ascii="Cambria" w:hAnsi="Cambria"/>
                <w:sz w:val="24"/>
                <w:szCs w:val="24"/>
              </w:rPr>
              <w:t xml:space="preserve"> based on the mental images that came to my mind.</w:t>
            </w:r>
          </w:p>
          <w:p w14:paraId="10163503" w14:textId="1C6838B8"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was easily able to project myself into the picture in the advertisement </w:t>
            </w:r>
            <w:r w:rsidRPr="001435A7">
              <w:rPr>
                <w:rFonts w:ascii="Cambria" w:hAnsi="Cambria"/>
                <w:b/>
                <w:bCs/>
                <w:i/>
                <w:iCs/>
                <w:sz w:val="24"/>
                <w:szCs w:val="24"/>
              </w:rPr>
              <w:t>posted on Facebook.</w:t>
            </w:r>
          </w:p>
        </w:tc>
        <w:tc>
          <w:tcPr>
            <w:tcW w:w="2125" w:type="dxa"/>
          </w:tcPr>
          <w:p w14:paraId="7F2167F0" w14:textId="11DDFA9A"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Wordings has been made more relevant to the study, to facilitate the understanding of the respondents</w:t>
            </w:r>
          </w:p>
        </w:tc>
      </w:tr>
      <w:tr w:rsidR="001435A7" w:rsidRPr="001435A7" w14:paraId="18DED86E" w14:textId="7A5AE7B0" w:rsidTr="004D6545">
        <w:trPr>
          <w:trHeight w:val="620"/>
        </w:trPr>
        <w:tc>
          <w:tcPr>
            <w:tcW w:w="6091" w:type="dxa"/>
          </w:tcPr>
          <w:p w14:paraId="19643E1B" w14:textId="0B35B0C8" w:rsidR="00C15B63" w:rsidRPr="001435A7" w:rsidRDefault="00C15B63" w:rsidP="00C15B63">
            <w:pPr>
              <w:autoSpaceDE w:val="0"/>
              <w:autoSpaceDN w:val="0"/>
              <w:adjustRightInd w:val="0"/>
              <w:spacing w:line="360" w:lineRule="auto"/>
              <w:ind w:left="-72"/>
              <w:jc w:val="both"/>
              <w:rPr>
                <w:rFonts w:ascii="Cambria" w:hAnsi="Cambria" w:cs="AdvTT6120e2aa"/>
                <w:sz w:val="24"/>
                <w:szCs w:val="24"/>
              </w:rPr>
            </w:pPr>
            <w:r w:rsidRPr="001435A7">
              <w:rPr>
                <w:rFonts w:ascii="Cambria" w:hAnsi="Cambria" w:cs="AdvTT6120e2aa"/>
                <w:sz w:val="24"/>
                <w:szCs w:val="24"/>
              </w:rPr>
              <w:t xml:space="preserve">Mental fluency </w:t>
            </w:r>
          </w:p>
          <w:p w14:paraId="35AF4968"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How much effort was required to retrieve the images you saw in the ad?</w:t>
            </w:r>
          </w:p>
          <w:p w14:paraId="209FEC15" w14:textId="77777777" w:rsidR="00C15B63" w:rsidRPr="001435A7" w:rsidRDefault="00C15B63" w:rsidP="00C15B63">
            <w:pPr>
              <w:autoSpaceDE w:val="0"/>
              <w:autoSpaceDN w:val="0"/>
              <w:adjustRightInd w:val="0"/>
              <w:spacing w:line="360" w:lineRule="auto"/>
              <w:ind w:left="252"/>
              <w:jc w:val="both"/>
              <w:rPr>
                <w:rFonts w:ascii="Cambria" w:hAnsi="Cambria" w:cs="AdvTT6120e2aa"/>
                <w:sz w:val="24"/>
                <w:szCs w:val="24"/>
              </w:rPr>
            </w:pPr>
            <w:r w:rsidRPr="001435A7">
              <w:rPr>
                <w:rFonts w:ascii="Cambria" w:hAnsi="Cambria" w:cs="AdvTT6120e2aa"/>
                <w:sz w:val="24"/>
                <w:szCs w:val="24"/>
              </w:rPr>
              <w:t>How much effort was required to imagine yourself being in the scene(s) described in the ad?</w:t>
            </w:r>
          </w:p>
          <w:p w14:paraId="60AF6A84" w14:textId="3230982E" w:rsidR="00C15B63" w:rsidRPr="001435A7" w:rsidRDefault="00C15B63" w:rsidP="00C15B63">
            <w:pPr>
              <w:spacing w:line="360" w:lineRule="auto"/>
              <w:jc w:val="both"/>
              <w:rPr>
                <w:rFonts w:ascii="Cambria" w:hAnsi="Cambria"/>
                <w:sz w:val="24"/>
                <w:szCs w:val="24"/>
              </w:rPr>
            </w:pPr>
            <w:r w:rsidRPr="001435A7">
              <w:rPr>
                <w:rFonts w:ascii="Cambria" w:hAnsi="Cambria" w:cs="AdvTT6120e2aa"/>
                <w:sz w:val="24"/>
                <w:szCs w:val="24"/>
              </w:rPr>
              <w:t xml:space="preserve">       How long did it take to recreate in your mind the image(s) you saw in the ad?</w:t>
            </w:r>
          </w:p>
        </w:tc>
        <w:tc>
          <w:tcPr>
            <w:tcW w:w="5528" w:type="dxa"/>
          </w:tcPr>
          <w:p w14:paraId="65478964" w14:textId="77777777" w:rsidR="00C15B63" w:rsidRPr="001435A7" w:rsidRDefault="00C15B63" w:rsidP="00C15B63">
            <w:pPr>
              <w:spacing w:line="360" w:lineRule="auto"/>
              <w:jc w:val="both"/>
              <w:rPr>
                <w:rFonts w:ascii="Cambria" w:hAnsi="Cambria"/>
                <w:sz w:val="24"/>
                <w:szCs w:val="24"/>
              </w:rPr>
            </w:pPr>
          </w:p>
          <w:p w14:paraId="77C69374" w14:textId="638E4DB2"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can easily retrieve the images I saw in the </w:t>
            </w:r>
            <w:r w:rsidRPr="001435A7">
              <w:rPr>
                <w:rFonts w:ascii="Cambria" w:hAnsi="Cambria"/>
                <w:b/>
                <w:bCs/>
              </w:rPr>
              <w:t>advertisement posted on Facebook.</w:t>
            </w:r>
          </w:p>
          <w:p w14:paraId="1813B45E" w14:textId="77777777"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 can easily imagine myself being in the scenario described in the advertisement </w:t>
            </w:r>
            <w:r w:rsidRPr="001435A7">
              <w:rPr>
                <w:rFonts w:ascii="Cambria" w:hAnsi="Cambria"/>
                <w:b/>
                <w:bCs/>
                <w:i/>
                <w:iCs/>
                <w:sz w:val="24"/>
                <w:szCs w:val="24"/>
              </w:rPr>
              <w:t>posted on Facebook</w:t>
            </w:r>
            <w:r w:rsidRPr="001435A7">
              <w:rPr>
                <w:rFonts w:ascii="Cambria" w:hAnsi="Cambria"/>
                <w:sz w:val="24"/>
                <w:szCs w:val="24"/>
              </w:rPr>
              <w:t>.</w:t>
            </w:r>
          </w:p>
          <w:p w14:paraId="2CAAA974" w14:textId="77777777" w:rsidR="00C15B63" w:rsidRPr="001435A7" w:rsidRDefault="00C15B63" w:rsidP="00C15B63">
            <w:pPr>
              <w:spacing w:line="360" w:lineRule="auto"/>
              <w:jc w:val="both"/>
              <w:rPr>
                <w:rFonts w:ascii="Cambria" w:hAnsi="Cambria"/>
                <w:sz w:val="24"/>
                <w:szCs w:val="24"/>
              </w:rPr>
            </w:pPr>
            <w:r w:rsidRPr="001435A7">
              <w:rPr>
                <w:rFonts w:ascii="Cambria" w:hAnsi="Cambria"/>
                <w:sz w:val="24"/>
                <w:szCs w:val="24"/>
              </w:rPr>
              <w:t xml:space="preserve">It </w:t>
            </w:r>
            <w:r w:rsidRPr="001435A7">
              <w:rPr>
                <w:rFonts w:ascii="Cambria" w:hAnsi="Cambria"/>
                <w:b/>
                <w:bCs/>
                <w:i/>
                <w:iCs/>
                <w:sz w:val="24"/>
                <w:szCs w:val="24"/>
              </w:rPr>
              <w:t>takes no time</w:t>
            </w:r>
            <w:r w:rsidRPr="001435A7">
              <w:rPr>
                <w:rFonts w:ascii="Cambria" w:hAnsi="Cambria"/>
                <w:sz w:val="24"/>
                <w:szCs w:val="24"/>
              </w:rPr>
              <w:t xml:space="preserve"> to recreate the image I saw in the advertisement </w:t>
            </w:r>
            <w:r w:rsidRPr="001435A7">
              <w:rPr>
                <w:rFonts w:ascii="Cambria" w:hAnsi="Cambria"/>
                <w:b/>
                <w:bCs/>
                <w:i/>
                <w:iCs/>
                <w:sz w:val="24"/>
                <w:szCs w:val="24"/>
              </w:rPr>
              <w:t>posted on Facebook</w:t>
            </w:r>
            <w:r w:rsidRPr="001435A7">
              <w:rPr>
                <w:rFonts w:ascii="Cambria" w:hAnsi="Cambria"/>
                <w:sz w:val="24"/>
                <w:szCs w:val="24"/>
              </w:rPr>
              <w:t xml:space="preserve"> in my mind.</w:t>
            </w:r>
          </w:p>
        </w:tc>
        <w:tc>
          <w:tcPr>
            <w:tcW w:w="2125" w:type="dxa"/>
          </w:tcPr>
          <w:p w14:paraId="0C7756AF" w14:textId="74FE01D0" w:rsidR="00C15B63" w:rsidRPr="001435A7" w:rsidRDefault="00D64E79" w:rsidP="00C15B63">
            <w:pPr>
              <w:spacing w:line="360" w:lineRule="auto"/>
              <w:jc w:val="both"/>
              <w:rPr>
                <w:rFonts w:ascii="Cambria" w:hAnsi="Cambria"/>
                <w:sz w:val="24"/>
                <w:szCs w:val="24"/>
              </w:rPr>
            </w:pPr>
            <w:r w:rsidRPr="001435A7">
              <w:rPr>
                <w:rFonts w:ascii="Cambria" w:hAnsi="Cambria"/>
                <w:sz w:val="24"/>
                <w:szCs w:val="24"/>
              </w:rPr>
              <w:t>Along with the change of the wordings</w:t>
            </w:r>
            <w:r w:rsidR="00FF5B2D" w:rsidRPr="001435A7">
              <w:rPr>
                <w:rFonts w:ascii="Cambria" w:hAnsi="Cambria"/>
                <w:sz w:val="24"/>
                <w:szCs w:val="24"/>
              </w:rPr>
              <w:t>, the</w:t>
            </w:r>
            <w:r w:rsidR="00C14702" w:rsidRPr="001435A7">
              <w:rPr>
                <w:rFonts w:ascii="Cambria" w:hAnsi="Cambria"/>
                <w:sz w:val="24"/>
                <w:szCs w:val="24"/>
              </w:rPr>
              <w:t xml:space="preserve"> format of the items </w:t>
            </w:r>
            <w:r w:rsidR="00613FB3" w:rsidRPr="001435A7">
              <w:rPr>
                <w:rFonts w:ascii="Cambria" w:hAnsi="Cambria"/>
                <w:sz w:val="24"/>
                <w:szCs w:val="24"/>
              </w:rPr>
              <w:t>has</w:t>
            </w:r>
            <w:r w:rsidR="00C14702" w:rsidRPr="001435A7">
              <w:rPr>
                <w:rFonts w:ascii="Cambria" w:hAnsi="Cambria"/>
                <w:sz w:val="24"/>
                <w:szCs w:val="24"/>
              </w:rPr>
              <w:t xml:space="preserve"> been changed from </w:t>
            </w:r>
            <w:r w:rsidR="00A37033" w:rsidRPr="001435A7">
              <w:rPr>
                <w:rFonts w:ascii="Cambria" w:hAnsi="Cambria"/>
                <w:sz w:val="24"/>
                <w:szCs w:val="24"/>
              </w:rPr>
              <w:t xml:space="preserve">questions style to statement style to be more aligned with the </w:t>
            </w:r>
            <w:r w:rsidR="00063802" w:rsidRPr="001435A7">
              <w:rPr>
                <w:rFonts w:ascii="Cambria" w:hAnsi="Cambria"/>
                <w:sz w:val="24"/>
                <w:szCs w:val="24"/>
              </w:rPr>
              <w:t>rest of the it</w:t>
            </w:r>
            <w:r w:rsidR="001C51C4" w:rsidRPr="001435A7">
              <w:rPr>
                <w:rFonts w:ascii="Cambria" w:hAnsi="Cambria"/>
                <w:sz w:val="24"/>
                <w:szCs w:val="24"/>
              </w:rPr>
              <w:t>e</w:t>
            </w:r>
            <w:r w:rsidR="00063802" w:rsidRPr="001435A7">
              <w:rPr>
                <w:rFonts w:ascii="Cambria" w:hAnsi="Cambria"/>
                <w:sz w:val="24"/>
                <w:szCs w:val="24"/>
              </w:rPr>
              <w:t>ms</w:t>
            </w:r>
          </w:p>
        </w:tc>
      </w:tr>
      <w:tr w:rsidR="001435A7" w:rsidRPr="001435A7" w14:paraId="48B884FB" w14:textId="77777777" w:rsidTr="004D6545">
        <w:trPr>
          <w:trHeight w:val="620"/>
        </w:trPr>
        <w:tc>
          <w:tcPr>
            <w:tcW w:w="6091" w:type="dxa"/>
          </w:tcPr>
          <w:p w14:paraId="012CA598" w14:textId="77777777" w:rsidR="00BA51FC" w:rsidRPr="001435A7" w:rsidRDefault="00BA51FC" w:rsidP="00BA51FC">
            <w:pPr>
              <w:spacing w:line="360" w:lineRule="auto"/>
              <w:jc w:val="both"/>
              <w:rPr>
                <w:rFonts w:ascii="Cambria" w:hAnsi="Cambria" w:cs="AdvTT6120e2aa"/>
                <w:sz w:val="24"/>
                <w:szCs w:val="24"/>
              </w:rPr>
            </w:pPr>
            <w:r w:rsidRPr="001435A7">
              <w:rPr>
                <w:rFonts w:ascii="Cambria" w:hAnsi="Cambria" w:cs="AdvTT6120e2aa"/>
                <w:sz w:val="24"/>
                <w:szCs w:val="24"/>
              </w:rPr>
              <w:t>Consumption</w:t>
            </w:r>
          </w:p>
          <w:p w14:paraId="28D95884" w14:textId="77777777"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I have read the post of the brand on social media</w:t>
            </w:r>
          </w:p>
          <w:p w14:paraId="35257E72" w14:textId="77777777"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I have read related pages of brand on social media</w:t>
            </w:r>
          </w:p>
          <w:p w14:paraId="7A70AD1F" w14:textId="2A05B60D"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 xml:space="preserve">I have Watched pictures or graphics of </w:t>
            </w:r>
            <w:r w:rsidR="00613FB3" w:rsidRPr="001435A7">
              <w:rPr>
                <w:rFonts w:ascii="Cambria" w:hAnsi="Cambria" w:cs="AdvTT6120e2aa"/>
                <w:sz w:val="24"/>
                <w:szCs w:val="24"/>
              </w:rPr>
              <w:t>the brand</w:t>
            </w:r>
          </w:p>
          <w:p w14:paraId="4FAE6E51" w14:textId="20F50FE0"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 xml:space="preserve">I Follow </w:t>
            </w:r>
            <w:r w:rsidR="00613FB3" w:rsidRPr="001435A7">
              <w:rPr>
                <w:rFonts w:ascii="Cambria" w:hAnsi="Cambria" w:cs="AdvTT6120e2aa"/>
                <w:sz w:val="24"/>
                <w:szCs w:val="24"/>
              </w:rPr>
              <w:t>Facebook</w:t>
            </w:r>
            <w:r w:rsidRPr="001435A7">
              <w:rPr>
                <w:rFonts w:ascii="Cambria" w:hAnsi="Cambria" w:cs="AdvTT6120e2aa"/>
                <w:sz w:val="24"/>
                <w:szCs w:val="24"/>
              </w:rPr>
              <w:t xml:space="preserve"> page where they talk about the brand</w:t>
            </w:r>
          </w:p>
          <w:p w14:paraId="71CAF8CF" w14:textId="3E556CD4"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 xml:space="preserve">I Follow pages on social media where they </w:t>
            </w:r>
            <w:r w:rsidR="00613FB3" w:rsidRPr="001435A7">
              <w:rPr>
                <w:rFonts w:ascii="Cambria" w:hAnsi="Cambria" w:cs="AdvTT6120e2aa"/>
                <w:sz w:val="24"/>
                <w:szCs w:val="24"/>
              </w:rPr>
              <w:t>are talking</w:t>
            </w:r>
            <w:r w:rsidRPr="001435A7">
              <w:rPr>
                <w:rFonts w:ascii="Cambria" w:hAnsi="Cambria" w:cs="AdvTT6120e2aa"/>
                <w:sz w:val="24"/>
                <w:szCs w:val="24"/>
              </w:rPr>
              <w:t xml:space="preserve"> about brand</w:t>
            </w:r>
          </w:p>
          <w:p w14:paraId="12B7FFCF" w14:textId="77777777" w:rsidR="00BA51FC" w:rsidRPr="001435A7" w:rsidRDefault="00BA51FC" w:rsidP="00BA51FC">
            <w:pPr>
              <w:spacing w:line="360" w:lineRule="auto"/>
              <w:jc w:val="both"/>
              <w:rPr>
                <w:rFonts w:ascii="Cambria" w:hAnsi="Cambria" w:cs="AdvTT6120e2aa"/>
                <w:sz w:val="24"/>
                <w:szCs w:val="24"/>
              </w:rPr>
            </w:pPr>
            <w:r w:rsidRPr="001435A7">
              <w:rPr>
                <w:rFonts w:ascii="Cambria" w:hAnsi="Cambria" w:cs="AdvTT6120e2aa"/>
                <w:sz w:val="24"/>
                <w:szCs w:val="24"/>
              </w:rPr>
              <w:t xml:space="preserve">Contribution </w:t>
            </w:r>
          </w:p>
          <w:p w14:paraId="37DD5D2D" w14:textId="77777777"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I Comment on the advertisement related to the brand</w:t>
            </w:r>
          </w:p>
          <w:p w14:paraId="424C4AEF" w14:textId="77777777"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I Comment on posts related to the of brand</w:t>
            </w:r>
          </w:p>
          <w:p w14:paraId="03E38686" w14:textId="3E7C0AF5"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 xml:space="preserve">I Comment on pictures or </w:t>
            </w:r>
            <w:r w:rsidR="00613FB3" w:rsidRPr="001435A7">
              <w:rPr>
                <w:rFonts w:ascii="Cambria" w:hAnsi="Cambria" w:cs="AdvTT6120e2aa"/>
                <w:sz w:val="24"/>
                <w:szCs w:val="24"/>
              </w:rPr>
              <w:t>graphics related</w:t>
            </w:r>
            <w:r w:rsidRPr="001435A7">
              <w:rPr>
                <w:rFonts w:ascii="Cambria" w:hAnsi="Cambria" w:cs="AdvTT6120e2aa"/>
                <w:sz w:val="24"/>
                <w:szCs w:val="24"/>
              </w:rPr>
              <w:t xml:space="preserve"> to </w:t>
            </w:r>
            <w:r w:rsidR="00613FB3" w:rsidRPr="001435A7">
              <w:rPr>
                <w:rFonts w:ascii="Cambria" w:hAnsi="Cambria" w:cs="AdvTT6120e2aa"/>
                <w:sz w:val="24"/>
                <w:szCs w:val="24"/>
              </w:rPr>
              <w:t>the brand</w:t>
            </w:r>
          </w:p>
          <w:p w14:paraId="4AAC7209" w14:textId="77777777"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I Share post related to brand</w:t>
            </w:r>
          </w:p>
          <w:p w14:paraId="2012BD9D" w14:textId="77777777" w:rsidR="00BB068F" w:rsidRPr="001435A7" w:rsidRDefault="00BB068F" w:rsidP="00BA51FC">
            <w:pPr>
              <w:spacing w:line="360" w:lineRule="auto"/>
              <w:ind w:left="85"/>
              <w:jc w:val="both"/>
              <w:rPr>
                <w:rFonts w:ascii="Cambria" w:hAnsi="Cambria" w:cs="AdvTT6120e2aa"/>
                <w:sz w:val="24"/>
                <w:szCs w:val="24"/>
              </w:rPr>
            </w:pPr>
          </w:p>
          <w:p w14:paraId="549F9551" w14:textId="705DBE8E" w:rsidR="00BA51FC" w:rsidRPr="001435A7" w:rsidRDefault="00BA51FC" w:rsidP="00BA51FC">
            <w:pPr>
              <w:spacing w:line="360" w:lineRule="auto"/>
              <w:ind w:left="85"/>
              <w:jc w:val="both"/>
              <w:rPr>
                <w:rFonts w:ascii="Cambria" w:hAnsi="Cambria" w:cs="AdvTT6120e2aa"/>
                <w:sz w:val="24"/>
                <w:szCs w:val="24"/>
              </w:rPr>
            </w:pPr>
            <w:r w:rsidRPr="001435A7">
              <w:rPr>
                <w:rFonts w:ascii="Cambria" w:hAnsi="Cambria" w:cs="AdvTT6120e2aa"/>
                <w:sz w:val="24"/>
                <w:szCs w:val="24"/>
              </w:rPr>
              <w:t xml:space="preserve">I ‘Like’ pictures or graphics related to </w:t>
            </w:r>
            <w:r w:rsidR="00613FB3" w:rsidRPr="001435A7">
              <w:rPr>
                <w:rFonts w:ascii="Cambria" w:hAnsi="Cambria" w:cs="AdvTT6120e2aa"/>
                <w:sz w:val="24"/>
                <w:szCs w:val="24"/>
              </w:rPr>
              <w:t>the brand</w:t>
            </w:r>
          </w:p>
          <w:p w14:paraId="3BF8EAC6" w14:textId="55186A55" w:rsidR="00FF5B2D" w:rsidRPr="001435A7" w:rsidRDefault="00BA51FC" w:rsidP="00BB068F">
            <w:pPr>
              <w:spacing w:line="360" w:lineRule="auto"/>
              <w:ind w:left="85"/>
              <w:jc w:val="both"/>
              <w:rPr>
                <w:rFonts w:ascii="Cambria" w:hAnsi="Cambria" w:cs="AdvTT6120e2aa"/>
                <w:sz w:val="24"/>
                <w:szCs w:val="24"/>
              </w:rPr>
            </w:pPr>
            <w:r w:rsidRPr="001435A7">
              <w:rPr>
                <w:rFonts w:ascii="Cambria" w:hAnsi="Cambria" w:cs="AdvTT6120e2aa"/>
                <w:sz w:val="24"/>
                <w:szCs w:val="24"/>
              </w:rPr>
              <w:t>I ‘Like’ posts or graphics related to the of brand</w:t>
            </w:r>
          </w:p>
        </w:tc>
        <w:tc>
          <w:tcPr>
            <w:tcW w:w="5528" w:type="dxa"/>
          </w:tcPr>
          <w:p w14:paraId="443D2109" w14:textId="77777777" w:rsidR="00EA22F2" w:rsidRPr="001435A7" w:rsidRDefault="00EA22F2" w:rsidP="00EA22F2">
            <w:pPr>
              <w:tabs>
                <w:tab w:val="left" w:pos="4845"/>
              </w:tabs>
              <w:spacing w:line="360" w:lineRule="auto"/>
              <w:jc w:val="both"/>
              <w:rPr>
                <w:rFonts w:ascii="Cambria" w:hAnsi="Cambria"/>
                <w:sz w:val="24"/>
                <w:szCs w:val="24"/>
              </w:rPr>
            </w:pPr>
          </w:p>
          <w:p w14:paraId="46146328" w14:textId="69C5C089" w:rsidR="00EA22F2" w:rsidRPr="001435A7" w:rsidRDefault="00EA22F2" w:rsidP="00EA22F2">
            <w:pPr>
              <w:tabs>
                <w:tab w:val="left" w:pos="4845"/>
              </w:tabs>
              <w:spacing w:line="360" w:lineRule="auto"/>
              <w:jc w:val="both"/>
              <w:rPr>
                <w:rFonts w:ascii="Cambria" w:hAnsi="Cambria"/>
                <w:sz w:val="24"/>
                <w:szCs w:val="24"/>
              </w:rPr>
            </w:pPr>
            <w:r w:rsidRPr="001435A7">
              <w:rPr>
                <w:rFonts w:ascii="Cambria" w:hAnsi="Cambria"/>
                <w:sz w:val="24"/>
                <w:szCs w:val="24"/>
              </w:rPr>
              <w:t xml:space="preserve">When I saw the </w:t>
            </w:r>
            <w:r w:rsidRPr="001435A7">
              <w:rPr>
                <w:rFonts w:ascii="Cambria" w:hAnsi="Cambria"/>
                <w:b/>
                <w:bCs/>
                <w:sz w:val="24"/>
                <w:szCs w:val="24"/>
              </w:rPr>
              <w:t>advertisement on Facebook</w:t>
            </w:r>
            <w:r w:rsidRPr="001435A7">
              <w:rPr>
                <w:rFonts w:ascii="Cambria" w:hAnsi="Cambria"/>
                <w:sz w:val="24"/>
                <w:szCs w:val="24"/>
              </w:rPr>
              <w:t xml:space="preserve">, I spend a couple of seconds watching it. </w:t>
            </w:r>
          </w:p>
          <w:p w14:paraId="40A7878A" w14:textId="77777777" w:rsidR="00D038FF" w:rsidRPr="001435A7" w:rsidRDefault="00D038FF" w:rsidP="00EA22F2">
            <w:pPr>
              <w:tabs>
                <w:tab w:val="left" w:pos="4845"/>
              </w:tabs>
              <w:spacing w:line="360" w:lineRule="auto"/>
              <w:jc w:val="both"/>
              <w:rPr>
                <w:rFonts w:ascii="Cambria" w:hAnsi="Cambria"/>
                <w:sz w:val="24"/>
                <w:szCs w:val="24"/>
              </w:rPr>
            </w:pPr>
          </w:p>
          <w:p w14:paraId="1C956C79" w14:textId="77777777" w:rsidR="00D038FF" w:rsidRPr="001435A7" w:rsidRDefault="00D038FF" w:rsidP="00EA22F2">
            <w:pPr>
              <w:tabs>
                <w:tab w:val="left" w:pos="4845"/>
              </w:tabs>
              <w:spacing w:line="360" w:lineRule="auto"/>
              <w:jc w:val="both"/>
              <w:rPr>
                <w:rFonts w:ascii="Cambria" w:hAnsi="Cambria"/>
                <w:sz w:val="24"/>
                <w:szCs w:val="24"/>
              </w:rPr>
            </w:pPr>
          </w:p>
          <w:p w14:paraId="621BBD0B" w14:textId="77777777" w:rsidR="00D038FF" w:rsidRPr="001435A7" w:rsidRDefault="00D038FF" w:rsidP="00EA22F2">
            <w:pPr>
              <w:tabs>
                <w:tab w:val="left" w:pos="4845"/>
              </w:tabs>
              <w:spacing w:line="360" w:lineRule="auto"/>
              <w:jc w:val="both"/>
              <w:rPr>
                <w:rFonts w:ascii="Cambria" w:hAnsi="Cambria"/>
                <w:sz w:val="24"/>
                <w:szCs w:val="24"/>
              </w:rPr>
            </w:pPr>
          </w:p>
          <w:p w14:paraId="1C536324" w14:textId="77777777" w:rsidR="00D038FF" w:rsidRPr="001435A7" w:rsidRDefault="00D038FF" w:rsidP="00EA22F2">
            <w:pPr>
              <w:tabs>
                <w:tab w:val="left" w:pos="4845"/>
              </w:tabs>
              <w:spacing w:line="360" w:lineRule="auto"/>
              <w:jc w:val="both"/>
              <w:rPr>
                <w:rFonts w:ascii="Cambria" w:hAnsi="Cambria"/>
                <w:sz w:val="24"/>
                <w:szCs w:val="24"/>
              </w:rPr>
            </w:pPr>
          </w:p>
          <w:p w14:paraId="0723462B" w14:textId="77777777" w:rsidR="00D746CF" w:rsidRPr="001435A7" w:rsidRDefault="00D746CF" w:rsidP="00EA22F2">
            <w:pPr>
              <w:tabs>
                <w:tab w:val="left" w:pos="4845"/>
              </w:tabs>
              <w:spacing w:line="360" w:lineRule="auto"/>
              <w:jc w:val="both"/>
              <w:rPr>
                <w:rFonts w:ascii="Cambria" w:hAnsi="Cambria"/>
                <w:sz w:val="24"/>
                <w:szCs w:val="24"/>
              </w:rPr>
            </w:pPr>
          </w:p>
          <w:p w14:paraId="172CC735" w14:textId="39798D02" w:rsidR="00EA22F2" w:rsidRPr="001435A7" w:rsidRDefault="00EA22F2" w:rsidP="00EA22F2">
            <w:pPr>
              <w:tabs>
                <w:tab w:val="left" w:pos="4845"/>
              </w:tabs>
              <w:spacing w:line="360" w:lineRule="auto"/>
              <w:jc w:val="both"/>
              <w:rPr>
                <w:rFonts w:ascii="Cambria" w:hAnsi="Cambria"/>
                <w:sz w:val="24"/>
                <w:szCs w:val="24"/>
              </w:rPr>
            </w:pPr>
            <w:r w:rsidRPr="001435A7">
              <w:rPr>
                <w:rFonts w:ascii="Cambria" w:hAnsi="Cambria"/>
                <w:sz w:val="24"/>
                <w:szCs w:val="24"/>
              </w:rPr>
              <w:t xml:space="preserve">When I saw the </w:t>
            </w:r>
            <w:r w:rsidRPr="001435A7">
              <w:rPr>
                <w:rFonts w:ascii="Cambria" w:hAnsi="Cambria"/>
                <w:b/>
                <w:bCs/>
                <w:sz w:val="24"/>
                <w:szCs w:val="24"/>
              </w:rPr>
              <w:t>advertisement on Facebook</w:t>
            </w:r>
            <w:r w:rsidRPr="001435A7">
              <w:rPr>
                <w:rFonts w:ascii="Cambria" w:hAnsi="Cambria"/>
                <w:sz w:val="24"/>
                <w:szCs w:val="24"/>
              </w:rPr>
              <w:t xml:space="preserve">, I wanted to comment on it. </w:t>
            </w:r>
          </w:p>
          <w:p w14:paraId="2AE94049" w14:textId="77777777" w:rsidR="00BB068F" w:rsidRPr="001435A7" w:rsidRDefault="00BB068F" w:rsidP="00EA22F2">
            <w:pPr>
              <w:tabs>
                <w:tab w:val="left" w:pos="4845"/>
              </w:tabs>
              <w:spacing w:line="360" w:lineRule="auto"/>
              <w:jc w:val="both"/>
              <w:rPr>
                <w:rFonts w:ascii="Cambria" w:hAnsi="Cambria"/>
                <w:sz w:val="24"/>
                <w:szCs w:val="24"/>
              </w:rPr>
            </w:pPr>
          </w:p>
          <w:p w14:paraId="2BE2EF48" w14:textId="5EC4471E" w:rsidR="00EA22F2" w:rsidRPr="001435A7" w:rsidRDefault="00EA22F2" w:rsidP="00EA22F2">
            <w:pPr>
              <w:tabs>
                <w:tab w:val="left" w:pos="4845"/>
              </w:tabs>
              <w:spacing w:line="360" w:lineRule="auto"/>
              <w:jc w:val="both"/>
              <w:rPr>
                <w:rFonts w:ascii="Cambria" w:hAnsi="Cambria"/>
                <w:sz w:val="24"/>
                <w:szCs w:val="24"/>
              </w:rPr>
            </w:pPr>
            <w:r w:rsidRPr="001435A7">
              <w:rPr>
                <w:rFonts w:ascii="Cambria" w:hAnsi="Cambria"/>
                <w:sz w:val="24"/>
                <w:szCs w:val="24"/>
              </w:rPr>
              <w:t xml:space="preserve">When I saw the </w:t>
            </w:r>
            <w:r w:rsidRPr="001435A7">
              <w:rPr>
                <w:rFonts w:ascii="Cambria" w:hAnsi="Cambria"/>
                <w:b/>
                <w:bCs/>
                <w:sz w:val="24"/>
                <w:szCs w:val="24"/>
              </w:rPr>
              <w:t>advertisement on Facebook</w:t>
            </w:r>
            <w:r w:rsidRPr="001435A7">
              <w:rPr>
                <w:rFonts w:ascii="Cambria" w:hAnsi="Cambria"/>
                <w:sz w:val="24"/>
                <w:szCs w:val="24"/>
              </w:rPr>
              <w:t>, I wanted to share it with other Facebook friends.</w:t>
            </w:r>
          </w:p>
          <w:p w14:paraId="57537915" w14:textId="3C026B62" w:rsidR="00FF5B2D" w:rsidRPr="001435A7" w:rsidRDefault="00EA22F2" w:rsidP="00EA22F2">
            <w:pPr>
              <w:spacing w:line="360" w:lineRule="auto"/>
              <w:jc w:val="both"/>
              <w:rPr>
                <w:rFonts w:ascii="Cambria" w:hAnsi="Cambria"/>
                <w:sz w:val="24"/>
                <w:szCs w:val="24"/>
              </w:rPr>
            </w:pPr>
            <w:r w:rsidRPr="001435A7">
              <w:rPr>
                <w:rFonts w:ascii="Cambria" w:hAnsi="Cambria"/>
                <w:sz w:val="24"/>
                <w:szCs w:val="24"/>
              </w:rPr>
              <w:t xml:space="preserve">When I saw the </w:t>
            </w:r>
            <w:r w:rsidRPr="001435A7">
              <w:rPr>
                <w:rFonts w:ascii="Cambria" w:hAnsi="Cambria"/>
                <w:b/>
                <w:bCs/>
                <w:sz w:val="24"/>
                <w:szCs w:val="24"/>
              </w:rPr>
              <w:t>advertisement on Facebook</w:t>
            </w:r>
            <w:r w:rsidRPr="001435A7">
              <w:rPr>
                <w:rFonts w:ascii="Cambria" w:hAnsi="Cambria"/>
                <w:sz w:val="24"/>
                <w:szCs w:val="24"/>
              </w:rPr>
              <w:t>, I wanted to ‘Like’ it on Facebook.</w:t>
            </w:r>
          </w:p>
        </w:tc>
        <w:tc>
          <w:tcPr>
            <w:tcW w:w="2125" w:type="dxa"/>
          </w:tcPr>
          <w:p w14:paraId="3858FB96" w14:textId="6F320D92" w:rsidR="008E49C6" w:rsidRPr="009715A7" w:rsidRDefault="002B1E92" w:rsidP="00EA642C">
            <w:pPr>
              <w:spacing w:line="360" w:lineRule="auto"/>
              <w:jc w:val="both"/>
              <w:rPr>
                <w:rFonts w:ascii="Century" w:hAnsi="Century"/>
                <w:sz w:val="24"/>
                <w:szCs w:val="24"/>
              </w:rPr>
            </w:pPr>
            <w:r w:rsidRPr="001435A7">
              <w:rPr>
                <w:rFonts w:ascii="Cambria" w:hAnsi="Cambria"/>
                <w:sz w:val="24"/>
                <w:szCs w:val="24"/>
              </w:rPr>
              <w:t>Respondents commented</w:t>
            </w:r>
            <w:r w:rsidR="008B5858" w:rsidRPr="001435A7">
              <w:rPr>
                <w:rFonts w:ascii="Cambria" w:hAnsi="Cambria"/>
                <w:sz w:val="24"/>
                <w:szCs w:val="24"/>
              </w:rPr>
              <w:t xml:space="preserve"> that the stimulation was an ad</w:t>
            </w:r>
            <w:r w:rsidR="005A1300" w:rsidRPr="001435A7">
              <w:rPr>
                <w:rFonts w:ascii="Cambria" w:hAnsi="Cambria"/>
                <w:sz w:val="24"/>
                <w:szCs w:val="24"/>
              </w:rPr>
              <w:t>. Hence</w:t>
            </w:r>
            <w:r w:rsidR="00222051" w:rsidRPr="001435A7">
              <w:rPr>
                <w:rFonts w:ascii="Cambria" w:hAnsi="Cambria"/>
                <w:sz w:val="24"/>
                <w:szCs w:val="24"/>
              </w:rPr>
              <w:t xml:space="preserve">, </w:t>
            </w:r>
            <w:r w:rsidR="00852A0E" w:rsidRPr="001435A7">
              <w:rPr>
                <w:rFonts w:ascii="Cambria" w:hAnsi="Cambria"/>
                <w:sz w:val="24"/>
                <w:szCs w:val="24"/>
              </w:rPr>
              <w:t>s</w:t>
            </w:r>
            <w:r w:rsidR="00222051" w:rsidRPr="001435A7">
              <w:rPr>
                <w:rFonts w:ascii="Cambria" w:hAnsi="Cambria"/>
                <w:sz w:val="24"/>
                <w:szCs w:val="24"/>
              </w:rPr>
              <w:t>tatements about page</w:t>
            </w:r>
            <w:r w:rsidR="00B4691B" w:rsidRPr="001435A7">
              <w:rPr>
                <w:rFonts w:ascii="Cambria" w:hAnsi="Cambria"/>
                <w:sz w:val="24"/>
                <w:szCs w:val="24"/>
              </w:rPr>
              <w:t>,</w:t>
            </w:r>
            <w:r w:rsidR="00222051" w:rsidRPr="001435A7">
              <w:rPr>
                <w:rFonts w:ascii="Cambria" w:hAnsi="Cambria"/>
                <w:sz w:val="24"/>
                <w:szCs w:val="24"/>
              </w:rPr>
              <w:t xml:space="preserve"> post </w:t>
            </w:r>
            <w:r w:rsidR="00B4691B" w:rsidRPr="001435A7">
              <w:rPr>
                <w:rFonts w:ascii="Cambria" w:hAnsi="Cambria"/>
                <w:sz w:val="24"/>
                <w:szCs w:val="24"/>
              </w:rPr>
              <w:t xml:space="preserve">or graphics </w:t>
            </w:r>
            <w:r w:rsidR="00222051" w:rsidRPr="001435A7">
              <w:rPr>
                <w:rFonts w:ascii="Cambria" w:hAnsi="Cambria"/>
                <w:sz w:val="24"/>
                <w:szCs w:val="24"/>
              </w:rPr>
              <w:t>are not relevant</w:t>
            </w:r>
            <w:r w:rsidR="008E49C6" w:rsidRPr="001435A7">
              <w:rPr>
                <w:rFonts w:ascii="Cambria" w:hAnsi="Cambria"/>
                <w:sz w:val="24"/>
                <w:szCs w:val="24"/>
              </w:rPr>
              <w:t xml:space="preserve">. </w:t>
            </w:r>
            <w:r w:rsidR="00A56351" w:rsidRPr="001435A7">
              <w:rPr>
                <w:rFonts w:ascii="Cambria" w:hAnsi="Cambria"/>
                <w:sz w:val="24"/>
                <w:szCs w:val="24"/>
              </w:rPr>
              <w:t xml:space="preserve">In the questionnaire those were changed to </w:t>
            </w:r>
            <w:r w:rsidR="00DC350E" w:rsidRPr="001435A7">
              <w:rPr>
                <w:rFonts w:ascii="Cambria" w:hAnsi="Cambria"/>
                <w:sz w:val="24"/>
                <w:szCs w:val="24"/>
              </w:rPr>
              <w:t>‘advertisement on Facebook’</w:t>
            </w:r>
            <w:r w:rsidR="00E02F59" w:rsidRPr="001435A7">
              <w:rPr>
                <w:rFonts w:ascii="Cambria" w:hAnsi="Cambria"/>
                <w:sz w:val="24"/>
                <w:szCs w:val="24"/>
              </w:rPr>
              <w:t xml:space="preserve">. Though </w:t>
            </w:r>
            <w:r w:rsidR="000B5F21" w:rsidRPr="001435A7">
              <w:rPr>
                <w:rFonts w:ascii="Cambria" w:hAnsi="Cambria"/>
                <w:sz w:val="24"/>
                <w:szCs w:val="24"/>
              </w:rPr>
              <w:t>there is debate among the scholars about which items to left out,</w:t>
            </w:r>
            <w:r w:rsidR="00DB510B" w:rsidRPr="001435A7">
              <w:rPr>
                <w:rFonts w:ascii="Cambria" w:hAnsi="Cambria"/>
                <w:sz w:val="24"/>
                <w:szCs w:val="24"/>
              </w:rPr>
              <w:t xml:space="preserve"> but it is agreed that the </w:t>
            </w:r>
            <w:r w:rsidR="002D4BFB" w:rsidRPr="001435A7">
              <w:rPr>
                <w:rFonts w:ascii="Cambria" w:hAnsi="Cambria"/>
                <w:sz w:val="24"/>
                <w:szCs w:val="24"/>
              </w:rPr>
              <w:t xml:space="preserve">considered items should be representative (Hair et al 2017). In this case the </w:t>
            </w:r>
            <w:r w:rsidR="00CC3AF8" w:rsidRPr="001435A7">
              <w:rPr>
                <w:rFonts w:ascii="Cambria" w:hAnsi="Cambria"/>
                <w:sz w:val="24"/>
                <w:szCs w:val="24"/>
              </w:rPr>
              <w:t xml:space="preserve">criteria </w:t>
            </w:r>
            <w:r w:rsidR="007A5145" w:rsidRPr="001435A7">
              <w:rPr>
                <w:rFonts w:ascii="Cambria" w:hAnsi="Cambria"/>
                <w:sz w:val="24"/>
                <w:szCs w:val="24"/>
              </w:rPr>
              <w:t>were</w:t>
            </w:r>
            <w:r w:rsidR="00CC3AF8" w:rsidRPr="001435A7">
              <w:rPr>
                <w:rFonts w:ascii="Cambria" w:hAnsi="Cambria"/>
                <w:sz w:val="24"/>
                <w:szCs w:val="24"/>
              </w:rPr>
              <w:t xml:space="preserve"> fulfilled by the pre-test</w:t>
            </w:r>
            <w:r w:rsidR="00AE6407" w:rsidRPr="001435A7">
              <w:rPr>
                <w:rFonts w:ascii="Cambria" w:hAnsi="Cambria"/>
                <w:sz w:val="24"/>
                <w:szCs w:val="24"/>
              </w:rPr>
              <w:t>.</w:t>
            </w:r>
            <w:r w:rsidR="00E4637F">
              <w:rPr>
                <w:rFonts w:ascii="Cambria" w:hAnsi="Cambria"/>
                <w:sz w:val="24"/>
                <w:szCs w:val="24"/>
              </w:rPr>
              <w:t xml:space="preserve"> </w:t>
            </w:r>
            <w:r w:rsidR="009A6690">
              <w:rPr>
                <w:rFonts w:ascii="Cambria" w:hAnsi="Cambria"/>
                <w:sz w:val="24"/>
                <w:szCs w:val="24"/>
              </w:rPr>
              <w:t xml:space="preserve">The original scales </w:t>
            </w:r>
            <w:r w:rsidR="00551DEB">
              <w:rPr>
                <w:rFonts w:ascii="Cambria" w:hAnsi="Cambria"/>
                <w:sz w:val="24"/>
                <w:szCs w:val="24"/>
              </w:rPr>
              <w:t xml:space="preserve">are </w:t>
            </w:r>
            <w:r w:rsidR="00613FB3">
              <w:rPr>
                <w:rFonts w:ascii="Century" w:hAnsi="Century" w:cs="Calibri"/>
                <w:color w:val="000000"/>
                <w:shd w:val="clear" w:color="auto" w:fill="FFFFFF"/>
              </w:rPr>
              <w:t>reflective,</w:t>
            </w:r>
            <w:r w:rsidR="004E62A6" w:rsidRPr="009715A7">
              <w:rPr>
                <w:rFonts w:ascii="Century" w:hAnsi="Century" w:cs="Calibri"/>
                <w:color w:val="000000"/>
                <w:shd w:val="clear" w:color="auto" w:fill="FFFFFF"/>
              </w:rPr>
              <w:t xml:space="preserve"> </w:t>
            </w:r>
            <w:r w:rsidR="00AC4D1B">
              <w:rPr>
                <w:rFonts w:ascii="Century" w:hAnsi="Century" w:cs="Calibri"/>
                <w:color w:val="000000"/>
                <w:shd w:val="clear" w:color="auto" w:fill="FFFFFF"/>
              </w:rPr>
              <w:t xml:space="preserve">and items are interchangeable </w:t>
            </w:r>
            <w:r w:rsidR="009A6690">
              <w:rPr>
                <w:rFonts w:ascii="Century" w:hAnsi="Century" w:cs="Calibri"/>
                <w:color w:val="000000"/>
                <w:shd w:val="clear" w:color="auto" w:fill="FFFFFF"/>
              </w:rPr>
              <w:t>(</w:t>
            </w:r>
            <w:r w:rsidR="009A6690" w:rsidRPr="009715A7">
              <w:rPr>
                <w:rFonts w:ascii="Century" w:hAnsi="Century" w:cs="Calibri"/>
                <w:color w:val="000000"/>
                <w:shd w:val="clear" w:color="auto" w:fill="FFFFFF"/>
              </w:rPr>
              <w:t>Schivinski, et al. 2016)</w:t>
            </w:r>
            <w:r w:rsidR="004E62A6" w:rsidRPr="009715A7">
              <w:rPr>
                <w:rFonts w:ascii="Century" w:hAnsi="Century" w:cs="Calibri"/>
                <w:color w:val="000000"/>
                <w:shd w:val="clear" w:color="auto" w:fill="FFFFFF"/>
              </w:rPr>
              <w:t>.</w:t>
            </w:r>
            <w:r w:rsidR="001D5273" w:rsidRPr="009715A7">
              <w:rPr>
                <w:rFonts w:ascii="Century" w:hAnsi="Century" w:cs="Calibri"/>
                <w:color w:val="000000"/>
                <w:shd w:val="clear" w:color="auto" w:fill="FFFFFF"/>
              </w:rPr>
              <w:t xml:space="preserve"> </w:t>
            </w:r>
            <w:r w:rsidR="00E4637F">
              <w:rPr>
                <w:rFonts w:ascii="Century" w:hAnsi="Century" w:cs="Calibri"/>
                <w:color w:val="000000"/>
                <w:shd w:val="clear" w:color="auto" w:fill="FFFFFF"/>
              </w:rPr>
              <w:t xml:space="preserve">Hence, </w:t>
            </w:r>
            <w:r w:rsidR="00F42EFA" w:rsidRPr="009715A7">
              <w:rPr>
                <w:rFonts w:ascii="Century" w:hAnsi="Century" w:cs="Calibri"/>
                <w:color w:val="000000"/>
                <w:shd w:val="clear" w:color="auto" w:fill="FFFFFF"/>
              </w:rPr>
              <w:t xml:space="preserve">the items which are deemed to be not </w:t>
            </w:r>
            <w:r w:rsidR="002B2497" w:rsidRPr="009715A7">
              <w:rPr>
                <w:rFonts w:ascii="Century" w:hAnsi="Century" w:cs="Calibri"/>
                <w:color w:val="000000"/>
                <w:shd w:val="clear" w:color="auto" w:fill="FFFFFF"/>
              </w:rPr>
              <w:t>relevant are dropped.</w:t>
            </w:r>
            <w:r w:rsidR="009715A7">
              <w:rPr>
                <w:rFonts w:ascii="Century" w:hAnsi="Century" w:cs="Calibri"/>
                <w:color w:val="000000"/>
                <w:shd w:val="clear" w:color="auto" w:fill="FFFFFF"/>
              </w:rPr>
              <w:t xml:space="preserve"> </w:t>
            </w:r>
            <w:r w:rsidR="00EA642C">
              <w:rPr>
                <w:rFonts w:ascii="Century" w:hAnsi="Century" w:cs="Calibri"/>
                <w:color w:val="000000"/>
                <w:shd w:val="clear" w:color="auto" w:fill="FFFFFF"/>
              </w:rPr>
              <w:t xml:space="preserve">Plus, </w:t>
            </w:r>
            <w:r w:rsidR="005C4340" w:rsidRPr="009715A7">
              <w:rPr>
                <w:rFonts w:ascii="Century" w:hAnsi="Century" w:cs="Calibri"/>
                <w:color w:val="000000"/>
                <w:shd w:val="clear" w:color="auto" w:fill="FFFFFF"/>
              </w:rPr>
              <w:t xml:space="preserve">satisfactory </w:t>
            </w:r>
            <w:r w:rsidR="00205B9F">
              <w:rPr>
                <w:rFonts w:ascii="Century" w:hAnsi="Century" w:cs="Calibri"/>
                <w:color w:val="000000"/>
                <w:shd w:val="clear" w:color="auto" w:fill="FFFFFF"/>
              </w:rPr>
              <w:t xml:space="preserve">reliability </w:t>
            </w:r>
            <w:r w:rsidR="00375742">
              <w:rPr>
                <w:rFonts w:ascii="Century" w:hAnsi="Century" w:cs="Calibri"/>
                <w:color w:val="000000"/>
                <w:shd w:val="clear" w:color="auto" w:fill="FFFFFF"/>
              </w:rPr>
              <w:t xml:space="preserve">of </w:t>
            </w:r>
            <w:r w:rsidR="00551DEB">
              <w:rPr>
                <w:rFonts w:ascii="Century" w:hAnsi="Century" w:cs="Calibri"/>
                <w:color w:val="000000"/>
                <w:shd w:val="clear" w:color="auto" w:fill="FFFFFF"/>
              </w:rPr>
              <w:t xml:space="preserve">the retained items </w:t>
            </w:r>
            <w:r w:rsidR="00375742">
              <w:rPr>
                <w:rFonts w:ascii="Century" w:hAnsi="Century" w:cs="Calibri"/>
                <w:color w:val="000000"/>
                <w:shd w:val="clear" w:color="auto" w:fill="FFFFFF"/>
              </w:rPr>
              <w:t>will be found in table 8</w:t>
            </w:r>
            <w:r w:rsidR="001D5273" w:rsidRPr="009715A7">
              <w:rPr>
                <w:rFonts w:ascii="Century" w:hAnsi="Century" w:cs="Calibri"/>
                <w:color w:val="000000"/>
                <w:shd w:val="clear" w:color="auto" w:fill="FFFFFF"/>
              </w:rPr>
              <w:t xml:space="preserve"> </w:t>
            </w:r>
            <w:r w:rsidR="002B2497" w:rsidRPr="009715A7">
              <w:rPr>
                <w:rFonts w:ascii="Century" w:hAnsi="Century" w:cs="Calibri"/>
                <w:color w:val="000000"/>
                <w:shd w:val="clear" w:color="auto" w:fill="FFFFFF"/>
              </w:rPr>
              <w:t>(</w:t>
            </w:r>
            <w:r w:rsidR="004E62A6" w:rsidRPr="009715A7">
              <w:rPr>
                <w:rFonts w:ascii="Century" w:hAnsi="Century" w:cs="Calibri"/>
                <w:color w:val="000000"/>
                <w:shd w:val="clear" w:color="auto" w:fill="FFFFFF"/>
              </w:rPr>
              <w:t>Hair et al 2017)</w:t>
            </w:r>
            <w:r w:rsidR="009715A7">
              <w:rPr>
                <w:rFonts w:ascii="Century" w:hAnsi="Century" w:cs="Calibri"/>
                <w:color w:val="000000"/>
                <w:shd w:val="clear" w:color="auto" w:fill="FFFFFF"/>
              </w:rPr>
              <w:t>.</w:t>
            </w:r>
          </w:p>
        </w:tc>
      </w:tr>
      <w:tr w:rsidR="001435A7" w:rsidRPr="001435A7" w14:paraId="1349D42A" w14:textId="77777777" w:rsidTr="004D6545">
        <w:trPr>
          <w:trHeight w:val="620"/>
        </w:trPr>
        <w:tc>
          <w:tcPr>
            <w:tcW w:w="6091" w:type="dxa"/>
          </w:tcPr>
          <w:p w14:paraId="68CF3CF8"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Informational influence</w:t>
            </w:r>
          </w:p>
          <w:p w14:paraId="7162D6D3"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When I use this product I often consult other people for useful information to help choose the best alternative available</w:t>
            </w:r>
          </w:p>
          <w:p w14:paraId="77D84998"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When I use this product, I often ask my friends for useful information to solve problems</w:t>
            </w:r>
          </w:p>
          <w:p w14:paraId="3F8C509E"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When I use this product, I frequently gather information from friends or colleagues</w:t>
            </w:r>
          </w:p>
          <w:p w14:paraId="04FD95BE" w14:textId="77777777" w:rsidR="00555113" w:rsidRPr="001435A7" w:rsidRDefault="00555113" w:rsidP="00555113">
            <w:pPr>
              <w:spacing w:line="360" w:lineRule="auto"/>
              <w:jc w:val="both"/>
              <w:rPr>
                <w:rFonts w:ascii="Cambria" w:hAnsi="Cambria" w:cs="AdvTT6120e2aa"/>
                <w:sz w:val="24"/>
                <w:szCs w:val="24"/>
              </w:rPr>
            </w:pPr>
          </w:p>
          <w:p w14:paraId="0F66536C"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Normative influence</w:t>
            </w:r>
          </w:p>
          <w:p w14:paraId="639B0EF4"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It is important what my friends or colleagues think about how I use this product</w:t>
            </w:r>
          </w:p>
          <w:p w14:paraId="4E9993BC"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 often identify with people by using this product</w:t>
            </w:r>
          </w:p>
          <w:p w14:paraId="74C57F1E" w14:textId="77777777" w:rsidR="00555113" w:rsidRPr="001435A7" w:rsidRDefault="00555113" w:rsidP="00555113">
            <w:pPr>
              <w:spacing w:line="360" w:lineRule="auto"/>
              <w:jc w:val="both"/>
              <w:rPr>
                <w:rFonts w:ascii="Cambria" w:hAnsi="Cambria" w:cs="AdvTT6120e2aa"/>
                <w:sz w:val="24"/>
                <w:szCs w:val="24"/>
              </w:rPr>
            </w:pPr>
          </w:p>
          <w:p w14:paraId="57AA8A59"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 like to know that how use this product makes a good impression on my friends or colleagues</w:t>
            </w:r>
          </w:p>
          <w:p w14:paraId="448A5A43" w14:textId="77777777"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 implement product under the expectations of my friends and colleagues</w:t>
            </w:r>
          </w:p>
          <w:p w14:paraId="1AEFC562" w14:textId="0AB5A5B1" w:rsidR="00555113" w:rsidRPr="001435A7" w:rsidRDefault="00555113" w:rsidP="00555113">
            <w:pPr>
              <w:spacing w:line="360" w:lineRule="auto"/>
              <w:jc w:val="both"/>
              <w:rPr>
                <w:rFonts w:ascii="Cambria" w:hAnsi="Cambria" w:cs="AdvTT6120e2aa"/>
                <w:sz w:val="24"/>
                <w:szCs w:val="24"/>
              </w:rPr>
            </w:pPr>
            <w:r w:rsidRPr="001435A7">
              <w:rPr>
                <w:rFonts w:ascii="Cambria" w:hAnsi="Cambria" w:cs="AdvTT6120e2aa"/>
                <w:sz w:val="24"/>
                <w:szCs w:val="24"/>
              </w:rPr>
              <w:t>I achieve a sense of belonging with my friends and colleagues by using this product</w:t>
            </w:r>
          </w:p>
        </w:tc>
        <w:tc>
          <w:tcPr>
            <w:tcW w:w="5528" w:type="dxa"/>
          </w:tcPr>
          <w:p w14:paraId="75A2399C" w14:textId="77777777" w:rsidR="00555113" w:rsidRPr="001435A7" w:rsidRDefault="00555113" w:rsidP="00555113">
            <w:pPr>
              <w:spacing w:line="360" w:lineRule="auto"/>
              <w:jc w:val="both"/>
              <w:rPr>
                <w:rFonts w:ascii="Cambria" w:hAnsi="Cambria"/>
                <w:sz w:val="24"/>
                <w:szCs w:val="24"/>
              </w:rPr>
            </w:pPr>
          </w:p>
          <w:p w14:paraId="6B890C5B" w14:textId="77777777" w:rsidR="00555113" w:rsidRPr="001435A7" w:rsidRDefault="00555113" w:rsidP="00555113">
            <w:pPr>
              <w:spacing w:line="360" w:lineRule="auto"/>
              <w:jc w:val="both"/>
              <w:rPr>
                <w:rFonts w:ascii="Cambria" w:hAnsi="Cambria"/>
                <w:b/>
                <w:bCs/>
                <w:i/>
                <w:iCs/>
                <w:sz w:val="24"/>
                <w:szCs w:val="24"/>
              </w:rPr>
            </w:pPr>
            <w:r w:rsidRPr="001435A7">
              <w:rPr>
                <w:rFonts w:ascii="Cambria" w:hAnsi="Cambria"/>
                <w:sz w:val="24"/>
                <w:szCs w:val="24"/>
              </w:rPr>
              <w:t xml:space="preserve">Other people’s </w:t>
            </w:r>
            <w:r w:rsidRPr="001435A7">
              <w:rPr>
                <w:rFonts w:ascii="Cambria" w:hAnsi="Cambria"/>
                <w:b/>
                <w:bCs/>
                <w:i/>
                <w:iCs/>
                <w:sz w:val="24"/>
                <w:szCs w:val="24"/>
              </w:rPr>
              <w:t>reaction on such</w:t>
            </w:r>
            <w:r w:rsidRPr="001435A7">
              <w:rPr>
                <w:rFonts w:ascii="Cambria" w:hAnsi="Cambria"/>
                <w:i/>
                <w:iCs/>
                <w:sz w:val="24"/>
                <w:szCs w:val="24"/>
              </w:rPr>
              <w:t xml:space="preserve"> </w:t>
            </w:r>
            <w:r w:rsidRPr="001435A7">
              <w:rPr>
                <w:rFonts w:ascii="Cambria" w:hAnsi="Cambria"/>
                <w:b/>
                <w:bCs/>
                <w:i/>
                <w:iCs/>
                <w:sz w:val="24"/>
                <w:szCs w:val="24"/>
              </w:rPr>
              <w:t>advertisements</w:t>
            </w:r>
            <w:r w:rsidRPr="001435A7">
              <w:rPr>
                <w:rFonts w:ascii="Cambria" w:hAnsi="Cambria"/>
                <w:sz w:val="24"/>
                <w:szCs w:val="24"/>
              </w:rPr>
              <w:t xml:space="preserve"> </w:t>
            </w:r>
            <w:r w:rsidRPr="001435A7">
              <w:rPr>
                <w:rFonts w:ascii="Cambria" w:hAnsi="Cambria"/>
                <w:b/>
                <w:bCs/>
                <w:i/>
                <w:iCs/>
                <w:sz w:val="24"/>
                <w:szCs w:val="24"/>
              </w:rPr>
              <w:t>on Facebook</w:t>
            </w:r>
            <w:r w:rsidRPr="001435A7">
              <w:rPr>
                <w:rFonts w:ascii="Cambria" w:hAnsi="Cambria"/>
                <w:sz w:val="24"/>
                <w:szCs w:val="24"/>
              </w:rPr>
              <w:t xml:space="preserve"> are useful when choosing </w:t>
            </w:r>
            <w:r w:rsidRPr="001435A7">
              <w:rPr>
                <w:rFonts w:ascii="Cambria" w:hAnsi="Cambria"/>
                <w:b/>
                <w:bCs/>
                <w:i/>
                <w:iCs/>
                <w:sz w:val="24"/>
                <w:szCs w:val="24"/>
              </w:rPr>
              <w:t>amon</w:t>
            </w:r>
            <w:r w:rsidRPr="001435A7">
              <w:rPr>
                <w:rFonts w:ascii="Cambria" w:hAnsi="Cambria"/>
                <w:sz w:val="24"/>
                <w:szCs w:val="24"/>
              </w:rPr>
              <w:t>g</w:t>
            </w:r>
            <w:r w:rsidRPr="001435A7">
              <w:rPr>
                <w:rFonts w:ascii="Cambria" w:hAnsi="Cambria"/>
                <w:b/>
                <w:bCs/>
                <w:i/>
                <w:iCs/>
                <w:sz w:val="24"/>
                <w:szCs w:val="24"/>
              </w:rPr>
              <w:t xml:space="preserve"> brands of coffee</w:t>
            </w:r>
          </w:p>
          <w:p w14:paraId="03ABF47A" w14:textId="77777777" w:rsidR="00555113" w:rsidRPr="001435A7" w:rsidRDefault="00555113" w:rsidP="00555113">
            <w:pPr>
              <w:spacing w:line="360" w:lineRule="auto"/>
              <w:jc w:val="both"/>
              <w:rPr>
                <w:rFonts w:ascii="Cambria" w:hAnsi="Cambria"/>
                <w:sz w:val="24"/>
                <w:szCs w:val="24"/>
              </w:rPr>
            </w:pPr>
            <w:r w:rsidRPr="001435A7">
              <w:rPr>
                <w:rFonts w:ascii="Cambria" w:hAnsi="Cambria"/>
                <w:sz w:val="24"/>
                <w:szCs w:val="24"/>
              </w:rPr>
              <w:t xml:space="preserve">When I think of which type </w:t>
            </w:r>
            <w:r w:rsidRPr="001435A7">
              <w:rPr>
                <w:rFonts w:ascii="Cambria" w:hAnsi="Cambria"/>
                <w:b/>
                <w:bCs/>
                <w:i/>
                <w:iCs/>
                <w:sz w:val="24"/>
                <w:szCs w:val="24"/>
              </w:rPr>
              <w:t>of coffee to buy</w:t>
            </w:r>
            <w:r w:rsidRPr="001435A7">
              <w:rPr>
                <w:rFonts w:ascii="Cambria" w:hAnsi="Cambria"/>
                <w:i/>
                <w:iCs/>
                <w:sz w:val="24"/>
                <w:szCs w:val="24"/>
              </w:rPr>
              <w:t>,</w:t>
            </w:r>
            <w:r w:rsidRPr="001435A7">
              <w:rPr>
                <w:rFonts w:ascii="Cambria" w:hAnsi="Cambria"/>
                <w:sz w:val="24"/>
                <w:szCs w:val="24"/>
              </w:rPr>
              <w:t xml:space="preserve"> I will ask my friends for information </w:t>
            </w:r>
            <w:r w:rsidRPr="001435A7">
              <w:rPr>
                <w:rFonts w:ascii="Cambria" w:hAnsi="Cambria"/>
                <w:b/>
                <w:bCs/>
                <w:i/>
                <w:iCs/>
                <w:sz w:val="24"/>
                <w:szCs w:val="24"/>
              </w:rPr>
              <w:t>to make a choice</w:t>
            </w:r>
          </w:p>
          <w:p w14:paraId="76CE91B5" w14:textId="77777777" w:rsidR="00555113" w:rsidRPr="001435A7" w:rsidRDefault="00555113" w:rsidP="00555113">
            <w:pPr>
              <w:tabs>
                <w:tab w:val="left" w:pos="4845"/>
              </w:tabs>
              <w:spacing w:line="360" w:lineRule="auto"/>
              <w:jc w:val="both"/>
              <w:rPr>
                <w:rFonts w:ascii="Cambria" w:hAnsi="Cambria"/>
                <w:sz w:val="24"/>
                <w:szCs w:val="24"/>
              </w:rPr>
            </w:pPr>
            <w:r w:rsidRPr="001435A7">
              <w:rPr>
                <w:rFonts w:ascii="Cambria" w:hAnsi="Cambria"/>
                <w:sz w:val="24"/>
                <w:szCs w:val="24"/>
              </w:rPr>
              <w:t xml:space="preserve">When I </w:t>
            </w:r>
            <w:r w:rsidRPr="001435A7">
              <w:rPr>
                <w:rFonts w:ascii="Cambria" w:hAnsi="Cambria"/>
                <w:b/>
                <w:bCs/>
                <w:i/>
                <w:iCs/>
                <w:sz w:val="24"/>
                <w:szCs w:val="24"/>
              </w:rPr>
              <w:t>think of purchasing coffee</w:t>
            </w:r>
            <w:r w:rsidRPr="001435A7">
              <w:rPr>
                <w:rFonts w:ascii="Cambria" w:hAnsi="Cambria"/>
                <w:sz w:val="24"/>
                <w:szCs w:val="24"/>
              </w:rPr>
              <w:t xml:space="preserve">, the information from </w:t>
            </w:r>
            <w:r w:rsidRPr="001435A7">
              <w:rPr>
                <w:rFonts w:ascii="Cambria" w:hAnsi="Cambria"/>
                <w:b/>
                <w:bCs/>
                <w:i/>
                <w:iCs/>
                <w:sz w:val="24"/>
                <w:szCs w:val="24"/>
              </w:rPr>
              <w:t>Facebook connections is helpful.</w:t>
            </w:r>
          </w:p>
          <w:p w14:paraId="6DB8BF18" w14:textId="77777777" w:rsidR="00555113" w:rsidRPr="001435A7" w:rsidRDefault="00555113" w:rsidP="00555113">
            <w:pPr>
              <w:spacing w:line="360" w:lineRule="auto"/>
              <w:jc w:val="both"/>
              <w:rPr>
                <w:rFonts w:ascii="Cambria" w:hAnsi="Cambria"/>
                <w:sz w:val="24"/>
                <w:szCs w:val="24"/>
              </w:rPr>
            </w:pPr>
          </w:p>
          <w:p w14:paraId="6387DCC0" w14:textId="77777777" w:rsidR="00555113" w:rsidRPr="001435A7" w:rsidRDefault="00555113" w:rsidP="00555113">
            <w:pPr>
              <w:spacing w:line="360" w:lineRule="auto"/>
              <w:jc w:val="both"/>
              <w:rPr>
                <w:rFonts w:ascii="Cambria" w:hAnsi="Cambria"/>
                <w:sz w:val="24"/>
                <w:szCs w:val="24"/>
              </w:rPr>
            </w:pPr>
          </w:p>
          <w:p w14:paraId="6E2C9447" w14:textId="77777777" w:rsidR="00555113" w:rsidRPr="001435A7" w:rsidRDefault="00555113" w:rsidP="00555113">
            <w:pPr>
              <w:spacing w:line="360" w:lineRule="auto"/>
              <w:jc w:val="both"/>
              <w:rPr>
                <w:rFonts w:ascii="Cambria" w:hAnsi="Cambria"/>
                <w:sz w:val="24"/>
                <w:szCs w:val="24"/>
              </w:rPr>
            </w:pPr>
            <w:r w:rsidRPr="001435A7">
              <w:rPr>
                <w:rFonts w:ascii="Cambria" w:hAnsi="Cambria"/>
                <w:sz w:val="24"/>
                <w:szCs w:val="24"/>
              </w:rPr>
              <w:t xml:space="preserve">It is important what </w:t>
            </w:r>
            <w:r w:rsidRPr="001435A7">
              <w:rPr>
                <w:rFonts w:ascii="Cambria" w:hAnsi="Cambria"/>
                <w:b/>
                <w:bCs/>
                <w:i/>
                <w:iCs/>
                <w:sz w:val="24"/>
                <w:szCs w:val="24"/>
              </w:rPr>
              <w:t>others</w:t>
            </w:r>
            <w:r w:rsidRPr="001435A7">
              <w:rPr>
                <w:rFonts w:ascii="Cambria" w:hAnsi="Cambria"/>
                <w:sz w:val="24"/>
                <w:szCs w:val="24"/>
              </w:rPr>
              <w:t xml:space="preserve"> think about the brand of coffee I drink</w:t>
            </w:r>
          </w:p>
          <w:p w14:paraId="3F416287" w14:textId="77777777" w:rsidR="00555113" w:rsidRPr="001435A7" w:rsidRDefault="00555113" w:rsidP="00555113">
            <w:pPr>
              <w:spacing w:line="360" w:lineRule="auto"/>
              <w:jc w:val="both"/>
              <w:rPr>
                <w:rFonts w:ascii="Cambria" w:hAnsi="Cambria"/>
                <w:sz w:val="24"/>
                <w:szCs w:val="24"/>
              </w:rPr>
            </w:pPr>
            <w:r w:rsidRPr="001435A7">
              <w:rPr>
                <w:rFonts w:ascii="Cambria" w:hAnsi="Cambria"/>
                <w:sz w:val="24"/>
                <w:szCs w:val="24"/>
              </w:rPr>
              <w:t xml:space="preserve">I feel like I </w:t>
            </w:r>
            <w:r w:rsidRPr="001435A7">
              <w:rPr>
                <w:rFonts w:ascii="Cambria" w:hAnsi="Cambria"/>
                <w:b/>
                <w:bCs/>
                <w:i/>
                <w:iCs/>
                <w:sz w:val="24"/>
                <w:szCs w:val="24"/>
              </w:rPr>
              <w:t>am similar to</w:t>
            </w:r>
            <w:r w:rsidRPr="001435A7">
              <w:rPr>
                <w:rFonts w:ascii="Cambria" w:hAnsi="Cambria"/>
                <w:sz w:val="24"/>
                <w:szCs w:val="24"/>
              </w:rPr>
              <w:t xml:space="preserve"> other people who are using the same brand of </w:t>
            </w:r>
            <w:r w:rsidRPr="001435A7">
              <w:rPr>
                <w:rFonts w:ascii="Cambria" w:hAnsi="Cambria"/>
                <w:b/>
                <w:bCs/>
                <w:i/>
                <w:iCs/>
                <w:sz w:val="24"/>
                <w:szCs w:val="24"/>
              </w:rPr>
              <w:t>coffee as me</w:t>
            </w:r>
          </w:p>
          <w:p w14:paraId="4A6D9CE6" w14:textId="77777777" w:rsidR="00555113" w:rsidRPr="001435A7" w:rsidRDefault="00555113" w:rsidP="00555113">
            <w:pPr>
              <w:spacing w:line="360" w:lineRule="auto"/>
              <w:jc w:val="both"/>
              <w:rPr>
                <w:rFonts w:ascii="Cambria" w:hAnsi="Cambria"/>
                <w:sz w:val="24"/>
                <w:szCs w:val="24"/>
              </w:rPr>
            </w:pPr>
            <w:r w:rsidRPr="001435A7">
              <w:rPr>
                <w:rFonts w:ascii="Cambria" w:hAnsi="Cambria"/>
                <w:sz w:val="24"/>
                <w:szCs w:val="24"/>
              </w:rPr>
              <w:t xml:space="preserve">I would like to know whether using the </w:t>
            </w:r>
            <w:r w:rsidRPr="001435A7">
              <w:rPr>
                <w:rFonts w:ascii="Cambria" w:hAnsi="Cambria"/>
                <w:b/>
                <w:bCs/>
                <w:i/>
                <w:iCs/>
                <w:sz w:val="24"/>
                <w:szCs w:val="24"/>
              </w:rPr>
              <w:t>advertised coffee brand</w:t>
            </w:r>
            <w:r w:rsidRPr="001435A7">
              <w:rPr>
                <w:rFonts w:ascii="Cambria" w:hAnsi="Cambria"/>
                <w:sz w:val="24"/>
                <w:szCs w:val="24"/>
              </w:rPr>
              <w:t xml:space="preserve"> makes a good impression on others.</w:t>
            </w:r>
          </w:p>
          <w:p w14:paraId="6A2904CF" w14:textId="77777777" w:rsidR="00555113" w:rsidRPr="001435A7" w:rsidRDefault="00555113" w:rsidP="00555113">
            <w:pPr>
              <w:spacing w:line="360" w:lineRule="auto"/>
              <w:jc w:val="both"/>
              <w:rPr>
                <w:rFonts w:ascii="Cambria" w:hAnsi="Cambria"/>
                <w:b/>
                <w:bCs/>
                <w:i/>
                <w:iCs/>
                <w:sz w:val="24"/>
                <w:szCs w:val="24"/>
              </w:rPr>
            </w:pPr>
            <w:r w:rsidRPr="001435A7">
              <w:rPr>
                <w:rFonts w:ascii="Cambria" w:hAnsi="Cambria"/>
                <w:sz w:val="24"/>
                <w:szCs w:val="24"/>
              </w:rPr>
              <w:t xml:space="preserve">The </w:t>
            </w:r>
            <w:r w:rsidRPr="001435A7">
              <w:rPr>
                <w:rFonts w:ascii="Cambria" w:hAnsi="Cambria"/>
                <w:b/>
                <w:bCs/>
                <w:i/>
                <w:iCs/>
                <w:sz w:val="24"/>
                <w:szCs w:val="24"/>
              </w:rPr>
              <w:t>brand of coffee I use depends on what others expect me to use</w:t>
            </w:r>
          </w:p>
          <w:p w14:paraId="7B73EEFB" w14:textId="19690A22" w:rsidR="00555113" w:rsidRPr="001435A7" w:rsidRDefault="00555113" w:rsidP="00555113">
            <w:pPr>
              <w:tabs>
                <w:tab w:val="left" w:pos="4845"/>
              </w:tabs>
              <w:spacing w:line="360" w:lineRule="auto"/>
              <w:jc w:val="both"/>
              <w:rPr>
                <w:rFonts w:ascii="Cambria" w:hAnsi="Cambria"/>
                <w:sz w:val="24"/>
                <w:szCs w:val="24"/>
              </w:rPr>
            </w:pPr>
            <w:r w:rsidRPr="001435A7">
              <w:rPr>
                <w:rFonts w:ascii="Cambria" w:hAnsi="Cambria"/>
                <w:sz w:val="24"/>
                <w:szCs w:val="24"/>
              </w:rPr>
              <w:t xml:space="preserve">I achieve a sense of belongingness with my </w:t>
            </w:r>
            <w:r w:rsidR="00613FB3" w:rsidRPr="001435A7">
              <w:rPr>
                <w:rFonts w:ascii="Cambria" w:hAnsi="Cambria"/>
                <w:b/>
                <w:bCs/>
                <w:i/>
                <w:iCs/>
                <w:sz w:val="24"/>
                <w:szCs w:val="24"/>
              </w:rPr>
              <w:t>others by</w:t>
            </w:r>
            <w:r w:rsidRPr="001435A7">
              <w:rPr>
                <w:rFonts w:ascii="Cambria" w:hAnsi="Cambria"/>
                <w:b/>
                <w:bCs/>
                <w:i/>
                <w:iCs/>
                <w:sz w:val="24"/>
                <w:szCs w:val="24"/>
              </w:rPr>
              <w:t xml:space="preserve"> using this brand of coffee</w:t>
            </w:r>
          </w:p>
        </w:tc>
        <w:tc>
          <w:tcPr>
            <w:tcW w:w="2125" w:type="dxa"/>
          </w:tcPr>
          <w:p w14:paraId="29A3FDBC" w14:textId="5F2DF42F" w:rsidR="00555113" w:rsidRPr="001435A7" w:rsidRDefault="00555113" w:rsidP="00555113">
            <w:pPr>
              <w:spacing w:line="360" w:lineRule="auto"/>
              <w:jc w:val="both"/>
              <w:rPr>
                <w:rFonts w:ascii="Cambria" w:hAnsi="Cambria"/>
                <w:sz w:val="24"/>
                <w:szCs w:val="24"/>
              </w:rPr>
            </w:pPr>
            <w:r w:rsidRPr="001435A7">
              <w:rPr>
                <w:rFonts w:ascii="Cambria" w:hAnsi="Cambria"/>
                <w:sz w:val="24"/>
                <w:szCs w:val="24"/>
              </w:rPr>
              <w:t>3 of the respondents have mentioned that words like ‘consult’, ‘solve problems’, ‘</w:t>
            </w:r>
            <w:r w:rsidR="00061E24" w:rsidRPr="001435A7">
              <w:rPr>
                <w:rFonts w:ascii="Cambria" w:hAnsi="Cambria"/>
                <w:sz w:val="24"/>
                <w:szCs w:val="24"/>
              </w:rPr>
              <w:t>identify</w:t>
            </w:r>
            <w:r w:rsidRPr="001435A7">
              <w:rPr>
                <w:rFonts w:ascii="Cambria" w:hAnsi="Cambria"/>
                <w:sz w:val="24"/>
                <w:szCs w:val="24"/>
              </w:rPr>
              <w:t>’ and ‘alternative’ are not used in everyday language. This made the statements hard to relate with. Therefore, the language has been adopted that is more associated with the context of the study.</w:t>
            </w:r>
          </w:p>
        </w:tc>
      </w:tr>
    </w:tbl>
    <w:p w14:paraId="479FA51B" w14:textId="77777777" w:rsidR="00560C67" w:rsidRDefault="00560C67" w:rsidP="001A15E5">
      <w:pPr>
        <w:spacing w:line="360" w:lineRule="auto"/>
        <w:jc w:val="both"/>
        <w:rPr>
          <w:rFonts w:ascii="Cambria" w:hAnsi="Cambria"/>
          <w:color w:val="538135" w:themeColor="accent6" w:themeShade="BF"/>
          <w:sz w:val="24"/>
          <w:szCs w:val="24"/>
        </w:rPr>
        <w:sectPr w:rsidR="00560C67" w:rsidSect="00B66590">
          <w:pgSz w:w="16838" w:h="11906" w:orient="landscape"/>
          <w:pgMar w:top="1440" w:right="1440" w:bottom="1440" w:left="1440" w:header="709" w:footer="709" w:gutter="0"/>
          <w:cols w:space="708"/>
          <w:docGrid w:linePitch="360"/>
        </w:sectPr>
      </w:pPr>
    </w:p>
    <w:p w14:paraId="5DF487BE" w14:textId="0ED8FF10" w:rsidR="00C7217E" w:rsidRPr="00530906" w:rsidRDefault="00C7217E">
      <w:pPr>
        <w:spacing w:line="360" w:lineRule="auto"/>
        <w:jc w:val="both"/>
        <w:rPr>
          <w:rFonts w:ascii="Cambria" w:hAnsi="Cambria"/>
          <w:sz w:val="24"/>
          <w:szCs w:val="24"/>
        </w:rPr>
      </w:pPr>
      <w:r w:rsidRPr="00530906">
        <w:rPr>
          <w:rFonts w:ascii="Cambria" w:hAnsi="Cambria"/>
          <w:sz w:val="24"/>
          <w:szCs w:val="24"/>
        </w:rPr>
        <w:t>The ad (fig 1</w:t>
      </w:r>
      <w:r w:rsidR="00391213">
        <w:rPr>
          <w:rFonts w:ascii="Cambria" w:hAnsi="Cambria"/>
          <w:sz w:val="24"/>
          <w:szCs w:val="24"/>
        </w:rPr>
        <w:t>6</w:t>
      </w:r>
      <w:r w:rsidRPr="00530906">
        <w:rPr>
          <w:rFonts w:ascii="Cambria" w:hAnsi="Cambria"/>
          <w:sz w:val="24"/>
          <w:szCs w:val="24"/>
        </w:rPr>
        <w:t xml:space="preserve">) is created using ‘Photoshop’ and the text of the imaginary brand ad is formulated in a way that gives the consumers sense of self–efficacy as expected from a sustainability ad (see Song and Kim 2018, Kidwell et al 2013). The pre–test also ensures that, the text makes them feel </w:t>
      </w:r>
      <w:r w:rsidR="00613FB3" w:rsidRPr="00530906">
        <w:rPr>
          <w:rFonts w:ascii="Cambria" w:hAnsi="Cambria"/>
          <w:sz w:val="24"/>
          <w:szCs w:val="24"/>
        </w:rPr>
        <w:t>that</w:t>
      </w:r>
      <w:r w:rsidRPr="00530906">
        <w:rPr>
          <w:rFonts w:ascii="Cambria" w:hAnsi="Cambria"/>
          <w:sz w:val="24"/>
          <w:szCs w:val="24"/>
        </w:rPr>
        <w:t xml:space="preserve"> they have the capacity to do something about the sustainability </w:t>
      </w:r>
      <w:r w:rsidR="003812B7">
        <w:rPr>
          <w:rFonts w:ascii="Cambria" w:hAnsi="Cambria"/>
          <w:sz w:val="24"/>
          <w:szCs w:val="24"/>
        </w:rPr>
        <w:t>related problems</w:t>
      </w:r>
      <w:r w:rsidRPr="00530906">
        <w:rPr>
          <w:rFonts w:ascii="Cambria" w:hAnsi="Cambria"/>
          <w:sz w:val="24"/>
          <w:szCs w:val="24"/>
        </w:rPr>
        <w:t>. This advertisement was presented to the respondents after narration of the conditions and before the survey questionnaire.</w:t>
      </w:r>
    </w:p>
    <w:p w14:paraId="09085D32" w14:textId="77777777" w:rsidR="00C7217E" w:rsidRPr="00530906" w:rsidRDefault="00C7217E">
      <w:pPr>
        <w:spacing w:line="360" w:lineRule="auto"/>
        <w:jc w:val="both"/>
        <w:rPr>
          <w:rFonts w:ascii="Cambria" w:hAnsi="Cambria"/>
          <w:sz w:val="24"/>
          <w:szCs w:val="24"/>
        </w:rPr>
      </w:pPr>
      <w:r w:rsidRPr="00530906">
        <w:rPr>
          <w:rFonts w:ascii="Cambria" w:hAnsi="Cambria"/>
          <w:noProof/>
          <w:sz w:val="24"/>
          <w:szCs w:val="24"/>
          <w:lang w:val="en-US"/>
        </w:rPr>
        <w:drawing>
          <wp:inline distT="0" distB="0" distL="0" distR="0" wp14:anchorId="19139E2F" wp14:editId="18DA65D5">
            <wp:extent cx="5731510" cy="3948701"/>
            <wp:effectExtent l="19050" t="0" r="2540" b="0"/>
            <wp:docPr id="593" name="Picture 2" descr="A picture containing coffee, food, man, table&#10;&#10;Description automatically generated">
              <a:extLst xmlns:a="http://schemas.openxmlformats.org/drawingml/2006/main">
                <a:ext uri="{FF2B5EF4-FFF2-40B4-BE49-F238E27FC236}">
                  <a16:creationId xmlns:a16="http://schemas.microsoft.com/office/drawing/2014/main" id="{A50958A9-A423-466C-8F4E-490250A167D8}"/>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coffee, food, man, table&#10;&#10;Description automatically generated">
                      <a:extLst>
                        <a:ext uri="{FF2B5EF4-FFF2-40B4-BE49-F238E27FC236}">
                          <a16:creationId xmlns:a16="http://schemas.microsoft.com/office/drawing/2014/main" id="{A50958A9-A423-466C-8F4E-490250A167D8}"/>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1510" cy="3948701"/>
                    </a:xfrm>
                    <a:prstGeom prst="rect">
                      <a:avLst/>
                    </a:prstGeom>
                  </pic:spPr>
                </pic:pic>
              </a:graphicData>
            </a:graphic>
          </wp:inline>
        </w:drawing>
      </w:r>
    </w:p>
    <w:p w14:paraId="20EBF120" w14:textId="098AAC0A" w:rsidR="00C7217E" w:rsidRDefault="00C7217E">
      <w:pPr>
        <w:spacing w:line="360" w:lineRule="auto"/>
        <w:jc w:val="both"/>
        <w:rPr>
          <w:rFonts w:ascii="Cambria" w:hAnsi="Cambria"/>
          <w:sz w:val="24"/>
          <w:szCs w:val="24"/>
        </w:rPr>
      </w:pPr>
      <w:r w:rsidRPr="00530906">
        <w:rPr>
          <w:rFonts w:ascii="Cambria" w:hAnsi="Cambria"/>
          <w:sz w:val="24"/>
          <w:szCs w:val="24"/>
        </w:rPr>
        <w:t>Fig 1</w:t>
      </w:r>
      <w:r w:rsidR="00A26F6C">
        <w:rPr>
          <w:rFonts w:ascii="Cambria" w:hAnsi="Cambria"/>
          <w:sz w:val="24"/>
          <w:szCs w:val="24"/>
        </w:rPr>
        <w:t>6</w:t>
      </w:r>
      <w:r w:rsidRPr="00530906">
        <w:rPr>
          <w:rFonts w:ascii="Cambria" w:hAnsi="Cambria"/>
          <w:sz w:val="24"/>
          <w:szCs w:val="24"/>
        </w:rPr>
        <w:t>: Stimulation (Sustainably ad of fictitious coffee brand)</w:t>
      </w:r>
    </w:p>
    <w:p w14:paraId="546545D8" w14:textId="3A5AB81D" w:rsidR="00873A88" w:rsidRPr="00530906" w:rsidRDefault="00873A88">
      <w:pPr>
        <w:spacing w:line="360" w:lineRule="auto"/>
        <w:jc w:val="both"/>
        <w:rPr>
          <w:rFonts w:ascii="Cambria" w:hAnsi="Cambria"/>
          <w:sz w:val="24"/>
          <w:szCs w:val="24"/>
        </w:rPr>
      </w:pPr>
    </w:p>
    <w:p w14:paraId="168E27AD" w14:textId="08096E27" w:rsidR="00C7217E" w:rsidRPr="00530906" w:rsidRDefault="00A718F2" w:rsidP="008756B1">
      <w:pPr>
        <w:pStyle w:val="Heading3"/>
        <w:jc w:val="both"/>
        <w:rPr>
          <w:rFonts w:ascii="Cambria" w:hAnsi="Cambria"/>
        </w:rPr>
      </w:pPr>
      <w:bookmarkStart w:id="79" w:name="_Toc115726256"/>
      <w:r w:rsidRPr="00530906">
        <w:rPr>
          <w:rFonts w:ascii="Cambria" w:hAnsi="Cambria"/>
        </w:rPr>
        <w:t>4.3.</w:t>
      </w:r>
      <w:r w:rsidR="00CD42C2">
        <w:rPr>
          <w:rFonts w:ascii="Cambria" w:hAnsi="Cambria"/>
        </w:rPr>
        <w:t>3</w:t>
      </w:r>
      <w:r w:rsidR="00C7217E" w:rsidRPr="00530906">
        <w:rPr>
          <w:rFonts w:ascii="Cambria" w:hAnsi="Cambria"/>
        </w:rPr>
        <w:t xml:space="preserve"> Experimental Manipulations and Checks</w:t>
      </w:r>
      <w:bookmarkEnd w:id="79"/>
    </w:p>
    <w:p w14:paraId="6694E386" w14:textId="578D2F36" w:rsidR="00C7217E" w:rsidRPr="00530906" w:rsidRDefault="00C7217E">
      <w:pPr>
        <w:spacing w:line="360" w:lineRule="auto"/>
        <w:jc w:val="both"/>
        <w:rPr>
          <w:rFonts w:ascii="Cambria" w:hAnsi="Cambria"/>
        </w:rPr>
      </w:pPr>
      <w:r w:rsidRPr="00530906">
        <w:rPr>
          <w:rFonts w:ascii="Cambria" w:hAnsi="Cambria"/>
          <w:sz w:val="24"/>
          <w:szCs w:val="24"/>
        </w:rPr>
        <w:t xml:space="preserve">The captions– ‘At last companies are joining the fight for the planet’ and ‘Fight for the planet is an advertising tool now’ have been used as positive and negative caption respectively. Level of ‘Source expertise’ was </w:t>
      </w:r>
      <w:r w:rsidRPr="00530906">
        <w:rPr>
          <w:rFonts w:ascii="Cambria" w:hAnsi="Cambria" w:cs="TimesNewRomanPSMT"/>
          <w:sz w:val="24"/>
          <w:szCs w:val="24"/>
          <w:lang w:val="en-US"/>
        </w:rPr>
        <w:t>manipulated by mentioning if source of the Facebook post is a professional or a novice as high or low source expertise respectively (adopted from Yi et al 2013; Berkowitz, 1986). Source expertise has been measured in 7</w:t>
      </w:r>
      <w:r w:rsidR="004179CD" w:rsidRPr="00530906">
        <w:rPr>
          <w:rFonts w:ascii="Cambria" w:hAnsi="Cambria" w:cs="TimesNewRomanPSMT"/>
          <w:sz w:val="24"/>
          <w:szCs w:val="24"/>
          <w:lang w:val="en-US"/>
        </w:rPr>
        <w:t>–</w:t>
      </w:r>
      <w:r w:rsidRPr="00530906">
        <w:rPr>
          <w:rFonts w:ascii="Cambria" w:hAnsi="Cambria" w:cs="TimesNewRomanPSMT"/>
          <w:sz w:val="24"/>
          <w:szCs w:val="24"/>
          <w:lang w:val="en-US"/>
        </w:rPr>
        <w:t xml:space="preserve">point semantic differential scale containing 5 items (Ohanian 1990). Groups presented with the condition ‘5 years expertise in the industry’ measured significantly high in ‘source expertise’ (M = 4.78, SD = 1.14) than the group presented with the condition ‘Not a coffee drinker’ (M = 3.86, SD = 1.4, t (268.78) = –5.98, p = .000). This indicates successful manipulation. Point to be noted, equal variances were not assumed, in this case. So, the t statistics, where the equal variances were not assumed, has been reported (see </w:t>
      </w:r>
      <w:r w:rsidR="00A7286E">
        <w:rPr>
          <w:rFonts w:ascii="Cambria" w:hAnsi="Cambria" w:cs="TimesNewRomanPSMT"/>
          <w:sz w:val="24"/>
          <w:szCs w:val="24"/>
          <w:lang w:val="en-US"/>
        </w:rPr>
        <w:t>Pallant</w:t>
      </w:r>
      <w:r w:rsidRPr="00530906">
        <w:rPr>
          <w:rFonts w:ascii="Cambria" w:hAnsi="Cambria" w:cs="TimesNewRomanPSMT"/>
          <w:sz w:val="24"/>
          <w:szCs w:val="24"/>
          <w:lang w:val="en-US"/>
        </w:rPr>
        <w:t xml:space="preserve"> 2010)</w:t>
      </w:r>
    </w:p>
    <w:p w14:paraId="78E9770C" w14:textId="0AF033CC" w:rsidR="00C7217E" w:rsidRPr="00530906" w:rsidRDefault="00A718F2" w:rsidP="008756B1">
      <w:pPr>
        <w:pStyle w:val="Heading3"/>
        <w:jc w:val="both"/>
        <w:rPr>
          <w:rFonts w:ascii="Cambria" w:hAnsi="Cambria"/>
        </w:rPr>
      </w:pPr>
      <w:bookmarkStart w:id="80" w:name="_Toc115726257"/>
      <w:r w:rsidRPr="00530906">
        <w:rPr>
          <w:rFonts w:ascii="Cambria" w:hAnsi="Cambria"/>
        </w:rPr>
        <w:t>4.3.</w:t>
      </w:r>
      <w:r w:rsidR="00CD42C2">
        <w:rPr>
          <w:rFonts w:ascii="Cambria" w:hAnsi="Cambria"/>
        </w:rPr>
        <w:t>4</w:t>
      </w:r>
      <w:r w:rsidR="00C7217E" w:rsidRPr="00530906">
        <w:rPr>
          <w:rFonts w:ascii="Cambria" w:hAnsi="Cambria"/>
        </w:rPr>
        <w:t xml:space="preserve"> Population, Sampling Frame and Sampling Technique</w:t>
      </w:r>
      <w:bookmarkEnd w:id="80"/>
    </w:p>
    <w:p w14:paraId="2F8912BA" w14:textId="4E628CB9"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FMCG (fast moving consumer goods) is the main factor to contribute </w:t>
      </w:r>
      <w:r w:rsidR="00545220" w:rsidRPr="00530906">
        <w:rPr>
          <w:rFonts w:ascii="Cambria" w:hAnsi="Cambria"/>
          <w:sz w:val="24"/>
          <w:szCs w:val="24"/>
        </w:rPr>
        <w:t>to pollution</w:t>
      </w:r>
      <w:r w:rsidRPr="00530906">
        <w:rPr>
          <w:rFonts w:ascii="Cambria" w:hAnsi="Cambria"/>
          <w:sz w:val="24"/>
          <w:szCs w:val="24"/>
        </w:rPr>
        <w:t xml:space="preserve"> (Greenpeace international 2018) and as one of the top most polluters of the world, this material is responsible to pollute land (as landfill), water (ocean pollution) and air (greenhouse gas emanation) (Nelson 2019; Ritchie and Roser 2018). Since FMCG industry has been developed depending on household consumption, student subjects have been used for this research because of their similarity to the household consumers, which is the target </w:t>
      </w:r>
      <w:r w:rsidRPr="00530906">
        <w:rPr>
          <w:rFonts w:ascii="Cambria" w:hAnsi="Cambria" w:cs="TimesNewRomanPSMT"/>
          <w:sz w:val="24"/>
          <w:szCs w:val="24"/>
          <w:lang w:val="en-US"/>
        </w:rPr>
        <w:t xml:space="preserve">population for this research (Zikmund et al 2010). Like typical students, majority of the users of #1 social media ‘facebook’ are of 18–34 years of age </w:t>
      </w:r>
      <w:bookmarkStart w:id="81" w:name="_Hlk56274968"/>
      <w:r w:rsidRPr="00530906">
        <w:rPr>
          <w:rFonts w:ascii="Cambria" w:hAnsi="Cambria" w:cs="TimesNewRomanPSMT"/>
          <w:sz w:val="24"/>
          <w:szCs w:val="24"/>
          <w:lang w:val="en-US"/>
        </w:rPr>
        <w:t>(</w:t>
      </w:r>
      <w:bookmarkEnd w:id="81"/>
      <w:r w:rsidRPr="00530906">
        <w:rPr>
          <w:rFonts w:ascii="Cambria" w:hAnsi="Cambria" w:cs="TimesNewRomanPSMT"/>
          <w:sz w:val="24"/>
          <w:szCs w:val="24"/>
          <w:lang w:val="en-US"/>
        </w:rPr>
        <w:t>Statista 202</w:t>
      </w:r>
      <w:r w:rsidR="00E86DBB" w:rsidRPr="00530906">
        <w:rPr>
          <w:rFonts w:ascii="Cambria" w:hAnsi="Cambria" w:cs="TimesNewRomanPSMT"/>
          <w:sz w:val="24"/>
          <w:szCs w:val="24"/>
          <w:lang w:val="en-US"/>
        </w:rPr>
        <w:t>1</w:t>
      </w:r>
      <w:r w:rsidRPr="00530906">
        <w:rPr>
          <w:rFonts w:ascii="Cambria" w:hAnsi="Cambria" w:cs="TimesNewRomanPSMT"/>
          <w:sz w:val="24"/>
          <w:szCs w:val="24"/>
          <w:vertAlign w:val="superscript"/>
          <w:lang w:val="en-US"/>
        </w:rPr>
        <w:t>3</w:t>
      </w:r>
      <w:r w:rsidRPr="00530906">
        <w:rPr>
          <w:rFonts w:ascii="Cambria" w:hAnsi="Cambria" w:cs="TimesNewRomanPSMT"/>
          <w:sz w:val="24"/>
          <w:szCs w:val="24"/>
          <w:lang w:val="en-US"/>
        </w:rPr>
        <w:t>; Statista 202</w:t>
      </w:r>
      <w:r w:rsidR="00FA4DC4" w:rsidRPr="00530906">
        <w:rPr>
          <w:rFonts w:ascii="Cambria" w:hAnsi="Cambria" w:cs="TimesNewRomanPSMT"/>
          <w:sz w:val="24"/>
          <w:szCs w:val="24"/>
          <w:lang w:val="en-US"/>
        </w:rPr>
        <w:t>1</w:t>
      </w:r>
      <w:r w:rsidR="00FA4DC4" w:rsidRPr="00530906">
        <w:rPr>
          <w:rFonts w:ascii="Cambria" w:hAnsi="Cambria" w:cs="TimesNewRomanPSMT"/>
          <w:sz w:val="24"/>
          <w:szCs w:val="24"/>
          <w:vertAlign w:val="superscript"/>
          <w:lang w:val="en-US"/>
        </w:rPr>
        <w:t>4</w:t>
      </w:r>
      <w:r w:rsidRPr="00530906">
        <w:rPr>
          <w:rFonts w:ascii="Cambria" w:hAnsi="Cambria" w:cs="TimesNewRomanPSMT"/>
          <w:sz w:val="24"/>
          <w:szCs w:val="24"/>
          <w:lang w:val="en-US"/>
        </w:rPr>
        <w:t xml:space="preserve">) This cohort of population are addressed as Generation Y (birth year 1981–1999) are native to digital environment (Teng et al 2014; Shan and King 2015; Bolton et al 2013; Barreto and Ramalho 2019; Kumar et al 2013). Hence students </w:t>
      </w:r>
      <w:r w:rsidR="00E97C88">
        <w:rPr>
          <w:rFonts w:ascii="Cambria" w:hAnsi="Cambria" w:cs="TimesNewRomanPSMT"/>
          <w:sz w:val="24"/>
          <w:szCs w:val="24"/>
          <w:lang w:val="en-US"/>
        </w:rPr>
        <w:t xml:space="preserve">as </w:t>
      </w:r>
      <w:r w:rsidRPr="00530906">
        <w:rPr>
          <w:rFonts w:ascii="Cambria" w:hAnsi="Cambria" w:cs="TimesNewRomanPSMT"/>
          <w:sz w:val="24"/>
          <w:szCs w:val="24"/>
          <w:lang w:val="en-US"/>
        </w:rPr>
        <w:t xml:space="preserve">the expert on the social media engagement behaviour </w:t>
      </w:r>
      <w:r w:rsidR="004B09F0">
        <w:rPr>
          <w:rFonts w:ascii="Cambria" w:hAnsi="Cambria" w:cs="TimesNewRomanPSMT"/>
          <w:sz w:val="24"/>
          <w:szCs w:val="24"/>
          <w:lang w:val="en-US"/>
        </w:rPr>
        <w:t>have considered</w:t>
      </w:r>
      <w:r w:rsidRPr="00530906">
        <w:rPr>
          <w:rFonts w:ascii="Cambria" w:hAnsi="Cambria" w:cs="TimesNewRomanPSMT"/>
          <w:sz w:val="24"/>
          <w:szCs w:val="24"/>
          <w:lang w:val="en-US"/>
        </w:rPr>
        <w:t xml:space="preserve"> suitable for this study in the context of social media (see Zikmund et al 2010; Lee et al 2011). Student sample will also ensure the required education level to aware and knowledgeable about sustainability (see Malhotra and Das 2013; Etikan et al 2016; Priester and Petty 2003). Homogeneous student sample is more common for experiments, because experiment settings are primarily aimed to test theory and requires to have internal validity (Calder et al. 1981; Shan and King 2015; Kim and Benbasat 2009; Yim and Yoo 2020). This study aims to test the theory about the intention of adopting sustainable behaviour caused by positive or negative caption on social media. Sustainable behaviour depends on consumers’ family size, income, age, college education, occupation level </w:t>
      </w:r>
      <w:r w:rsidR="00DA25F4" w:rsidRPr="00530906">
        <w:rPr>
          <w:rFonts w:ascii="Cambria" w:hAnsi="Cambria" w:cs="TimesNewRomanPSMT"/>
          <w:sz w:val="24"/>
          <w:szCs w:val="24"/>
          <w:lang w:val="en-US"/>
        </w:rPr>
        <w:t>etc.</w:t>
      </w:r>
      <w:r w:rsidRPr="00530906">
        <w:rPr>
          <w:rFonts w:ascii="Cambria" w:hAnsi="Cambria" w:cs="TimesNewRomanPSMT"/>
          <w:sz w:val="24"/>
          <w:szCs w:val="24"/>
          <w:lang w:val="en-US"/>
        </w:rPr>
        <w:t xml:space="preserve"> (Ngobo 2011).  The use of general respondents would not provide the confidence of this </w:t>
      </w:r>
      <w:r w:rsidR="00613FB3" w:rsidRPr="00530906">
        <w:rPr>
          <w:rFonts w:ascii="Cambria" w:hAnsi="Cambria" w:cs="TimesNewRomanPSMT"/>
          <w:sz w:val="24"/>
          <w:szCs w:val="24"/>
          <w:lang w:val="en-US"/>
        </w:rPr>
        <w:t>cause-and-effect</w:t>
      </w:r>
      <w:r w:rsidRPr="00530906">
        <w:rPr>
          <w:rFonts w:ascii="Cambria" w:hAnsi="Cambria" w:cs="TimesNewRomanPSMT"/>
          <w:sz w:val="24"/>
          <w:szCs w:val="24"/>
          <w:lang w:val="en-US"/>
        </w:rPr>
        <w:t xml:space="preserve"> relationship, in other words internal validity, since there will be numerous other factors that may influence their responses (Calder et al 1981).</w:t>
      </w:r>
      <w:r w:rsidRPr="00530906">
        <w:rPr>
          <w:rFonts w:ascii="Cambria" w:hAnsi="Cambria"/>
          <w:sz w:val="24"/>
          <w:szCs w:val="24"/>
        </w:rPr>
        <w:t xml:space="preserve">  </w:t>
      </w:r>
    </w:p>
    <w:p w14:paraId="38A03DB7" w14:textId="49B5D976" w:rsidR="00C7217E" w:rsidRPr="001435A7" w:rsidRDefault="00C7217E">
      <w:pPr>
        <w:spacing w:line="360" w:lineRule="auto"/>
        <w:jc w:val="both"/>
        <w:rPr>
          <w:rFonts w:ascii="Cambria" w:hAnsi="Cambria"/>
          <w:sz w:val="24"/>
          <w:szCs w:val="24"/>
        </w:rPr>
      </w:pPr>
      <w:r w:rsidRPr="00530906">
        <w:rPr>
          <w:rFonts w:ascii="Cambria" w:hAnsi="Cambria"/>
          <w:sz w:val="24"/>
          <w:szCs w:val="24"/>
        </w:rPr>
        <w:t xml:space="preserve">Because of students’ familiarity and reliance on technology for information, entertainment, interaction, socialising and sense of community, the student panel of behavioural lab at SBM, QMUL were chosen (see Bolton et al 2013). The required ability to understand the questionnaire about social media, direct this research towards a non–probability self–reported sampling technique (see Saunders et al </w:t>
      </w:r>
      <w:r w:rsidR="009A40C8">
        <w:rPr>
          <w:rFonts w:ascii="Cambria" w:hAnsi="Cambria"/>
          <w:sz w:val="24"/>
          <w:szCs w:val="24"/>
        </w:rPr>
        <w:t>2</w:t>
      </w:r>
      <w:r w:rsidRPr="00530906">
        <w:rPr>
          <w:rFonts w:ascii="Cambria" w:hAnsi="Cambria"/>
          <w:sz w:val="24"/>
          <w:szCs w:val="24"/>
        </w:rPr>
        <w:t xml:space="preserve">016). Students were contacted via mail and offered ₤10 per hour for their time. Data was collected during February to April 2020 through student panel. Experiment conducted in February was held Queen </w:t>
      </w:r>
      <w:r w:rsidRPr="001435A7">
        <w:rPr>
          <w:rFonts w:ascii="Cambria" w:hAnsi="Cambria"/>
          <w:sz w:val="24"/>
          <w:szCs w:val="24"/>
        </w:rPr>
        <w:t xml:space="preserve">Mary behavioural lab using </w:t>
      </w:r>
      <w:r w:rsidR="00B517C2" w:rsidRPr="001435A7">
        <w:rPr>
          <w:rFonts w:ascii="Cambria" w:hAnsi="Cambria"/>
          <w:sz w:val="24"/>
          <w:szCs w:val="24"/>
        </w:rPr>
        <w:t>Qualtrics</w:t>
      </w:r>
      <w:r w:rsidRPr="001435A7">
        <w:rPr>
          <w:rFonts w:ascii="Cambria" w:hAnsi="Cambria"/>
          <w:sz w:val="24"/>
          <w:szCs w:val="24"/>
        </w:rPr>
        <w:t>, but due to COVID–19 lockdown, experiment link was sent to students those were scheduled to take the experiment on April. Lab experiment was indented to control extraneous variable, which was undermined due to the pandemic situation.</w:t>
      </w:r>
      <w:r w:rsidR="00A8011C" w:rsidRPr="001435A7">
        <w:rPr>
          <w:rFonts w:ascii="Cambria" w:hAnsi="Cambria"/>
          <w:sz w:val="24"/>
          <w:szCs w:val="24"/>
        </w:rPr>
        <w:t xml:space="preserve"> </w:t>
      </w:r>
      <w:r w:rsidR="0044048F" w:rsidRPr="001435A7">
        <w:rPr>
          <w:rFonts w:ascii="Cambria" w:hAnsi="Cambria"/>
          <w:sz w:val="24"/>
          <w:szCs w:val="24"/>
        </w:rPr>
        <w:t xml:space="preserve">Similar to </w:t>
      </w:r>
      <w:r w:rsidR="006B08C4" w:rsidRPr="001435A7">
        <w:rPr>
          <w:rFonts w:ascii="Cambria" w:hAnsi="Cambria"/>
          <w:sz w:val="24"/>
          <w:szCs w:val="24"/>
        </w:rPr>
        <w:t>Li, &amp; Kaplanidou (2013)</w:t>
      </w:r>
      <w:r w:rsidR="00CB75E5" w:rsidRPr="001435A7">
        <w:rPr>
          <w:rFonts w:ascii="Cambria" w:hAnsi="Cambria"/>
          <w:sz w:val="24"/>
          <w:szCs w:val="24"/>
        </w:rPr>
        <w:t xml:space="preserve"> and </w:t>
      </w:r>
      <w:r w:rsidR="00C74C8A" w:rsidRPr="001435A7">
        <w:rPr>
          <w:rFonts w:ascii="Cambria" w:hAnsi="Cambria"/>
          <w:sz w:val="24"/>
          <w:szCs w:val="24"/>
        </w:rPr>
        <w:t xml:space="preserve">Lordeet al </w:t>
      </w:r>
      <w:r w:rsidR="00B60410" w:rsidRPr="001435A7">
        <w:rPr>
          <w:rFonts w:ascii="Cambria" w:hAnsi="Cambria"/>
          <w:sz w:val="24"/>
          <w:szCs w:val="24"/>
        </w:rPr>
        <w:t>(</w:t>
      </w:r>
      <w:r w:rsidR="00C74C8A" w:rsidRPr="001435A7">
        <w:rPr>
          <w:rFonts w:ascii="Cambria" w:hAnsi="Cambria"/>
          <w:sz w:val="24"/>
          <w:szCs w:val="24"/>
        </w:rPr>
        <w:t>2011</w:t>
      </w:r>
      <w:r w:rsidR="00B60410" w:rsidRPr="001435A7">
        <w:rPr>
          <w:rFonts w:ascii="Cambria" w:hAnsi="Cambria"/>
          <w:sz w:val="24"/>
          <w:szCs w:val="24"/>
        </w:rPr>
        <w:t>)</w:t>
      </w:r>
      <w:r w:rsidR="00AF386F" w:rsidRPr="001435A7">
        <w:rPr>
          <w:rFonts w:ascii="Cambria" w:hAnsi="Cambria"/>
          <w:sz w:val="24"/>
          <w:szCs w:val="24"/>
        </w:rPr>
        <w:t>’s study where two gr</w:t>
      </w:r>
      <w:r w:rsidR="00A245A6" w:rsidRPr="001435A7">
        <w:rPr>
          <w:rFonts w:ascii="Cambria" w:hAnsi="Cambria"/>
          <w:sz w:val="24"/>
          <w:szCs w:val="24"/>
        </w:rPr>
        <w:t>oups of samples were examined through t-test for their similarity</w:t>
      </w:r>
      <w:r w:rsidR="008B186B" w:rsidRPr="001435A7">
        <w:rPr>
          <w:rFonts w:ascii="Cambria" w:hAnsi="Cambria"/>
          <w:sz w:val="24"/>
          <w:szCs w:val="24"/>
        </w:rPr>
        <w:t xml:space="preserve">, the data collected </w:t>
      </w:r>
      <w:r w:rsidR="002D35C1" w:rsidRPr="001435A7">
        <w:rPr>
          <w:rFonts w:ascii="Cambria" w:hAnsi="Cambria"/>
          <w:sz w:val="24"/>
          <w:szCs w:val="24"/>
        </w:rPr>
        <w:t xml:space="preserve">from February sample and April sample </w:t>
      </w:r>
      <w:r w:rsidR="0024679A" w:rsidRPr="001435A7">
        <w:rPr>
          <w:rFonts w:ascii="Cambria" w:hAnsi="Cambria"/>
          <w:sz w:val="24"/>
          <w:szCs w:val="24"/>
        </w:rPr>
        <w:t>were t</w:t>
      </w:r>
      <w:r w:rsidR="00075146" w:rsidRPr="001435A7">
        <w:rPr>
          <w:rFonts w:ascii="Cambria" w:hAnsi="Cambria"/>
          <w:sz w:val="24"/>
          <w:szCs w:val="24"/>
        </w:rPr>
        <w:t>ested against all of the variables.</w:t>
      </w:r>
      <w:r w:rsidRPr="001435A7">
        <w:rPr>
          <w:rFonts w:ascii="Cambria" w:hAnsi="Cambria"/>
          <w:sz w:val="24"/>
          <w:szCs w:val="24"/>
        </w:rPr>
        <w:t xml:space="preserve"> However, no significant difference</w:t>
      </w:r>
      <w:r w:rsidR="00715C58" w:rsidRPr="001435A7">
        <w:rPr>
          <w:rFonts w:ascii="Cambria" w:hAnsi="Cambria"/>
          <w:sz w:val="24"/>
          <w:szCs w:val="24"/>
        </w:rPr>
        <w:t xml:space="preserve"> at .</w:t>
      </w:r>
      <w:r w:rsidR="0040051B" w:rsidRPr="001435A7">
        <w:rPr>
          <w:rFonts w:ascii="Cambria" w:hAnsi="Cambria"/>
          <w:sz w:val="24"/>
          <w:szCs w:val="24"/>
        </w:rPr>
        <w:t>05</w:t>
      </w:r>
      <w:r w:rsidR="00216660" w:rsidRPr="001435A7">
        <w:rPr>
          <w:rFonts w:ascii="Cambria" w:hAnsi="Cambria"/>
          <w:sz w:val="24"/>
          <w:szCs w:val="24"/>
        </w:rPr>
        <w:t xml:space="preserve"> level</w:t>
      </w:r>
      <w:r w:rsidR="0040051B" w:rsidRPr="001435A7">
        <w:rPr>
          <w:rFonts w:ascii="Cambria" w:hAnsi="Cambria"/>
          <w:sz w:val="24"/>
          <w:szCs w:val="24"/>
        </w:rPr>
        <w:t xml:space="preserve"> </w:t>
      </w:r>
      <w:r w:rsidRPr="001435A7">
        <w:rPr>
          <w:rFonts w:ascii="Cambria" w:hAnsi="Cambria"/>
          <w:sz w:val="24"/>
          <w:szCs w:val="24"/>
        </w:rPr>
        <w:t xml:space="preserve">was found </w:t>
      </w:r>
      <w:r w:rsidR="00590B38" w:rsidRPr="001435A7">
        <w:rPr>
          <w:rFonts w:ascii="Cambria" w:hAnsi="Cambria"/>
          <w:sz w:val="24"/>
          <w:szCs w:val="24"/>
        </w:rPr>
        <w:t xml:space="preserve">(Appendix 3.7). </w:t>
      </w:r>
      <w:r w:rsidRPr="001435A7">
        <w:rPr>
          <w:rFonts w:ascii="Cambria" w:hAnsi="Cambria"/>
          <w:sz w:val="24"/>
          <w:szCs w:val="24"/>
        </w:rPr>
        <w:t>Hence, both of the datasets were considered as one.</w:t>
      </w:r>
    </w:p>
    <w:p w14:paraId="7A9D0295" w14:textId="2FE2868C" w:rsidR="00E85FB0" w:rsidRDefault="00C7217E">
      <w:pPr>
        <w:spacing w:line="360" w:lineRule="auto"/>
        <w:jc w:val="both"/>
        <w:rPr>
          <w:rFonts w:ascii="Cambria" w:hAnsi="Cambria"/>
          <w:sz w:val="24"/>
          <w:szCs w:val="24"/>
        </w:rPr>
      </w:pPr>
      <w:r w:rsidRPr="001435A7">
        <w:rPr>
          <w:rFonts w:ascii="Cambria" w:hAnsi="Cambria"/>
          <w:sz w:val="24"/>
          <w:szCs w:val="24"/>
        </w:rPr>
        <w:t xml:space="preserve">Demographic variables may confound the respondents’ social media engagement behavioural intention as well as sustainable brand purchase and sustainable behavioural intention. Engagement </w:t>
      </w:r>
      <w:r w:rsidRPr="00530906">
        <w:rPr>
          <w:rFonts w:ascii="Cambria" w:hAnsi="Cambria"/>
          <w:sz w:val="24"/>
          <w:szCs w:val="24"/>
        </w:rPr>
        <w:t xml:space="preserve">in social media is influenced by disposable income, education level, occupation, social class, culture etc (Bolton et al 2013). On the other hand, in the aspect of sustainability, consumers’ outlook for sustainability varies depending on age (Cho et al 2013; Keller 2013; Angus 2018), gender (Egea </w:t>
      </w:r>
      <w:r w:rsidR="00DA25F4" w:rsidRPr="00530906">
        <w:rPr>
          <w:rFonts w:ascii="Cambria" w:hAnsi="Cambria"/>
          <w:sz w:val="24"/>
          <w:szCs w:val="24"/>
        </w:rPr>
        <w:t>and de</w:t>
      </w:r>
      <w:r w:rsidRPr="00530906">
        <w:rPr>
          <w:rFonts w:ascii="Cambria" w:hAnsi="Cambria"/>
          <w:sz w:val="24"/>
          <w:szCs w:val="24"/>
        </w:rPr>
        <w:t xml:space="preserve"> Frutos 2013; Wu et al 2016; Brough et al 2016), culture (Bondy and Talwar 2011; Varul 2009; Zaglia 2011), education (Egea and Frutos 2013) too. For example, </w:t>
      </w:r>
      <w:r w:rsidR="00DA25F4" w:rsidRPr="00530906">
        <w:rPr>
          <w:rFonts w:ascii="Cambria" w:hAnsi="Cambria"/>
          <w:sz w:val="24"/>
          <w:szCs w:val="24"/>
        </w:rPr>
        <w:t>young</w:t>
      </w:r>
      <w:r w:rsidRPr="00530906">
        <w:rPr>
          <w:rFonts w:ascii="Cambria" w:hAnsi="Cambria"/>
          <w:sz w:val="24"/>
          <w:szCs w:val="24"/>
        </w:rPr>
        <w:t xml:space="preserve"> consumers are more likely to change their consumption preference than older consumers (Pickett–Backer and Ozaki 2008). Since the demographic variables may cause systematic error, the subjects were assigned randomly to the condition to balance subject characteristics (Zikmund et al 2010). </w:t>
      </w:r>
    </w:p>
    <w:p w14:paraId="766C6EA4" w14:textId="164AFCA4"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As can be seen from Table </w:t>
      </w:r>
      <w:r w:rsidR="002F7526">
        <w:rPr>
          <w:rFonts w:ascii="Cambria" w:hAnsi="Cambria"/>
          <w:sz w:val="24"/>
          <w:szCs w:val="24"/>
        </w:rPr>
        <w:t>9</w:t>
      </w:r>
      <w:r w:rsidRPr="00530906">
        <w:rPr>
          <w:rFonts w:ascii="Cambria" w:hAnsi="Cambria"/>
          <w:sz w:val="24"/>
          <w:szCs w:val="24"/>
        </w:rPr>
        <w:t xml:space="preserve"> respondents are mainly from Europe and Asia. Sample is also ruled by female students. Student pool is substantially homogeneous in terms of income, age and education. Along with demographic variables, frequency of product usage and frequency of social media usage has been considered. </w:t>
      </w:r>
      <w:r w:rsidR="00EE7CEE" w:rsidRPr="00530906">
        <w:rPr>
          <w:rFonts w:ascii="Cambria" w:hAnsi="Cambria"/>
          <w:sz w:val="24"/>
          <w:szCs w:val="24"/>
        </w:rPr>
        <w:t>The</w:t>
      </w:r>
      <w:r w:rsidR="00E34F94" w:rsidRPr="00530906">
        <w:rPr>
          <w:rFonts w:ascii="Cambria" w:hAnsi="Cambria"/>
          <w:sz w:val="24"/>
          <w:szCs w:val="24"/>
        </w:rPr>
        <w:t xml:space="preserve"> number of students of different continents </w:t>
      </w:r>
      <w:r w:rsidR="00EE7CEE" w:rsidRPr="00530906">
        <w:rPr>
          <w:rFonts w:ascii="Cambria" w:hAnsi="Cambria"/>
          <w:sz w:val="24"/>
          <w:szCs w:val="24"/>
        </w:rPr>
        <w:t>are also moderately representing the distribution of worldwide social</w:t>
      </w:r>
      <w:r w:rsidR="004179CD" w:rsidRPr="00530906">
        <w:rPr>
          <w:rFonts w:ascii="Cambria" w:hAnsi="Cambria"/>
          <w:sz w:val="24"/>
          <w:szCs w:val="24"/>
        </w:rPr>
        <w:t>–</w:t>
      </w:r>
      <w:r w:rsidR="00EE7CEE" w:rsidRPr="00530906">
        <w:rPr>
          <w:rFonts w:ascii="Cambria" w:hAnsi="Cambria"/>
          <w:sz w:val="24"/>
          <w:szCs w:val="24"/>
        </w:rPr>
        <w:t>media users</w:t>
      </w:r>
      <w:r w:rsidR="00144796" w:rsidRPr="00530906">
        <w:rPr>
          <w:rFonts w:ascii="Cambria" w:hAnsi="Cambria"/>
          <w:sz w:val="24"/>
          <w:szCs w:val="24"/>
        </w:rPr>
        <w:t>, where it shows that, majority of social media users are from Asia and Europe (Sta</w:t>
      </w:r>
      <w:r w:rsidR="00552CE8" w:rsidRPr="00530906">
        <w:rPr>
          <w:rFonts w:ascii="Cambria" w:hAnsi="Cambria"/>
          <w:sz w:val="24"/>
          <w:szCs w:val="24"/>
        </w:rPr>
        <w:t>tis</w:t>
      </w:r>
      <w:r w:rsidR="00144796" w:rsidRPr="00530906">
        <w:rPr>
          <w:rFonts w:ascii="Cambria" w:hAnsi="Cambria"/>
          <w:sz w:val="24"/>
          <w:szCs w:val="24"/>
        </w:rPr>
        <w:t>ta 202</w:t>
      </w:r>
      <w:r w:rsidR="00552CE8" w:rsidRPr="00530906">
        <w:rPr>
          <w:rFonts w:ascii="Cambria" w:hAnsi="Cambria"/>
          <w:sz w:val="24"/>
          <w:szCs w:val="24"/>
        </w:rPr>
        <w:t>0</w:t>
      </w:r>
      <w:r w:rsidR="00144796" w:rsidRPr="00530906">
        <w:rPr>
          <w:rFonts w:ascii="Cambria" w:hAnsi="Cambria"/>
          <w:sz w:val="24"/>
          <w:szCs w:val="24"/>
        </w:rPr>
        <w:t>)</w:t>
      </w:r>
      <w:r w:rsidR="00EE7CEE" w:rsidRPr="00530906">
        <w:rPr>
          <w:rFonts w:ascii="Cambria" w:hAnsi="Cambria"/>
          <w:sz w:val="24"/>
          <w:szCs w:val="24"/>
        </w:rPr>
        <w:t xml:space="preserve">. </w:t>
      </w:r>
    </w:p>
    <w:p w14:paraId="38DD8FA0" w14:textId="2C3B9D60"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r w:rsidRPr="00530906">
        <w:rPr>
          <w:rFonts w:ascii="Cambria" w:hAnsi="Cambria" w:cs="Times New Roman"/>
          <w:sz w:val="24"/>
          <w:szCs w:val="24"/>
          <w:lang w:val="en-US"/>
        </w:rPr>
        <w:t xml:space="preserve">Table </w:t>
      </w:r>
      <w:r w:rsidR="003620A4">
        <w:rPr>
          <w:rFonts w:ascii="Cambria" w:hAnsi="Cambria" w:cs="Times New Roman"/>
          <w:sz w:val="24"/>
          <w:szCs w:val="24"/>
          <w:lang w:val="en-US"/>
        </w:rPr>
        <w:t>9</w:t>
      </w:r>
      <w:r w:rsidR="00046B29" w:rsidRPr="00530906">
        <w:rPr>
          <w:rFonts w:ascii="Cambria" w:hAnsi="Cambria" w:cs="Times New Roman"/>
          <w:sz w:val="24"/>
          <w:szCs w:val="24"/>
          <w:lang w:val="en-US"/>
        </w:rPr>
        <w:t xml:space="preserve">: Demographics of the respondents </w:t>
      </w:r>
    </w:p>
    <w:p w14:paraId="4BCA4210" w14:textId="77777777" w:rsidR="00592EFB" w:rsidRPr="00530906" w:rsidRDefault="00592EFB" w:rsidP="008756B1">
      <w:pPr>
        <w:autoSpaceDE w:val="0"/>
        <w:autoSpaceDN w:val="0"/>
        <w:adjustRightInd w:val="0"/>
        <w:spacing w:after="0" w:line="240" w:lineRule="auto"/>
        <w:jc w:val="both"/>
        <w:rPr>
          <w:rFonts w:ascii="Cambria" w:hAnsi="Cambria" w:cs="Times New Roman"/>
          <w:sz w:val="24"/>
          <w:szCs w:val="24"/>
          <w:lang w:val="en-US"/>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56"/>
        <w:gridCol w:w="1006"/>
        <w:gridCol w:w="524"/>
        <w:gridCol w:w="974"/>
        <w:gridCol w:w="1710"/>
        <w:gridCol w:w="990"/>
        <w:gridCol w:w="556"/>
      </w:tblGrid>
      <w:tr w:rsidR="00C7217E" w:rsidRPr="00530906" w14:paraId="7384DC6E" w14:textId="77777777" w:rsidTr="00EE722D">
        <w:trPr>
          <w:cantSplit/>
        </w:trPr>
        <w:tc>
          <w:tcPr>
            <w:tcW w:w="2790" w:type="dxa"/>
            <w:gridSpan w:val="2"/>
            <w:tcBorders>
              <w:top w:val="nil"/>
              <w:left w:val="nil"/>
              <w:bottom w:val="single" w:sz="8" w:space="0" w:color="152935"/>
              <w:right w:val="nil"/>
            </w:tcBorders>
            <w:shd w:val="clear" w:color="auto" w:fill="8EAADB" w:themeFill="accent1" w:themeFillTint="99"/>
            <w:vAlign w:val="bottom"/>
          </w:tcPr>
          <w:p w14:paraId="26DBC551" w14:textId="77777777" w:rsidR="00C7217E" w:rsidRPr="00530906" w:rsidRDefault="00C7217E" w:rsidP="008756B1">
            <w:pPr>
              <w:autoSpaceDE w:val="0"/>
              <w:autoSpaceDN w:val="0"/>
              <w:adjustRightInd w:val="0"/>
              <w:spacing w:after="0" w:line="240" w:lineRule="auto"/>
              <w:jc w:val="both"/>
              <w:rPr>
                <w:rFonts w:ascii="Cambria" w:hAnsi="Cambria" w:cs="Times New Roman"/>
                <w:sz w:val="18"/>
                <w:szCs w:val="18"/>
                <w:lang w:val="en-US"/>
              </w:rPr>
            </w:pPr>
            <w:r w:rsidRPr="00530906">
              <w:rPr>
                <w:rFonts w:ascii="Cambria" w:hAnsi="Cambria" w:cs="Times New Roman"/>
                <w:sz w:val="18"/>
                <w:szCs w:val="18"/>
                <w:lang w:val="en-US"/>
              </w:rPr>
              <w:t>Table 1: Characteristics</w:t>
            </w:r>
          </w:p>
        </w:tc>
        <w:tc>
          <w:tcPr>
            <w:tcW w:w="1006" w:type="dxa"/>
            <w:tcBorders>
              <w:top w:val="nil"/>
              <w:left w:val="nil"/>
              <w:bottom w:val="single" w:sz="8" w:space="0" w:color="152935"/>
              <w:right w:val="single" w:sz="8" w:space="0" w:color="E0E0E0"/>
            </w:tcBorders>
            <w:shd w:val="clear" w:color="auto" w:fill="8EAADB" w:themeFill="accent1" w:themeFillTint="99"/>
            <w:vAlign w:val="bottom"/>
          </w:tcPr>
          <w:p w14:paraId="582D863F"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r w:rsidRPr="00530906">
              <w:rPr>
                <w:rFonts w:ascii="Cambria" w:hAnsi="Cambria" w:cs="Arial"/>
                <w:sz w:val="18"/>
                <w:szCs w:val="18"/>
                <w:lang w:val="en-US"/>
              </w:rPr>
              <w:t>Frequency</w:t>
            </w:r>
          </w:p>
        </w:tc>
        <w:tc>
          <w:tcPr>
            <w:tcW w:w="524" w:type="dxa"/>
            <w:tcBorders>
              <w:top w:val="nil"/>
              <w:left w:val="nil"/>
              <w:bottom w:val="single" w:sz="8" w:space="0" w:color="152935"/>
              <w:right w:val="single" w:sz="4" w:space="0" w:color="auto"/>
            </w:tcBorders>
            <w:shd w:val="clear" w:color="auto" w:fill="8EAADB" w:themeFill="accent1" w:themeFillTint="99"/>
          </w:tcPr>
          <w:p w14:paraId="65840636"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r w:rsidRPr="00530906">
              <w:rPr>
                <w:rFonts w:ascii="Cambria" w:hAnsi="Cambria" w:cs="Arial"/>
                <w:sz w:val="18"/>
                <w:szCs w:val="18"/>
                <w:lang w:val="en-US"/>
              </w:rPr>
              <w:t>%</w:t>
            </w:r>
          </w:p>
        </w:tc>
        <w:tc>
          <w:tcPr>
            <w:tcW w:w="974" w:type="dxa"/>
            <w:tcBorders>
              <w:top w:val="nil"/>
              <w:left w:val="single" w:sz="4" w:space="0" w:color="auto"/>
              <w:bottom w:val="single" w:sz="8" w:space="0" w:color="152935"/>
              <w:right w:val="single" w:sz="8" w:space="0" w:color="E0E0E0"/>
            </w:tcBorders>
            <w:shd w:val="clear" w:color="auto" w:fill="8EAADB" w:themeFill="accent1" w:themeFillTint="99"/>
          </w:tcPr>
          <w:p w14:paraId="14EF31F7"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p>
        </w:tc>
        <w:tc>
          <w:tcPr>
            <w:tcW w:w="1710" w:type="dxa"/>
            <w:tcBorders>
              <w:top w:val="nil"/>
              <w:left w:val="nil"/>
              <w:bottom w:val="single" w:sz="8" w:space="0" w:color="152935"/>
              <w:right w:val="single" w:sz="8" w:space="0" w:color="E0E0E0"/>
            </w:tcBorders>
            <w:shd w:val="clear" w:color="auto" w:fill="8EAADB" w:themeFill="accent1" w:themeFillTint="99"/>
          </w:tcPr>
          <w:p w14:paraId="375C9D3C"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p>
        </w:tc>
        <w:tc>
          <w:tcPr>
            <w:tcW w:w="990" w:type="dxa"/>
            <w:tcBorders>
              <w:top w:val="nil"/>
              <w:left w:val="nil"/>
              <w:bottom w:val="single" w:sz="8" w:space="0" w:color="152935"/>
              <w:right w:val="single" w:sz="8" w:space="0" w:color="E0E0E0"/>
            </w:tcBorders>
            <w:shd w:val="clear" w:color="auto" w:fill="8EAADB" w:themeFill="accent1" w:themeFillTint="99"/>
          </w:tcPr>
          <w:p w14:paraId="7708CBBA"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r w:rsidRPr="00530906">
              <w:rPr>
                <w:rFonts w:ascii="Cambria" w:hAnsi="Cambria" w:cs="Arial"/>
                <w:sz w:val="18"/>
                <w:szCs w:val="18"/>
                <w:lang w:val="en-US"/>
              </w:rPr>
              <w:t>Frequency</w:t>
            </w:r>
          </w:p>
        </w:tc>
        <w:tc>
          <w:tcPr>
            <w:tcW w:w="556" w:type="dxa"/>
            <w:tcBorders>
              <w:top w:val="nil"/>
              <w:left w:val="nil"/>
              <w:bottom w:val="single" w:sz="8" w:space="0" w:color="152935"/>
              <w:right w:val="single" w:sz="8" w:space="0" w:color="E0E0E0"/>
            </w:tcBorders>
            <w:shd w:val="clear" w:color="auto" w:fill="8EAADB" w:themeFill="accent1" w:themeFillTint="99"/>
          </w:tcPr>
          <w:p w14:paraId="277CA2F8" w14:textId="77777777" w:rsidR="00C7217E" w:rsidRPr="00530906" w:rsidRDefault="00C7217E" w:rsidP="008756B1">
            <w:pPr>
              <w:autoSpaceDE w:val="0"/>
              <w:autoSpaceDN w:val="0"/>
              <w:adjustRightInd w:val="0"/>
              <w:spacing w:after="0" w:line="320" w:lineRule="atLeast"/>
              <w:ind w:right="60"/>
              <w:jc w:val="both"/>
              <w:rPr>
                <w:rFonts w:ascii="Cambria" w:hAnsi="Cambria" w:cs="Arial"/>
                <w:sz w:val="18"/>
                <w:szCs w:val="18"/>
                <w:lang w:val="en-US"/>
              </w:rPr>
            </w:pPr>
            <w:r w:rsidRPr="00530906">
              <w:rPr>
                <w:rFonts w:ascii="Cambria" w:hAnsi="Cambria" w:cs="Arial"/>
                <w:sz w:val="18"/>
                <w:szCs w:val="18"/>
                <w:lang w:val="en-US"/>
              </w:rPr>
              <w:t>%</w:t>
            </w:r>
          </w:p>
        </w:tc>
      </w:tr>
      <w:tr w:rsidR="00C7217E" w:rsidRPr="00530906" w14:paraId="763CFAB6" w14:textId="77777777" w:rsidTr="00C7217E">
        <w:trPr>
          <w:cantSplit/>
        </w:trPr>
        <w:tc>
          <w:tcPr>
            <w:tcW w:w="734" w:type="dxa"/>
            <w:vMerge w:val="restart"/>
            <w:tcBorders>
              <w:top w:val="single" w:sz="8" w:space="0" w:color="152935"/>
              <w:left w:val="nil"/>
              <w:right w:val="nil"/>
            </w:tcBorders>
            <w:shd w:val="clear" w:color="auto" w:fill="E0E0E0"/>
          </w:tcPr>
          <w:p w14:paraId="4B096E1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Gender</w:t>
            </w:r>
          </w:p>
        </w:tc>
        <w:tc>
          <w:tcPr>
            <w:tcW w:w="2056" w:type="dxa"/>
            <w:tcBorders>
              <w:top w:val="single" w:sz="8" w:space="0" w:color="152935"/>
              <w:left w:val="nil"/>
              <w:bottom w:val="single" w:sz="8" w:space="0" w:color="AEAEAE"/>
              <w:right w:val="nil"/>
            </w:tcBorders>
            <w:shd w:val="clear" w:color="auto" w:fill="E0E0E0"/>
          </w:tcPr>
          <w:p w14:paraId="43D0FAD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Male</w:t>
            </w:r>
          </w:p>
        </w:tc>
        <w:tc>
          <w:tcPr>
            <w:tcW w:w="1006" w:type="dxa"/>
            <w:tcBorders>
              <w:top w:val="single" w:sz="8" w:space="0" w:color="152935"/>
              <w:left w:val="nil"/>
              <w:bottom w:val="single" w:sz="8" w:space="0" w:color="AEAEAE"/>
              <w:right w:val="single" w:sz="8" w:space="0" w:color="E0E0E0"/>
            </w:tcBorders>
            <w:shd w:val="clear" w:color="auto" w:fill="FFFFFF"/>
          </w:tcPr>
          <w:p w14:paraId="4334C4F4"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83</w:t>
            </w:r>
          </w:p>
        </w:tc>
        <w:tc>
          <w:tcPr>
            <w:tcW w:w="524" w:type="dxa"/>
            <w:tcBorders>
              <w:top w:val="single" w:sz="8" w:space="0" w:color="152935"/>
              <w:left w:val="nil"/>
              <w:right w:val="single" w:sz="4" w:space="0" w:color="auto"/>
            </w:tcBorders>
            <w:shd w:val="clear" w:color="auto" w:fill="auto"/>
          </w:tcPr>
          <w:p w14:paraId="5A74A838" w14:textId="77777777" w:rsidR="00C7217E" w:rsidRPr="00530906" w:rsidRDefault="00C7217E" w:rsidP="008756B1">
            <w:pPr>
              <w:tabs>
                <w:tab w:val="left" w:pos="224"/>
              </w:tabs>
              <w:autoSpaceDE w:val="0"/>
              <w:autoSpaceDN w:val="0"/>
              <w:adjustRightInd w:val="0"/>
              <w:spacing w:after="0" w:line="240" w:lineRule="auto"/>
              <w:jc w:val="both"/>
              <w:rPr>
                <w:rFonts w:ascii="Cambria" w:hAnsi="Cambria" w:cs="Arial"/>
                <w:sz w:val="18"/>
                <w:szCs w:val="18"/>
                <w:lang w:val="en-US"/>
              </w:rPr>
            </w:pPr>
            <w:r w:rsidRPr="00530906">
              <w:rPr>
                <w:rFonts w:ascii="Cambria" w:hAnsi="Cambria" w:cs="Arial"/>
                <w:sz w:val="18"/>
                <w:szCs w:val="18"/>
                <w:lang w:val="en-US"/>
              </w:rPr>
              <w:t>29.7</w:t>
            </w:r>
          </w:p>
        </w:tc>
        <w:tc>
          <w:tcPr>
            <w:tcW w:w="974" w:type="dxa"/>
            <w:vMerge w:val="restart"/>
            <w:tcBorders>
              <w:top w:val="single" w:sz="8" w:space="0" w:color="152935"/>
              <w:left w:val="single" w:sz="4" w:space="0" w:color="auto"/>
              <w:right w:val="single" w:sz="8" w:space="0" w:color="E0E0E0"/>
            </w:tcBorders>
            <w:shd w:val="clear" w:color="auto" w:fill="D9D9D9" w:themeFill="background1" w:themeFillShade="D9"/>
          </w:tcPr>
          <w:p w14:paraId="4866558B"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r w:rsidRPr="00530906">
              <w:rPr>
                <w:rFonts w:ascii="Cambria" w:hAnsi="Cambria" w:cs="Arial"/>
                <w:sz w:val="18"/>
                <w:szCs w:val="18"/>
                <w:lang w:val="en-US"/>
              </w:rPr>
              <w:t>Continent</w:t>
            </w:r>
          </w:p>
        </w:tc>
        <w:tc>
          <w:tcPr>
            <w:tcW w:w="1710" w:type="dxa"/>
            <w:tcBorders>
              <w:top w:val="single" w:sz="8" w:space="0" w:color="152935"/>
              <w:left w:val="nil"/>
              <w:bottom w:val="single" w:sz="8" w:space="0" w:color="AEAEAE"/>
              <w:right w:val="single" w:sz="8" w:space="0" w:color="E0E0E0"/>
            </w:tcBorders>
            <w:shd w:val="clear" w:color="auto" w:fill="D9D9D9" w:themeFill="background1" w:themeFillShade="D9"/>
          </w:tcPr>
          <w:p w14:paraId="18EC903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Africa</w:t>
            </w:r>
          </w:p>
        </w:tc>
        <w:tc>
          <w:tcPr>
            <w:tcW w:w="990" w:type="dxa"/>
            <w:tcBorders>
              <w:top w:val="single" w:sz="8" w:space="0" w:color="152935"/>
              <w:left w:val="nil"/>
              <w:bottom w:val="single" w:sz="8" w:space="0" w:color="AEAEAE"/>
              <w:right w:val="single" w:sz="8" w:space="0" w:color="E0E0E0"/>
            </w:tcBorders>
            <w:shd w:val="clear" w:color="auto" w:fill="FFFFFF"/>
          </w:tcPr>
          <w:p w14:paraId="4666265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12</w:t>
            </w:r>
          </w:p>
        </w:tc>
        <w:tc>
          <w:tcPr>
            <w:tcW w:w="556" w:type="dxa"/>
            <w:tcBorders>
              <w:top w:val="single" w:sz="8" w:space="0" w:color="152935"/>
              <w:left w:val="nil"/>
              <w:bottom w:val="single" w:sz="8" w:space="0" w:color="AEAEAE"/>
              <w:right w:val="single" w:sz="8" w:space="0" w:color="E0E0E0"/>
            </w:tcBorders>
            <w:shd w:val="clear" w:color="auto" w:fill="FFFFFF"/>
          </w:tcPr>
          <w:p w14:paraId="57DA8C1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4.3</w:t>
            </w:r>
          </w:p>
        </w:tc>
      </w:tr>
      <w:tr w:rsidR="00C7217E" w:rsidRPr="00530906" w14:paraId="00647D71" w14:textId="77777777" w:rsidTr="00C7217E">
        <w:trPr>
          <w:cantSplit/>
        </w:trPr>
        <w:tc>
          <w:tcPr>
            <w:tcW w:w="734" w:type="dxa"/>
            <w:vMerge/>
            <w:tcBorders>
              <w:left w:val="nil"/>
              <w:right w:val="nil"/>
            </w:tcBorders>
            <w:shd w:val="clear" w:color="auto" w:fill="E0E0E0"/>
          </w:tcPr>
          <w:p w14:paraId="1C6B0657"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50DEF29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Female</w:t>
            </w:r>
          </w:p>
        </w:tc>
        <w:tc>
          <w:tcPr>
            <w:tcW w:w="1006" w:type="dxa"/>
            <w:tcBorders>
              <w:top w:val="single" w:sz="8" w:space="0" w:color="AEAEAE"/>
              <w:left w:val="nil"/>
              <w:bottom w:val="single" w:sz="8" w:space="0" w:color="AEAEAE"/>
              <w:right w:val="single" w:sz="8" w:space="0" w:color="E0E0E0"/>
            </w:tcBorders>
            <w:shd w:val="clear" w:color="auto" w:fill="FFFFFF"/>
          </w:tcPr>
          <w:p w14:paraId="140CC95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194</w:t>
            </w:r>
          </w:p>
        </w:tc>
        <w:tc>
          <w:tcPr>
            <w:tcW w:w="524" w:type="dxa"/>
            <w:tcBorders>
              <w:left w:val="nil"/>
              <w:right w:val="single" w:sz="4" w:space="0" w:color="auto"/>
            </w:tcBorders>
            <w:shd w:val="clear" w:color="auto" w:fill="auto"/>
          </w:tcPr>
          <w:p w14:paraId="4995FE6E" w14:textId="77777777" w:rsidR="00C7217E" w:rsidRPr="00530906" w:rsidRDefault="00C7217E" w:rsidP="008756B1">
            <w:pPr>
              <w:tabs>
                <w:tab w:val="left" w:pos="224"/>
              </w:tabs>
              <w:autoSpaceDE w:val="0"/>
              <w:autoSpaceDN w:val="0"/>
              <w:adjustRightInd w:val="0"/>
              <w:spacing w:after="0" w:line="240" w:lineRule="auto"/>
              <w:jc w:val="both"/>
              <w:rPr>
                <w:rFonts w:ascii="Cambria" w:hAnsi="Cambria" w:cs="Arial"/>
                <w:sz w:val="18"/>
                <w:szCs w:val="18"/>
                <w:lang w:val="en-US"/>
              </w:rPr>
            </w:pPr>
            <w:r w:rsidRPr="00530906">
              <w:rPr>
                <w:rFonts w:ascii="Cambria" w:hAnsi="Cambria" w:cs="Arial"/>
                <w:sz w:val="18"/>
                <w:szCs w:val="18"/>
                <w:lang w:val="en-US"/>
              </w:rPr>
              <w:t>69.5</w:t>
            </w:r>
          </w:p>
        </w:tc>
        <w:tc>
          <w:tcPr>
            <w:tcW w:w="974" w:type="dxa"/>
            <w:vMerge/>
            <w:tcBorders>
              <w:left w:val="single" w:sz="4" w:space="0" w:color="auto"/>
              <w:right w:val="single" w:sz="8" w:space="0" w:color="E0E0E0"/>
            </w:tcBorders>
            <w:shd w:val="clear" w:color="auto" w:fill="D9D9D9" w:themeFill="background1" w:themeFillShade="D9"/>
          </w:tcPr>
          <w:p w14:paraId="1A4E8F4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52DBCEB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Asia</w:t>
            </w:r>
          </w:p>
        </w:tc>
        <w:tc>
          <w:tcPr>
            <w:tcW w:w="990" w:type="dxa"/>
            <w:tcBorders>
              <w:top w:val="single" w:sz="8" w:space="0" w:color="AEAEAE"/>
              <w:left w:val="nil"/>
              <w:bottom w:val="single" w:sz="8" w:space="0" w:color="AEAEAE"/>
              <w:right w:val="single" w:sz="8" w:space="0" w:color="E0E0E0"/>
            </w:tcBorders>
            <w:shd w:val="clear" w:color="auto" w:fill="FFFFFF"/>
          </w:tcPr>
          <w:p w14:paraId="5597261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106</w:t>
            </w:r>
          </w:p>
        </w:tc>
        <w:tc>
          <w:tcPr>
            <w:tcW w:w="556" w:type="dxa"/>
            <w:tcBorders>
              <w:top w:val="single" w:sz="8" w:space="0" w:color="AEAEAE"/>
              <w:left w:val="nil"/>
              <w:bottom w:val="single" w:sz="8" w:space="0" w:color="AEAEAE"/>
              <w:right w:val="single" w:sz="8" w:space="0" w:color="E0E0E0"/>
            </w:tcBorders>
            <w:shd w:val="clear" w:color="auto" w:fill="FFFFFF"/>
          </w:tcPr>
          <w:p w14:paraId="229D1CB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38</w:t>
            </w:r>
          </w:p>
        </w:tc>
      </w:tr>
      <w:tr w:rsidR="00C7217E" w:rsidRPr="00530906" w14:paraId="7F026F35" w14:textId="77777777" w:rsidTr="00C7217E">
        <w:trPr>
          <w:cantSplit/>
        </w:trPr>
        <w:tc>
          <w:tcPr>
            <w:tcW w:w="734" w:type="dxa"/>
            <w:vMerge/>
            <w:tcBorders>
              <w:left w:val="nil"/>
              <w:right w:val="nil"/>
            </w:tcBorders>
            <w:shd w:val="clear" w:color="auto" w:fill="E0E0E0"/>
          </w:tcPr>
          <w:p w14:paraId="2A2D186A"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1F0E757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Neutral</w:t>
            </w:r>
          </w:p>
        </w:tc>
        <w:tc>
          <w:tcPr>
            <w:tcW w:w="1006" w:type="dxa"/>
            <w:tcBorders>
              <w:top w:val="single" w:sz="8" w:space="0" w:color="AEAEAE"/>
              <w:left w:val="nil"/>
              <w:bottom w:val="single" w:sz="8" w:space="0" w:color="AEAEAE"/>
              <w:right w:val="single" w:sz="8" w:space="0" w:color="E0E0E0"/>
            </w:tcBorders>
            <w:shd w:val="clear" w:color="auto" w:fill="FFFFFF"/>
          </w:tcPr>
          <w:p w14:paraId="08BD7874"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w:t>
            </w:r>
          </w:p>
        </w:tc>
        <w:tc>
          <w:tcPr>
            <w:tcW w:w="524" w:type="dxa"/>
            <w:tcBorders>
              <w:left w:val="nil"/>
              <w:right w:val="single" w:sz="4" w:space="0" w:color="auto"/>
            </w:tcBorders>
            <w:shd w:val="clear" w:color="auto" w:fill="auto"/>
          </w:tcPr>
          <w:p w14:paraId="67C2B74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 4</w:t>
            </w:r>
          </w:p>
        </w:tc>
        <w:tc>
          <w:tcPr>
            <w:tcW w:w="974" w:type="dxa"/>
            <w:vMerge/>
            <w:tcBorders>
              <w:left w:val="single" w:sz="4" w:space="0" w:color="auto"/>
              <w:right w:val="single" w:sz="8" w:space="0" w:color="E0E0E0"/>
            </w:tcBorders>
            <w:shd w:val="clear" w:color="auto" w:fill="D9D9D9" w:themeFill="background1" w:themeFillShade="D9"/>
          </w:tcPr>
          <w:p w14:paraId="33FE276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3839DFD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Australia</w:t>
            </w:r>
          </w:p>
        </w:tc>
        <w:tc>
          <w:tcPr>
            <w:tcW w:w="990" w:type="dxa"/>
            <w:tcBorders>
              <w:top w:val="single" w:sz="8" w:space="0" w:color="AEAEAE"/>
              <w:left w:val="nil"/>
              <w:bottom w:val="single" w:sz="8" w:space="0" w:color="AEAEAE"/>
              <w:right w:val="single" w:sz="8" w:space="0" w:color="E0E0E0"/>
            </w:tcBorders>
            <w:shd w:val="clear" w:color="auto" w:fill="FFFFFF"/>
          </w:tcPr>
          <w:p w14:paraId="1F4C79D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w:t>
            </w:r>
          </w:p>
        </w:tc>
        <w:tc>
          <w:tcPr>
            <w:tcW w:w="556" w:type="dxa"/>
            <w:tcBorders>
              <w:top w:val="single" w:sz="8" w:space="0" w:color="AEAEAE"/>
              <w:left w:val="nil"/>
              <w:bottom w:val="single" w:sz="8" w:space="0" w:color="AEAEAE"/>
              <w:right w:val="single" w:sz="8" w:space="0" w:color="E0E0E0"/>
            </w:tcBorders>
            <w:shd w:val="clear" w:color="auto" w:fill="FFFFFF"/>
          </w:tcPr>
          <w:p w14:paraId="53EB254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,7</w:t>
            </w:r>
          </w:p>
        </w:tc>
      </w:tr>
      <w:tr w:rsidR="00C7217E" w:rsidRPr="00530906" w14:paraId="17AC036E" w14:textId="77777777" w:rsidTr="00C7217E">
        <w:trPr>
          <w:cantSplit/>
        </w:trPr>
        <w:tc>
          <w:tcPr>
            <w:tcW w:w="734" w:type="dxa"/>
            <w:vMerge/>
            <w:tcBorders>
              <w:left w:val="nil"/>
              <w:bottom w:val="single" w:sz="4" w:space="0" w:color="auto"/>
              <w:right w:val="nil"/>
            </w:tcBorders>
            <w:shd w:val="clear" w:color="auto" w:fill="E0E0E0"/>
          </w:tcPr>
          <w:p w14:paraId="1B71309A"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4" w:space="0" w:color="auto"/>
              <w:right w:val="nil"/>
            </w:tcBorders>
            <w:shd w:val="clear" w:color="auto" w:fill="E0E0E0"/>
          </w:tcPr>
          <w:p w14:paraId="6062509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I do not want to disclose</w:t>
            </w:r>
          </w:p>
        </w:tc>
        <w:tc>
          <w:tcPr>
            <w:tcW w:w="1006" w:type="dxa"/>
            <w:tcBorders>
              <w:top w:val="single" w:sz="8" w:space="0" w:color="AEAEAE"/>
              <w:left w:val="nil"/>
              <w:bottom w:val="single" w:sz="4" w:space="0" w:color="auto"/>
              <w:right w:val="single" w:sz="8" w:space="0" w:color="E0E0E0"/>
            </w:tcBorders>
            <w:shd w:val="clear" w:color="auto" w:fill="FFFFFF"/>
          </w:tcPr>
          <w:p w14:paraId="36BAD074"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w:t>
            </w:r>
          </w:p>
        </w:tc>
        <w:tc>
          <w:tcPr>
            <w:tcW w:w="524" w:type="dxa"/>
            <w:tcBorders>
              <w:left w:val="nil"/>
              <w:right w:val="single" w:sz="4" w:space="0" w:color="auto"/>
            </w:tcBorders>
            <w:shd w:val="clear" w:color="auto" w:fill="auto"/>
          </w:tcPr>
          <w:p w14:paraId="37DBC7E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w:t>
            </w:r>
          </w:p>
        </w:tc>
        <w:tc>
          <w:tcPr>
            <w:tcW w:w="974" w:type="dxa"/>
            <w:vMerge/>
            <w:tcBorders>
              <w:left w:val="single" w:sz="4" w:space="0" w:color="auto"/>
              <w:right w:val="single" w:sz="8" w:space="0" w:color="E0E0E0"/>
            </w:tcBorders>
            <w:shd w:val="clear" w:color="auto" w:fill="D9D9D9" w:themeFill="background1" w:themeFillShade="D9"/>
          </w:tcPr>
          <w:p w14:paraId="0591F4D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4B6AADD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Europe</w:t>
            </w:r>
          </w:p>
        </w:tc>
        <w:tc>
          <w:tcPr>
            <w:tcW w:w="990" w:type="dxa"/>
            <w:tcBorders>
              <w:top w:val="single" w:sz="8" w:space="0" w:color="AEAEAE"/>
              <w:left w:val="nil"/>
              <w:bottom w:val="single" w:sz="8" w:space="0" w:color="AEAEAE"/>
              <w:right w:val="single" w:sz="8" w:space="0" w:color="E0E0E0"/>
            </w:tcBorders>
            <w:shd w:val="clear" w:color="auto" w:fill="FFFFFF"/>
          </w:tcPr>
          <w:p w14:paraId="569C648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144</w:t>
            </w:r>
          </w:p>
        </w:tc>
        <w:tc>
          <w:tcPr>
            <w:tcW w:w="556" w:type="dxa"/>
            <w:tcBorders>
              <w:top w:val="single" w:sz="8" w:space="0" w:color="AEAEAE"/>
              <w:left w:val="nil"/>
              <w:bottom w:val="single" w:sz="8" w:space="0" w:color="AEAEAE"/>
              <w:right w:val="single" w:sz="8" w:space="0" w:color="E0E0E0"/>
            </w:tcBorders>
            <w:shd w:val="clear" w:color="auto" w:fill="FFFFFF"/>
          </w:tcPr>
          <w:p w14:paraId="48CA65B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51.6</w:t>
            </w:r>
          </w:p>
        </w:tc>
      </w:tr>
      <w:tr w:rsidR="00C7217E" w:rsidRPr="00530906" w14:paraId="60BCE841" w14:textId="77777777" w:rsidTr="00C7217E">
        <w:trPr>
          <w:cantSplit/>
        </w:trPr>
        <w:tc>
          <w:tcPr>
            <w:tcW w:w="734" w:type="dxa"/>
            <w:vMerge w:val="restart"/>
            <w:tcBorders>
              <w:top w:val="single" w:sz="4" w:space="0" w:color="auto"/>
              <w:left w:val="nil"/>
              <w:right w:val="nil"/>
            </w:tcBorders>
            <w:shd w:val="clear" w:color="auto" w:fill="E0E0E0"/>
          </w:tcPr>
          <w:p w14:paraId="3D0C5B6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Income</w:t>
            </w:r>
          </w:p>
        </w:tc>
        <w:tc>
          <w:tcPr>
            <w:tcW w:w="2056" w:type="dxa"/>
            <w:tcBorders>
              <w:top w:val="single" w:sz="4" w:space="0" w:color="auto"/>
              <w:left w:val="nil"/>
              <w:bottom w:val="single" w:sz="8" w:space="0" w:color="AEAEAE"/>
              <w:right w:val="nil"/>
            </w:tcBorders>
            <w:shd w:val="clear" w:color="auto" w:fill="E0E0E0"/>
          </w:tcPr>
          <w:p w14:paraId="1E1BE42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Under £15,000</w:t>
            </w:r>
          </w:p>
        </w:tc>
        <w:tc>
          <w:tcPr>
            <w:tcW w:w="1006" w:type="dxa"/>
            <w:tcBorders>
              <w:top w:val="single" w:sz="4" w:space="0" w:color="auto"/>
              <w:left w:val="nil"/>
              <w:bottom w:val="single" w:sz="8" w:space="0" w:color="AEAEAE"/>
              <w:right w:val="single" w:sz="8" w:space="0" w:color="E0E0E0"/>
            </w:tcBorders>
            <w:shd w:val="clear" w:color="auto" w:fill="FFFFFF"/>
          </w:tcPr>
          <w:p w14:paraId="2F0C5C3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64</w:t>
            </w:r>
          </w:p>
        </w:tc>
        <w:tc>
          <w:tcPr>
            <w:tcW w:w="524" w:type="dxa"/>
            <w:tcBorders>
              <w:left w:val="nil"/>
              <w:right w:val="single" w:sz="4" w:space="0" w:color="auto"/>
            </w:tcBorders>
            <w:shd w:val="clear" w:color="auto" w:fill="auto"/>
          </w:tcPr>
          <w:p w14:paraId="0839D49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22.9</w:t>
            </w:r>
          </w:p>
        </w:tc>
        <w:tc>
          <w:tcPr>
            <w:tcW w:w="974" w:type="dxa"/>
            <w:vMerge/>
            <w:tcBorders>
              <w:left w:val="single" w:sz="4" w:space="0" w:color="auto"/>
              <w:right w:val="single" w:sz="8" w:space="0" w:color="E0E0E0"/>
            </w:tcBorders>
            <w:shd w:val="clear" w:color="auto" w:fill="D9D9D9" w:themeFill="background1" w:themeFillShade="D9"/>
          </w:tcPr>
          <w:p w14:paraId="2D9C6F7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656C987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North America</w:t>
            </w:r>
          </w:p>
        </w:tc>
        <w:tc>
          <w:tcPr>
            <w:tcW w:w="990" w:type="dxa"/>
            <w:tcBorders>
              <w:top w:val="single" w:sz="8" w:space="0" w:color="AEAEAE"/>
              <w:left w:val="nil"/>
              <w:bottom w:val="single" w:sz="8" w:space="0" w:color="AEAEAE"/>
              <w:right w:val="single" w:sz="8" w:space="0" w:color="E0E0E0"/>
            </w:tcBorders>
            <w:shd w:val="clear" w:color="auto" w:fill="FFFFFF"/>
          </w:tcPr>
          <w:p w14:paraId="1223146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9</w:t>
            </w:r>
          </w:p>
        </w:tc>
        <w:tc>
          <w:tcPr>
            <w:tcW w:w="556" w:type="dxa"/>
            <w:tcBorders>
              <w:top w:val="single" w:sz="8" w:space="0" w:color="AEAEAE"/>
              <w:left w:val="nil"/>
              <w:bottom w:val="single" w:sz="8" w:space="0" w:color="AEAEAE"/>
              <w:right w:val="single" w:sz="8" w:space="0" w:color="E0E0E0"/>
            </w:tcBorders>
            <w:shd w:val="clear" w:color="auto" w:fill="FFFFFF"/>
          </w:tcPr>
          <w:p w14:paraId="66D3A70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3.2</w:t>
            </w:r>
          </w:p>
        </w:tc>
      </w:tr>
      <w:tr w:rsidR="00C7217E" w:rsidRPr="00530906" w14:paraId="5DCB682C" w14:textId="77777777" w:rsidTr="00C7217E">
        <w:trPr>
          <w:cantSplit/>
        </w:trPr>
        <w:tc>
          <w:tcPr>
            <w:tcW w:w="734" w:type="dxa"/>
            <w:vMerge/>
            <w:tcBorders>
              <w:left w:val="nil"/>
              <w:right w:val="nil"/>
            </w:tcBorders>
            <w:shd w:val="clear" w:color="auto" w:fill="E0E0E0"/>
          </w:tcPr>
          <w:p w14:paraId="4A26DE7A"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5031D87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£15,000–£24,999</w:t>
            </w:r>
          </w:p>
        </w:tc>
        <w:tc>
          <w:tcPr>
            <w:tcW w:w="1006" w:type="dxa"/>
            <w:tcBorders>
              <w:top w:val="single" w:sz="8" w:space="0" w:color="AEAEAE"/>
              <w:left w:val="nil"/>
              <w:bottom w:val="single" w:sz="8" w:space="0" w:color="AEAEAE"/>
              <w:right w:val="single" w:sz="8" w:space="0" w:color="E0E0E0"/>
            </w:tcBorders>
            <w:shd w:val="clear" w:color="auto" w:fill="FFFFFF"/>
          </w:tcPr>
          <w:p w14:paraId="234B4260"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49</w:t>
            </w:r>
          </w:p>
        </w:tc>
        <w:tc>
          <w:tcPr>
            <w:tcW w:w="524" w:type="dxa"/>
            <w:tcBorders>
              <w:left w:val="nil"/>
              <w:bottom w:val="single" w:sz="4" w:space="0" w:color="auto"/>
              <w:right w:val="single" w:sz="4" w:space="0" w:color="auto"/>
            </w:tcBorders>
            <w:shd w:val="clear" w:color="auto" w:fill="auto"/>
          </w:tcPr>
          <w:p w14:paraId="193E263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17.6</w:t>
            </w:r>
          </w:p>
        </w:tc>
        <w:tc>
          <w:tcPr>
            <w:tcW w:w="974" w:type="dxa"/>
            <w:vMerge/>
            <w:tcBorders>
              <w:left w:val="single" w:sz="4" w:space="0" w:color="auto"/>
              <w:bottom w:val="single" w:sz="4" w:space="0" w:color="auto"/>
              <w:right w:val="single" w:sz="8" w:space="0" w:color="E0E0E0"/>
            </w:tcBorders>
            <w:shd w:val="clear" w:color="auto" w:fill="D9D9D9" w:themeFill="background1" w:themeFillShade="D9"/>
          </w:tcPr>
          <w:p w14:paraId="004D789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4" w:space="0" w:color="auto"/>
              <w:right w:val="single" w:sz="8" w:space="0" w:color="E0E0E0"/>
            </w:tcBorders>
            <w:shd w:val="clear" w:color="auto" w:fill="D9D9D9" w:themeFill="background1" w:themeFillShade="D9"/>
          </w:tcPr>
          <w:p w14:paraId="37189D9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South America</w:t>
            </w:r>
          </w:p>
        </w:tc>
        <w:tc>
          <w:tcPr>
            <w:tcW w:w="990" w:type="dxa"/>
            <w:tcBorders>
              <w:top w:val="single" w:sz="8" w:space="0" w:color="AEAEAE"/>
              <w:left w:val="nil"/>
              <w:bottom w:val="single" w:sz="4" w:space="0" w:color="auto"/>
              <w:right w:val="single" w:sz="8" w:space="0" w:color="E0E0E0"/>
            </w:tcBorders>
            <w:shd w:val="clear" w:color="auto" w:fill="FFFFFF"/>
          </w:tcPr>
          <w:p w14:paraId="4663589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w:t>
            </w:r>
          </w:p>
        </w:tc>
        <w:tc>
          <w:tcPr>
            <w:tcW w:w="556" w:type="dxa"/>
            <w:tcBorders>
              <w:top w:val="single" w:sz="8" w:space="0" w:color="AEAEAE"/>
              <w:left w:val="nil"/>
              <w:bottom w:val="single" w:sz="4" w:space="0" w:color="auto"/>
              <w:right w:val="single" w:sz="8" w:space="0" w:color="E0E0E0"/>
            </w:tcBorders>
            <w:shd w:val="clear" w:color="auto" w:fill="FFFFFF"/>
          </w:tcPr>
          <w:p w14:paraId="6C49944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2.2</w:t>
            </w:r>
          </w:p>
        </w:tc>
      </w:tr>
      <w:tr w:rsidR="00C7217E" w:rsidRPr="00530906" w14:paraId="7F252D35" w14:textId="77777777" w:rsidTr="00C7217E">
        <w:trPr>
          <w:cantSplit/>
        </w:trPr>
        <w:tc>
          <w:tcPr>
            <w:tcW w:w="734" w:type="dxa"/>
            <w:vMerge/>
            <w:tcBorders>
              <w:left w:val="nil"/>
              <w:right w:val="nil"/>
            </w:tcBorders>
            <w:shd w:val="clear" w:color="auto" w:fill="E0E0E0"/>
          </w:tcPr>
          <w:p w14:paraId="5F68594B"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41366F02"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£25,000–£34,999</w:t>
            </w:r>
          </w:p>
        </w:tc>
        <w:tc>
          <w:tcPr>
            <w:tcW w:w="1006" w:type="dxa"/>
            <w:tcBorders>
              <w:top w:val="single" w:sz="8" w:space="0" w:color="AEAEAE"/>
              <w:left w:val="nil"/>
              <w:bottom w:val="single" w:sz="8" w:space="0" w:color="AEAEAE"/>
              <w:right w:val="single" w:sz="8" w:space="0" w:color="E0E0E0"/>
            </w:tcBorders>
            <w:shd w:val="clear" w:color="auto" w:fill="FFFFFF"/>
          </w:tcPr>
          <w:p w14:paraId="604D749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39</w:t>
            </w:r>
          </w:p>
        </w:tc>
        <w:tc>
          <w:tcPr>
            <w:tcW w:w="524" w:type="dxa"/>
            <w:tcBorders>
              <w:top w:val="single" w:sz="4" w:space="0" w:color="auto"/>
              <w:left w:val="nil"/>
              <w:right w:val="single" w:sz="4" w:space="0" w:color="auto"/>
            </w:tcBorders>
            <w:shd w:val="clear" w:color="auto" w:fill="auto"/>
          </w:tcPr>
          <w:p w14:paraId="167FC9E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14.0</w:t>
            </w:r>
          </w:p>
        </w:tc>
        <w:tc>
          <w:tcPr>
            <w:tcW w:w="974" w:type="dxa"/>
            <w:vMerge w:val="restart"/>
            <w:tcBorders>
              <w:top w:val="single" w:sz="4" w:space="0" w:color="auto"/>
              <w:left w:val="single" w:sz="4" w:space="0" w:color="auto"/>
              <w:right w:val="single" w:sz="8" w:space="0" w:color="E0E0E0"/>
            </w:tcBorders>
            <w:shd w:val="clear" w:color="auto" w:fill="D9D9D9" w:themeFill="background1" w:themeFillShade="D9"/>
          </w:tcPr>
          <w:p w14:paraId="3F70BFF0"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Age</w:t>
            </w:r>
          </w:p>
        </w:tc>
        <w:tc>
          <w:tcPr>
            <w:tcW w:w="1710" w:type="dxa"/>
            <w:tcBorders>
              <w:top w:val="single" w:sz="4" w:space="0" w:color="auto"/>
              <w:left w:val="nil"/>
              <w:bottom w:val="single" w:sz="8" w:space="0" w:color="AEAEAE"/>
              <w:right w:val="single" w:sz="8" w:space="0" w:color="E0E0E0"/>
            </w:tcBorders>
            <w:shd w:val="clear" w:color="auto" w:fill="D9D9D9" w:themeFill="background1" w:themeFillShade="D9"/>
          </w:tcPr>
          <w:p w14:paraId="6380360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18–25</w:t>
            </w:r>
          </w:p>
        </w:tc>
        <w:tc>
          <w:tcPr>
            <w:tcW w:w="990" w:type="dxa"/>
            <w:tcBorders>
              <w:top w:val="single" w:sz="4" w:space="0" w:color="auto"/>
              <w:left w:val="nil"/>
              <w:bottom w:val="single" w:sz="8" w:space="0" w:color="AEAEAE"/>
              <w:right w:val="single" w:sz="8" w:space="0" w:color="E0E0E0"/>
            </w:tcBorders>
            <w:shd w:val="clear" w:color="auto" w:fill="FFFFFF"/>
          </w:tcPr>
          <w:p w14:paraId="48A65EB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225</w:t>
            </w:r>
          </w:p>
        </w:tc>
        <w:tc>
          <w:tcPr>
            <w:tcW w:w="556" w:type="dxa"/>
            <w:tcBorders>
              <w:top w:val="single" w:sz="4" w:space="0" w:color="auto"/>
              <w:left w:val="nil"/>
              <w:bottom w:val="single" w:sz="8" w:space="0" w:color="AEAEAE"/>
              <w:right w:val="single" w:sz="8" w:space="0" w:color="E0E0E0"/>
            </w:tcBorders>
            <w:shd w:val="clear" w:color="auto" w:fill="FFFFFF"/>
          </w:tcPr>
          <w:p w14:paraId="318CBC6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80.6</w:t>
            </w:r>
          </w:p>
        </w:tc>
      </w:tr>
      <w:tr w:rsidR="00C7217E" w:rsidRPr="00530906" w14:paraId="304793F5" w14:textId="77777777" w:rsidTr="00C7217E">
        <w:trPr>
          <w:cantSplit/>
        </w:trPr>
        <w:tc>
          <w:tcPr>
            <w:tcW w:w="734" w:type="dxa"/>
            <w:vMerge/>
            <w:tcBorders>
              <w:left w:val="nil"/>
              <w:right w:val="nil"/>
            </w:tcBorders>
            <w:shd w:val="clear" w:color="auto" w:fill="E0E0E0"/>
          </w:tcPr>
          <w:p w14:paraId="50445060"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67CC521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£35,000–£44,999</w:t>
            </w:r>
          </w:p>
        </w:tc>
        <w:tc>
          <w:tcPr>
            <w:tcW w:w="1006" w:type="dxa"/>
            <w:tcBorders>
              <w:top w:val="single" w:sz="8" w:space="0" w:color="AEAEAE"/>
              <w:left w:val="nil"/>
              <w:bottom w:val="single" w:sz="8" w:space="0" w:color="AEAEAE"/>
              <w:right w:val="single" w:sz="8" w:space="0" w:color="E0E0E0"/>
            </w:tcBorders>
            <w:shd w:val="clear" w:color="auto" w:fill="FFFFFF"/>
          </w:tcPr>
          <w:p w14:paraId="2476D0D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17</w:t>
            </w:r>
          </w:p>
        </w:tc>
        <w:tc>
          <w:tcPr>
            <w:tcW w:w="524" w:type="dxa"/>
            <w:tcBorders>
              <w:left w:val="nil"/>
              <w:right w:val="single" w:sz="4" w:space="0" w:color="auto"/>
            </w:tcBorders>
            <w:shd w:val="clear" w:color="auto" w:fill="auto"/>
          </w:tcPr>
          <w:p w14:paraId="7D36ABA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6.1</w:t>
            </w:r>
          </w:p>
        </w:tc>
        <w:tc>
          <w:tcPr>
            <w:tcW w:w="974" w:type="dxa"/>
            <w:vMerge/>
            <w:tcBorders>
              <w:left w:val="single" w:sz="4" w:space="0" w:color="auto"/>
              <w:right w:val="single" w:sz="8" w:space="0" w:color="E0E0E0"/>
            </w:tcBorders>
            <w:shd w:val="clear" w:color="auto" w:fill="D9D9D9" w:themeFill="background1" w:themeFillShade="D9"/>
          </w:tcPr>
          <w:p w14:paraId="356541C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089923A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26–35</w:t>
            </w:r>
          </w:p>
        </w:tc>
        <w:tc>
          <w:tcPr>
            <w:tcW w:w="990" w:type="dxa"/>
            <w:tcBorders>
              <w:top w:val="single" w:sz="8" w:space="0" w:color="AEAEAE"/>
              <w:left w:val="nil"/>
              <w:bottom w:val="single" w:sz="8" w:space="0" w:color="AEAEAE"/>
              <w:right w:val="single" w:sz="8" w:space="0" w:color="E0E0E0"/>
            </w:tcBorders>
            <w:shd w:val="clear" w:color="auto" w:fill="FFFFFF"/>
          </w:tcPr>
          <w:p w14:paraId="75FA2FA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47</w:t>
            </w:r>
          </w:p>
        </w:tc>
        <w:tc>
          <w:tcPr>
            <w:tcW w:w="556" w:type="dxa"/>
            <w:tcBorders>
              <w:top w:val="single" w:sz="8" w:space="0" w:color="AEAEAE"/>
              <w:left w:val="nil"/>
              <w:bottom w:val="single" w:sz="8" w:space="0" w:color="AEAEAE"/>
              <w:right w:val="single" w:sz="8" w:space="0" w:color="E0E0E0"/>
            </w:tcBorders>
            <w:shd w:val="clear" w:color="auto" w:fill="FFFFFF"/>
          </w:tcPr>
          <w:p w14:paraId="1A04413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16.8</w:t>
            </w:r>
          </w:p>
        </w:tc>
      </w:tr>
      <w:tr w:rsidR="00C7217E" w:rsidRPr="00530906" w14:paraId="0367EEFE" w14:textId="77777777" w:rsidTr="00C7217E">
        <w:trPr>
          <w:cantSplit/>
        </w:trPr>
        <w:tc>
          <w:tcPr>
            <w:tcW w:w="734" w:type="dxa"/>
            <w:vMerge/>
            <w:tcBorders>
              <w:left w:val="nil"/>
              <w:right w:val="nil"/>
            </w:tcBorders>
            <w:shd w:val="clear" w:color="auto" w:fill="E0E0E0"/>
          </w:tcPr>
          <w:p w14:paraId="4503ECD4"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42A15E2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£45,000–£54,999</w:t>
            </w:r>
          </w:p>
        </w:tc>
        <w:tc>
          <w:tcPr>
            <w:tcW w:w="1006" w:type="dxa"/>
            <w:tcBorders>
              <w:top w:val="single" w:sz="8" w:space="0" w:color="AEAEAE"/>
              <w:left w:val="nil"/>
              <w:bottom w:val="single" w:sz="8" w:space="0" w:color="AEAEAE"/>
              <w:right w:val="single" w:sz="8" w:space="0" w:color="E0E0E0"/>
            </w:tcBorders>
            <w:shd w:val="clear" w:color="auto" w:fill="FFFFFF"/>
          </w:tcPr>
          <w:p w14:paraId="43A5CF8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14</w:t>
            </w:r>
          </w:p>
        </w:tc>
        <w:tc>
          <w:tcPr>
            <w:tcW w:w="524" w:type="dxa"/>
            <w:tcBorders>
              <w:left w:val="nil"/>
              <w:right w:val="single" w:sz="4" w:space="0" w:color="auto"/>
            </w:tcBorders>
            <w:shd w:val="clear" w:color="auto" w:fill="auto"/>
          </w:tcPr>
          <w:p w14:paraId="4B17C50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5.0</w:t>
            </w:r>
          </w:p>
        </w:tc>
        <w:tc>
          <w:tcPr>
            <w:tcW w:w="974" w:type="dxa"/>
            <w:vMerge/>
            <w:tcBorders>
              <w:left w:val="single" w:sz="4" w:space="0" w:color="auto"/>
              <w:right w:val="single" w:sz="8" w:space="0" w:color="E0E0E0"/>
            </w:tcBorders>
            <w:shd w:val="clear" w:color="auto" w:fill="D9D9D9" w:themeFill="background1" w:themeFillShade="D9"/>
          </w:tcPr>
          <w:p w14:paraId="69EDE2C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66229CB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36–45</w:t>
            </w:r>
          </w:p>
        </w:tc>
        <w:tc>
          <w:tcPr>
            <w:tcW w:w="990" w:type="dxa"/>
            <w:tcBorders>
              <w:top w:val="single" w:sz="8" w:space="0" w:color="AEAEAE"/>
              <w:left w:val="nil"/>
              <w:bottom w:val="single" w:sz="8" w:space="0" w:color="AEAEAE"/>
              <w:right w:val="single" w:sz="8" w:space="0" w:color="E0E0E0"/>
            </w:tcBorders>
            <w:shd w:val="clear" w:color="auto" w:fill="FFFFFF"/>
          </w:tcPr>
          <w:p w14:paraId="58E365A2"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w:t>
            </w:r>
          </w:p>
        </w:tc>
        <w:tc>
          <w:tcPr>
            <w:tcW w:w="556" w:type="dxa"/>
            <w:tcBorders>
              <w:top w:val="single" w:sz="8" w:space="0" w:color="AEAEAE"/>
              <w:left w:val="nil"/>
              <w:bottom w:val="single" w:sz="8" w:space="0" w:color="AEAEAE"/>
              <w:right w:val="single" w:sz="8" w:space="0" w:color="E0E0E0"/>
            </w:tcBorders>
            <w:shd w:val="clear" w:color="auto" w:fill="FFFFFF"/>
          </w:tcPr>
          <w:p w14:paraId="26BEDE6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1.8</w:t>
            </w:r>
          </w:p>
        </w:tc>
      </w:tr>
      <w:tr w:rsidR="00C7217E" w:rsidRPr="00530906" w14:paraId="3A89AD63" w14:textId="77777777" w:rsidTr="00C7217E">
        <w:trPr>
          <w:cantSplit/>
        </w:trPr>
        <w:tc>
          <w:tcPr>
            <w:tcW w:w="734" w:type="dxa"/>
            <w:vMerge/>
            <w:tcBorders>
              <w:left w:val="nil"/>
              <w:right w:val="nil"/>
            </w:tcBorders>
            <w:shd w:val="clear" w:color="auto" w:fill="E0E0E0"/>
          </w:tcPr>
          <w:p w14:paraId="45482F42"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7D49DE8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£55,000–£64,999</w:t>
            </w:r>
          </w:p>
        </w:tc>
        <w:tc>
          <w:tcPr>
            <w:tcW w:w="1006" w:type="dxa"/>
            <w:tcBorders>
              <w:top w:val="single" w:sz="8" w:space="0" w:color="AEAEAE"/>
              <w:left w:val="nil"/>
              <w:bottom w:val="single" w:sz="8" w:space="0" w:color="AEAEAE"/>
              <w:right w:val="single" w:sz="8" w:space="0" w:color="E0E0E0"/>
            </w:tcBorders>
            <w:shd w:val="clear" w:color="auto" w:fill="FFFFFF"/>
          </w:tcPr>
          <w:p w14:paraId="15EABBE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9</w:t>
            </w:r>
          </w:p>
        </w:tc>
        <w:tc>
          <w:tcPr>
            <w:tcW w:w="524" w:type="dxa"/>
            <w:tcBorders>
              <w:left w:val="nil"/>
              <w:bottom w:val="single" w:sz="4" w:space="0" w:color="auto"/>
              <w:right w:val="single" w:sz="4" w:space="0" w:color="auto"/>
            </w:tcBorders>
            <w:shd w:val="clear" w:color="auto" w:fill="auto"/>
          </w:tcPr>
          <w:p w14:paraId="6938800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3.2</w:t>
            </w:r>
          </w:p>
        </w:tc>
        <w:tc>
          <w:tcPr>
            <w:tcW w:w="974" w:type="dxa"/>
            <w:vMerge/>
            <w:tcBorders>
              <w:left w:val="single" w:sz="4" w:space="0" w:color="auto"/>
              <w:bottom w:val="single" w:sz="4" w:space="0" w:color="auto"/>
              <w:right w:val="single" w:sz="8" w:space="0" w:color="E0E0E0"/>
            </w:tcBorders>
            <w:shd w:val="clear" w:color="auto" w:fill="D9D9D9" w:themeFill="background1" w:themeFillShade="D9"/>
          </w:tcPr>
          <w:p w14:paraId="3794CCA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4" w:space="0" w:color="auto"/>
              <w:right w:val="single" w:sz="8" w:space="0" w:color="E0E0E0"/>
            </w:tcBorders>
            <w:shd w:val="clear" w:color="auto" w:fill="D9D9D9" w:themeFill="background1" w:themeFillShade="D9"/>
          </w:tcPr>
          <w:p w14:paraId="627C3EB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More than 45</w:t>
            </w:r>
          </w:p>
        </w:tc>
        <w:tc>
          <w:tcPr>
            <w:tcW w:w="990" w:type="dxa"/>
            <w:tcBorders>
              <w:top w:val="single" w:sz="8" w:space="0" w:color="AEAEAE"/>
              <w:left w:val="nil"/>
              <w:bottom w:val="single" w:sz="4" w:space="0" w:color="auto"/>
              <w:right w:val="single" w:sz="8" w:space="0" w:color="E0E0E0"/>
            </w:tcBorders>
            <w:shd w:val="clear" w:color="auto" w:fill="FFFFFF"/>
          </w:tcPr>
          <w:p w14:paraId="537FE69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w:t>
            </w:r>
          </w:p>
        </w:tc>
        <w:tc>
          <w:tcPr>
            <w:tcW w:w="556" w:type="dxa"/>
            <w:tcBorders>
              <w:top w:val="single" w:sz="8" w:space="0" w:color="AEAEAE"/>
              <w:left w:val="nil"/>
              <w:bottom w:val="single" w:sz="4" w:space="0" w:color="auto"/>
              <w:right w:val="single" w:sz="8" w:space="0" w:color="E0E0E0"/>
            </w:tcBorders>
            <w:shd w:val="clear" w:color="auto" w:fill="FFFFFF"/>
          </w:tcPr>
          <w:p w14:paraId="6CBD704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.7</w:t>
            </w:r>
          </w:p>
        </w:tc>
      </w:tr>
      <w:tr w:rsidR="00C7217E" w:rsidRPr="00530906" w14:paraId="4DD8F38E" w14:textId="77777777" w:rsidTr="00C7217E">
        <w:trPr>
          <w:cantSplit/>
          <w:trHeight w:val="295"/>
        </w:trPr>
        <w:tc>
          <w:tcPr>
            <w:tcW w:w="734" w:type="dxa"/>
            <w:vMerge/>
            <w:tcBorders>
              <w:left w:val="nil"/>
              <w:right w:val="nil"/>
            </w:tcBorders>
            <w:shd w:val="clear" w:color="auto" w:fill="E0E0E0"/>
          </w:tcPr>
          <w:p w14:paraId="4ECD7506"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3B0F3AA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£65,000–£74,999</w:t>
            </w:r>
          </w:p>
        </w:tc>
        <w:tc>
          <w:tcPr>
            <w:tcW w:w="1006" w:type="dxa"/>
            <w:tcBorders>
              <w:top w:val="single" w:sz="8" w:space="0" w:color="AEAEAE"/>
              <w:left w:val="nil"/>
              <w:bottom w:val="single" w:sz="8" w:space="0" w:color="AEAEAE"/>
              <w:right w:val="single" w:sz="8" w:space="0" w:color="E0E0E0"/>
            </w:tcBorders>
            <w:shd w:val="clear" w:color="auto" w:fill="FFFFFF"/>
          </w:tcPr>
          <w:p w14:paraId="5249D97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w:t>
            </w:r>
          </w:p>
        </w:tc>
        <w:tc>
          <w:tcPr>
            <w:tcW w:w="524" w:type="dxa"/>
            <w:tcBorders>
              <w:top w:val="single" w:sz="4" w:space="0" w:color="auto"/>
              <w:left w:val="nil"/>
              <w:right w:val="single" w:sz="4" w:space="0" w:color="auto"/>
            </w:tcBorders>
            <w:shd w:val="clear" w:color="auto" w:fill="auto"/>
          </w:tcPr>
          <w:p w14:paraId="7629221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2.2</w:t>
            </w:r>
          </w:p>
        </w:tc>
        <w:tc>
          <w:tcPr>
            <w:tcW w:w="974" w:type="dxa"/>
            <w:vMerge w:val="restart"/>
            <w:tcBorders>
              <w:top w:val="single" w:sz="4" w:space="0" w:color="auto"/>
              <w:left w:val="single" w:sz="4" w:space="0" w:color="auto"/>
              <w:right w:val="single" w:sz="8" w:space="0" w:color="E0E0E0"/>
            </w:tcBorders>
            <w:shd w:val="clear" w:color="auto" w:fill="D9D9D9" w:themeFill="background1" w:themeFillShade="D9"/>
          </w:tcPr>
          <w:p w14:paraId="230DC77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Education</w:t>
            </w:r>
          </w:p>
        </w:tc>
        <w:tc>
          <w:tcPr>
            <w:tcW w:w="1710" w:type="dxa"/>
            <w:tcBorders>
              <w:top w:val="single" w:sz="4" w:space="0" w:color="auto"/>
              <w:left w:val="nil"/>
              <w:bottom w:val="single" w:sz="8" w:space="0" w:color="AEAEAE"/>
              <w:right w:val="single" w:sz="8" w:space="0" w:color="E0E0E0"/>
            </w:tcBorders>
            <w:shd w:val="clear" w:color="auto" w:fill="D9D9D9" w:themeFill="background1" w:themeFillShade="D9"/>
          </w:tcPr>
          <w:p w14:paraId="62A9E47D" w14:textId="77777777" w:rsidR="00C7217E" w:rsidRPr="00530906" w:rsidRDefault="00C7217E" w:rsidP="008756B1">
            <w:pPr>
              <w:spacing w:after="0" w:line="240" w:lineRule="auto"/>
              <w:jc w:val="both"/>
              <w:rPr>
                <w:rFonts w:ascii="Cambria" w:hAnsi="Cambria" w:cs="Arial"/>
                <w:sz w:val="18"/>
                <w:szCs w:val="18"/>
                <w:lang w:val="en-US"/>
              </w:rPr>
            </w:pPr>
            <w:r w:rsidRPr="00530906">
              <w:rPr>
                <w:rFonts w:ascii="Cambria" w:hAnsi="Cambria" w:cs="Arial"/>
                <w:sz w:val="18"/>
                <w:szCs w:val="18"/>
                <w:lang w:val="en-US"/>
              </w:rPr>
              <w:t>GCSE</w:t>
            </w:r>
          </w:p>
        </w:tc>
        <w:tc>
          <w:tcPr>
            <w:tcW w:w="990" w:type="dxa"/>
            <w:tcBorders>
              <w:top w:val="single" w:sz="4" w:space="0" w:color="auto"/>
              <w:left w:val="nil"/>
              <w:bottom w:val="single" w:sz="8" w:space="0" w:color="AEAEAE"/>
              <w:right w:val="single" w:sz="8" w:space="0" w:color="E0E0E0"/>
            </w:tcBorders>
            <w:shd w:val="clear" w:color="auto" w:fill="FFFFFF"/>
          </w:tcPr>
          <w:p w14:paraId="2AAF7B75"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4</w:t>
            </w:r>
          </w:p>
        </w:tc>
        <w:tc>
          <w:tcPr>
            <w:tcW w:w="556" w:type="dxa"/>
            <w:tcBorders>
              <w:top w:val="single" w:sz="4" w:space="0" w:color="auto"/>
              <w:left w:val="nil"/>
              <w:bottom w:val="single" w:sz="8" w:space="0" w:color="AEAEAE"/>
              <w:right w:val="single" w:sz="8" w:space="0" w:color="E0E0E0"/>
            </w:tcBorders>
            <w:shd w:val="clear" w:color="auto" w:fill="FFFFFF"/>
          </w:tcPr>
          <w:p w14:paraId="29200E7F"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1.4</w:t>
            </w:r>
          </w:p>
        </w:tc>
      </w:tr>
      <w:tr w:rsidR="00C7217E" w:rsidRPr="00530906" w14:paraId="0DE1B9B3" w14:textId="77777777" w:rsidTr="00C7217E">
        <w:trPr>
          <w:cantSplit/>
        </w:trPr>
        <w:tc>
          <w:tcPr>
            <w:tcW w:w="734" w:type="dxa"/>
            <w:vMerge/>
            <w:tcBorders>
              <w:left w:val="nil"/>
              <w:right w:val="nil"/>
            </w:tcBorders>
            <w:shd w:val="clear" w:color="auto" w:fill="E0E0E0"/>
          </w:tcPr>
          <w:p w14:paraId="17046B20"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1F8E6A9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£75,000 and over</w:t>
            </w:r>
          </w:p>
        </w:tc>
        <w:tc>
          <w:tcPr>
            <w:tcW w:w="1006" w:type="dxa"/>
            <w:tcBorders>
              <w:top w:val="single" w:sz="8" w:space="0" w:color="AEAEAE"/>
              <w:left w:val="nil"/>
              <w:bottom w:val="single" w:sz="8" w:space="0" w:color="AEAEAE"/>
              <w:right w:val="single" w:sz="8" w:space="0" w:color="E0E0E0"/>
            </w:tcBorders>
            <w:shd w:val="clear" w:color="auto" w:fill="FFFFFF"/>
          </w:tcPr>
          <w:p w14:paraId="359CE78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26</w:t>
            </w:r>
          </w:p>
        </w:tc>
        <w:tc>
          <w:tcPr>
            <w:tcW w:w="524" w:type="dxa"/>
            <w:tcBorders>
              <w:left w:val="nil"/>
              <w:right w:val="single" w:sz="4" w:space="0" w:color="auto"/>
            </w:tcBorders>
            <w:shd w:val="clear" w:color="auto" w:fill="auto"/>
          </w:tcPr>
          <w:p w14:paraId="5F6AB50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9.3</w:t>
            </w:r>
          </w:p>
        </w:tc>
        <w:tc>
          <w:tcPr>
            <w:tcW w:w="974" w:type="dxa"/>
            <w:vMerge/>
            <w:tcBorders>
              <w:left w:val="single" w:sz="4" w:space="0" w:color="auto"/>
              <w:right w:val="single" w:sz="8" w:space="0" w:color="E0E0E0"/>
            </w:tcBorders>
            <w:shd w:val="clear" w:color="auto" w:fill="D9D9D9" w:themeFill="background1" w:themeFillShade="D9"/>
          </w:tcPr>
          <w:p w14:paraId="1BAFB3F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3E98168C" w14:textId="77777777" w:rsidR="00C7217E" w:rsidRPr="00530906" w:rsidRDefault="00C7217E" w:rsidP="008756B1">
            <w:pPr>
              <w:spacing w:after="0" w:line="240" w:lineRule="auto"/>
              <w:jc w:val="both"/>
              <w:rPr>
                <w:rFonts w:ascii="Cambria" w:hAnsi="Cambria" w:cs="Arial"/>
                <w:sz w:val="18"/>
                <w:szCs w:val="18"/>
                <w:lang w:val="en-US"/>
              </w:rPr>
            </w:pPr>
            <w:r w:rsidRPr="00530906">
              <w:rPr>
                <w:rFonts w:ascii="Cambria" w:hAnsi="Cambria" w:cs="Arial"/>
                <w:sz w:val="18"/>
                <w:szCs w:val="18"/>
                <w:lang w:val="en-US"/>
              </w:rPr>
              <w:t>A level or equivalent</w:t>
            </w:r>
          </w:p>
        </w:tc>
        <w:tc>
          <w:tcPr>
            <w:tcW w:w="990" w:type="dxa"/>
            <w:tcBorders>
              <w:top w:val="single" w:sz="8" w:space="0" w:color="AEAEAE"/>
              <w:left w:val="nil"/>
              <w:bottom w:val="single" w:sz="8" w:space="0" w:color="AEAEAE"/>
              <w:right w:val="single" w:sz="8" w:space="0" w:color="E0E0E0"/>
            </w:tcBorders>
            <w:shd w:val="clear" w:color="auto" w:fill="FFFFFF"/>
          </w:tcPr>
          <w:p w14:paraId="6BA5D073"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81</w:t>
            </w:r>
          </w:p>
        </w:tc>
        <w:tc>
          <w:tcPr>
            <w:tcW w:w="556" w:type="dxa"/>
            <w:tcBorders>
              <w:top w:val="single" w:sz="8" w:space="0" w:color="AEAEAE"/>
              <w:left w:val="nil"/>
              <w:bottom w:val="single" w:sz="8" w:space="0" w:color="AEAEAE"/>
              <w:right w:val="single" w:sz="8" w:space="0" w:color="E0E0E0"/>
            </w:tcBorders>
            <w:shd w:val="clear" w:color="auto" w:fill="FFFFFF"/>
          </w:tcPr>
          <w:p w14:paraId="533AB294" w14:textId="77777777" w:rsidR="00C7217E" w:rsidRPr="00530906" w:rsidRDefault="00C7217E" w:rsidP="008756B1">
            <w:pPr>
              <w:tabs>
                <w:tab w:val="left" w:pos="330"/>
              </w:tabs>
              <w:spacing w:after="0" w:line="240" w:lineRule="auto"/>
              <w:jc w:val="both"/>
              <w:rPr>
                <w:rFonts w:ascii="Cambria" w:hAnsi="Cambria"/>
                <w:sz w:val="18"/>
                <w:szCs w:val="18"/>
              </w:rPr>
            </w:pPr>
            <w:r w:rsidRPr="00530906">
              <w:rPr>
                <w:rFonts w:ascii="Cambria" w:hAnsi="Cambria"/>
                <w:sz w:val="18"/>
                <w:szCs w:val="18"/>
              </w:rPr>
              <w:t>29</w:t>
            </w:r>
          </w:p>
        </w:tc>
      </w:tr>
      <w:tr w:rsidR="00C7217E" w:rsidRPr="00530906" w14:paraId="770A3012" w14:textId="77777777" w:rsidTr="00C7217E">
        <w:trPr>
          <w:cantSplit/>
        </w:trPr>
        <w:tc>
          <w:tcPr>
            <w:tcW w:w="734" w:type="dxa"/>
            <w:vMerge/>
            <w:tcBorders>
              <w:left w:val="nil"/>
              <w:right w:val="nil"/>
            </w:tcBorders>
            <w:shd w:val="clear" w:color="auto" w:fill="E0E0E0"/>
          </w:tcPr>
          <w:p w14:paraId="279DCB04"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6B821AC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Prefer not to specify</w:t>
            </w:r>
          </w:p>
        </w:tc>
        <w:tc>
          <w:tcPr>
            <w:tcW w:w="1006" w:type="dxa"/>
            <w:tcBorders>
              <w:top w:val="single" w:sz="8" w:space="0" w:color="AEAEAE"/>
              <w:left w:val="nil"/>
              <w:bottom w:val="single" w:sz="8" w:space="0" w:color="AEAEAE"/>
              <w:right w:val="single" w:sz="8" w:space="0" w:color="E0E0E0"/>
            </w:tcBorders>
            <w:shd w:val="clear" w:color="auto" w:fill="FFFFFF"/>
          </w:tcPr>
          <w:p w14:paraId="7949A18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55</w:t>
            </w:r>
          </w:p>
        </w:tc>
        <w:tc>
          <w:tcPr>
            <w:tcW w:w="524" w:type="dxa"/>
            <w:tcBorders>
              <w:left w:val="nil"/>
              <w:right w:val="single" w:sz="4" w:space="0" w:color="auto"/>
            </w:tcBorders>
            <w:shd w:val="clear" w:color="auto" w:fill="auto"/>
          </w:tcPr>
          <w:p w14:paraId="18C6871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19.7</w:t>
            </w:r>
          </w:p>
        </w:tc>
        <w:tc>
          <w:tcPr>
            <w:tcW w:w="974" w:type="dxa"/>
            <w:vMerge/>
            <w:tcBorders>
              <w:left w:val="single" w:sz="4" w:space="0" w:color="auto"/>
              <w:right w:val="single" w:sz="8" w:space="0" w:color="E0E0E0"/>
            </w:tcBorders>
            <w:shd w:val="clear" w:color="auto" w:fill="D9D9D9" w:themeFill="background1" w:themeFillShade="D9"/>
          </w:tcPr>
          <w:p w14:paraId="13396F79"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1D7640F0" w14:textId="77777777" w:rsidR="00C7217E" w:rsidRPr="00530906" w:rsidRDefault="00C7217E" w:rsidP="008756B1">
            <w:pPr>
              <w:spacing w:after="0" w:line="240" w:lineRule="auto"/>
              <w:jc w:val="both"/>
              <w:rPr>
                <w:rFonts w:ascii="Cambria" w:hAnsi="Cambria" w:cs="Arial"/>
                <w:sz w:val="18"/>
                <w:szCs w:val="18"/>
                <w:lang w:val="en-US"/>
              </w:rPr>
            </w:pPr>
            <w:r w:rsidRPr="00530906">
              <w:rPr>
                <w:rFonts w:ascii="Cambria" w:hAnsi="Cambria" w:cs="Arial"/>
                <w:sz w:val="18"/>
                <w:szCs w:val="18"/>
                <w:lang w:val="en-US"/>
              </w:rPr>
              <w:t>Master degree</w:t>
            </w:r>
          </w:p>
        </w:tc>
        <w:tc>
          <w:tcPr>
            <w:tcW w:w="990" w:type="dxa"/>
            <w:tcBorders>
              <w:top w:val="single" w:sz="8" w:space="0" w:color="AEAEAE"/>
              <w:left w:val="nil"/>
              <w:bottom w:val="single" w:sz="8" w:space="0" w:color="AEAEAE"/>
              <w:right w:val="single" w:sz="8" w:space="0" w:color="E0E0E0"/>
            </w:tcBorders>
            <w:shd w:val="clear" w:color="auto" w:fill="FFFFFF"/>
          </w:tcPr>
          <w:p w14:paraId="5CA5F1B4"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71</w:t>
            </w:r>
          </w:p>
        </w:tc>
        <w:tc>
          <w:tcPr>
            <w:tcW w:w="556" w:type="dxa"/>
            <w:tcBorders>
              <w:top w:val="single" w:sz="8" w:space="0" w:color="AEAEAE"/>
              <w:left w:val="nil"/>
              <w:bottom w:val="single" w:sz="8" w:space="0" w:color="AEAEAE"/>
              <w:right w:val="single" w:sz="8" w:space="0" w:color="E0E0E0"/>
            </w:tcBorders>
            <w:shd w:val="clear" w:color="auto" w:fill="FFFFFF"/>
          </w:tcPr>
          <w:p w14:paraId="65368145"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25.4</w:t>
            </w:r>
          </w:p>
        </w:tc>
      </w:tr>
      <w:tr w:rsidR="00C7217E" w:rsidRPr="00530906" w14:paraId="6AE47197" w14:textId="77777777" w:rsidTr="00C7217E">
        <w:trPr>
          <w:cantSplit/>
        </w:trPr>
        <w:tc>
          <w:tcPr>
            <w:tcW w:w="734" w:type="dxa"/>
            <w:vMerge/>
            <w:tcBorders>
              <w:left w:val="nil"/>
              <w:right w:val="nil"/>
            </w:tcBorders>
            <w:shd w:val="clear" w:color="auto" w:fill="E0E0E0"/>
          </w:tcPr>
          <w:p w14:paraId="5CE313FB"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0E825E5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006" w:type="dxa"/>
            <w:tcBorders>
              <w:top w:val="single" w:sz="8" w:space="0" w:color="AEAEAE"/>
              <w:left w:val="nil"/>
              <w:bottom w:val="single" w:sz="8" w:space="0" w:color="AEAEAE"/>
              <w:right w:val="single" w:sz="8" w:space="0" w:color="E0E0E0"/>
            </w:tcBorders>
            <w:shd w:val="clear" w:color="auto" w:fill="FFFFFF"/>
          </w:tcPr>
          <w:p w14:paraId="3A695D5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524" w:type="dxa"/>
            <w:tcBorders>
              <w:left w:val="nil"/>
              <w:right w:val="single" w:sz="4" w:space="0" w:color="auto"/>
            </w:tcBorders>
            <w:shd w:val="clear" w:color="auto" w:fill="auto"/>
          </w:tcPr>
          <w:p w14:paraId="772E752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974" w:type="dxa"/>
            <w:vMerge/>
            <w:tcBorders>
              <w:left w:val="single" w:sz="4" w:space="0" w:color="auto"/>
              <w:right w:val="single" w:sz="8" w:space="0" w:color="E0E0E0"/>
            </w:tcBorders>
            <w:shd w:val="clear" w:color="auto" w:fill="D9D9D9" w:themeFill="background1" w:themeFillShade="D9"/>
          </w:tcPr>
          <w:p w14:paraId="4C51028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5ADAD912" w14:textId="77777777" w:rsidR="00C7217E" w:rsidRPr="00530906" w:rsidRDefault="00C7217E" w:rsidP="008756B1">
            <w:pPr>
              <w:spacing w:after="0" w:line="240" w:lineRule="auto"/>
              <w:jc w:val="both"/>
              <w:rPr>
                <w:rFonts w:ascii="Cambria" w:hAnsi="Cambria" w:cs="Arial"/>
                <w:sz w:val="18"/>
                <w:szCs w:val="18"/>
                <w:lang w:val="en-US"/>
              </w:rPr>
            </w:pPr>
            <w:r w:rsidRPr="00530906">
              <w:rPr>
                <w:rFonts w:ascii="Cambria" w:hAnsi="Cambria" w:cs="Arial"/>
                <w:sz w:val="18"/>
                <w:szCs w:val="18"/>
                <w:lang w:val="en-US"/>
              </w:rPr>
              <w:t>Bachelor's degree</w:t>
            </w:r>
          </w:p>
        </w:tc>
        <w:tc>
          <w:tcPr>
            <w:tcW w:w="990" w:type="dxa"/>
            <w:tcBorders>
              <w:top w:val="single" w:sz="8" w:space="0" w:color="AEAEAE"/>
              <w:left w:val="nil"/>
              <w:bottom w:val="single" w:sz="8" w:space="0" w:color="AEAEAE"/>
              <w:right w:val="single" w:sz="8" w:space="0" w:color="E0E0E0"/>
            </w:tcBorders>
            <w:shd w:val="clear" w:color="auto" w:fill="FFFFFF"/>
          </w:tcPr>
          <w:p w14:paraId="18C67430"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113</w:t>
            </w:r>
          </w:p>
        </w:tc>
        <w:tc>
          <w:tcPr>
            <w:tcW w:w="556" w:type="dxa"/>
            <w:tcBorders>
              <w:top w:val="single" w:sz="8" w:space="0" w:color="AEAEAE"/>
              <w:left w:val="nil"/>
              <w:bottom w:val="single" w:sz="8" w:space="0" w:color="AEAEAE"/>
              <w:right w:val="single" w:sz="8" w:space="0" w:color="E0E0E0"/>
            </w:tcBorders>
            <w:shd w:val="clear" w:color="auto" w:fill="FFFFFF"/>
          </w:tcPr>
          <w:p w14:paraId="10641774"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40.5</w:t>
            </w:r>
          </w:p>
        </w:tc>
      </w:tr>
      <w:tr w:rsidR="00C7217E" w:rsidRPr="00530906" w14:paraId="09509AD2" w14:textId="77777777" w:rsidTr="00C7217E">
        <w:trPr>
          <w:cantSplit/>
        </w:trPr>
        <w:tc>
          <w:tcPr>
            <w:tcW w:w="734" w:type="dxa"/>
            <w:vMerge/>
            <w:tcBorders>
              <w:left w:val="nil"/>
              <w:right w:val="nil"/>
            </w:tcBorders>
            <w:shd w:val="clear" w:color="auto" w:fill="E0E0E0"/>
          </w:tcPr>
          <w:p w14:paraId="58E68D63"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8" w:space="0" w:color="AEAEAE"/>
              <w:right w:val="nil"/>
            </w:tcBorders>
            <w:shd w:val="clear" w:color="auto" w:fill="E0E0E0"/>
          </w:tcPr>
          <w:p w14:paraId="1FCAFF9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006" w:type="dxa"/>
            <w:tcBorders>
              <w:top w:val="single" w:sz="8" w:space="0" w:color="AEAEAE"/>
              <w:left w:val="nil"/>
              <w:bottom w:val="single" w:sz="8" w:space="0" w:color="AEAEAE"/>
              <w:right w:val="single" w:sz="8" w:space="0" w:color="E0E0E0"/>
            </w:tcBorders>
            <w:shd w:val="clear" w:color="auto" w:fill="FFFFFF"/>
          </w:tcPr>
          <w:p w14:paraId="49BBD13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524" w:type="dxa"/>
            <w:tcBorders>
              <w:left w:val="nil"/>
              <w:right w:val="single" w:sz="4" w:space="0" w:color="auto"/>
            </w:tcBorders>
            <w:shd w:val="clear" w:color="auto" w:fill="auto"/>
          </w:tcPr>
          <w:p w14:paraId="45552B6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974" w:type="dxa"/>
            <w:vMerge/>
            <w:tcBorders>
              <w:left w:val="single" w:sz="4" w:space="0" w:color="auto"/>
              <w:right w:val="single" w:sz="8" w:space="0" w:color="E0E0E0"/>
            </w:tcBorders>
            <w:shd w:val="clear" w:color="auto" w:fill="D9D9D9" w:themeFill="background1" w:themeFillShade="D9"/>
          </w:tcPr>
          <w:p w14:paraId="6F6DF54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8" w:space="0" w:color="AEAEAE"/>
              <w:right w:val="single" w:sz="8" w:space="0" w:color="E0E0E0"/>
            </w:tcBorders>
            <w:shd w:val="clear" w:color="auto" w:fill="D9D9D9" w:themeFill="background1" w:themeFillShade="D9"/>
          </w:tcPr>
          <w:p w14:paraId="6867010D" w14:textId="77777777" w:rsidR="00C7217E" w:rsidRPr="00530906" w:rsidRDefault="00C7217E" w:rsidP="008756B1">
            <w:pPr>
              <w:spacing w:after="0" w:line="240" w:lineRule="auto"/>
              <w:jc w:val="both"/>
              <w:rPr>
                <w:rFonts w:ascii="Cambria" w:hAnsi="Cambria" w:cs="Arial"/>
                <w:sz w:val="18"/>
                <w:szCs w:val="18"/>
                <w:lang w:val="en-US"/>
              </w:rPr>
            </w:pPr>
            <w:r w:rsidRPr="00530906">
              <w:rPr>
                <w:rFonts w:ascii="Cambria" w:hAnsi="Cambria" w:cs="Arial"/>
                <w:sz w:val="18"/>
                <w:szCs w:val="18"/>
                <w:lang w:val="en-US"/>
              </w:rPr>
              <w:t>Doctorate degree</w:t>
            </w:r>
          </w:p>
        </w:tc>
        <w:tc>
          <w:tcPr>
            <w:tcW w:w="990" w:type="dxa"/>
            <w:tcBorders>
              <w:top w:val="single" w:sz="8" w:space="0" w:color="AEAEAE"/>
              <w:left w:val="nil"/>
              <w:bottom w:val="single" w:sz="8" w:space="0" w:color="AEAEAE"/>
              <w:right w:val="single" w:sz="8" w:space="0" w:color="E0E0E0"/>
            </w:tcBorders>
            <w:shd w:val="clear" w:color="auto" w:fill="FFFFFF"/>
          </w:tcPr>
          <w:p w14:paraId="52A03759"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6</w:t>
            </w:r>
          </w:p>
        </w:tc>
        <w:tc>
          <w:tcPr>
            <w:tcW w:w="556" w:type="dxa"/>
            <w:tcBorders>
              <w:top w:val="single" w:sz="8" w:space="0" w:color="AEAEAE"/>
              <w:left w:val="nil"/>
              <w:bottom w:val="single" w:sz="8" w:space="0" w:color="AEAEAE"/>
              <w:right w:val="single" w:sz="8" w:space="0" w:color="E0E0E0"/>
            </w:tcBorders>
            <w:shd w:val="clear" w:color="auto" w:fill="FFFFFF"/>
          </w:tcPr>
          <w:p w14:paraId="67783330"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2.2</w:t>
            </w:r>
          </w:p>
        </w:tc>
      </w:tr>
      <w:tr w:rsidR="00C7217E" w:rsidRPr="00530906" w14:paraId="519597A4" w14:textId="77777777" w:rsidTr="00C7217E">
        <w:trPr>
          <w:cantSplit/>
        </w:trPr>
        <w:tc>
          <w:tcPr>
            <w:tcW w:w="734" w:type="dxa"/>
            <w:vMerge/>
            <w:tcBorders>
              <w:left w:val="nil"/>
              <w:bottom w:val="single" w:sz="4" w:space="0" w:color="auto"/>
              <w:right w:val="nil"/>
            </w:tcBorders>
            <w:shd w:val="clear" w:color="auto" w:fill="E0E0E0"/>
          </w:tcPr>
          <w:p w14:paraId="745030B8" w14:textId="77777777" w:rsidR="00C7217E" w:rsidRPr="00530906" w:rsidRDefault="00C7217E" w:rsidP="008756B1">
            <w:pPr>
              <w:autoSpaceDE w:val="0"/>
              <w:autoSpaceDN w:val="0"/>
              <w:adjustRightInd w:val="0"/>
              <w:spacing w:after="0" w:line="240" w:lineRule="auto"/>
              <w:jc w:val="both"/>
              <w:rPr>
                <w:rFonts w:ascii="Cambria" w:hAnsi="Cambria" w:cs="Arial"/>
                <w:sz w:val="18"/>
                <w:szCs w:val="18"/>
                <w:lang w:val="en-US"/>
              </w:rPr>
            </w:pPr>
          </w:p>
        </w:tc>
        <w:tc>
          <w:tcPr>
            <w:tcW w:w="2056" w:type="dxa"/>
            <w:tcBorders>
              <w:top w:val="single" w:sz="8" w:space="0" w:color="AEAEAE"/>
              <w:left w:val="nil"/>
              <w:bottom w:val="single" w:sz="4" w:space="0" w:color="auto"/>
              <w:right w:val="nil"/>
            </w:tcBorders>
            <w:shd w:val="clear" w:color="auto" w:fill="E0E0E0"/>
          </w:tcPr>
          <w:p w14:paraId="4369F92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006" w:type="dxa"/>
            <w:tcBorders>
              <w:top w:val="single" w:sz="8" w:space="0" w:color="AEAEAE"/>
              <w:left w:val="nil"/>
              <w:bottom w:val="single" w:sz="4" w:space="0" w:color="auto"/>
              <w:right w:val="single" w:sz="8" w:space="0" w:color="E0E0E0"/>
            </w:tcBorders>
            <w:shd w:val="clear" w:color="auto" w:fill="FFFFFF"/>
          </w:tcPr>
          <w:p w14:paraId="5388462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524" w:type="dxa"/>
            <w:tcBorders>
              <w:left w:val="nil"/>
              <w:bottom w:val="single" w:sz="4" w:space="0" w:color="auto"/>
              <w:right w:val="single" w:sz="4" w:space="0" w:color="auto"/>
            </w:tcBorders>
            <w:shd w:val="clear" w:color="auto" w:fill="auto"/>
          </w:tcPr>
          <w:p w14:paraId="2DF9139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974" w:type="dxa"/>
            <w:vMerge/>
            <w:tcBorders>
              <w:left w:val="single" w:sz="4" w:space="0" w:color="auto"/>
              <w:bottom w:val="single" w:sz="4" w:space="0" w:color="auto"/>
              <w:right w:val="single" w:sz="8" w:space="0" w:color="E0E0E0"/>
            </w:tcBorders>
            <w:shd w:val="clear" w:color="auto" w:fill="D9D9D9" w:themeFill="background1" w:themeFillShade="D9"/>
          </w:tcPr>
          <w:p w14:paraId="4771B9F6"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710" w:type="dxa"/>
            <w:tcBorders>
              <w:top w:val="single" w:sz="8" w:space="0" w:color="AEAEAE"/>
              <w:left w:val="nil"/>
              <w:bottom w:val="single" w:sz="4" w:space="0" w:color="auto"/>
              <w:right w:val="single" w:sz="8" w:space="0" w:color="E0E0E0"/>
            </w:tcBorders>
            <w:shd w:val="clear" w:color="auto" w:fill="D9D9D9" w:themeFill="background1" w:themeFillShade="D9"/>
          </w:tcPr>
          <w:p w14:paraId="70F7E2FD"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cs="Arial"/>
                <w:sz w:val="18"/>
                <w:szCs w:val="18"/>
                <w:lang w:val="en-US"/>
              </w:rPr>
              <w:t>Other</w:t>
            </w:r>
          </w:p>
        </w:tc>
        <w:tc>
          <w:tcPr>
            <w:tcW w:w="990" w:type="dxa"/>
            <w:tcBorders>
              <w:top w:val="single" w:sz="8" w:space="0" w:color="AEAEAE"/>
              <w:left w:val="nil"/>
              <w:bottom w:val="single" w:sz="4" w:space="0" w:color="auto"/>
              <w:right w:val="single" w:sz="8" w:space="0" w:color="E0E0E0"/>
            </w:tcBorders>
            <w:shd w:val="clear" w:color="auto" w:fill="FFFFFF"/>
          </w:tcPr>
          <w:p w14:paraId="70CBEED5"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4</w:t>
            </w:r>
          </w:p>
        </w:tc>
        <w:tc>
          <w:tcPr>
            <w:tcW w:w="556" w:type="dxa"/>
            <w:tcBorders>
              <w:top w:val="single" w:sz="8" w:space="0" w:color="AEAEAE"/>
              <w:left w:val="nil"/>
              <w:bottom w:val="single" w:sz="4" w:space="0" w:color="auto"/>
              <w:right w:val="single" w:sz="8" w:space="0" w:color="E0E0E0"/>
            </w:tcBorders>
            <w:shd w:val="clear" w:color="auto" w:fill="FFFFFF"/>
          </w:tcPr>
          <w:p w14:paraId="5A964302" w14:textId="77777777" w:rsidR="00C7217E" w:rsidRPr="00530906" w:rsidRDefault="00C7217E" w:rsidP="008756B1">
            <w:pPr>
              <w:spacing w:after="0" w:line="240" w:lineRule="auto"/>
              <w:jc w:val="both"/>
              <w:rPr>
                <w:rFonts w:ascii="Cambria" w:hAnsi="Cambria"/>
                <w:sz w:val="18"/>
                <w:szCs w:val="18"/>
              </w:rPr>
            </w:pPr>
            <w:r w:rsidRPr="00530906">
              <w:rPr>
                <w:rFonts w:ascii="Cambria" w:hAnsi="Cambria"/>
                <w:sz w:val="18"/>
                <w:szCs w:val="18"/>
              </w:rPr>
              <w:t>1.4</w:t>
            </w:r>
          </w:p>
        </w:tc>
      </w:tr>
    </w:tbl>
    <w:p w14:paraId="72E74857"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5570420D" w14:textId="0A732A94" w:rsidR="003F366E" w:rsidRDefault="00BA5F88" w:rsidP="00BA5F88">
      <w:pPr>
        <w:pStyle w:val="Heading3"/>
        <w:rPr>
          <w:shd w:val="clear" w:color="auto" w:fill="FFFFFF"/>
        </w:rPr>
      </w:pPr>
      <w:bookmarkStart w:id="82" w:name="_Toc115726258"/>
      <w:r>
        <w:rPr>
          <w:shd w:val="clear" w:color="auto" w:fill="FFFFFF"/>
        </w:rPr>
        <w:t xml:space="preserve">4.3.5. </w:t>
      </w:r>
      <w:r w:rsidR="003F366E">
        <w:rPr>
          <w:shd w:val="clear" w:color="auto" w:fill="FFFFFF"/>
        </w:rPr>
        <w:t>Sample size:</w:t>
      </w:r>
      <w:bookmarkEnd w:id="82"/>
    </w:p>
    <w:p w14:paraId="3C92F849" w14:textId="604BF6E4" w:rsidR="00AE2A63" w:rsidRPr="001435A7" w:rsidRDefault="00C7217E">
      <w:pPr>
        <w:spacing w:line="360" w:lineRule="auto"/>
        <w:jc w:val="both"/>
        <w:rPr>
          <w:rFonts w:ascii="Cambria" w:hAnsi="Cambria"/>
          <w:sz w:val="24"/>
          <w:szCs w:val="24"/>
          <w:shd w:val="clear" w:color="auto" w:fill="FFFFFF"/>
        </w:rPr>
      </w:pPr>
      <w:r w:rsidRPr="00530906">
        <w:rPr>
          <w:rFonts w:ascii="Cambria" w:hAnsi="Cambria"/>
          <w:sz w:val="24"/>
          <w:szCs w:val="24"/>
          <w:shd w:val="clear" w:color="auto" w:fill="FFFFFF"/>
        </w:rPr>
        <w:t xml:space="preserve">344 students have been </w:t>
      </w:r>
      <w:r w:rsidRPr="001435A7">
        <w:rPr>
          <w:rFonts w:ascii="Cambria" w:hAnsi="Cambria"/>
          <w:sz w:val="24"/>
          <w:szCs w:val="24"/>
          <w:shd w:val="clear" w:color="auto" w:fill="FFFFFF"/>
        </w:rPr>
        <w:t>contacted from 11</w:t>
      </w:r>
      <w:r w:rsidRPr="001435A7">
        <w:rPr>
          <w:rFonts w:ascii="Cambria" w:hAnsi="Cambria"/>
          <w:sz w:val="24"/>
          <w:szCs w:val="24"/>
          <w:shd w:val="clear" w:color="auto" w:fill="FFFFFF"/>
          <w:vertAlign w:val="superscript"/>
        </w:rPr>
        <w:t>th</w:t>
      </w:r>
      <w:r w:rsidRPr="001435A7">
        <w:rPr>
          <w:rFonts w:ascii="Cambria" w:hAnsi="Cambria"/>
          <w:sz w:val="24"/>
          <w:szCs w:val="24"/>
          <w:shd w:val="clear" w:color="auto" w:fill="FFFFFF"/>
        </w:rPr>
        <w:t xml:space="preserve"> Feb to 10</w:t>
      </w:r>
      <w:r w:rsidRPr="001435A7">
        <w:rPr>
          <w:rFonts w:ascii="Cambria" w:hAnsi="Cambria"/>
          <w:sz w:val="24"/>
          <w:szCs w:val="24"/>
          <w:shd w:val="clear" w:color="auto" w:fill="FFFFFF"/>
          <w:vertAlign w:val="superscript"/>
        </w:rPr>
        <w:t>th</w:t>
      </w:r>
      <w:r w:rsidRPr="001435A7">
        <w:rPr>
          <w:rFonts w:ascii="Cambria" w:hAnsi="Cambria"/>
          <w:sz w:val="24"/>
          <w:szCs w:val="24"/>
          <w:shd w:val="clear" w:color="auto" w:fill="FFFFFF"/>
        </w:rPr>
        <w:t xml:space="preserve"> April 2020. After discarding 15 responses with missing value detected using SPSS and 50 wrong answers to the attention check question, the final sample size is 279. A trap question was (appendix </w:t>
      </w:r>
      <w:r w:rsidR="002360A0">
        <w:rPr>
          <w:rFonts w:ascii="Cambria" w:hAnsi="Cambria"/>
          <w:sz w:val="24"/>
          <w:szCs w:val="24"/>
          <w:shd w:val="clear" w:color="auto" w:fill="FFFFFF"/>
        </w:rPr>
        <w:t>3</w:t>
      </w:r>
      <w:r w:rsidRPr="001435A7">
        <w:rPr>
          <w:rFonts w:ascii="Cambria" w:hAnsi="Cambria"/>
          <w:sz w:val="24"/>
          <w:szCs w:val="24"/>
          <w:shd w:val="clear" w:color="auto" w:fill="FFFFFF"/>
        </w:rPr>
        <w:t>.2) used to check the attention of the respondents in order to ensure the validity of the research (</w:t>
      </w:r>
      <w:r w:rsidRPr="001435A7">
        <w:rPr>
          <w:rFonts w:ascii="Cambria" w:hAnsi="Cambria" w:cs="Arial"/>
          <w:sz w:val="24"/>
          <w:szCs w:val="24"/>
          <w:shd w:val="clear" w:color="auto" w:fill="FFFFFF"/>
        </w:rPr>
        <w:t>Oppenheimer et al 2009</w:t>
      </w:r>
      <w:r w:rsidRPr="001435A7">
        <w:rPr>
          <w:rFonts w:ascii="Cambria" w:hAnsi="Cambria"/>
          <w:sz w:val="24"/>
          <w:szCs w:val="24"/>
          <w:shd w:val="clear" w:color="auto" w:fill="FFFFFF"/>
        </w:rPr>
        <w:t xml:space="preserve">). </w:t>
      </w:r>
    </w:p>
    <w:p w14:paraId="4E466F33" w14:textId="194CBA69" w:rsidR="00BF024A" w:rsidRPr="001435A7" w:rsidRDefault="000452D6">
      <w:pPr>
        <w:spacing w:line="360" w:lineRule="auto"/>
        <w:jc w:val="both"/>
        <w:rPr>
          <w:rFonts w:ascii="Cambria" w:hAnsi="Cambria"/>
          <w:sz w:val="24"/>
          <w:szCs w:val="24"/>
          <w:shd w:val="clear" w:color="auto" w:fill="FFFFFF"/>
        </w:rPr>
      </w:pPr>
      <w:r w:rsidRPr="001435A7">
        <w:rPr>
          <w:rFonts w:ascii="Cambria" w:hAnsi="Cambria"/>
          <w:sz w:val="24"/>
          <w:szCs w:val="24"/>
          <w:shd w:val="clear" w:color="auto" w:fill="FFFFFF"/>
        </w:rPr>
        <w:t>The power chart suggested by Cohen (</w:t>
      </w:r>
      <w:r w:rsidR="00677CCD" w:rsidRPr="001435A7">
        <w:rPr>
          <w:rFonts w:ascii="Cambria" w:hAnsi="Cambria"/>
          <w:sz w:val="24"/>
          <w:szCs w:val="24"/>
          <w:shd w:val="clear" w:color="auto" w:fill="FFFFFF"/>
        </w:rPr>
        <w:t>1988, p 387</w:t>
      </w:r>
      <w:r w:rsidRPr="001435A7">
        <w:rPr>
          <w:rFonts w:ascii="Cambria" w:hAnsi="Cambria"/>
          <w:sz w:val="24"/>
          <w:szCs w:val="24"/>
          <w:shd w:val="clear" w:color="auto" w:fill="FFFFFF"/>
        </w:rPr>
        <w:t>)</w:t>
      </w:r>
      <w:r w:rsidR="00677CCD" w:rsidRPr="001435A7">
        <w:rPr>
          <w:rFonts w:ascii="Cambria" w:hAnsi="Cambria"/>
          <w:sz w:val="24"/>
          <w:szCs w:val="24"/>
          <w:shd w:val="clear" w:color="auto" w:fill="FFFFFF"/>
        </w:rPr>
        <w:t xml:space="preserve"> </w:t>
      </w:r>
      <w:r w:rsidR="00344D70" w:rsidRPr="001435A7">
        <w:rPr>
          <w:rFonts w:ascii="Cambria" w:hAnsi="Cambria"/>
          <w:sz w:val="24"/>
          <w:szCs w:val="24"/>
          <w:shd w:val="clear" w:color="auto" w:fill="FFFFFF"/>
        </w:rPr>
        <w:t xml:space="preserve">shows that 279 is a substantial sample size </w:t>
      </w:r>
      <w:r w:rsidR="007030A3" w:rsidRPr="001435A7">
        <w:rPr>
          <w:rFonts w:ascii="Cambria" w:hAnsi="Cambria"/>
          <w:sz w:val="24"/>
          <w:szCs w:val="24"/>
          <w:shd w:val="clear" w:color="auto" w:fill="FFFFFF"/>
        </w:rPr>
        <w:t xml:space="preserve">for </w:t>
      </w:r>
      <w:r w:rsidR="00AA4668" w:rsidRPr="001435A7">
        <w:rPr>
          <w:rFonts w:ascii="Cambria" w:hAnsi="Cambria"/>
          <w:sz w:val="24"/>
          <w:szCs w:val="24"/>
          <w:shd w:val="clear" w:color="auto" w:fill="FFFFFF"/>
        </w:rPr>
        <w:t>ANOVA and Two-way ANOVA</w:t>
      </w:r>
      <w:r w:rsidR="009B0AA7" w:rsidRPr="001435A7">
        <w:rPr>
          <w:rFonts w:ascii="Cambria" w:hAnsi="Cambria"/>
          <w:sz w:val="24"/>
          <w:szCs w:val="24"/>
          <w:shd w:val="clear" w:color="auto" w:fill="FFFFFF"/>
        </w:rPr>
        <w:t xml:space="preserve">, which are </w:t>
      </w:r>
      <w:r w:rsidR="006416CB" w:rsidRPr="001435A7">
        <w:rPr>
          <w:rFonts w:ascii="Cambria" w:hAnsi="Cambria"/>
          <w:sz w:val="24"/>
          <w:szCs w:val="24"/>
          <w:shd w:val="clear" w:color="auto" w:fill="FFFFFF"/>
        </w:rPr>
        <w:t xml:space="preserve">to be conducted to test the hypothesis. </w:t>
      </w:r>
      <w:r w:rsidR="00BD6D99" w:rsidRPr="001435A7">
        <w:rPr>
          <w:rFonts w:ascii="Cambria" w:hAnsi="Cambria"/>
          <w:sz w:val="24"/>
          <w:szCs w:val="24"/>
          <w:shd w:val="clear" w:color="auto" w:fill="FFFFFF"/>
        </w:rPr>
        <w:t>In the case of ANOVA, for .95 desired power</w:t>
      </w:r>
      <w:r w:rsidR="007175F3" w:rsidRPr="001435A7">
        <w:rPr>
          <w:rFonts w:ascii="Cambria" w:hAnsi="Cambria"/>
          <w:sz w:val="24"/>
          <w:szCs w:val="24"/>
          <w:shd w:val="clear" w:color="auto" w:fill="FFFFFF"/>
        </w:rPr>
        <w:t xml:space="preserve">, .40 effect size, </w:t>
      </w:r>
      <w:r w:rsidR="005A15B1" w:rsidRPr="001435A7">
        <w:rPr>
          <w:rFonts w:ascii="Cambria" w:hAnsi="Cambria"/>
          <w:sz w:val="24"/>
          <w:szCs w:val="24"/>
          <w:shd w:val="clear" w:color="auto" w:fill="FFFFFF"/>
        </w:rPr>
        <w:t>u =1</w:t>
      </w:r>
      <w:r w:rsidR="00AF002F" w:rsidRPr="001435A7">
        <w:rPr>
          <w:rFonts w:ascii="Cambria" w:hAnsi="Cambria"/>
          <w:sz w:val="24"/>
          <w:szCs w:val="24"/>
          <w:shd w:val="clear" w:color="auto" w:fill="FFFFFF"/>
        </w:rPr>
        <w:t xml:space="preserve"> (2 means to be compared – 1)</w:t>
      </w:r>
      <w:r w:rsidR="005A15B1" w:rsidRPr="001435A7">
        <w:rPr>
          <w:rFonts w:ascii="Cambria" w:hAnsi="Cambria"/>
          <w:sz w:val="24"/>
          <w:szCs w:val="24"/>
          <w:shd w:val="clear" w:color="auto" w:fill="FFFFFF"/>
        </w:rPr>
        <w:t xml:space="preserve"> and .05 level of significanc</w:t>
      </w:r>
      <w:r w:rsidR="00B40B9A" w:rsidRPr="001435A7">
        <w:rPr>
          <w:rFonts w:ascii="Cambria" w:hAnsi="Cambria"/>
          <w:sz w:val="24"/>
          <w:szCs w:val="24"/>
          <w:shd w:val="clear" w:color="auto" w:fill="FFFFFF"/>
        </w:rPr>
        <w:t xml:space="preserve">e, a sample of 42 is adequate. </w:t>
      </w:r>
      <w:r w:rsidR="00940C19" w:rsidRPr="001435A7">
        <w:rPr>
          <w:rFonts w:ascii="Cambria" w:hAnsi="Cambria"/>
          <w:sz w:val="24"/>
          <w:szCs w:val="24"/>
          <w:shd w:val="clear" w:color="auto" w:fill="FFFFFF"/>
        </w:rPr>
        <w:t>On the other hand</w:t>
      </w:r>
      <w:r w:rsidR="00D9204B" w:rsidRPr="001435A7">
        <w:rPr>
          <w:rFonts w:ascii="Cambria" w:hAnsi="Cambria"/>
          <w:sz w:val="24"/>
          <w:szCs w:val="24"/>
          <w:shd w:val="clear" w:color="auto" w:fill="FFFFFF"/>
        </w:rPr>
        <w:t xml:space="preserve">, in the case of two-way ANOVA, </w:t>
      </w:r>
      <w:r w:rsidR="003F18B0" w:rsidRPr="001435A7">
        <w:rPr>
          <w:rFonts w:ascii="Cambria" w:hAnsi="Cambria"/>
          <w:sz w:val="24"/>
          <w:szCs w:val="24"/>
          <w:shd w:val="clear" w:color="auto" w:fill="FFFFFF"/>
        </w:rPr>
        <w:t>for .95 desired power, .40 effect size, u = 3 (4 means to be compared – 1) and .05 level of significance</w:t>
      </w:r>
      <w:r w:rsidR="009361F1" w:rsidRPr="001435A7">
        <w:rPr>
          <w:rFonts w:ascii="Cambria" w:hAnsi="Cambria"/>
          <w:sz w:val="24"/>
          <w:szCs w:val="24"/>
          <w:shd w:val="clear" w:color="auto" w:fill="FFFFFF"/>
        </w:rPr>
        <w:t>, a sample of 34 is enough.</w:t>
      </w:r>
      <w:r w:rsidR="00BC6267" w:rsidRPr="001435A7">
        <w:rPr>
          <w:rFonts w:ascii="Cambria" w:hAnsi="Cambria"/>
          <w:sz w:val="24"/>
          <w:szCs w:val="24"/>
          <w:shd w:val="clear" w:color="auto" w:fill="FFFFFF"/>
        </w:rPr>
        <w:t xml:space="preserve"> </w:t>
      </w:r>
      <w:r w:rsidR="00934D21" w:rsidRPr="001435A7">
        <w:rPr>
          <w:rFonts w:ascii="Cambria" w:hAnsi="Cambria"/>
          <w:sz w:val="24"/>
          <w:szCs w:val="24"/>
          <w:shd w:val="clear" w:color="auto" w:fill="FFFFFF"/>
        </w:rPr>
        <w:t>This study also need</w:t>
      </w:r>
      <w:r w:rsidR="005874C0" w:rsidRPr="001435A7">
        <w:rPr>
          <w:rFonts w:ascii="Cambria" w:hAnsi="Cambria"/>
          <w:sz w:val="24"/>
          <w:szCs w:val="24"/>
          <w:shd w:val="clear" w:color="auto" w:fill="FFFFFF"/>
        </w:rPr>
        <w:t>s</w:t>
      </w:r>
      <w:r w:rsidR="00934D21" w:rsidRPr="001435A7">
        <w:rPr>
          <w:rFonts w:ascii="Cambria" w:hAnsi="Cambria"/>
          <w:sz w:val="24"/>
          <w:szCs w:val="24"/>
          <w:shd w:val="clear" w:color="auto" w:fill="FFFFFF"/>
        </w:rPr>
        <w:t xml:space="preserve"> to undertake multiple </w:t>
      </w:r>
      <w:r w:rsidR="005874C0" w:rsidRPr="001435A7">
        <w:rPr>
          <w:rFonts w:ascii="Cambria" w:hAnsi="Cambria"/>
          <w:sz w:val="24"/>
          <w:szCs w:val="24"/>
          <w:shd w:val="clear" w:color="auto" w:fill="FFFFFF"/>
        </w:rPr>
        <w:t>regression</w:t>
      </w:r>
      <w:r w:rsidR="00934D21" w:rsidRPr="001435A7">
        <w:rPr>
          <w:rFonts w:ascii="Cambria" w:hAnsi="Cambria"/>
          <w:sz w:val="24"/>
          <w:szCs w:val="24"/>
          <w:shd w:val="clear" w:color="auto" w:fill="FFFFFF"/>
        </w:rPr>
        <w:t xml:space="preserve">. </w:t>
      </w:r>
      <w:r w:rsidR="00BC6267" w:rsidRPr="001435A7">
        <w:rPr>
          <w:rFonts w:ascii="Cambria" w:hAnsi="Cambria"/>
          <w:sz w:val="24"/>
          <w:szCs w:val="24"/>
          <w:shd w:val="clear" w:color="auto" w:fill="FFFFFF"/>
        </w:rPr>
        <w:t>In the case of multiple regression</w:t>
      </w:r>
      <w:r w:rsidR="00961A67" w:rsidRPr="001435A7">
        <w:rPr>
          <w:rFonts w:ascii="Cambria" w:hAnsi="Cambria"/>
          <w:sz w:val="24"/>
          <w:szCs w:val="24"/>
          <w:shd w:val="clear" w:color="auto" w:fill="FFFFFF"/>
        </w:rPr>
        <w:t>,</w:t>
      </w:r>
      <w:r w:rsidR="00D954F2" w:rsidRPr="001435A7">
        <w:rPr>
          <w:rFonts w:ascii="Cambria" w:hAnsi="Cambria"/>
          <w:sz w:val="24"/>
          <w:szCs w:val="24"/>
          <w:shd w:val="clear" w:color="auto" w:fill="FFFFFF"/>
        </w:rPr>
        <w:t xml:space="preserve"> </w:t>
      </w:r>
      <w:r w:rsidR="00D954F2" w:rsidRPr="001435A7">
        <w:rPr>
          <w:rFonts w:ascii="Cambria" w:hAnsi="Cambria"/>
          <w:sz w:val="24"/>
          <w:szCs w:val="24"/>
          <w:lang w:val="en-US"/>
        </w:rPr>
        <w:t>Tabachnick and Fidell (2014, p. 159)</w:t>
      </w:r>
      <w:r w:rsidR="00DB0AE3" w:rsidRPr="001435A7">
        <w:rPr>
          <w:rFonts w:ascii="Cambria" w:hAnsi="Cambria"/>
          <w:sz w:val="24"/>
          <w:szCs w:val="24"/>
          <w:lang w:val="en-US"/>
        </w:rPr>
        <w:t xml:space="preserve"> have presented a formula</w:t>
      </w:r>
      <w:r w:rsidR="006A4448" w:rsidRPr="001435A7">
        <w:rPr>
          <w:rFonts w:ascii="Cambria" w:hAnsi="Cambria"/>
          <w:sz w:val="24"/>
          <w:szCs w:val="24"/>
          <w:lang w:val="en-US"/>
        </w:rPr>
        <w:t xml:space="preserve"> </w:t>
      </w:r>
      <w:r w:rsidR="00EA122B" w:rsidRPr="001435A7">
        <w:rPr>
          <w:rFonts w:ascii="Cambria" w:hAnsi="Cambria"/>
          <w:sz w:val="24"/>
          <w:szCs w:val="24"/>
          <w:lang w:val="en-US"/>
        </w:rPr>
        <w:t>to calculate sample size</w:t>
      </w:r>
      <w:r w:rsidR="00E41B7A" w:rsidRPr="001435A7">
        <w:rPr>
          <w:rFonts w:ascii="Cambria" w:hAnsi="Cambria"/>
          <w:sz w:val="24"/>
          <w:szCs w:val="24"/>
          <w:lang w:val="en-US"/>
        </w:rPr>
        <w:t xml:space="preserve">- </w:t>
      </w:r>
      <w:r w:rsidR="00E41B7A" w:rsidRPr="001435A7">
        <w:rPr>
          <w:rFonts w:ascii="Cambria" w:hAnsi="Cambria"/>
          <w:sz w:val="24"/>
          <w:szCs w:val="24"/>
        </w:rPr>
        <w:t xml:space="preserve"> “</w:t>
      </w:r>
      <w:r w:rsidR="00E41B7A" w:rsidRPr="001435A7">
        <w:rPr>
          <w:rFonts w:ascii="Cambria" w:hAnsi="Cambria"/>
          <w:i/>
          <w:iCs/>
          <w:sz w:val="24"/>
          <w:szCs w:val="24"/>
          <w:lang w:val="en-US"/>
        </w:rPr>
        <w:t xml:space="preserve">N &gt;= </w:t>
      </w:r>
      <w:r w:rsidR="00E41B7A" w:rsidRPr="001435A7">
        <w:rPr>
          <w:rFonts w:ascii="Cambria" w:hAnsi="Cambria"/>
          <w:sz w:val="24"/>
          <w:szCs w:val="24"/>
          <w:lang w:val="en-US"/>
        </w:rPr>
        <w:t>50 + 8</w:t>
      </w:r>
      <w:r w:rsidR="00E41B7A" w:rsidRPr="001435A7">
        <w:rPr>
          <w:rFonts w:ascii="Cambria" w:hAnsi="Cambria"/>
          <w:i/>
          <w:iCs/>
          <w:sz w:val="24"/>
          <w:szCs w:val="24"/>
          <w:lang w:val="en-US"/>
        </w:rPr>
        <w:t xml:space="preserve">m </w:t>
      </w:r>
      <w:r w:rsidR="00E41B7A" w:rsidRPr="001435A7">
        <w:rPr>
          <w:rFonts w:ascii="Cambria" w:hAnsi="Cambria"/>
          <w:sz w:val="24"/>
          <w:szCs w:val="24"/>
          <w:lang w:val="en-US"/>
        </w:rPr>
        <w:t xml:space="preserve">(where </w:t>
      </w:r>
      <w:r w:rsidR="00E41B7A" w:rsidRPr="001435A7">
        <w:rPr>
          <w:rFonts w:ascii="Cambria" w:hAnsi="Cambria"/>
          <w:i/>
          <w:iCs/>
          <w:sz w:val="24"/>
          <w:szCs w:val="24"/>
          <w:lang w:val="en-US"/>
        </w:rPr>
        <w:t xml:space="preserve">m </w:t>
      </w:r>
      <w:r w:rsidR="00E41B7A" w:rsidRPr="001435A7">
        <w:rPr>
          <w:rFonts w:ascii="Cambria" w:hAnsi="Cambria"/>
          <w:sz w:val="24"/>
          <w:szCs w:val="24"/>
          <w:lang w:val="en-US"/>
        </w:rPr>
        <w:t xml:space="preserve">is the number of IVs) for testing the multiple correlation and </w:t>
      </w:r>
      <w:r w:rsidR="00E41B7A" w:rsidRPr="001435A7">
        <w:rPr>
          <w:rFonts w:ascii="Cambria" w:hAnsi="Cambria"/>
          <w:i/>
          <w:iCs/>
          <w:sz w:val="24"/>
          <w:szCs w:val="24"/>
          <w:lang w:val="en-US"/>
        </w:rPr>
        <w:t xml:space="preserve">N &gt;= </w:t>
      </w:r>
      <w:r w:rsidR="00E41B7A" w:rsidRPr="001435A7">
        <w:rPr>
          <w:rFonts w:ascii="Cambria" w:hAnsi="Cambria"/>
          <w:sz w:val="24"/>
          <w:szCs w:val="24"/>
          <w:lang w:val="en-US"/>
        </w:rPr>
        <w:t xml:space="preserve">104 + </w:t>
      </w:r>
      <w:r w:rsidR="00E41B7A" w:rsidRPr="001435A7">
        <w:rPr>
          <w:rFonts w:ascii="Cambria" w:hAnsi="Cambria"/>
          <w:i/>
          <w:iCs/>
          <w:sz w:val="24"/>
          <w:szCs w:val="24"/>
          <w:lang w:val="en-US"/>
        </w:rPr>
        <w:t xml:space="preserve">m </w:t>
      </w:r>
      <w:r w:rsidR="00E41B7A" w:rsidRPr="001435A7">
        <w:rPr>
          <w:rFonts w:ascii="Cambria" w:hAnsi="Cambria"/>
          <w:sz w:val="24"/>
          <w:szCs w:val="24"/>
          <w:lang w:val="en-US"/>
        </w:rPr>
        <w:t xml:space="preserve">for testing individual predictors”. According to this formula, </w:t>
      </w:r>
      <w:r w:rsidR="0090097D" w:rsidRPr="001435A7">
        <w:rPr>
          <w:rFonts w:ascii="Cambria" w:hAnsi="Cambria"/>
          <w:sz w:val="24"/>
          <w:szCs w:val="24"/>
          <w:lang w:val="en-US"/>
        </w:rPr>
        <w:t xml:space="preserve">the minimulm sample size for 4 </w:t>
      </w:r>
      <w:r w:rsidR="000402C2" w:rsidRPr="001435A7">
        <w:rPr>
          <w:rFonts w:ascii="Cambria" w:hAnsi="Cambria"/>
          <w:sz w:val="24"/>
          <w:szCs w:val="24"/>
          <w:lang w:val="en-US"/>
        </w:rPr>
        <w:t xml:space="preserve">independent variable is – 82 to calculate their combine effect and </w:t>
      </w:r>
      <w:r w:rsidR="007A0FE0" w:rsidRPr="001435A7">
        <w:rPr>
          <w:rFonts w:ascii="Cambria" w:hAnsi="Cambria"/>
          <w:sz w:val="24"/>
          <w:szCs w:val="24"/>
          <w:lang w:val="en-US"/>
        </w:rPr>
        <w:t>108 to calculate each independent variable</w:t>
      </w:r>
      <w:r w:rsidR="00D73D5C" w:rsidRPr="001435A7">
        <w:rPr>
          <w:rFonts w:ascii="Cambria" w:hAnsi="Cambria"/>
          <w:sz w:val="24"/>
          <w:szCs w:val="24"/>
          <w:lang w:val="en-US"/>
        </w:rPr>
        <w:t>.</w:t>
      </w:r>
    </w:p>
    <w:p w14:paraId="2DCF22AC" w14:textId="3AD283A5" w:rsidR="00C7217E" w:rsidRPr="001435A7" w:rsidRDefault="00C7217E">
      <w:pPr>
        <w:spacing w:line="360" w:lineRule="auto"/>
        <w:jc w:val="both"/>
        <w:rPr>
          <w:rFonts w:ascii="Cambria" w:hAnsi="Cambria" w:cs="Segoe UI"/>
          <w:sz w:val="24"/>
          <w:szCs w:val="24"/>
        </w:rPr>
      </w:pPr>
      <w:r w:rsidRPr="001435A7">
        <w:rPr>
          <w:rFonts w:ascii="Cambria" w:hAnsi="Cambria"/>
          <w:sz w:val="24"/>
          <w:szCs w:val="24"/>
          <w:shd w:val="clear" w:color="auto" w:fill="FFFFFF"/>
        </w:rPr>
        <w:t>Though, s</w:t>
      </w:r>
      <w:r w:rsidRPr="001435A7">
        <w:rPr>
          <w:rFonts w:ascii="Cambria" w:hAnsi="Cambria" w:cs="Segoe UI"/>
          <w:sz w:val="24"/>
          <w:szCs w:val="24"/>
        </w:rPr>
        <w:t>ocial innovative experiments similar to this study, do not have previous statistical information that permits to estimate sample size, but, a</w:t>
      </w:r>
      <w:r w:rsidRPr="001435A7">
        <w:rPr>
          <w:rFonts w:ascii="Cambria" w:hAnsi="Cambria"/>
          <w:sz w:val="24"/>
          <w:szCs w:val="24"/>
          <w:shd w:val="clear" w:color="auto" w:fill="FFFFFF"/>
        </w:rPr>
        <w:t xml:space="preserve">s a rule of thumb, Simmons, et al (2013) have suggested to have 50 observations per condition. </w:t>
      </w:r>
      <w:r w:rsidRPr="001435A7">
        <w:rPr>
          <w:rFonts w:ascii="Cambria" w:hAnsi="Cambria" w:cs="Segoe UI"/>
          <w:sz w:val="24"/>
          <w:szCs w:val="24"/>
        </w:rPr>
        <w:t xml:space="preserve">50 respondents for an experimental model is deemed to be sufficient to yield result with acceptable degree of statistical confidence (Fairweather and Tornatzky 1977). Table </w:t>
      </w:r>
      <w:r w:rsidR="00A24BDC" w:rsidRPr="001435A7">
        <w:rPr>
          <w:rFonts w:ascii="Cambria" w:hAnsi="Cambria" w:cs="Segoe UI"/>
          <w:sz w:val="24"/>
          <w:szCs w:val="24"/>
        </w:rPr>
        <w:t>10</w:t>
      </w:r>
      <w:r w:rsidRPr="001435A7">
        <w:rPr>
          <w:rFonts w:ascii="Cambria" w:hAnsi="Cambria" w:cs="Segoe UI"/>
          <w:sz w:val="24"/>
          <w:szCs w:val="24"/>
        </w:rPr>
        <w:t xml:space="preserve"> shows that the requirement was meet.</w:t>
      </w:r>
    </w:p>
    <w:p w14:paraId="7E71FE11" w14:textId="54CC02CF" w:rsidR="00C7217E" w:rsidRPr="001435A7" w:rsidRDefault="00C7217E">
      <w:pPr>
        <w:spacing w:line="360" w:lineRule="auto"/>
        <w:jc w:val="both"/>
        <w:rPr>
          <w:rFonts w:ascii="Cambria" w:hAnsi="Cambria" w:cs="Segoe UI"/>
          <w:sz w:val="24"/>
          <w:szCs w:val="24"/>
        </w:rPr>
      </w:pPr>
      <w:r w:rsidRPr="001435A7">
        <w:rPr>
          <w:rFonts w:ascii="Cambria" w:hAnsi="Cambria" w:cs="Segoe UI"/>
          <w:sz w:val="24"/>
          <w:szCs w:val="24"/>
        </w:rPr>
        <w:t xml:space="preserve">Table </w:t>
      </w:r>
      <w:r w:rsidR="003620A4" w:rsidRPr="001435A7">
        <w:rPr>
          <w:rFonts w:ascii="Cambria" w:hAnsi="Cambria" w:cs="Segoe UI"/>
          <w:sz w:val="24"/>
          <w:szCs w:val="24"/>
        </w:rPr>
        <w:t>10</w:t>
      </w:r>
      <w:r w:rsidRPr="001435A7">
        <w:rPr>
          <w:rFonts w:ascii="Cambria" w:hAnsi="Cambria" w:cs="Segoe UI"/>
          <w:sz w:val="24"/>
          <w:szCs w:val="24"/>
        </w:rPr>
        <w:t>: Respondent distribution among the conditions</w:t>
      </w:r>
    </w:p>
    <w:tbl>
      <w:tblPr>
        <w:tblStyle w:val="TableGrid3"/>
        <w:tblW w:w="0" w:type="auto"/>
        <w:tblLook w:val="04A0" w:firstRow="1" w:lastRow="0" w:firstColumn="1" w:lastColumn="0" w:noHBand="0" w:noVBand="1"/>
      </w:tblPr>
      <w:tblGrid>
        <w:gridCol w:w="918"/>
        <w:gridCol w:w="1043"/>
        <w:gridCol w:w="1170"/>
        <w:gridCol w:w="1183"/>
      </w:tblGrid>
      <w:tr w:rsidR="001435A7" w:rsidRPr="001435A7" w14:paraId="3548A16F" w14:textId="77777777" w:rsidTr="00C7217E">
        <w:tc>
          <w:tcPr>
            <w:tcW w:w="918" w:type="dxa"/>
            <w:vMerge w:val="restart"/>
            <w:shd w:val="clear" w:color="auto" w:fill="D0CECE" w:themeFill="background2" w:themeFillShade="E6"/>
          </w:tcPr>
          <w:p w14:paraId="762CCD5B" w14:textId="77777777" w:rsidR="00C7217E" w:rsidRPr="001435A7" w:rsidRDefault="00C7217E" w:rsidP="008756B1">
            <w:pPr>
              <w:spacing w:line="240" w:lineRule="auto"/>
              <w:jc w:val="both"/>
              <w:rPr>
                <w:rFonts w:ascii="Cambria" w:hAnsi="Cambria"/>
              </w:rPr>
            </w:pPr>
          </w:p>
        </w:tc>
        <w:tc>
          <w:tcPr>
            <w:tcW w:w="3163" w:type="dxa"/>
            <w:gridSpan w:val="3"/>
            <w:shd w:val="clear" w:color="auto" w:fill="D0CECE" w:themeFill="background2" w:themeFillShade="E6"/>
          </w:tcPr>
          <w:p w14:paraId="2FCF0D94" w14:textId="77777777" w:rsidR="00C7217E" w:rsidRPr="001435A7" w:rsidRDefault="00C7217E" w:rsidP="008756B1">
            <w:pPr>
              <w:spacing w:line="240" w:lineRule="auto"/>
              <w:jc w:val="both"/>
              <w:rPr>
                <w:rFonts w:ascii="Cambria" w:hAnsi="Cambria"/>
              </w:rPr>
            </w:pPr>
            <w:r w:rsidRPr="001435A7">
              <w:rPr>
                <w:rFonts w:ascii="Cambria" w:hAnsi="Cambria"/>
              </w:rPr>
              <w:t>Source expertise</w:t>
            </w:r>
          </w:p>
        </w:tc>
      </w:tr>
      <w:tr w:rsidR="001435A7" w:rsidRPr="001435A7" w14:paraId="3D555F6C" w14:textId="77777777" w:rsidTr="00C7217E">
        <w:tc>
          <w:tcPr>
            <w:tcW w:w="918" w:type="dxa"/>
            <w:vMerge/>
            <w:shd w:val="clear" w:color="auto" w:fill="D0CECE" w:themeFill="background2" w:themeFillShade="E6"/>
          </w:tcPr>
          <w:p w14:paraId="3E6601C8" w14:textId="77777777" w:rsidR="00C7217E" w:rsidRPr="001435A7" w:rsidRDefault="00C7217E" w:rsidP="008756B1">
            <w:pPr>
              <w:spacing w:line="240" w:lineRule="auto"/>
              <w:jc w:val="both"/>
              <w:rPr>
                <w:rFonts w:ascii="Cambria" w:hAnsi="Cambria"/>
              </w:rPr>
            </w:pPr>
          </w:p>
        </w:tc>
        <w:tc>
          <w:tcPr>
            <w:tcW w:w="810" w:type="dxa"/>
            <w:shd w:val="clear" w:color="auto" w:fill="D0CECE" w:themeFill="background2" w:themeFillShade="E6"/>
          </w:tcPr>
          <w:p w14:paraId="6A5F230E" w14:textId="77777777" w:rsidR="00C7217E" w:rsidRPr="001435A7" w:rsidRDefault="00C7217E" w:rsidP="008756B1">
            <w:pPr>
              <w:spacing w:line="240" w:lineRule="auto"/>
              <w:jc w:val="both"/>
              <w:rPr>
                <w:rFonts w:ascii="Cambria" w:hAnsi="Cambria"/>
              </w:rPr>
            </w:pPr>
          </w:p>
        </w:tc>
        <w:tc>
          <w:tcPr>
            <w:tcW w:w="1170" w:type="dxa"/>
            <w:shd w:val="clear" w:color="auto" w:fill="D0CECE" w:themeFill="background2" w:themeFillShade="E6"/>
          </w:tcPr>
          <w:p w14:paraId="5ED0C246" w14:textId="77777777" w:rsidR="00C7217E" w:rsidRPr="001435A7" w:rsidRDefault="00C7217E" w:rsidP="008756B1">
            <w:pPr>
              <w:spacing w:line="240" w:lineRule="auto"/>
              <w:jc w:val="both"/>
              <w:rPr>
                <w:rFonts w:ascii="Cambria" w:hAnsi="Cambria"/>
              </w:rPr>
            </w:pPr>
            <w:r w:rsidRPr="001435A7">
              <w:rPr>
                <w:rFonts w:ascii="Cambria" w:hAnsi="Cambria"/>
              </w:rPr>
              <w:t>High</w:t>
            </w:r>
          </w:p>
        </w:tc>
        <w:tc>
          <w:tcPr>
            <w:tcW w:w="1183" w:type="dxa"/>
            <w:shd w:val="clear" w:color="auto" w:fill="D0CECE" w:themeFill="background2" w:themeFillShade="E6"/>
          </w:tcPr>
          <w:p w14:paraId="09B9F0BE" w14:textId="77777777" w:rsidR="00C7217E" w:rsidRPr="001435A7" w:rsidRDefault="00C7217E" w:rsidP="008756B1">
            <w:pPr>
              <w:spacing w:line="240" w:lineRule="auto"/>
              <w:jc w:val="both"/>
              <w:rPr>
                <w:rFonts w:ascii="Cambria" w:hAnsi="Cambria"/>
              </w:rPr>
            </w:pPr>
            <w:r w:rsidRPr="001435A7">
              <w:rPr>
                <w:rFonts w:ascii="Cambria" w:hAnsi="Cambria"/>
              </w:rPr>
              <w:t>Low</w:t>
            </w:r>
          </w:p>
        </w:tc>
      </w:tr>
      <w:tr w:rsidR="001435A7" w:rsidRPr="001435A7" w14:paraId="456C6FB0" w14:textId="77777777" w:rsidTr="00C7217E">
        <w:tc>
          <w:tcPr>
            <w:tcW w:w="918" w:type="dxa"/>
            <w:vMerge w:val="restart"/>
            <w:shd w:val="clear" w:color="auto" w:fill="D0CECE" w:themeFill="background2" w:themeFillShade="E6"/>
            <w:textDirection w:val="btLr"/>
          </w:tcPr>
          <w:p w14:paraId="0F3A8722" w14:textId="6EBFEAC3" w:rsidR="00C7217E" w:rsidRPr="001435A7" w:rsidRDefault="00C7217E" w:rsidP="008756B1">
            <w:pPr>
              <w:spacing w:line="240" w:lineRule="auto"/>
              <w:jc w:val="both"/>
              <w:rPr>
                <w:rFonts w:ascii="Cambria" w:hAnsi="Cambria"/>
              </w:rPr>
            </w:pPr>
            <w:r w:rsidRPr="001435A7">
              <w:rPr>
                <w:rFonts w:ascii="Cambria" w:hAnsi="Cambria"/>
              </w:rPr>
              <w:t xml:space="preserve">Types of </w:t>
            </w:r>
            <w:r w:rsidR="00613FB3" w:rsidRPr="001435A7">
              <w:rPr>
                <w:rFonts w:ascii="Cambria" w:hAnsi="Cambria"/>
              </w:rPr>
              <w:t>captions</w:t>
            </w:r>
          </w:p>
        </w:tc>
        <w:tc>
          <w:tcPr>
            <w:tcW w:w="810" w:type="dxa"/>
            <w:shd w:val="clear" w:color="auto" w:fill="D0CECE" w:themeFill="background2" w:themeFillShade="E6"/>
          </w:tcPr>
          <w:p w14:paraId="535ECF1C" w14:textId="77777777" w:rsidR="00C7217E" w:rsidRPr="001435A7" w:rsidRDefault="00C7217E" w:rsidP="008756B1">
            <w:pPr>
              <w:spacing w:line="240" w:lineRule="auto"/>
              <w:jc w:val="both"/>
              <w:rPr>
                <w:rFonts w:ascii="Cambria" w:hAnsi="Cambria"/>
              </w:rPr>
            </w:pPr>
            <w:r w:rsidRPr="001435A7">
              <w:rPr>
                <w:rFonts w:ascii="Cambria" w:hAnsi="Cambria"/>
              </w:rPr>
              <w:t>Positive</w:t>
            </w:r>
          </w:p>
        </w:tc>
        <w:tc>
          <w:tcPr>
            <w:tcW w:w="1170" w:type="dxa"/>
          </w:tcPr>
          <w:p w14:paraId="773C4201" w14:textId="77777777" w:rsidR="00C7217E" w:rsidRPr="001435A7" w:rsidRDefault="00C7217E" w:rsidP="008756B1">
            <w:pPr>
              <w:spacing w:line="240" w:lineRule="auto"/>
              <w:jc w:val="both"/>
              <w:rPr>
                <w:rFonts w:ascii="Cambria" w:hAnsi="Cambria"/>
              </w:rPr>
            </w:pPr>
            <w:r w:rsidRPr="001435A7">
              <w:rPr>
                <w:rFonts w:ascii="Cambria" w:hAnsi="Cambria"/>
              </w:rPr>
              <w:t>Group 1</w:t>
            </w:r>
          </w:p>
          <w:p w14:paraId="5DBD2296" w14:textId="77777777" w:rsidR="00C7217E" w:rsidRPr="001435A7" w:rsidRDefault="00C7217E" w:rsidP="008756B1">
            <w:pPr>
              <w:spacing w:line="240" w:lineRule="auto"/>
              <w:jc w:val="both"/>
              <w:rPr>
                <w:rFonts w:ascii="Cambria" w:hAnsi="Cambria"/>
              </w:rPr>
            </w:pPr>
            <w:r w:rsidRPr="001435A7">
              <w:rPr>
                <w:rFonts w:ascii="Cambria" w:hAnsi="Cambria"/>
              </w:rPr>
              <w:t>n = 66</w:t>
            </w:r>
          </w:p>
        </w:tc>
        <w:tc>
          <w:tcPr>
            <w:tcW w:w="1183" w:type="dxa"/>
          </w:tcPr>
          <w:p w14:paraId="3BE4C902" w14:textId="77777777" w:rsidR="00C7217E" w:rsidRPr="001435A7" w:rsidRDefault="00C7217E" w:rsidP="008756B1">
            <w:pPr>
              <w:spacing w:line="240" w:lineRule="auto"/>
              <w:jc w:val="both"/>
              <w:rPr>
                <w:rFonts w:ascii="Cambria" w:hAnsi="Cambria"/>
              </w:rPr>
            </w:pPr>
            <w:r w:rsidRPr="001435A7">
              <w:rPr>
                <w:rFonts w:ascii="Cambria" w:hAnsi="Cambria"/>
              </w:rPr>
              <w:t>Group 3</w:t>
            </w:r>
          </w:p>
          <w:p w14:paraId="53001683" w14:textId="77777777" w:rsidR="00C7217E" w:rsidRPr="001435A7" w:rsidRDefault="00C7217E" w:rsidP="008756B1">
            <w:pPr>
              <w:spacing w:line="240" w:lineRule="auto"/>
              <w:jc w:val="both"/>
              <w:rPr>
                <w:rFonts w:ascii="Cambria" w:hAnsi="Cambria"/>
              </w:rPr>
            </w:pPr>
            <w:r w:rsidRPr="001435A7">
              <w:rPr>
                <w:rFonts w:ascii="Cambria" w:hAnsi="Cambria"/>
              </w:rPr>
              <w:t>n = 76</w:t>
            </w:r>
          </w:p>
        </w:tc>
      </w:tr>
      <w:tr w:rsidR="001435A7" w:rsidRPr="001435A7" w14:paraId="44B1E915" w14:textId="77777777" w:rsidTr="00C7217E">
        <w:tc>
          <w:tcPr>
            <w:tcW w:w="918" w:type="dxa"/>
            <w:vMerge/>
            <w:shd w:val="clear" w:color="auto" w:fill="D0CECE" w:themeFill="background2" w:themeFillShade="E6"/>
          </w:tcPr>
          <w:p w14:paraId="6C059371" w14:textId="77777777" w:rsidR="00C7217E" w:rsidRPr="001435A7" w:rsidRDefault="00C7217E" w:rsidP="008756B1">
            <w:pPr>
              <w:spacing w:line="240" w:lineRule="auto"/>
              <w:jc w:val="both"/>
              <w:rPr>
                <w:rFonts w:ascii="Cambria" w:hAnsi="Cambria"/>
              </w:rPr>
            </w:pPr>
          </w:p>
        </w:tc>
        <w:tc>
          <w:tcPr>
            <w:tcW w:w="810" w:type="dxa"/>
            <w:shd w:val="clear" w:color="auto" w:fill="D0CECE" w:themeFill="background2" w:themeFillShade="E6"/>
          </w:tcPr>
          <w:p w14:paraId="2CF65475" w14:textId="77777777" w:rsidR="00C7217E" w:rsidRPr="001435A7" w:rsidRDefault="00C7217E" w:rsidP="008756B1">
            <w:pPr>
              <w:spacing w:line="240" w:lineRule="auto"/>
              <w:jc w:val="both"/>
              <w:rPr>
                <w:rFonts w:ascii="Cambria" w:hAnsi="Cambria"/>
              </w:rPr>
            </w:pPr>
            <w:r w:rsidRPr="001435A7">
              <w:rPr>
                <w:rFonts w:ascii="Cambria" w:hAnsi="Cambria"/>
              </w:rPr>
              <w:t>Negative</w:t>
            </w:r>
          </w:p>
        </w:tc>
        <w:tc>
          <w:tcPr>
            <w:tcW w:w="1170" w:type="dxa"/>
          </w:tcPr>
          <w:p w14:paraId="0112D078" w14:textId="77777777" w:rsidR="00C7217E" w:rsidRPr="001435A7" w:rsidRDefault="00C7217E" w:rsidP="008756B1">
            <w:pPr>
              <w:spacing w:line="240" w:lineRule="auto"/>
              <w:jc w:val="both"/>
              <w:rPr>
                <w:rFonts w:ascii="Cambria" w:hAnsi="Cambria"/>
              </w:rPr>
            </w:pPr>
            <w:r w:rsidRPr="001435A7">
              <w:rPr>
                <w:rFonts w:ascii="Cambria" w:hAnsi="Cambria"/>
              </w:rPr>
              <w:t>Group 2</w:t>
            </w:r>
          </w:p>
          <w:p w14:paraId="49D43567" w14:textId="77777777" w:rsidR="00C7217E" w:rsidRPr="001435A7" w:rsidRDefault="00C7217E" w:rsidP="008756B1">
            <w:pPr>
              <w:spacing w:line="240" w:lineRule="auto"/>
              <w:jc w:val="both"/>
              <w:rPr>
                <w:rFonts w:ascii="Cambria" w:hAnsi="Cambria"/>
              </w:rPr>
            </w:pPr>
            <w:r w:rsidRPr="001435A7">
              <w:rPr>
                <w:rFonts w:ascii="Cambria" w:hAnsi="Cambria"/>
              </w:rPr>
              <w:t>n = 70</w:t>
            </w:r>
          </w:p>
        </w:tc>
        <w:tc>
          <w:tcPr>
            <w:tcW w:w="1183" w:type="dxa"/>
          </w:tcPr>
          <w:p w14:paraId="6D1197E5" w14:textId="77777777" w:rsidR="00C7217E" w:rsidRPr="001435A7" w:rsidRDefault="00C7217E" w:rsidP="008756B1">
            <w:pPr>
              <w:spacing w:line="240" w:lineRule="auto"/>
              <w:jc w:val="both"/>
              <w:rPr>
                <w:rFonts w:ascii="Cambria" w:hAnsi="Cambria"/>
              </w:rPr>
            </w:pPr>
            <w:r w:rsidRPr="001435A7">
              <w:rPr>
                <w:rFonts w:ascii="Cambria" w:hAnsi="Cambria"/>
              </w:rPr>
              <w:t>Group 4</w:t>
            </w:r>
          </w:p>
          <w:p w14:paraId="56FD0B93" w14:textId="77777777" w:rsidR="00C7217E" w:rsidRPr="001435A7" w:rsidRDefault="00C7217E" w:rsidP="008756B1">
            <w:pPr>
              <w:spacing w:line="240" w:lineRule="auto"/>
              <w:jc w:val="both"/>
              <w:rPr>
                <w:rFonts w:ascii="Cambria" w:hAnsi="Cambria"/>
              </w:rPr>
            </w:pPr>
            <w:r w:rsidRPr="001435A7">
              <w:rPr>
                <w:rFonts w:ascii="Cambria" w:hAnsi="Cambria"/>
              </w:rPr>
              <w:t>n = 67</w:t>
            </w:r>
          </w:p>
        </w:tc>
      </w:tr>
    </w:tbl>
    <w:p w14:paraId="7847ACEF" w14:textId="485A530F" w:rsidR="00C7217E" w:rsidRPr="001435A7" w:rsidRDefault="00C7217E">
      <w:pPr>
        <w:spacing w:line="360" w:lineRule="auto"/>
        <w:jc w:val="both"/>
        <w:rPr>
          <w:rFonts w:ascii="Cambria" w:hAnsi="Cambria" w:cs="Segoe UI"/>
          <w:sz w:val="24"/>
          <w:szCs w:val="24"/>
        </w:rPr>
      </w:pPr>
    </w:p>
    <w:p w14:paraId="4C314AC7" w14:textId="3687E3FC" w:rsidR="00647102" w:rsidRPr="001435A7" w:rsidRDefault="00647102">
      <w:pPr>
        <w:spacing w:line="360" w:lineRule="auto"/>
        <w:jc w:val="both"/>
        <w:rPr>
          <w:rFonts w:ascii="Cambria" w:hAnsi="Cambria"/>
          <w:sz w:val="24"/>
          <w:szCs w:val="24"/>
          <w:shd w:val="clear" w:color="auto" w:fill="FFFFFF"/>
        </w:rPr>
      </w:pPr>
      <w:r w:rsidRPr="001435A7">
        <w:rPr>
          <w:rFonts w:ascii="Cambria" w:hAnsi="Cambria" w:cs="Segoe UI"/>
          <w:sz w:val="24"/>
          <w:szCs w:val="24"/>
        </w:rPr>
        <w:t xml:space="preserve">On the top of this, </w:t>
      </w:r>
      <w:r w:rsidR="00855777" w:rsidRPr="001435A7">
        <w:rPr>
          <w:rFonts w:ascii="Cambria" w:hAnsi="Cambria"/>
          <w:sz w:val="24"/>
          <w:szCs w:val="24"/>
          <w:shd w:val="clear" w:color="auto" w:fill="FFFFFF"/>
        </w:rPr>
        <w:t xml:space="preserve">Malhotra and </w:t>
      </w:r>
      <w:r w:rsidR="008D6615" w:rsidRPr="001435A7">
        <w:rPr>
          <w:rFonts w:ascii="Cambria" w:hAnsi="Cambria"/>
          <w:sz w:val="24"/>
          <w:szCs w:val="24"/>
          <w:shd w:val="clear" w:color="auto" w:fill="FFFFFF"/>
        </w:rPr>
        <w:t>D</w:t>
      </w:r>
      <w:r w:rsidR="00855777" w:rsidRPr="001435A7">
        <w:rPr>
          <w:rFonts w:ascii="Cambria" w:hAnsi="Cambria"/>
          <w:sz w:val="24"/>
          <w:szCs w:val="24"/>
          <w:shd w:val="clear" w:color="auto" w:fill="FFFFFF"/>
        </w:rPr>
        <w:t>as</w:t>
      </w:r>
      <w:r w:rsidR="008D6615" w:rsidRPr="001435A7">
        <w:rPr>
          <w:rFonts w:ascii="Cambria" w:hAnsi="Cambria"/>
          <w:sz w:val="24"/>
          <w:szCs w:val="24"/>
          <w:shd w:val="clear" w:color="auto" w:fill="FFFFFF"/>
        </w:rPr>
        <w:t xml:space="preserve"> (2013)</w:t>
      </w:r>
      <w:r w:rsidR="00855777" w:rsidRPr="001435A7">
        <w:rPr>
          <w:rFonts w:ascii="Cambria" w:hAnsi="Cambria"/>
          <w:sz w:val="24"/>
          <w:szCs w:val="24"/>
          <w:shd w:val="clear" w:color="auto" w:fill="FFFFFF"/>
        </w:rPr>
        <w:t xml:space="preserve"> </w:t>
      </w:r>
      <w:r w:rsidR="008D6615" w:rsidRPr="001435A7">
        <w:rPr>
          <w:rFonts w:ascii="Cambria" w:hAnsi="Cambria"/>
          <w:sz w:val="24"/>
          <w:szCs w:val="24"/>
          <w:shd w:val="clear" w:color="auto" w:fill="FFFFFF"/>
        </w:rPr>
        <w:t xml:space="preserve">have </w:t>
      </w:r>
      <w:r w:rsidR="00855777" w:rsidRPr="001435A7">
        <w:rPr>
          <w:rFonts w:ascii="Cambria" w:hAnsi="Cambria"/>
          <w:sz w:val="24"/>
          <w:szCs w:val="24"/>
          <w:shd w:val="clear" w:color="auto" w:fill="FFFFFF"/>
        </w:rPr>
        <w:t>suggested that</w:t>
      </w:r>
      <w:r w:rsidR="008D6615" w:rsidRPr="001435A7">
        <w:rPr>
          <w:rFonts w:ascii="Cambria" w:hAnsi="Cambria"/>
          <w:sz w:val="24"/>
          <w:szCs w:val="24"/>
          <w:shd w:val="clear" w:color="auto" w:fill="FFFFFF"/>
        </w:rPr>
        <w:t xml:space="preserve"> </w:t>
      </w:r>
      <w:r w:rsidR="00082AAC" w:rsidRPr="001435A7">
        <w:rPr>
          <w:rFonts w:ascii="Cambria" w:hAnsi="Cambria"/>
          <w:sz w:val="24"/>
          <w:szCs w:val="24"/>
          <w:shd w:val="clear" w:color="auto" w:fill="FFFFFF"/>
        </w:rPr>
        <w:t xml:space="preserve">sample size can be </w:t>
      </w:r>
      <w:r w:rsidR="00FF3DB3" w:rsidRPr="001435A7">
        <w:rPr>
          <w:rFonts w:ascii="Cambria" w:hAnsi="Cambria"/>
          <w:sz w:val="24"/>
          <w:szCs w:val="24"/>
          <w:shd w:val="clear" w:color="auto" w:fill="FFFFFF"/>
        </w:rPr>
        <w:t xml:space="preserve">decided on the basis of similar studies. </w:t>
      </w:r>
      <w:r w:rsidR="003D1739" w:rsidRPr="001435A7">
        <w:rPr>
          <w:rFonts w:ascii="Cambria" w:hAnsi="Cambria"/>
          <w:sz w:val="24"/>
          <w:szCs w:val="24"/>
          <w:shd w:val="clear" w:color="auto" w:fill="FFFFFF"/>
        </w:rPr>
        <w:t>Previous studies on sustainability</w:t>
      </w:r>
      <w:r w:rsidR="00931EB5" w:rsidRPr="001435A7">
        <w:rPr>
          <w:rFonts w:ascii="Cambria" w:hAnsi="Cambria"/>
          <w:sz w:val="24"/>
          <w:szCs w:val="24"/>
          <w:shd w:val="clear" w:color="auto" w:fill="FFFFFF"/>
        </w:rPr>
        <w:t>, which have take</w:t>
      </w:r>
      <w:r w:rsidR="006B2669" w:rsidRPr="001435A7">
        <w:rPr>
          <w:rFonts w:ascii="Cambria" w:hAnsi="Cambria"/>
          <w:sz w:val="24"/>
          <w:szCs w:val="24"/>
          <w:shd w:val="clear" w:color="auto" w:fill="FFFFFF"/>
        </w:rPr>
        <w:t>n</w:t>
      </w:r>
      <w:r w:rsidR="00931EB5" w:rsidRPr="001435A7">
        <w:rPr>
          <w:rFonts w:ascii="Cambria" w:hAnsi="Cambria"/>
          <w:sz w:val="24"/>
          <w:szCs w:val="24"/>
          <w:shd w:val="clear" w:color="auto" w:fill="FFFFFF"/>
        </w:rPr>
        <w:t xml:space="preserve"> </w:t>
      </w:r>
      <w:r w:rsidR="00613FB3" w:rsidRPr="001435A7">
        <w:rPr>
          <w:rFonts w:ascii="Cambria" w:hAnsi="Cambria"/>
          <w:sz w:val="24"/>
          <w:szCs w:val="24"/>
          <w:shd w:val="clear" w:color="auto" w:fill="FFFFFF"/>
        </w:rPr>
        <w:t>experiment as</w:t>
      </w:r>
      <w:r w:rsidR="00931EB5" w:rsidRPr="001435A7">
        <w:rPr>
          <w:rFonts w:ascii="Cambria" w:hAnsi="Cambria"/>
          <w:sz w:val="24"/>
          <w:szCs w:val="24"/>
          <w:shd w:val="clear" w:color="auto" w:fill="FFFFFF"/>
        </w:rPr>
        <w:t xml:space="preserve"> a</w:t>
      </w:r>
      <w:r w:rsidR="006B2669" w:rsidRPr="001435A7">
        <w:rPr>
          <w:rFonts w:ascii="Cambria" w:hAnsi="Cambria"/>
          <w:sz w:val="24"/>
          <w:szCs w:val="24"/>
          <w:shd w:val="clear" w:color="auto" w:fill="FFFFFF"/>
        </w:rPr>
        <w:t xml:space="preserve"> method</w:t>
      </w:r>
      <w:r w:rsidR="003F14CC" w:rsidRPr="001435A7">
        <w:rPr>
          <w:rFonts w:ascii="Cambria" w:hAnsi="Cambria"/>
          <w:sz w:val="24"/>
          <w:szCs w:val="24"/>
          <w:shd w:val="clear" w:color="auto" w:fill="FFFFFF"/>
        </w:rPr>
        <w:t xml:space="preserve">, </w:t>
      </w:r>
      <w:r w:rsidR="005F1A59" w:rsidRPr="001435A7">
        <w:rPr>
          <w:rFonts w:ascii="Cambria" w:hAnsi="Cambria"/>
          <w:sz w:val="24"/>
          <w:szCs w:val="24"/>
          <w:shd w:val="clear" w:color="auto" w:fill="FFFFFF"/>
        </w:rPr>
        <w:t>are listed below</w:t>
      </w:r>
      <w:r w:rsidR="00E91356" w:rsidRPr="001435A7">
        <w:rPr>
          <w:rFonts w:ascii="Cambria" w:hAnsi="Cambria"/>
          <w:sz w:val="24"/>
          <w:szCs w:val="24"/>
          <w:shd w:val="clear" w:color="auto" w:fill="FFFFFF"/>
        </w:rPr>
        <w:t xml:space="preserve"> in table </w:t>
      </w:r>
      <w:r w:rsidR="00A24BDC" w:rsidRPr="001435A7">
        <w:rPr>
          <w:rFonts w:ascii="Cambria" w:hAnsi="Cambria"/>
          <w:sz w:val="24"/>
          <w:szCs w:val="24"/>
          <w:shd w:val="clear" w:color="auto" w:fill="FFFFFF"/>
        </w:rPr>
        <w:t>11</w:t>
      </w:r>
      <w:r w:rsidR="005F4276" w:rsidRPr="001435A7">
        <w:rPr>
          <w:rFonts w:ascii="Cambria" w:hAnsi="Cambria"/>
          <w:sz w:val="24"/>
          <w:szCs w:val="24"/>
          <w:shd w:val="clear" w:color="auto" w:fill="FFFFFF"/>
        </w:rPr>
        <w:t xml:space="preserve">. </w:t>
      </w:r>
      <w:r w:rsidR="006E563E" w:rsidRPr="001435A7">
        <w:rPr>
          <w:rFonts w:ascii="Cambria" w:hAnsi="Cambria"/>
          <w:sz w:val="24"/>
          <w:szCs w:val="24"/>
          <w:shd w:val="clear" w:color="auto" w:fill="FFFFFF"/>
        </w:rPr>
        <w:t>It is clea</w:t>
      </w:r>
      <w:r w:rsidR="00512AAB" w:rsidRPr="001435A7">
        <w:rPr>
          <w:rFonts w:ascii="Cambria" w:hAnsi="Cambria"/>
          <w:sz w:val="24"/>
          <w:szCs w:val="24"/>
          <w:shd w:val="clear" w:color="auto" w:fill="FFFFFF"/>
        </w:rPr>
        <w:t xml:space="preserve">r </w:t>
      </w:r>
      <w:r w:rsidR="003C7E5B" w:rsidRPr="001435A7">
        <w:rPr>
          <w:rFonts w:ascii="Cambria" w:hAnsi="Cambria"/>
          <w:sz w:val="24"/>
          <w:szCs w:val="24"/>
          <w:shd w:val="clear" w:color="auto" w:fill="FFFFFF"/>
        </w:rPr>
        <w:t>t</w:t>
      </w:r>
      <w:r w:rsidR="006E563E" w:rsidRPr="001435A7">
        <w:rPr>
          <w:rFonts w:ascii="Cambria" w:hAnsi="Cambria"/>
          <w:sz w:val="24"/>
          <w:szCs w:val="24"/>
          <w:shd w:val="clear" w:color="auto" w:fill="FFFFFF"/>
        </w:rPr>
        <w:t xml:space="preserve">hrough the list that, </w:t>
      </w:r>
      <w:r w:rsidR="006912DD" w:rsidRPr="001435A7">
        <w:rPr>
          <w:rFonts w:ascii="Cambria" w:hAnsi="Cambria"/>
          <w:sz w:val="24"/>
          <w:szCs w:val="24"/>
          <w:shd w:val="clear" w:color="auto" w:fill="FFFFFF"/>
        </w:rPr>
        <w:t xml:space="preserve">if the experiment </w:t>
      </w:r>
      <w:r w:rsidR="00613FB3" w:rsidRPr="001435A7">
        <w:rPr>
          <w:rFonts w:ascii="Cambria" w:hAnsi="Cambria"/>
          <w:sz w:val="24"/>
          <w:szCs w:val="24"/>
          <w:shd w:val="clear" w:color="auto" w:fill="FFFFFF"/>
        </w:rPr>
        <w:t>involves</w:t>
      </w:r>
      <w:r w:rsidR="006912DD" w:rsidRPr="001435A7">
        <w:rPr>
          <w:rFonts w:ascii="Cambria" w:hAnsi="Cambria"/>
          <w:sz w:val="24"/>
          <w:szCs w:val="24"/>
          <w:shd w:val="clear" w:color="auto" w:fill="FFFFFF"/>
        </w:rPr>
        <w:t xml:space="preserve"> university students</w:t>
      </w:r>
      <w:r w:rsidR="00A77191" w:rsidRPr="001435A7">
        <w:rPr>
          <w:rFonts w:ascii="Cambria" w:hAnsi="Cambria"/>
          <w:sz w:val="24"/>
          <w:szCs w:val="24"/>
          <w:shd w:val="clear" w:color="auto" w:fill="FFFFFF"/>
        </w:rPr>
        <w:t>, the sample size</w:t>
      </w:r>
      <w:r w:rsidR="00F93B7D" w:rsidRPr="001435A7">
        <w:rPr>
          <w:rFonts w:ascii="Cambria" w:hAnsi="Cambria"/>
          <w:sz w:val="24"/>
          <w:szCs w:val="24"/>
          <w:shd w:val="clear" w:color="auto" w:fill="FFFFFF"/>
        </w:rPr>
        <w:t xml:space="preserve"> did not exceed</w:t>
      </w:r>
      <w:r w:rsidR="00E567EA" w:rsidRPr="001435A7">
        <w:rPr>
          <w:rFonts w:ascii="Cambria" w:hAnsi="Cambria"/>
          <w:sz w:val="24"/>
          <w:szCs w:val="24"/>
          <w:shd w:val="clear" w:color="auto" w:fill="FFFFFF"/>
        </w:rPr>
        <w:t xml:space="preserve"> more than </w:t>
      </w:r>
      <w:r w:rsidR="00E90711" w:rsidRPr="001435A7">
        <w:rPr>
          <w:rFonts w:ascii="Cambria" w:hAnsi="Cambria"/>
          <w:sz w:val="24"/>
          <w:szCs w:val="24"/>
          <w:shd w:val="clear" w:color="auto" w:fill="FFFFFF"/>
        </w:rPr>
        <w:t>281</w:t>
      </w:r>
      <w:r w:rsidR="00512AAB" w:rsidRPr="001435A7">
        <w:rPr>
          <w:rFonts w:ascii="Cambria" w:hAnsi="Cambria"/>
          <w:sz w:val="24"/>
          <w:szCs w:val="24"/>
          <w:shd w:val="clear" w:color="auto" w:fill="FFFFFF"/>
        </w:rPr>
        <w:t>, unless</w:t>
      </w:r>
      <w:r w:rsidR="00F93B7D" w:rsidRPr="001435A7">
        <w:rPr>
          <w:rFonts w:ascii="Cambria" w:hAnsi="Cambria"/>
          <w:sz w:val="24"/>
          <w:szCs w:val="24"/>
          <w:shd w:val="clear" w:color="auto" w:fill="FFFFFF"/>
        </w:rPr>
        <w:t xml:space="preserve"> th</w:t>
      </w:r>
      <w:r w:rsidR="00B0630E" w:rsidRPr="001435A7">
        <w:rPr>
          <w:rFonts w:ascii="Cambria" w:hAnsi="Cambria"/>
          <w:sz w:val="24"/>
          <w:szCs w:val="24"/>
          <w:shd w:val="clear" w:color="auto" w:fill="FFFFFF"/>
        </w:rPr>
        <w:t xml:space="preserve">e respondents </w:t>
      </w:r>
      <w:r w:rsidR="00F93B7D" w:rsidRPr="001435A7">
        <w:rPr>
          <w:rFonts w:ascii="Cambria" w:hAnsi="Cambria"/>
          <w:sz w:val="24"/>
          <w:szCs w:val="24"/>
          <w:shd w:val="clear" w:color="auto" w:fill="FFFFFF"/>
        </w:rPr>
        <w:t>extensively contacted</w:t>
      </w:r>
      <w:r w:rsidR="00364FA1" w:rsidRPr="001435A7">
        <w:rPr>
          <w:rFonts w:ascii="Cambria" w:hAnsi="Cambria"/>
          <w:sz w:val="24"/>
          <w:szCs w:val="24"/>
          <w:shd w:val="clear" w:color="auto" w:fill="FFFFFF"/>
        </w:rPr>
        <w:t xml:space="preserve">. Only if the </w:t>
      </w:r>
      <w:r w:rsidR="00035368" w:rsidRPr="001435A7">
        <w:rPr>
          <w:rFonts w:ascii="Cambria" w:hAnsi="Cambria"/>
          <w:sz w:val="24"/>
          <w:szCs w:val="24"/>
          <w:shd w:val="clear" w:color="auto" w:fill="FFFFFF"/>
        </w:rPr>
        <w:t>online panel like MTurk is employed</w:t>
      </w:r>
      <w:r w:rsidR="00D10924" w:rsidRPr="001435A7">
        <w:rPr>
          <w:rFonts w:ascii="Cambria" w:hAnsi="Cambria"/>
          <w:sz w:val="24"/>
          <w:szCs w:val="24"/>
          <w:shd w:val="clear" w:color="auto" w:fill="FFFFFF"/>
        </w:rPr>
        <w:t xml:space="preserve"> </w:t>
      </w:r>
      <w:r w:rsidR="00576AB1" w:rsidRPr="001435A7">
        <w:rPr>
          <w:rFonts w:ascii="Cambria" w:hAnsi="Cambria"/>
          <w:sz w:val="24"/>
          <w:szCs w:val="24"/>
          <w:shd w:val="clear" w:color="auto" w:fill="FFFFFF"/>
        </w:rPr>
        <w:t xml:space="preserve">or the experiment is conducted </w:t>
      </w:r>
      <w:r w:rsidR="00497B6E" w:rsidRPr="001435A7">
        <w:rPr>
          <w:rFonts w:ascii="Cambria" w:hAnsi="Cambria"/>
          <w:sz w:val="24"/>
          <w:szCs w:val="24"/>
          <w:shd w:val="clear" w:color="auto" w:fill="FFFFFF"/>
        </w:rPr>
        <w:t>on setting w</w:t>
      </w:r>
      <w:r w:rsidR="00B44651" w:rsidRPr="001435A7">
        <w:rPr>
          <w:rFonts w:ascii="Cambria" w:hAnsi="Cambria"/>
          <w:sz w:val="24"/>
          <w:szCs w:val="24"/>
          <w:shd w:val="clear" w:color="auto" w:fill="FFFFFF"/>
        </w:rPr>
        <w:t>here large crowd is available</w:t>
      </w:r>
      <w:r w:rsidR="004478E7" w:rsidRPr="001435A7">
        <w:rPr>
          <w:rFonts w:ascii="Cambria" w:hAnsi="Cambria"/>
          <w:sz w:val="24"/>
          <w:szCs w:val="24"/>
          <w:shd w:val="clear" w:color="auto" w:fill="FFFFFF"/>
        </w:rPr>
        <w:t xml:space="preserve">, the sample size </w:t>
      </w:r>
      <w:r w:rsidR="00654664" w:rsidRPr="001435A7">
        <w:rPr>
          <w:rFonts w:ascii="Cambria" w:hAnsi="Cambria"/>
          <w:sz w:val="24"/>
          <w:szCs w:val="24"/>
          <w:shd w:val="clear" w:color="auto" w:fill="FFFFFF"/>
        </w:rPr>
        <w:t xml:space="preserve">is </w:t>
      </w:r>
      <w:r w:rsidR="00483B24" w:rsidRPr="001435A7">
        <w:rPr>
          <w:rFonts w:ascii="Cambria" w:hAnsi="Cambria"/>
          <w:sz w:val="24"/>
          <w:szCs w:val="24"/>
          <w:shd w:val="clear" w:color="auto" w:fill="FFFFFF"/>
        </w:rPr>
        <w:t>bigger</w:t>
      </w:r>
      <w:r w:rsidR="00035368" w:rsidRPr="001435A7">
        <w:rPr>
          <w:rFonts w:ascii="Cambria" w:hAnsi="Cambria"/>
          <w:sz w:val="24"/>
          <w:szCs w:val="24"/>
          <w:shd w:val="clear" w:color="auto" w:fill="FFFFFF"/>
        </w:rPr>
        <w:t>.</w:t>
      </w:r>
      <w:r w:rsidR="00A432BD" w:rsidRPr="001435A7">
        <w:rPr>
          <w:rFonts w:ascii="Cambria" w:hAnsi="Cambria"/>
          <w:sz w:val="24"/>
          <w:szCs w:val="24"/>
          <w:shd w:val="clear" w:color="auto" w:fill="FFFFFF"/>
        </w:rPr>
        <w:t xml:space="preserve"> Hence</w:t>
      </w:r>
      <w:r w:rsidR="008A2196" w:rsidRPr="001435A7">
        <w:rPr>
          <w:rFonts w:ascii="Cambria" w:hAnsi="Cambria"/>
          <w:sz w:val="24"/>
          <w:szCs w:val="24"/>
          <w:shd w:val="clear" w:color="auto" w:fill="FFFFFF"/>
        </w:rPr>
        <w:t>,</w:t>
      </w:r>
      <w:r w:rsidR="00A432BD" w:rsidRPr="001435A7">
        <w:rPr>
          <w:rFonts w:ascii="Cambria" w:hAnsi="Cambria"/>
          <w:sz w:val="24"/>
          <w:szCs w:val="24"/>
          <w:shd w:val="clear" w:color="auto" w:fill="FFFFFF"/>
        </w:rPr>
        <w:t xml:space="preserve"> a sample size of 279 is in the line of othe</w:t>
      </w:r>
      <w:r w:rsidR="00EB7EDF" w:rsidRPr="001435A7">
        <w:rPr>
          <w:rFonts w:ascii="Cambria" w:hAnsi="Cambria"/>
          <w:sz w:val="24"/>
          <w:szCs w:val="24"/>
          <w:shd w:val="clear" w:color="auto" w:fill="FFFFFF"/>
        </w:rPr>
        <w:t xml:space="preserve">r studies of sustainable behaviour </w:t>
      </w:r>
      <w:r w:rsidR="006872B2" w:rsidRPr="001435A7">
        <w:rPr>
          <w:rFonts w:ascii="Cambria" w:hAnsi="Cambria"/>
          <w:sz w:val="24"/>
          <w:szCs w:val="24"/>
          <w:shd w:val="clear" w:color="auto" w:fill="FFFFFF"/>
        </w:rPr>
        <w:t>engaging s</w:t>
      </w:r>
      <w:r w:rsidR="00EA584B" w:rsidRPr="001435A7">
        <w:rPr>
          <w:rFonts w:ascii="Cambria" w:hAnsi="Cambria"/>
          <w:sz w:val="24"/>
          <w:szCs w:val="24"/>
          <w:shd w:val="clear" w:color="auto" w:fill="FFFFFF"/>
        </w:rPr>
        <w:t>t</w:t>
      </w:r>
      <w:r w:rsidR="006872B2" w:rsidRPr="001435A7">
        <w:rPr>
          <w:rFonts w:ascii="Cambria" w:hAnsi="Cambria"/>
          <w:sz w:val="24"/>
          <w:szCs w:val="24"/>
          <w:shd w:val="clear" w:color="auto" w:fill="FFFFFF"/>
        </w:rPr>
        <w:t>udent sample.</w:t>
      </w:r>
    </w:p>
    <w:p w14:paraId="4C35DAC6" w14:textId="5CCD8C96" w:rsidR="00E91356" w:rsidRPr="001435A7" w:rsidRDefault="00E91356">
      <w:pPr>
        <w:spacing w:line="360" w:lineRule="auto"/>
        <w:jc w:val="both"/>
        <w:rPr>
          <w:rFonts w:ascii="Cambria" w:hAnsi="Cambria"/>
          <w:sz w:val="24"/>
          <w:szCs w:val="24"/>
          <w:shd w:val="clear" w:color="auto" w:fill="FFFFFF"/>
        </w:rPr>
      </w:pPr>
      <w:r w:rsidRPr="001435A7">
        <w:rPr>
          <w:rFonts w:ascii="Cambria" w:hAnsi="Cambria"/>
          <w:sz w:val="24"/>
          <w:szCs w:val="24"/>
          <w:shd w:val="clear" w:color="auto" w:fill="FFFFFF"/>
        </w:rPr>
        <w:t xml:space="preserve">Table </w:t>
      </w:r>
      <w:r w:rsidR="003620A4" w:rsidRPr="001435A7">
        <w:rPr>
          <w:rFonts w:ascii="Cambria" w:hAnsi="Cambria"/>
          <w:sz w:val="24"/>
          <w:szCs w:val="24"/>
          <w:shd w:val="clear" w:color="auto" w:fill="FFFFFF"/>
        </w:rPr>
        <w:t>11</w:t>
      </w:r>
      <w:r w:rsidRPr="001435A7">
        <w:rPr>
          <w:rFonts w:ascii="Cambria" w:hAnsi="Cambria"/>
          <w:sz w:val="24"/>
          <w:szCs w:val="24"/>
          <w:shd w:val="clear" w:color="auto" w:fill="FFFFFF"/>
        </w:rPr>
        <w:t>: list of</w:t>
      </w:r>
      <w:r w:rsidR="005F4276" w:rsidRPr="001435A7">
        <w:rPr>
          <w:rFonts w:ascii="Cambria" w:hAnsi="Cambria"/>
          <w:sz w:val="24"/>
          <w:szCs w:val="24"/>
          <w:shd w:val="clear" w:color="auto" w:fill="FFFFFF"/>
        </w:rPr>
        <w:t xml:space="preserve"> sample size of</w:t>
      </w:r>
      <w:r w:rsidRPr="001435A7">
        <w:rPr>
          <w:rFonts w:ascii="Cambria" w:hAnsi="Cambria"/>
          <w:sz w:val="24"/>
          <w:szCs w:val="24"/>
          <w:shd w:val="clear" w:color="auto" w:fill="FFFFFF"/>
        </w:rPr>
        <w:t xml:space="preserve"> </w:t>
      </w:r>
      <w:r w:rsidR="009D78EF" w:rsidRPr="001435A7">
        <w:rPr>
          <w:rFonts w:ascii="Cambria" w:hAnsi="Cambria"/>
          <w:sz w:val="24"/>
          <w:szCs w:val="24"/>
          <w:shd w:val="clear" w:color="auto" w:fill="FFFFFF"/>
        </w:rPr>
        <w:t xml:space="preserve">previous experiment on sustainable </w:t>
      </w:r>
      <w:r w:rsidR="000F2396" w:rsidRPr="001435A7">
        <w:rPr>
          <w:rFonts w:ascii="Cambria" w:hAnsi="Cambria"/>
          <w:sz w:val="24"/>
          <w:szCs w:val="24"/>
          <w:shd w:val="clear" w:color="auto" w:fill="FFFFFF"/>
        </w:rPr>
        <w:t>behaviour</w:t>
      </w:r>
    </w:p>
    <w:tbl>
      <w:tblPr>
        <w:tblStyle w:val="TableGrid"/>
        <w:tblW w:w="9351" w:type="dxa"/>
        <w:tblLook w:val="04A0" w:firstRow="1" w:lastRow="0" w:firstColumn="1" w:lastColumn="0" w:noHBand="0" w:noVBand="1"/>
      </w:tblPr>
      <w:tblGrid>
        <w:gridCol w:w="3238"/>
        <w:gridCol w:w="6113"/>
      </w:tblGrid>
      <w:tr w:rsidR="001435A7" w:rsidRPr="001435A7" w14:paraId="7D9F386F" w14:textId="77777777" w:rsidTr="003F14CC">
        <w:tc>
          <w:tcPr>
            <w:tcW w:w="3238" w:type="dxa"/>
          </w:tcPr>
          <w:p w14:paraId="1F85D11F"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Autor</w:t>
            </w:r>
          </w:p>
        </w:tc>
        <w:tc>
          <w:tcPr>
            <w:tcW w:w="6113" w:type="dxa"/>
          </w:tcPr>
          <w:p w14:paraId="6BB443F0"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Methodology</w:t>
            </w:r>
          </w:p>
        </w:tc>
      </w:tr>
      <w:tr w:rsidR="001435A7" w:rsidRPr="001435A7" w14:paraId="02B45FF1" w14:textId="77777777" w:rsidTr="003F14CC">
        <w:tc>
          <w:tcPr>
            <w:tcW w:w="3238" w:type="dxa"/>
          </w:tcPr>
          <w:p w14:paraId="6044EA0A"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Steenhaut and Kenhove (2006)</w:t>
            </w:r>
          </w:p>
        </w:tc>
        <w:tc>
          <w:tcPr>
            <w:tcW w:w="6113" w:type="dxa"/>
          </w:tcPr>
          <w:p w14:paraId="4ED37B3E" w14:textId="01B65F7A"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78</w:t>
            </w:r>
          </w:p>
          <w:p w14:paraId="06E462F1" w14:textId="649AE3FF"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University</w:t>
            </w:r>
            <w:r w:rsidR="003F14CC" w:rsidRPr="001435A7">
              <w:rPr>
                <w:rFonts w:ascii="Cambria" w:eastAsiaTheme="minorEastAsia" w:hAnsi="Cambria" w:cs="Times New Roman"/>
                <w:sz w:val="24"/>
                <w:szCs w:val="24"/>
              </w:rPr>
              <w:t xml:space="preserve"> student </w:t>
            </w:r>
          </w:p>
        </w:tc>
      </w:tr>
      <w:tr w:rsidR="001435A7" w:rsidRPr="001435A7" w14:paraId="4CA33F6C" w14:textId="77777777" w:rsidTr="003F14CC">
        <w:tc>
          <w:tcPr>
            <w:tcW w:w="3238" w:type="dxa"/>
          </w:tcPr>
          <w:p w14:paraId="5CD1505B"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Lusch et al (2010)</w:t>
            </w:r>
          </w:p>
        </w:tc>
        <w:tc>
          <w:tcPr>
            <w:tcW w:w="6113" w:type="dxa"/>
          </w:tcPr>
          <w:p w14:paraId="6504888D" w14:textId="4BC7E3C4"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42, 148, 68, 281</w:t>
            </w:r>
          </w:p>
          <w:p w14:paraId="01950310" w14:textId="256EE200" w:rsidR="00931EB5" w:rsidRPr="001435A7" w:rsidRDefault="00931EB5" w:rsidP="003F14CC">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university students</w:t>
            </w:r>
          </w:p>
        </w:tc>
      </w:tr>
      <w:tr w:rsidR="001435A7" w:rsidRPr="001435A7" w14:paraId="5037A005" w14:textId="77777777" w:rsidTr="003F14CC">
        <w:tc>
          <w:tcPr>
            <w:tcW w:w="3238" w:type="dxa"/>
          </w:tcPr>
          <w:p w14:paraId="2DC4FE6F"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Tucker et al (2012)</w:t>
            </w:r>
          </w:p>
        </w:tc>
        <w:tc>
          <w:tcPr>
            <w:tcW w:w="6113" w:type="dxa"/>
          </w:tcPr>
          <w:p w14:paraId="7961B25A"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420</w:t>
            </w:r>
          </w:p>
          <w:p w14:paraId="5D819B82" w14:textId="6A8BE920"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members of a church, an informal recreational group, clerical/technical university staff of workers union, and their referred people</w:t>
            </w:r>
          </w:p>
        </w:tc>
      </w:tr>
      <w:tr w:rsidR="001435A7" w:rsidRPr="001435A7" w14:paraId="71199ED5" w14:textId="77777777" w:rsidTr="003F14CC">
        <w:tc>
          <w:tcPr>
            <w:tcW w:w="3238" w:type="dxa"/>
          </w:tcPr>
          <w:p w14:paraId="0102B8D6"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Ibrahim and Al–Ajlouni (2018)</w:t>
            </w:r>
          </w:p>
        </w:tc>
        <w:tc>
          <w:tcPr>
            <w:tcW w:w="6113" w:type="dxa"/>
          </w:tcPr>
          <w:p w14:paraId="60799520"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 xml:space="preserve">Sample: 471 </w:t>
            </w:r>
          </w:p>
          <w:p w14:paraId="0E0F0403" w14:textId="333BF954" w:rsidR="00931EB5" w:rsidRPr="001435A7" w:rsidRDefault="00931EB5" w:rsidP="00F35F7D">
            <w:pPr>
              <w:tabs>
                <w:tab w:val="center" w:pos="1309"/>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 xml:space="preserve">Frame: University </w:t>
            </w:r>
            <w:r w:rsidR="00F35F7D" w:rsidRPr="001435A7">
              <w:rPr>
                <w:rFonts w:ascii="Cambria" w:eastAsiaTheme="minorEastAsia" w:hAnsi="Cambria" w:cs="Times New Roman"/>
                <w:sz w:val="24"/>
                <w:szCs w:val="24"/>
              </w:rPr>
              <w:t xml:space="preserve">student </w:t>
            </w:r>
            <w:r w:rsidR="00DB0FD3" w:rsidRPr="001435A7">
              <w:rPr>
                <w:rFonts w:ascii="Cambria" w:eastAsiaTheme="minorEastAsia" w:hAnsi="Cambria" w:cs="Times New Roman"/>
                <w:sz w:val="24"/>
                <w:szCs w:val="24"/>
              </w:rPr>
              <w:t>recruited through email, flayer</w:t>
            </w:r>
            <w:r w:rsidR="00813076" w:rsidRPr="001435A7">
              <w:rPr>
                <w:rFonts w:ascii="Cambria" w:eastAsiaTheme="minorEastAsia" w:hAnsi="Cambria" w:cs="Times New Roman"/>
                <w:sz w:val="24"/>
                <w:szCs w:val="24"/>
              </w:rPr>
              <w:t xml:space="preserve">, notice around the campus and </w:t>
            </w:r>
            <w:r w:rsidR="002D4669" w:rsidRPr="001435A7">
              <w:rPr>
                <w:rFonts w:ascii="Cambria" w:eastAsiaTheme="minorEastAsia" w:hAnsi="Cambria" w:cs="Times New Roman"/>
                <w:sz w:val="24"/>
                <w:szCs w:val="24"/>
              </w:rPr>
              <w:t xml:space="preserve">announcement on </w:t>
            </w:r>
            <w:r w:rsidR="00813076" w:rsidRPr="001435A7">
              <w:rPr>
                <w:rFonts w:ascii="Cambria" w:eastAsiaTheme="minorEastAsia" w:hAnsi="Cambria" w:cs="Times New Roman"/>
                <w:sz w:val="24"/>
                <w:szCs w:val="24"/>
              </w:rPr>
              <w:t xml:space="preserve">student </w:t>
            </w:r>
            <w:r w:rsidR="002D4669" w:rsidRPr="001435A7">
              <w:rPr>
                <w:rFonts w:ascii="Cambria" w:eastAsiaTheme="minorEastAsia" w:hAnsi="Cambria" w:cs="Times New Roman"/>
                <w:sz w:val="24"/>
                <w:szCs w:val="24"/>
              </w:rPr>
              <w:t>doorway</w:t>
            </w:r>
            <w:r w:rsidR="00DB391F" w:rsidRPr="001435A7">
              <w:rPr>
                <w:rFonts w:ascii="Cambria" w:eastAsiaTheme="minorEastAsia" w:hAnsi="Cambria" w:cs="Times New Roman"/>
                <w:sz w:val="24"/>
                <w:szCs w:val="24"/>
              </w:rPr>
              <w:t xml:space="preserve">. </w:t>
            </w:r>
          </w:p>
        </w:tc>
      </w:tr>
      <w:tr w:rsidR="001435A7" w:rsidRPr="001435A7" w14:paraId="4F782927" w14:textId="77777777" w:rsidTr="003F14CC">
        <w:tc>
          <w:tcPr>
            <w:tcW w:w="3238" w:type="dxa"/>
          </w:tcPr>
          <w:p w14:paraId="7EEF56F9"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Brough et al (2016)</w:t>
            </w:r>
          </w:p>
        </w:tc>
        <w:tc>
          <w:tcPr>
            <w:tcW w:w="6113" w:type="dxa"/>
          </w:tcPr>
          <w:p w14:paraId="3EE88991" w14:textId="6969F16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127, 194, 131, 403, 472</w:t>
            </w:r>
            <w:r w:rsidR="00F35F7D" w:rsidRPr="001435A7">
              <w:rPr>
                <w:rFonts w:ascii="Cambria" w:eastAsiaTheme="minorEastAsia" w:hAnsi="Cambria" w:cs="Times New Roman"/>
                <w:sz w:val="24"/>
                <w:szCs w:val="24"/>
              </w:rPr>
              <w:t xml:space="preserve"> </w:t>
            </w:r>
            <w:r w:rsidRPr="001435A7">
              <w:rPr>
                <w:rFonts w:ascii="Cambria" w:eastAsiaTheme="minorEastAsia" w:hAnsi="Cambria" w:cs="Times New Roman"/>
                <w:sz w:val="24"/>
                <w:szCs w:val="24"/>
              </w:rPr>
              <w:t>and 322</w:t>
            </w:r>
          </w:p>
          <w:p w14:paraId="5E2513DF" w14:textId="18588024"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Mechanical Turk (MTurk)</w:t>
            </w:r>
          </w:p>
        </w:tc>
      </w:tr>
      <w:tr w:rsidR="001435A7" w:rsidRPr="001435A7" w14:paraId="43876AF9" w14:textId="77777777" w:rsidTr="003F14CC">
        <w:tc>
          <w:tcPr>
            <w:tcW w:w="3238" w:type="dxa"/>
          </w:tcPr>
          <w:p w14:paraId="4FCFA086"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Ryoo et al (2017)</w:t>
            </w:r>
          </w:p>
        </w:tc>
        <w:tc>
          <w:tcPr>
            <w:tcW w:w="6113" w:type="dxa"/>
          </w:tcPr>
          <w:p w14:paraId="6B4E08F9" w14:textId="77777777" w:rsidR="00931EB5" w:rsidRPr="001435A7" w:rsidRDefault="00931EB5" w:rsidP="00C04DDF">
            <w:pPr>
              <w:tabs>
                <w:tab w:val="left" w:pos="1530"/>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148</w:t>
            </w:r>
          </w:p>
          <w:p w14:paraId="299B3D32" w14:textId="6AB56881"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online mail</w:t>
            </w:r>
          </w:p>
        </w:tc>
      </w:tr>
      <w:tr w:rsidR="001435A7" w:rsidRPr="001435A7" w14:paraId="548FC3EF" w14:textId="77777777" w:rsidTr="003F14CC">
        <w:tc>
          <w:tcPr>
            <w:tcW w:w="3238" w:type="dxa"/>
          </w:tcPr>
          <w:p w14:paraId="3D1FBB0F"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Rowe et al (2019)</w:t>
            </w:r>
          </w:p>
        </w:tc>
        <w:tc>
          <w:tcPr>
            <w:tcW w:w="6113" w:type="dxa"/>
          </w:tcPr>
          <w:p w14:paraId="0557F7CF" w14:textId="71ABEF93" w:rsidR="00931EB5" w:rsidRPr="001435A7" w:rsidRDefault="00931EB5" w:rsidP="00C04DDF">
            <w:pPr>
              <w:tabs>
                <w:tab w:val="left" w:pos="1589"/>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 xml:space="preserve">Sample: 152, 328 </w:t>
            </w:r>
          </w:p>
          <w:p w14:paraId="2EC84870" w14:textId="46E336AA" w:rsidR="00931EB5" w:rsidRPr="001435A7" w:rsidRDefault="00931EB5" w:rsidP="00F35F7D">
            <w:pPr>
              <w:tabs>
                <w:tab w:val="left" w:pos="1589"/>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University, MTurk respectively</w:t>
            </w:r>
          </w:p>
        </w:tc>
      </w:tr>
      <w:tr w:rsidR="001435A7" w:rsidRPr="001435A7" w14:paraId="3F6F51C8" w14:textId="77777777" w:rsidTr="003F14CC">
        <w:tc>
          <w:tcPr>
            <w:tcW w:w="3238" w:type="dxa"/>
          </w:tcPr>
          <w:p w14:paraId="2A5C7A19"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Schuhwerk and Lefkoff–Haguis (1995)</w:t>
            </w:r>
          </w:p>
        </w:tc>
        <w:tc>
          <w:tcPr>
            <w:tcW w:w="6113" w:type="dxa"/>
          </w:tcPr>
          <w:p w14:paraId="38C4D57E"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85</w:t>
            </w:r>
          </w:p>
          <w:p w14:paraId="4AD0984B" w14:textId="77746649"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Undergraduate students</w:t>
            </w:r>
          </w:p>
        </w:tc>
      </w:tr>
      <w:tr w:rsidR="001435A7" w:rsidRPr="001435A7" w14:paraId="3B4CA6F4" w14:textId="77777777" w:rsidTr="003F14CC">
        <w:tc>
          <w:tcPr>
            <w:tcW w:w="3238" w:type="dxa"/>
          </w:tcPr>
          <w:p w14:paraId="2CA14C03"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Montororios et al (2008)</w:t>
            </w:r>
          </w:p>
        </w:tc>
        <w:tc>
          <w:tcPr>
            <w:tcW w:w="6113" w:type="dxa"/>
          </w:tcPr>
          <w:p w14:paraId="42EDC736"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828</w:t>
            </w:r>
          </w:p>
          <w:p w14:paraId="5AD1BD01" w14:textId="5541E925"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convenience of public places</w:t>
            </w:r>
          </w:p>
        </w:tc>
      </w:tr>
      <w:tr w:rsidR="001435A7" w:rsidRPr="001435A7" w14:paraId="2B5F49B1" w14:textId="77777777" w:rsidTr="003F14CC">
        <w:tc>
          <w:tcPr>
            <w:tcW w:w="3238" w:type="dxa"/>
          </w:tcPr>
          <w:p w14:paraId="06ADC572"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Choi and Ng (2011)</w:t>
            </w:r>
          </w:p>
        </w:tc>
        <w:tc>
          <w:tcPr>
            <w:tcW w:w="6113" w:type="dxa"/>
          </w:tcPr>
          <w:p w14:paraId="537C61FB" w14:textId="77777777" w:rsidR="00931EB5" w:rsidRPr="001435A7" w:rsidRDefault="00931EB5" w:rsidP="00C04DDF">
            <w:pPr>
              <w:tabs>
                <w:tab w:val="left" w:pos="1333"/>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219</w:t>
            </w:r>
          </w:p>
          <w:p w14:paraId="48F2F2F4" w14:textId="6CE8FD22"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electronic telephone–based list</w:t>
            </w:r>
          </w:p>
        </w:tc>
      </w:tr>
      <w:tr w:rsidR="001435A7" w:rsidRPr="001435A7" w14:paraId="2839A046" w14:textId="77777777" w:rsidTr="003F14CC">
        <w:tc>
          <w:tcPr>
            <w:tcW w:w="3238" w:type="dxa"/>
          </w:tcPr>
          <w:p w14:paraId="019AD6FC"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Larceneux et al (2012)</w:t>
            </w:r>
          </w:p>
        </w:tc>
        <w:tc>
          <w:tcPr>
            <w:tcW w:w="6113" w:type="dxa"/>
          </w:tcPr>
          <w:p w14:paraId="2C362032"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122</w:t>
            </w:r>
          </w:p>
          <w:p w14:paraId="7575187E" w14:textId="3FFE0CCC"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customer at Monoprix store.</w:t>
            </w:r>
          </w:p>
        </w:tc>
      </w:tr>
      <w:tr w:rsidR="001435A7" w:rsidRPr="001435A7" w14:paraId="252CB064" w14:textId="77777777" w:rsidTr="003F14CC">
        <w:tc>
          <w:tcPr>
            <w:tcW w:w="3238" w:type="dxa"/>
          </w:tcPr>
          <w:p w14:paraId="45C652B4"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Adobe Devanagari"/>
                <w:sz w:val="24"/>
                <w:szCs w:val="24"/>
              </w:rPr>
              <w:t>Herédia–Colaço and do Vale (2018)</w:t>
            </w:r>
          </w:p>
        </w:tc>
        <w:tc>
          <w:tcPr>
            <w:tcW w:w="6113" w:type="dxa"/>
          </w:tcPr>
          <w:p w14:paraId="645FA2D9"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1</w:t>
            </w:r>
            <w:r w:rsidRPr="001435A7">
              <w:rPr>
                <w:rFonts w:ascii="Cambria" w:eastAsiaTheme="minorEastAsia" w:hAnsi="Cambria" w:cs="Times New Roman"/>
                <w:sz w:val="24"/>
                <w:szCs w:val="24"/>
                <w:vertAlign w:val="superscript"/>
              </w:rPr>
              <w:t>st</w:t>
            </w:r>
            <w:r w:rsidRPr="001435A7">
              <w:rPr>
                <w:rFonts w:ascii="Cambria" w:eastAsiaTheme="minorEastAsia" w:hAnsi="Cambria" w:cs="Times New Roman"/>
                <w:sz w:val="24"/>
                <w:szCs w:val="24"/>
              </w:rPr>
              <w:t xml:space="preserve"> study– Sample: 100 </w:t>
            </w:r>
          </w:p>
          <w:p w14:paraId="0D7A3AC1" w14:textId="1BAAA321" w:rsidR="00931EB5" w:rsidRPr="001435A7" w:rsidRDefault="00931EB5" w:rsidP="00F35F7D">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 xml:space="preserve">Frame: University </w:t>
            </w:r>
            <w:r w:rsidR="00F35F7D" w:rsidRPr="001435A7">
              <w:rPr>
                <w:rFonts w:ascii="Cambria" w:eastAsiaTheme="minorEastAsia" w:hAnsi="Cambria" w:cs="Times New Roman"/>
                <w:sz w:val="24"/>
                <w:szCs w:val="24"/>
              </w:rPr>
              <w:t>students</w:t>
            </w:r>
          </w:p>
        </w:tc>
      </w:tr>
      <w:tr w:rsidR="001435A7" w:rsidRPr="001435A7" w14:paraId="05AE7FA1" w14:textId="77777777" w:rsidTr="003F14CC">
        <w:tc>
          <w:tcPr>
            <w:tcW w:w="3238" w:type="dxa"/>
          </w:tcPr>
          <w:p w14:paraId="3E77C199" w14:textId="77777777" w:rsidR="00931EB5" w:rsidRPr="001435A7" w:rsidRDefault="00931EB5" w:rsidP="00C04DDF">
            <w:pPr>
              <w:spacing w:after="200" w:line="240" w:lineRule="auto"/>
              <w:jc w:val="both"/>
              <w:rPr>
                <w:rFonts w:ascii="Cambria" w:eastAsiaTheme="minorEastAsia" w:hAnsi="Cambria" w:cs="Adobe Devanagari"/>
                <w:sz w:val="24"/>
                <w:szCs w:val="24"/>
              </w:rPr>
            </w:pPr>
            <w:r w:rsidRPr="001435A7">
              <w:rPr>
                <w:rFonts w:ascii="Cambria" w:eastAsiaTheme="minorEastAsia" w:hAnsi="Cambria" w:cs="Times New Roman"/>
                <w:sz w:val="24"/>
                <w:szCs w:val="24"/>
              </w:rPr>
              <w:t>White et al (2011)</w:t>
            </w:r>
          </w:p>
        </w:tc>
        <w:tc>
          <w:tcPr>
            <w:tcW w:w="6113" w:type="dxa"/>
          </w:tcPr>
          <w:p w14:paraId="134AD92F"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390, 119 &amp; 107</w:t>
            </w:r>
          </w:p>
          <w:p w14:paraId="7AED8905" w14:textId="6636E7A7" w:rsidR="00931EB5" w:rsidRPr="001435A7" w:rsidRDefault="00931EB5" w:rsidP="00A00452">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North American Metropolitan, university</w:t>
            </w:r>
            <w:r w:rsidR="00F35F7D" w:rsidRPr="001435A7">
              <w:rPr>
                <w:rFonts w:ascii="Cambria" w:eastAsiaTheme="minorEastAsia" w:hAnsi="Cambria" w:cs="Times New Roman"/>
                <w:sz w:val="24"/>
                <w:szCs w:val="24"/>
              </w:rPr>
              <w:t xml:space="preserve"> </w:t>
            </w:r>
            <w:r w:rsidR="00A00452" w:rsidRPr="001435A7">
              <w:rPr>
                <w:rFonts w:ascii="Cambria" w:eastAsiaTheme="minorEastAsia" w:hAnsi="Cambria" w:cs="Times New Roman"/>
                <w:sz w:val="24"/>
                <w:szCs w:val="24"/>
              </w:rPr>
              <w:t xml:space="preserve">student </w:t>
            </w:r>
          </w:p>
        </w:tc>
      </w:tr>
      <w:tr w:rsidR="001435A7" w:rsidRPr="001435A7" w14:paraId="3661B769" w14:textId="77777777" w:rsidTr="003F14CC">
        <w:tc>
          <w:tcPr>
            <w:tcW w:w="3238" w:type="dxa"/>
          </w:tcPr>
          <w:p w14:paraId="1262EBE1"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Yang et al (2015)</w:t>
            </w:r>
          </w:p>
        </w:tc>
        <w:tc>
          <w:tcPr>
            <w:tcW w:w="6113" w:type="dxa"/>
          </w:tcPr>
          <w:p w14:paraId="77FFC68A"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89, 156, 165 Undergraduate students</w:t>
            </w:r>
          </w:p>
          <w:p w14:paraId="21E3AC9D" w14:textId="63AF74A1" w:rsidR="00931EB5" w:rsidRPr="001435A7" w:rsidRDefault="00931EB5" w:rsidP="00A00452">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 xml:space="preserve">Frame: business course of a university </w:t>
            </w:r>
          </w:p>
        </w:tc>
      </w:tr>
      <w:tr w:rsidR="001435A7" w:rsidRPr="001435A7" w14:paraId="26CBF7FE" w14:textId="77777777" w:rsidTr="003F14CC">
        <w:tc>
          <w:tcPr>
            <w:tcW w:w="3238" w:type="dxa"/>
          </w:tcPr>
          <w:p w14:paraId="5DC60FB5" w14:textId="77777777" w:rsidR="00931EB5" w:rsidRPr="001435A7" w:rsidRDefault="00931EB5" w:rsidP="00C04DDF">
            <w:pPr>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Han et al (2019)</w:t>
            </w:r>
          </w:p>
        </w:tc>
        <w:tc>
          <w:tcPr>
            <w:tcW w:w="6113" w:type="dxa"/>
          </w:tcPr>
          <w:p w14:paraId="1255876C" w14:textId="77777777" w:rsidR="00931EB5" w:rsidRPr="001435A7" w:rsidRDefault="00931EB5" w:rsidP="00C04DDF">
            <w:pPr>
              <w:tabs>
                <w:tab w:val="left" w:pos="1589"/>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Sample: 142, 122</w:t>
            </w:r>
          </w:p>
          <w:p w14:paraId="5AB32CD6" w14:textId="25D356CB" w:rsidR="00931EB5" w:rsidRPr="001435A7" w:rsidRDefault="00931EB5" w:rsidP="00A00452">
            <w:pPr>
              <w:tabs>
                <w:tab w:val="left" w:pos="1589"/>
              </w:tabs>
              <w:spacing w:after="200" w:line="240" w:lineRule="auto"/>
              <w:jc w:val="both"/>
              <w:rPr>
                <w:rFonts w:ascii="Cambria" w:eastAsiaTheme="minorEastAsia" w:hAnsi="Cambria" w:cs="Times New Roman"/>
                <w:sz w:val="24"/>
                <w:szCs w:val="24"/>
              </w:rPr>
            </w:pPr>
            <w:r w:rsidRPr="001435A7">
              <w:rPr>
                <w:rFonts w:ascii="Cambria" w:eastAsiaTheme="minorEastAsia" w:hAnsi="Cambria" w:cs="Times New Roman"/>
                <w:sz w:val="24"/>
                <w:szCs w:val="24"/>
              </w:rPr>
              <w:t>Frame: University students</w:t>
            </w:r>
          </w:p>
        </w:tc>
      </w:tr>
    </w:tbl>
    <w:p w14:paraId="763D0F6D" w14:textId="77777777" w:rsidR="00931EB5" w:rsidRPr="00530906" w:rsidRDefault="00931EB5">
      <w:pPr>
        <w:spacing w:line="360" w:lineRule="auto"/>
        <w:jc w:val="both"/>
        <w:rPr>
          <w:rFonts w:ascii="Cambria" w:hAnsi="Cambria" w:cs="Segoe UI"/>
          <w:sz w:val="24"/>
          <w:szCs w:val="24"/>
        </w:rPr>
      </w:pPr>
    </w:p>
    <w:p w14:paraId="651E04CF" w14:textId="7EA41ECB" w:rsidR="00C7217E" w:rsidRPr="00530906" w:rsidRDefault="00A718F2" w:rsidP="008756B1">
      <w:pPr>
        <w:pStyle w:val="Heading3"/>
        <w:jc w:val="both"/>
        <w:rPr>
          <w:rFonts w:ascii="Cambria" w:hAnsi="Cambria"/>
        </w:rPr>
      </w:pPr>
      <w:bookmarkStart w:id="83" w:name="_Toc115726259"/>
      <w:r w:rsidRPr="00530906">
        <w:rPr>
          <w:rFonts w:ascii="Cambria" w:hAnsi="Cambria"/>
        </w:rPr>
        <w:t>4.3.</w:t>
      </w:r>
      <w:r w:rsidR="00BA5F88">
        <w:rPr>
          <w:rFonts w:ascii="Cambria" w:hAnsi="Cambria"/>
        </w:rPr>
        <w:t>6</w:t>
      </w:r>
      <w:r w:rsidR="00C7217E" w:rsidRPr="00530906">
        <w:rPr>
          <w:rFonts w:ascii="Cambria" w:hAnsi="Cambria"/>
        </w:rPr>
        <w:t xml:space="preserve"> Measurements</w:t>
      </w:r>
      <w:bookmarkEnd w:id="83"/>
    </w:p>
    <w:p w14:paraId="4BAB78CD" w14:textId="4A5C7C25" w:rsidR="00C7217E" w:rsidRPr="001435A7" w:rsidRDefault="00C7217E">
      <w:pPr>
        <w:spacing w:line="360" w:lineRule="auto"/>
        <w:jc w:val="both"/>
        <w:rPr>
          <w:rFonts w:ascii="Cambria" w:hAnsi="Cambria"/>
          <w:sz w:val="24"/>
          <w:szCs w:val="24"/>
          <w:lang w:val="en-US"/>
        </w:rPr>
      </w:pPr>
      <w:r w:rsidRPr="00530906">
        <w:rPr>
          <w:rFonts w:ascii="Cambria" w:hAnsi="Cambria"/>
          <w:sz w:val="24"/>
          <w:szCs w:val="24"/>
        </w:rPr>
        <w:t>Pre–existing scales have been used on the basis of their reliability for this study. ‘Involvement’ is taken from Zaichowsky' (1994), ‘Source expertise’ is taken from Ohanian (1990), ‘SCV’ is Adopted from Yim et al. (</w:t>
      </w:r>
      <w:r w:rsidRPr="001435A7">
        <w:rPr>
          <w:rFonts w:ascii="Cambria" w:hAnsi="Cambria"/>
          <w:sz w:val="24"/>
          <w:szCs w:val="24"/>
        </w:rPr>
        <w:t xml:space="preserve">2018), ‘PAD’ is taken from Russel et al (1981), ‘Ad attitude’ is taken from Russel et al (1981), ‘Social media engagement’ is adopted from Schivinski et al., (2016), ‘Informational’ and ‘normative influence’ is adopted from Li (2013), and ‘purchase intention’ and ‘sustainability behavioural intention’ is adopted from Chandran, and Morwitz (2005) and Manika et al (2017). The original scales and questionnaire used for this study will be found in Appendix </w:t>
      </w:r>
      <w:r w:rsidR="005A1BD0" w:rsidRPr="001435A7">
        <w:rPr>
          <w:rFonts w:ascii="Cambria" w:hAnsi="Cambria"/>
          <w:sz w:val="24"/>
          <w:szCs w:val="24"/>
        </w:rPr>
        <w:t>3.</w:t>
      </w:r>
      <w:r w:rsidRPr="001435A7">
        <w:rPr>
          <w:rFonts w:ascii="Cambria" w:hAnsi="Cambria"/>
          <w:sz w:val="24"/>
          <w:szCs w:val="24"/>
        </w:rPr>
        <w:t xml:space="preserve">1 and Appendix </w:t>
      </w:r>
      <w:r w:rsidR="005A1BD0" w:rsidRPr="001435A7">
        <w:rPr>
          <w:rFonts w:ascii="Cambria" w:hAnsi="Cambria"/>
          <w:sz w:val="24"/>
          <w:szCs w:val="24"/>
        </w:rPr>
        <w:t>3</w:t>
      </w:r>
      <w:r w:rsidRPr="001435A7">
        <w:rPr>
          <w:rFonts w:ascii="Cambria" w:hAnsi="Cambria"/>
          <w:sz w:val="24"/>
          <w:szCs w:val="24"/>
        </w:rPr>
        <w:t xml:space="preserve">.2 respectively. </w:t>
      </w:r>
    </w:p>
    <w:p w14:paraId="75CE5F2A" w14:textId="6440335F" w:rsidR="0047100C" w:rsidRPr="001435A7" w:rsidRDefault="00C7217E" w:rsidP="0047100C">
      <w:pPr>
        <w:spacing w:line="360" w:lineRule="auto"/>
        <w:jc w:val="both"/>
        <w:rPr>
          <w:rFonts w:ascii="Cambria" w:hAnsi="Cambria"/>
          <w:sz w:val="24"/>
          <w:szCs w:val="24"/>
        </w:rPr>
      </w:pPr>
      <w:r w:rsidRPr="001435A7">
        <w:rPr>
          <w:rFonts w:ascii="Cambria" w:hAnsi="Cambria"/>
          <w:sz w:val="24"/>
          <w:szCs w:val="24"/>
        </w:rPr>
        <w:t xml:space="preserve">Appendix </w:t>
      </w:r>
      <w:r w:rsidR="00F169B1" w:rsidRPr="001435A7">
        <w:rPr>
          <w:rFonts w:ascii="Cambria" w:hAnsi="Cambria"/>
          <w:sz w:val="24"/>
          <w:szCs w:val="24"/>
        </w:rPr>
        <w:t>3</w:t>
      </w:r>
      <w:r w:rsidRPr="001435A7">
        <w:rPr>
          <w:rFonts w:ascii="Cambria" w:hAnsi="Cambria"/>
          <w:sz w:val="24"/>
          <w:szCs w:val="24"/>
        </w:rPr>
        <w:t xml:space="preserve">.2 shows scale items, which are modified according to the context of the study from the </w:t>
      </w:r>
      <w:r w:rsidR="00DC084E" w:rsidRPr="001435A7">
        <w:rPr>
          <w:rFonts w:ascii="Cambria" w:hAnsi="Cambria"/>
          <w:sz w:val="24"/>
          <w:szCs w:val="24"/>
        </w:rPr>
        <w:t>pre-existing</w:t>
      </w:r>
      <w:r w:rsidRPr="001435A7">
        <w:rPr>
          <w:rFonts w:ascii="Cambria" w:hAnsi="Cambria"/>
          <w:sz w:val="24"/>
          <w:szCs w:val="24"/>
        </w:rPr>
        <w:t xml:space="preserve"> scales (see Parasuraman 2005; Salkind 2007). For example, the ‘contribution’ predictor of the social media engagement variable has been omitted from the final questionnaire, </w:t>
      </w:r>
      <w:r w:rsidR="00DC084E" w:rsidRPr="001435A7">
        <w:rPr>
          <w:rFonts w:ascii="Cambria" w:hAnsi="Cambria"/>
          <w:sz w:val="24"/>
          <w:szCs w:val="24"/>
        </w:rPr>
        <w:t>because</w:t>
      </w:r>
      <w:r w:rsidRPr="001435A7">
        <w:rPr>
          <w:rFonts w:ascii="Cambria" w:hAnsi="Cambria"/>
          <w:sz w:val="24"/>
          <w:szCs w:val="24"/>
        </w:rPr>
        <w:t xml:space="preserve"> the thesis is about pro–sustainable branded ad, which is created by the brand, not about user generated content in social media (Appendix </w:t>
      </w:r>
      <w:r w:rsidR="00F169B1" w:rsidRPr="001435A7">
        <w:rPr>
          <w:rFonts w:ascii="Cambria" w:hAnsi="Cambria"/>
          <w:sz w:val="24"/>
          <w:szCs w:val="24"/>
        </w:rPr>
        <w:t>3.2</w:t>
      </w:r>
      <w:r w:rsidRPr="001435A7">
        <w:rPr>
          <w:rFonts w:ascii="Cambria" w:hAnsi="Cambria"/>
          <w:sz w:val="24"/>
          <w:szCs w:val="24"/>
        </w:rPr>
        <w:t xml:space="preserve">). The questions for manipulation check and confounding check were placed at the end of the questionnaire to avoid their impact on dependent variable measures (see Perdue and Summers 1986). </w:t>
      </w:r>
      <w:r w:rsidR="002535CD" w:rsidRPr="001435A7">
        <w:rPr>
          <w:rFonts w:ascii="Cambria" w:hAnsi="Cambria"/>
          <w:sz w:val="24"/>
          <w:szCs w:val="24"/>
        </w:rPr>
        <w:t xml:space="preserve">The wording of the </w:t>
      </w:r>
      <w:r w:rsidR="000300D9" w:rsidRPr="001435A7">
        <w:rPr>
          <w:rFonts w:ascii="Cambria" w:hAnsi="Cambria"/>
          <w:sz w:val="24"/>
          <w:szCs w:val="24"/>
        </w:rPr>
        <w:t xml:space="preserve">questionnaire was changed as per the pre-test </w:t>
      </w:r>
      <w:r w:rsidR="00EA43FB" w:rsidRPr="001435A7">
        <w:rPr>
          <w:rFonts w:ascii="Cambria" w:hAnsi="Cambria"/>
          <w:sz w:val="24"/>
          <w:szCs w:val="24"/>
        </w:rPr>
        <w:t>feedback of the respondents.</w:t>
      </w:r>
    </w:p>
    <w:p w14:paraId="03542C56" w14:textId="3E35C6BA" w:rsidR="0047100C" w:rsidRPr="001435A7" w:rsidRDefault="0047100C" w:rsidP="0047100C">
      <w:pPr>
        <w:spacing w:line="360" w:lineRule="auto"/>
        <w:jc w:val="both"/>
        <w:rPr>
          <w:rFonts w:ascii="Cambria" w:hAnsi="Cambria"/>
          <w:sz w:val="24"/>
          <w:szCs w:val="24"/>
          <w:shd w:val="clear" w:color="auto" w:fill="FFFFFF"/>
        </w:rPr>
      </w:pPr>
      <w:r w:rsidRPr="001435A7">
        <w:rPr>
          <w:rFonts w:ascii="Cambria" w:hAnsi="Cambria" w:cs="Segoe UI"/>
          <w:sz w:val="24"/>
          <w:szCs w:val="24"/>
        </w:rPr>
        <w:t xml:space="preserve">The questionnaire was programmed using </w:t>
      </w:r>
      <w:r w:rsidR="00B517C2" w:rsidRPr="001435A7">
        <w:rPr>
          <w:rFonts w:ascii="Cambria" w:hAnsi="Cambria" w:cs="Segoe UI"/>
          <w:sz w:val="24"/>
          <w:szCs w:val="24"/>
        </w:rPr>
        <w:t>Qualtrics</w:t>
      </w:r>
      <w:r w:rsidRPr="001435A7">
        <w:rPr>
          <w:rFonts w:ascii="Cambria" w:hAnsi="Cambria" w:cs="Segoe UI"/>
          <w:sz w:val="24"/>
          <w:szCs w:val="24"/>
        </w:rPr>
        <w:t>, which allowed allocating respondents to the conditions randomly. Data was collected only once in this single cross sectional research design (see Malhotra and Das 2013). The value of the items of ‘ad attitude’ and ‘source expertise’ constructs were reversed along with the 4</w:t>
      </w:r>
      <w:r w:rsidRPr="001435A7">
        <w:rPr>
          <w:rFonts w:ascii="Cambria" w:hAnsi="Cambria" w:cs="Segoe UI"/>
          <w:sz w:val="24"/>
          <w:szCs w:val="24"/>
          <w:vertAlign w:val="superscript"/>
        </w:rPr>
        <w:t>th</w:t>
      </w:r>
      <w:r w:rsidRPr="001435A7">
        <w:rPr>
          <w:rFonts w:ascii="Cambria" w:hAnsi="Cambria" w:cs="Segoe UI"/>
          <w:sz w:val="24"/>
          <w:szCs w:val="24"/>
        </w:rPr>
        <w:t xml:space="preserve"> item of the ‘purchase intention’ and ‘sustainable behaviour intention’. The final constructs are the mean score of the respective constructs’ items.</w:t>
      </w:r>
    </w:p>
    <w:p w14:paraId="0C463721" w14:textId="4F35A29A" w:rsidR="00C7217E" w:rsidRPr="00530906" w:rsidRDefault="00C7217E">
      <w:pPr>
        <w:spacing w:line="360" w:lineRule="auto"/>
        <w:jc w:val="both"/>
        <w:rPr>
          <w:rFonts w:ascii="Cambria" w:hAnsi="Cambria"/>
          <w:sz w:val="24"/>
          <w:szCs w:val="24"/>
        </w:rPr>
      </w:pPr>
    </w:p>
    <w:p w14:paraId="7CBD9A9E" w14:textId="668FEC62" w:rsidR="00C7217E" w:rsidRPr="00530906" w:rsidRDefault="00A718F2" w:rsidP="008756B1">
      <w:pPr>
        <w:pStyle w:val="Heading3"/>
        <w:jc w:val="both"/>
        <w:rPr>
          <w:rFonts w:ascii="Cambria" w:hAnsi="Cambria"/>
        </w:rPr>
      </w:pPr>
      <w:bookmarkStart w:id="84" w:name="_Toc115726260"/>
      <w:r w:rsidRPr="00530906">
        <w:rPr>
          <w:rFonts w:ascii="Cambria" w:hAnsi="Cambria"/>
        </w:rPr>
        <w:t>4.3.</w:t>
      </w:r>
      <w:r w:rsidR="00BA5F88">
        <w:rPr>
          <w:rFonts w:ascii="Cambria" w:hAnsi="Cambria"/>
        </w:rPr>
        <w:t>7</w:t>
      </w:r>
      <w:r w:rsidR="00C7217E" w:rsidRPr="00530906">
        <w:rPr>
          <w:rFonts w:ascii="Cambria" w:hAnsi="Cambria"/>
        </w:rPr>
        <w:t>. Reliability and assumptions checks</w:t>
      </w:r>
      <w:bookmarkEnd w:id="84"/>
    </w:p>
    <w:p w14:paraId="10E190FE" w14:textId="1AFF1B4F"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Few constructs were having more than absolute z value– 3.29 for </w:t>
      </w:r>
      <w:r w:rsidR="00B517C2" w:rsidRPr="00530906">
        <w:rPr>
          <w:rFonts w:ascii="Cambria" w:hAnsi="Cambria"/>
          <w:sz w:val="24"/>
          <w:szCs w:val="24"/>
        </w:rPr>
        <w:t>kurtosis</w:t>
      </w:r>
      <w:r w:rsidRPr="00530906">
        <w:rPr>
          <w:rFonts w:ascii="Cambria" w:hAnsi="Cambria"/>
          <w:sz w:val="24"/>
          <w:szCs w:val="24"/>
        </w:rPr>
        <w:t xml:space="preserve"> and skewness (table </w:t>
      </w:r>
      <w:r w:rsidR="00263647">
        <w:rPr>
          <w:rFonts w:ascii="Cambria" w:hAnsi="Cambria"/>
          <w:sz w:val="24"/>
          <w:szCs w:val="24"/>
        </w:rPr>
        <w:t>12)</w:t>
      </w:r>
      <w:r w:rsidRPr="00530906">
        <w:rPr>
          <w:rFonts w:ascii="Cambria" w:hAnsi="Cambria"/>
          <w:sz w:val="24"/>
          <w:szCs w:val="24"/>
        </w:rPr>
        <w:t xml:space="preserve"> representing they are significantly skewed or peaked distribution at p&lt; .001 level. Nevertheless, as shown in appendix </w:t>
      </w:r>
      <w:r w:rsidR="00FD2CB1">
        <w:rPr>
          <w:rFonts w:ascii="Cambria" w:hAnsi="Cambria"/>
          <w:sz w:val="24"/>
          <w:szCs w:val="24"/>
        </w:rPr>
        <w:t>3</w:t>
      </w:r>
      <w:r w:rsidRPr="00530906">
        <w:rPr>
          <w:rFonts w:ascii="Cambria" w:hAnsi="Cambria"/>
          <w:sz w:val="24"/>
          <w:szCs w:val="24"/>
        </w:rPr>
        <w:t xml:space="preserve">.3, all constructs were distributed along zero–line of Q–Q plot suggesting their normality (see Field 2018). Even if data is not normally distributed, sample size of more than 200 respondents, do not account for substantial differences in outcome, than if they were normally distributed (see Pallant 2010; Field 2018; Manika et al 2017). For example, according to </w:t>
      </w:r>
      <w:r w:rsidRPr="00530906">
        <w:rPr>
          <w:rFonts w:ascii="Cambria" w:hAnsi="Cambria"/>
          <w:sz w:val="24"/>
          <w:szCs w:val="24"/>
          <w:lang w:val="en-US"/>
        </w:rPr>
        <w:t xml:space="preserve">Tabachnick and Fidell’s (2014), if the sample size is as big as N= 40, MANOVA is said to be robust to the violation of normality of variable. The point is proved for this study with non–significant, Box’s M test at significant level of p = .064 for MANOVA and p = .066 for two–way MANOVA. This non–significant results show robustness of the analysis by fulfilling the assumption of </w:t>
      </w:r>
      <w:r w:rsidRPr="00530906">
        <w:rPr>
          <w:rFonts w:ascii="Cambria" w:hAnsi="Cambria"/>
          <w:bCs/>
          <w:sz w:val="24"/>
          <w:szCs w:val="24"/>
          <w:lang w:val="en-US"/>
        </w:rPr>
        <w:t>homogeneity of variance–covariance. Likewise, non–significant p= .057 results in Levene’s test shows the robustness of two–way ANOVA by satisfying the assumption of Equality of Error Variances</w:t>
      </w:r>
      <w:r w:rsidRPr="00530906">
        <w:rPr>
          <w:rFonts w:ascii="Cambria" w:hAnsi="Cambria"/>
          <w:b/>
          <w:bCs/>
          <w:sz w:val="24"/>
          <w:szCs w:val="24"/>
          <w:lang w:val="en-US"/>
        </w:rPr>
        <w:t>.</w:t>
      </w:r>
      <w:r w:rsidRPr="00530906">
        <w:rPr>
          <w:rFonts w:ascii="Cambria" w:hAnsi="Cambria"/>
          <w:sz w:val="24"/>
          <w:szCs w:val="24"/>
        </w:rPr>
        <w:t xml:space="preserve"> </w:t>
      </w:r>
    </w:p>
    <w:p w14:paraId="388421D6" w14:textId="3D276148"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Table </w:t>
      </w:r>
      <w:r w:rsidR="003620A4">
        <w:rPr>
          <w:rFonts w:ascii="Cambria" w:hAnsi="Cambria"/>
          <w:sz w:val="24"/>
          <w:szCs w:val="24"/>
        </w:rPr>
        <w:t>12</w:t>
      </w:r>
      <w:r w:rsidRPr="00530906">
        <w:rPr>
          <w:rFonts w:ascii="Cambria" w:hAnsi="Cambria"/>
          <w:sz w:val="24"/>
          <w:szCs w:val="24"/>
        </w:rPr>
        <w:t>: Skewness and Kurtosis of the constructs</w:t>
      </w:r>
    </w:p>
    <w:tbl>
      <w:tblPr>
        <w:tblStyle w:val="TableGrid3"/>
        <w:tblW w:w="0" w:type="auto"/>
        <w:tblLook w:val="04A0" w:firstRow="1" w:lastRow="0" w:firstColumn="1" w:lastColumn="0" w:noHBand="0" w:noVBand="1"/>
      </w:tblPr>
      <w:tblGrid>
        <w:gridCol w:w="2538"/>
        <w:gridCol w:w="1222"/>
        <w:gridCol w:w="960"/>
        <w:gridCol w:w="960"/>
        <w:gridCol w:w="1113"/>
        <w:gridCol w:w="960"/>
        <w:gridCol w:w="960"/>
      </w:tblGrid>
      <w:tr w:rsidR="00C7217E" w:rsidRPr="00530906" w14:paraId="6BBDF22A" w14:textId="77777777" w:rsidTr="00EE722D">
        <w:trPr>
          <w:trHeight w:val="315"/>
        </w:trPr>
        <w:tc>
          <w:tcPr>
            <w:tcW w:w="2538" w:type="dxa"/>
            <w:shd w:val="clear" w:color="auto" w:fill="D5DCE4" w:themeFill="text2" w:themeFillTint="33"/>
            <w:noWrap/>
            <w:hideMark/>
          </w:tcPr>
          <w:p w14:paraId="4012E61C" w14:textId="77777777" w:rsidR="00C7217E" w:rsidRPr="00530906" w:rsidRDefault="00C7217E">
            <w:pPr>
              <w:spacing w:line="240" w:lineRule="auto"/>
              <w:jc w:val="both"/>
              <w:rPr>
                <w:rFonts w:ascii="Cambria" w:hAnsi="Cambria"/>
                <w:sz w:val="24"/>
                <w:szCs w:val="24"/>
              </w:rPr>
            </w:pPr>
          </w:p>
        </w:tc>
        <w:tc>
          <w:tcPr>
            <w:tcW w:w="979" w:type="dxa"/>
            <w:shd w:val="clear" w:color="auto" w:fill="D5DCE4" w:themeFill="text2" w:themeFillTint="33"/>
            <w:noWrap/>
            <w:hideMark/>
          </w:tcPr>
          <w:p w14:paraId="3012921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Skewness</w:t>
            </w:r>
          </w:p>
        </w:tc>
        <w:tc>
          <w:tcPr>
            <w:tcW w:w="960" w:type="dxa"/>
            <w:shd w:val="clear" w:color="auto" w:fill="D5DCE4" w:themeFill="text2" w:themeFillTint="33"/>
            <w:noWrap/>
            <w:hideMark/>
          </w:tcPr>
          <w:p w14:paraId="537A8478"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SE</w:t>
            </w:r>
          </w:p>
        </w:tc>
        <w:tc>
          <w:tcPr>
            <w:tcW w:w="960" w:type="dxa"/>
            <w:shd w:val="clear" w:color="auto" w:fill="D5DCE4" w:themeFill="text2" w:themeFillTint="33"/>
            <w:noWrap/>
            <w:hideMark/>
          </w:tcPr>
          <w:p w14:paraId="1E38D7D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Z</w:t>
            </w:r>
          </w:p>
        </w:tc>
        <w:tc>
          <w:tcPr>
            <w:tcW w:w="1113" w:type="dxa"/>
            <w:shd w:val="clear" w:color="auto" w:fill="D5DCE4" w:themeFill="text2" w:themeFillTint="33"/>
            <w:noWrap/>
            <w:hideMark/>
          </w:tcPr>
          <w:p w14:paraId="05BC602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Kurtosis</w:t>
            </w:r>
          </w:p>
        </w:tc>
        <w:tc>
          <w:tcPr>
            <w:tcW w:w="960" w:type="dxa"/>
            <w:shd w:val="clear" w:color="auto" w:fill="D5DCE4" w:themeFill="text2" w:themeFillTint="33"/>
            <w:noWrap/>
            <w:hideMark/>
          </w:tcPr>
          <w:p w14:paraId="26C21309"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SE</w:t>
            </w:r>
          </w:p>
        </w:tc>
        <w:tc>
          <w:tcPr>
            <w:tcW w:w="960" w:type="dxa"/>
            <w:shd w:val="clear" w:color="auto" w:fill="D5DCE4" w:themeFill="text2" w:themeFillTint="33"/>
            <w:noWrap/>
            <w:hideMark/>
          </w:tcPr>
          <w:p w14:paraId="7E6109B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Z</w:t>
            </w:r>
          </w:p>
        </w:tc>
      </w:tr>
      <w:tr w:rsidR="00C7217E" w:rsidRPr="00530906" w14:paraId="5CBF7837" w14:textId="77777777" w:rsidTr="00C7217E">
        <w:trPr>
          <w:trHeight w:val="315"/>
        </w:trPr>
        <w:tc>
          <w:tcPr>
            <w:tcW w:w="2538" w:type="dxa"/>
            <w:shd w:val="clear" w:color="auto" w:fill="D5DCE4" w:themeFill="text2" w:themeFillTint="33"/>
            <w:noWrap/>
            <w:hideMark/>
          </w:tcPr>
          <w:p w14:paraId="710022E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Involvement</w:t>
            </w:r>
          </w:p>
        </w:tc>
        <w:tc>
          <w:tcPr>
            <w:tcW w:w="979" w:type="dxa"/>
            <w:hideMark/>
          </w:tcPr>
          <w:p w14:paraId="2D46E1B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–0.393</w:t>
            </w:r>
          </w:p>
        </w:tc>
        <w:tc>
          <w:tcPr>
            <w:tcW w:w="960" w:type="dxa"/>
            <w:hideMark/>
          </w:tcPr>
          <w:p w14:paraId="134CEF9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9900E6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–2.69</w:t>
            </w:r>
          </w:p>
        </w:tc>
        <w:tc>
          <w:tcPr>
            <w:tcW w:w="1113" w:type="dxa"/>
            <w:hideMark/>
          </w:tcPr>
          <w:p w14:paraId="7684849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–0.167</w:t>
            </w:r>
          </w:p>
        </w:tc>
        <w:tc>
          <w:tcPr>
            <w:tcW w:w="960" w:type="dxa"/>
            <w:hideMark/>
          </w:tcPr>
          <w:p w14:paraId="54E0720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418314B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–0.57</w:t>
            </w:r>
          </w:p>
        </w:tc>
      </w:tr>
      <w:tr w:rsidR="00C7217E" w:rsidRPr="00530906" w14:paraId="333CFA1A" w14:textId="77777777" w:rsidTr="00C7217E">
        <w:trPr>
          <w:trHeight w:val="315"/>
        </w:trPr>
        <w:tc>
          <w:tcPr>
            <w:tcW w:w="2538" w:type="dxa"/>
            <w:shd w:val="clear" w:color="auto" w:fill="D5DCE4" w:themeFill="text2" w:themeFillTint="33"/>
            <w:noWrap/>
            <w:hideMark/>
          </w:tcPr>
          <w:p w14:paraId="3873C2DA"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SCV image</w:t>
            </w:r>
          </w:p>
        </w:tc>
        <w:tc>
          <w:tcPr>
            <w:tcW w:w="979" w:type="dxa"/>
            <w:hideMark/>
          </w:tcPr>
          <w:p w14:paraId="4C06FC1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–0.378</w:t>
            </w:r>
          </w:p>
        </w:tc>
        <w:tc>
          <w:tcPr>
            <w:tcW w:w="960" w:type="dxa"/>
            <w:hideMark/>
          </w:tcPr>
          <w:p w14:paraId="4302B2FC"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59994E3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–2.59</w:t>
            </w:r>
          </w:p>
        </w:tc>
        <w:tc>
          <w:tcPr>
            <w:tcW w:w="1113" w:type="dxa"/>
            <w:hideMark/>
          </w:tcPr>
          <w:p w14:paraId="695A06D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–0.564</w:t>
            </w:r>
          </w:p>
        </w:tc>
        <w:tc>
          <w:tcPr>
            <w:tcW w:w="960" w:type="dxa"/>
            <w:hideMark/>
          </w:tcPr>
          <w:p w14:paraId="3DC654A8"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7CAA7AF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–1.94</w:t>
            </w:r>
          </w:p>
        </w:tc>
      </w:tr>
      <w:tr w:rsidR="00C7217E" w:rsidRPr="00530906" w14:paraId="79C7909E" w14:textId="77777777" w:rsidTr="00C7217E">
        <w:trPr>
          <w:trHeight w:val="315"/>
        </w:trPr>
        <w:tc>
          <w:tcPr>
            <w:tcW w:w="2538" w:type="dxa"/>
            <w:shd w:val="clear" w:color="auto" w:fill="D5DCE4" w:themeFill="text2" w:themeFillTint="33"/>
            <w:noWrap/>
            <w:hideMark/>
          </w:tcPr>
          <w:p w14:paraId="4553884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SCV engrossment</w:t>
            </w:r>
          </w:p>
        </w:tc>
        <w:tc>
          <w:tcPr>
            <w:tcW w:w="979" w:type="dxa"/>
            <w:hideMark/>
          </w:tcPr>
          <w:p w14:paraId="30A07EB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0.691</w:t>
            </w:r>
          </w:p>
        </w:tc>
        <w:tc>
          <w:tcPr>
            <w:tcW w:w="960" w:type="dxa"/>
            <w:hideMark/>
          </w:tcPr>
          <w:p w14:paraId="1829E15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19B581B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4.73</w:t>
            </w:r>
          </w:p>
        </w:tc>
        <w:tc>
          <w:tcPr>
            <w:tcW w:w="1113" w:type="dxa"/>
            <w:hideMark/>
          </w:tcPr>
          <w:p w14:paraId="633D560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0.078</w:t>
            </w:r>
          </w:p>
        </w:tc>
        <w:tc>
          <w:tcPr>
            <w:tcW w:w="960" w:type="dxa"/>
            <w:hideMark/>
          </w:tcPr>
          <w:p w14:paraId="4319B4D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4C3A75D7"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0.27</w:t>
            </w:r>
          </w:p>
        </w:tc>
      </w:tr>
      <w:tr w:rsidR="00C7217E" w:rsidRPr="00530906" w14:paraId="1EA0CA19" w14:textId="77777777" w:rsidTr="00C7217E">
        <w:trPr>
          <w:trHeight w:val="315"/>
        </w:trPr>
        <w:tc>
          <w:tcPr>
            <w:tcW w:w="2538" w:type="dxa"/>
            <w:shd w:val="clear" w:color="auto" w:fill="D5DCE4" w:themeFill="text2" w:themeFillTint="33"/>
            <w:noWrap/>
            <w:hideMark/>
          </w:tcPr>
          <w:p w14:paraId="78040398" w14:textId="7E2681E1" w:rsidR="00C7217E" w:rsidRPr="00530906" w:rsidRDefault="00C7217E">
            <w:pPr>
              <w:spacing w:line="240" w:lineRule="auto"/>
              <w:jc w:val="both"/>
              <w:rPr>
                <w:rFonts w:ascii="Cambria" w:hAnsi="Cambria"/>
                <w:sz w:val="24"/>
                <w:szCs w:val="24"/>
              </w:rPr>
            </w:pPr>
            <w:r w:rsidRPr="00530906">
              <w:rPr>
                <w:rFonts w:ascii="Cambria" w:hAnsi="Cambria"/>
                <w:sz w:val="24"/>
                <w:szCs w:val="24"/>
              </w:rPr>
              <w:t xml:space="preserve">SCV </w:t>
            </w:r>
            <w:r w:rsidR="00613FB3" w:rsidRPr="00530906">
              <w:rPr>
                <w:rFonts w:ascii="Cambria" w:hAnsi="Cambria"/>
                <w:sz w:val="24"/>
                <w:szCs w:val="24"/>
              </w:rPr>
              <w:t>self-projection</w:t>
            </w:r>
          </w:p>
        </w:tc>
        <w:tc>
          <w:tcPr>
            <w:tcW w:w="979" w:type="dxa"/>
            <w:hideMark/>
          </w:tcPr>
          <w:p w14:paraId="4D0AC458"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0.109</w:t>
            </w:r>
          </w:p>
        </w:tc>
        <w:tc>
          <w:tcPr>
            <w:tcW w:w="960" w:type="dxa"/>
            <w:hideMark/>
          </w:tcPr>
          <w:p w14:paraId="311B53F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071D998"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0.75</w:t>
            </w:r>
          </w:p>
        </w:tc>
        <w:tc>
          <w:tcPr>
            <w:tcW w:w="1113" w:type="dxa"/>
            <w:hideMark/>
          </w:tcPr>
          <w:p w14:paraId="2AB5570A"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–0.841</w:t>
            </w:r>
          </w:p>
        </w:tc>
        <w:tc>
          <w:tcPr>
            <w:tcW w:w="960" w:type="dxa"/>
            <w:hideMark/>
          </w:tcPr>
          <w:p w14:paraId="09D8E4A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60C91E6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–2.89</w:t>
            </w:r>
          </w:p>
        </w:tc>
      </w:tr>
      <w:tr w:rsidR="00C7217E" w:rsidRPr="00530906" w14:paraId="08F753B0" w14:textId="77777777" w:rsidTr="00C7217E">
        <w:trPr>
          <w:trHeight w:val="315"/>
        </w:trPr>
        <w:tc>
          <w:tcPr>
            <w:tcW w:w="2538" w:type="dxa"/>
            <w:shd w:val="clear" w:color="auto" w:fill="D5DCE4" w:themeFill="text2" w:themeFillTint="33"/>
            <w:noWrap/>
            <w:hideMark/>
          </w:tcPr>
          <w:p w14:paraId="1975ED5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SCV mental fluency</w:t>
            </w:r>
          </w:p>
        </w:tc>
        <w:tc>
          <w:tcPr>
            <w:tcW w:w="979" w:type="dxa"/>
            <w:hideMark/>
          </w:tcPr>
          <w:p w14:paraId="5C1FB8D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–0.553</w:t>
            </w:r>
          </w:p>
        </w:tc>
        <w:tc>
          <w:tcPr>
            <w:tcW w:w="960" w:type="dxa"/>
            <w:hideMark/>
          </w:tcPr>
          <w:p w14:paraId="4801EDF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D12CD8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–3.79</w:t>
            </w:r>
          </w:p>
        </w:tc>
        <w:tc>
          <w:tcPr>
            <w:tcW w:w="1113" w:type="dxa"/>
            <w:hideMark/>
          </w:tcPr>
          <w:p w14:paraId="2562D79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0.004</w:t>
            </w:r>
          </w:p>
        </w:tc>
        <w:tc>
          <w:tcPr>
            <w:tcW w:w="960" w:type="dxa"/>
            <w:hideMark/>
          </w:tcPr>
          <w:p w14:paraId="5BF5436C"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6B286D5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0.01</w:t>
            </w:r>
          </w:p>
        </w:tc>
      </w:tr>
      <w:tr w:rsidR="00C7217E" w:rsidRPr="00530906" w14:paraId="79F99305" w14:textId="77777777" w:rsidTr="00C7217E">
        <w:trPr>
          <w:trHeight w:val="315"/>
        </w:trPr>
        <w:tc>
          <w:tcPr>
            <w:tcW w:w="2538" w:type="dxa"/>
            <w:shd w:val="clear" w:color="auto" w:fill="D5DCE4" w:themeFill="text2" w:themeFillTint="33"/>
            <w:noWrap/>
            <w:hideMark/>
          </w:tcPr>
          <w:p w14:paraId="1352398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Pleasure</w:t>
            </w:r>
          </w:p>
        </w:tc>
        <w:tc>
          <w:tcPr>
            <w:tcW w:w="979" w:type="dxa"/>
            <w:hideMark/>
          </w:tcPr>
          <w:p w14:paraId="547547B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–0.319</w:t>
            </w:r>
          </w:p>
        </w:tc>
        <w:tc>
          <w:tcPr>
            <w:tcW w:w="960" w:type="dxa"/>
            <w:hideMark/>
          </w:tcPr>
          <w:p w14:paraId="324DB56A"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6A356D3C"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–2.18</w:t>
            </w:r>
          </w:p>
        </w:tc>
        <w:tc>
          <w:tcPr>
            <w:tcW w:w="1113" w:type="dxa"/>
            <w:hideMark/>
          </w:tcPr>
          <w:p w14:paraId="1EAC8CD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0.168</w:t>
            </w:r>
          </w:p>
        </w:tc>
        <w:tc>
          <w:tcPr>
            <w:tcW w:w="960" w:type="dxa"/>
            <w:hideMark/>
          </w:tcPr>
          <w:p w14:paraId="5CA2BE4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6A69DAB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0.58</w:t>
            </w:r>
          </w:p>
        </w:tc>
      </w:tr>
      <w:tr w:rsidR="00C7217E" w:rsidRPr="00530906" w14:paraId="669016AB" w14:textId="77777777" w:rsidTr="00C7217E">
        <w:trPr>
          <w:trHeight w:val="315"/>
        </w:trPr>
        <w:tc>
          <w:tcPr>
            <w:tcW w:w="2538" w:type="dxa"/>
            <w:shd w:val="clear" w:color="auto" w:fill="D5DCE4" w:themeFill="text2" w:themeFillTint="33"/>
            <w:noWrap/>
            <w:hideMark/>
          </w:tcPr>
          <w:p w14:paraId="768A2B8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Arousal</w:t>
            </w:r>
          </w:p>
        </w:tc>
        <w:tc>
          <w:tcPr>
            <w:tcW w:w="979" w:type="dxa"/>
            <w:hideMark/>
          </w:tcPr>
          <w:p w14:paraId="2DB434C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0.349</w:t>
            </w:r>
          </w:p>
        </w:tc>
        <w:tc>
          <w:tcPr>
            <w:tcW w:w="960" w:type="dxa"/>
            <w:hideMark/>
          </w:tcPr>
          <w:p w14:paraId="755A922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2EA6FCA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2.39</w:t>
            </w:r>
          </w:p>
        </w:tc>
        <w:tc>
          <w:tcPr>
            <w:tcW w:w="1113" w:type="dxa"/>
            <w:hideMark/>
          </w:tcPr>
          <w:p w14:paraId="57366129"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0.423</w:t>
            </w:r>
          </w:p>
        </w:tc>
        <w:tc>
          <w:tcPr>
            <w:tcW w:w="960" w:type="dxa"/>
            <w:hideMark/>
          </w:tcPr>
          <w:p w14:paraId="5C3A565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450EDF0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1.45</w:t>
            </w:r>
          </w:p>
        </w:tc>
      </w:tr>
      <w:tr w:rsidR="00C7217E" w:rsidRPr="00530906" w14:paraId="27AC7B06" w14:textId="77777777" w:rsidTr="00C7217E">
        <w:trPr>
          <w:trHeight w:val="315"/>
        </w:trPr>
        <w:tc>
          <w:tcPr>
            <w:tcW w:w="2538" w:type="dxa"/>
            <w:shd w:val="clear" w:color="auto" w:fill="D5DCE4" w:themeFill="text2" w:themeFillTint="33"/>
            <w:noWrap/>
            <w:hideMark/>
          </w:tcPr>
          <w:p w14:paraId="40C27E4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Dominance</w:t>
            </w:r>
          </w:p>
        </w:tc>
        <w:tc>
          <w:tcPr>
            <w:tcW w:w="979" w:type="dxa"/>
            <w:hideMark/>
          </w:tcPr>
          <w:p w14:paraId="00725F2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0.341</w:t>
            </w:r>
          </w:p>
        </w:tc>
        <w:tc>
          <w:tcPr>
            <w:tcW w:w="960" w:type="dxa"/>
            <w:hideMark/>
          </w:tcPr>
          <w:p w14:paraId="3EBA19D7"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47E147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2.34</w:t>
            </w:r>
          </w:p>
        </w:tc>
        <w:tc>
          <w:tcPr>
            <w:tcW w:w="1113" w:type="dxa"/>
            <w:hideMark/>
          </w:tcPr>
          <w:p w14:paraId="73E2EEF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1.458</w:t>
            </w:r>
          </w:p>
        </w:tc>
        <w:tc>
          <w:tcPr>
            <w:tcW w:w="960" w:type="dxa"/>
            <w:hideMark/>
          </w:tcPr>
          <w:p w14:paraId="63F76C19"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25FAF597"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5.01</w:t>
            </w:r>
          </w:p>
        </w:tc>
      </w:tr>
      <w:tr w:rsidR="00C7217E" w:rsidRPr="00530906" w14:paraId="1D80AB44" w14:textId="77777777" w:rsidTr="00C7217E">
        <w:trPr>
          <w:trHeight w:val="315"/>
        </w:trPr>
        <w:tc>
          <w:tcPr>
            <w:tcW w:w="2538" w:type="dxa"/>
            <w:shd w:val="clear" w:color="auto" w:fill="D5DCE4" w:themeFill="text2" w:themeFillTint="33"/>
            <w:noWrap/>
            <w:hideMark/>
          </w:tcPr>
          <w:p w14:paraId="1EF84E8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Ad attitude</w:t>
            </w:r>
          </w:p>
        </w:tc>
        <w:tc>
          <w:tcPr>
            <w:tcW w:w="979" w:type="dxa"/>
            <w:hideMark/>
          </w:tcPr>
          <w:p w14:paraId="36E85C9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–0.714</w:t>
            </w:r>
          </w:p>
        </w:tc>
        <w:tc>
          <w:tcPr>
            <w:tcW w:w="960" w:type="dxa"/>
            <w:hideMark/>
          </w:tcPr>
          <w:p w14:paraId="0B35E44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2D8256B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–4.89</w:t>
            </w:r>
          </w:p>
        </w:tc>
        <w:tc>
          <w:tcPr>
            <w:tcW w:w="1113" w:type="dxa"/>
            <w:hideMark/>
          </w:tcPr>
          <w:p w14:paraId="7C44D6A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0.011</w:t>
            </w:r>
          </w:p>
        </w:tc>
        <w:tc>
          <w:tcPr>
            <w:tcW w:w="960" w:type="dxa"/>
            <w:hideMark/>
          </w:tcPr>
          <w:p w14:paraId="77EAFB3C"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0CB52CB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0.04</w:t>
            </w:r>
          </w:p>
        </w:tc>
      </w:tr>
      <w:tr w:rsidR="00C7217E" w:rsidRPr="00530906" w14:paraId="75A1447A" w14:textId="77777777" w:rsidTr="00C7217E">
        <w:trPr>
          <w:trHeight w:val="315"/>
        </w:trPr>
        <w:tc>
          <w:tcPr>
            <w:tcW w:w="2538" w:type="dxa"/>
            <w:shd w:val="clear" w:color="auto" w:fill="D5DCE4" w:themeFill="text2" w:themeFillTint="33"/>
            <w:noWrap/>
            <w:hideMark/>
          </w:tcPr>
          <w:p w14:paraId="6C371A2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Engagement</w:t>
            </w:r>
          </w:p>
        </w:tc>
        <w:tc>
          <w:tcPr>
            <w:tcW w:w="979" w:type="dxa"/>
            <w:hideMark/>
          </w:tcPr>
          <w:p w14:paraId="18F445A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0.193</w:t>
            </w:r>
          </w:p>
        </w:tc>
        <w:tc>
          <w:tcPr>
            <w:tcW w:w="960" w:type="dxa"/>
            <w:hideMark/>
          </w:tcPr>
          <w:p w14:paraId="6E21FE7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292D499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1.32</w:t>
            </w:r>
          </w:p>
        </w:tc>
        <w:tc>
          <w:tcPr>
            <w:tcW w:w="1113" w:type="dxa"/>
            <w:hideMark/>
          </w:tcPr>
          <w:p w14:paraId="496E196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–0.556</w:t>
            </w:r>
          </w:p>
        </w:tc>
        <w:tc>
          <w:tcPr>
            <w:tcW w:w="960" w:type="dxa"/>
            <w:hideMark/>
          </w:tcPr>
          <w:p w14:paraId="1FD23B1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5F30FE8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–1.91</w:t>
            </w:r>
          </w:p>
        </w:tc>
      </w:tr>
      <w:tr w:rsidR="00C7217E" w:rsidRPr="00530906" w14:paraId="0A59F72A" w14:textId="77777777" w:rsidTr="00C7217E">
        <w:trPr>
          <w:trHeight w:val="315"/>
        </w:trPr>
        <w:tc>
          <w:tcPr>
            <w:tcW w:w="2538" w:type="dxa"/>
            <w:shd w:val="clear" w:color="auto" w:fill="D5DCE4" w:themeFill="text2" w:themeFillTint="33"/>
            <w:noWrap/>
            <w:hideMark/>
          </w:tcPr>
          <w:p w14:paraId="46CCE87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Buying intention</w:t>
            </w:r>
          </w:p>
        </w:tc>
        <w:tc>
          <w:tcPr>
            <w:tcW w:w="979" w:type="dxa"/>
            <w:hideMark/>
          </w:tcPr>
          <w:p w14:paraId="3DFE151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–0.247</w:t>
            </w:r>
          </w:p>
        </w:tc>
        <w:tc>
          <w:tcPr>
            <w:tcW w:w="960" w:type="dxa"/>
            <w:hideMark/>
          </w:tcPr>
          <w:p w14:paraId="577BC54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424B4DC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–1.69</w:t>
            </w:r>
          </w:p>
        </w:tc>
        <w:tc>
          <w:tcPr>
            <w:tcW w:w="1113" w:type="dxa"/>
            <w:hideMark/>
          </w:tcPr>
          <w:p w14:paraId="5DF33B68"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–0.437</w:t>
            </w:r>
          </w:p>
        </w:tc>
        <w:tc>
          <w:tcPr>
            <w:tcW w:w="960" w:type="dxa"/>
            <w:hideMark/>
          </w:tcPr>
          <w:p w14:paraId="573AF18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0B4FAAD9"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–1.50</w:t>
            </w:r>
          </w:p>
        </w:tc>
      </w:tr>
      <w:tr w:rsidR="00C7217E" w:rsidRPr="00530906" w14:paraId="730D2499" w14:textId="77777777" w:rsidTr="00C7217E">
        <w:trPr>
          <w:trHeight w:val="315"/>
        </w:trPr>
        <w:tc>
          <w:tcPr>
            <w:tcW w:w="2538" w:type="dxa"/>
            <w:shd w:val="clear" w:color="auto" w:fill="D5DCE4" w:themeFill="text2" w:themeFillTint="33"/>
            <w:noWrap/>
            <w:hideMark/>
          </w:tcPr>
          <w:p w14:paraId="386BBFC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Behavioural intention</w:t>
            </w:r>
          </w:p>
        </w:tc>
        <w:tc>
          <w:tcPr>
            <w:tcW w:w="979" w:type="dxa"/>
            <w:hideMark/>
          </w:tcPr>
          <w:p w14:paraId="18AA087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–0.973</w:t>
            </w:r>
          </w:p>
        </w:tc>
        <w:tc>
          <w:tcPr>
            <w:tcW w:w="960" w:type="dxa"/>
            <w:hideMark/>
          </w:tcPr>
          <w:p w14:paraId="4E14AEA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A7C1CB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–6.66</w:t>
            </w:r>
          </w:p>
        </w:tc>
        <w:tc>
          <w:tcPr>
            <w:tcW w:w="1113" w:type="dxa"/>
            <w:hideMark/>
          </w:tcPr>
          <w:p w14:paraId="5665BA12"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1.518</w:t>
            </w:r>
          </w:p>
        </w:tc>
        <w:tc>
          <w:tcPr>
            <w:tcW w:w="960" w:type="dxa"/>
            <w:hideMark/>
          </w:tcPr>
          <w:p w14:paraId="17A0237A"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757DB81D"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5.22</w:t>
            </w:r>
          </w:p>
        </w:tc>
      </w:tr>
      <w:tr w:rsidR="00C7217E" w:rsidRPr="00530906" w14:paraId="1A85E51F" w14:textId="77777777" w:rsidTr="00C7217E">
        <w:trPr>
          <w:trHeight w:val="315"/>
        </w:trPr>
        <w:tc>
          <w:tcPr>
            <w:tcW w:w="2538" w:type="dxa"/>
            <w:shd w:val="clear" w:color="auto" w:fill="D5DCE4" w:themeFill="text2" w:themeFillTint="33"/>
            <w:noWrap/>
            <w:hideMark/>
          </w:tcPr>
          <w:p w14:paraId="5A41E95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Information</w:t>
            </w:r>
          </w:p>
        </w:tc>
        <w:tc>
          <w:tcPr>
            <w:tcW w:w="979" w:type="dxa"/>
            <w:hideMark/>
          </w:tcPr>
          <w:p w14:paraId="2DA237E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–0.325</w:t>
            </w:r>
          </w:p>
        </w:tc>
        <w:tc>
          <w:tcPr>
            <w:tcW w:w="960" w:type="dxa"/>
            <w:hideMark/>
          </w:tcPr>
          <w:p w14:paraId="4348603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4A9F9450"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–2.23</w:t>
            </w:r>
          </w:p>
        </w:tc>
        <w:tc>
          <w:tcPr>
            <w:tcW w:w="1113" w:type="dxa"/>
            <w:hideMark/>
          </w:tcPr>
          <w:p w14:paraId="6709B0B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–0.415</w:t>
            </w:r>
          </w:p>
        </w:tc>
        <w:tc>
          <w:tcPr>
            <w:tcW w:w="960" w:type="dxa"/>
            <w:hideMark/>
          </w:tcPr>
          <w:p w14:paraId="79CCDBF4"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431F156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–1.43</w:t>
            </w:r>
          </w:p>
        </w:tc>
      </w:tr>
      <w:tr w:rsidR="00C7217E" w:rsidRPr="00530906" w14:paraId="762EA4E1" w14:textId="77777777" w:rsidTr="00C7217E">
        <w:trPr>
          <w:trHeight w:val="315"/>
        </w:trPr>
        <w:tc>
          <w:tcPr>
            <w:tcW w:w="2538" w:type="dxa"/>
            <w:shd w:val="clear" w:color="auto" w:fill="D5DCE4" w:themeFill="text2" w:themeFillTint="33"/>
            <w:noWrap/>
            <w:hideMark/>
          </w:tcPr>
          <w:p w14:paraId="1DB386A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Norm</w:t>
            </w:r>
          </w:p>
        </w:tc>
        <w:tc>
          <w:tcPr>
            <w:tcW w:w="979" w:type="dxa"/>
            <w:hideMark/>
          </w:tcPr>
          <w:p w14:paraId="0B420EA3"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0.495</w:t>
            </w:r>
          </w:p>
        </w:tc>
        <w:tc>
          <w:tcPr>
            <w:tcW w:w="960" w:type="dxa"/>
            <w:hideMark/>
          </w:tcPr>
          <w:p w14:paraId="003845C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09D8BBFB"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3.39</w:t>
            </w:r>
          </w:p>
        </w:tc>
        <w:tc>
          <w:tcPr>
            <w:tcW w:w="1113" w:type="dxa"/>
            <w:hideMark/>
          </w:tcPr>
          <w:p w14:paraId="5AB04EDF"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–0.305</w:t>
            </w:r>
          </w:p>
        </w:tc>
        <w:tc>
          <w:tcPr>
            <w:tcW w:w="960" w:type="dxa"/>
            <w:hideMark/>
          </w:tcPr>
          <w:p w14:paraId="38CE9C31"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694AD08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–1.05</w:t>
            </w:r>
          </w:p>
        </w:tc>
      </w:tr>
      <w:tr w:rsidR="00C7217E" w:rsidRPr="00530906" w14:paraId="6ED174CA" w14:textId="77777777" w:rsidTr="00C7217E">
        <w:trPr>
          <w:trHeight w:val="315"/>
        </w:trPr>
        <w:tc>
          <w:tcPr>
            <w:tcW w:w="2538" w:type="dxa"/>
            <w:shd w:val="clear" w:color="auto" w:fill="D5DCE4" w:themeFill="text2" w:themeFillTint="33"/>
            <w:noWrap/>
            <w:hideMark/>
          </w:tcPr>
          <w:p w14:paraId="767843C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Expertise</w:t>
            </w:r>
          </w:p>
        </w:tc>
        <w:tc>
          <w:tcPr>
            <w:tcW w:w="979" w:type="dxa"/>
            <w:hideMark/>
          </w:tcPr>
          <w:p w14:paraId="7ECCDC77"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–0.319</w:t>
            </w:r>
          </w:p>
        </w:tc>
        <w:tc>
          <w:tcPr>
            <w:tcW w:w="960" w:type="dxa"/>
            <w:hideMark/>
          </w:tcPr>
          <w:p w14:paraId="1432C3D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0.146</w:t>
            </w:r>
          </w:p>
        </w:tc>
        <w:tc>
          <w:tcPr>
            <w:tcW w:w="960" w:type="dxa"/>
            <w:noWrap/>
            <w:hideMark/>
          </w:tcPr>
          <w:p w14:paraId="7A8F8CEE"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–2.18</w:t>
            </w:r>
          </w:p>
        </w:tc>
        <w:tc>
          <w:tcPr>
            <w:tcW w:w="1113" w:type="dxa"/>
            <w:hideMark/>
          </w:tcPr>
          <w:p w14:paraId="701E7C65"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–0.388</w:t>
            </w:r>
          </w:p>
        </w:tc>
        <w:tc>
          <w:tcPr>
            <w:tcW w:w="960" w:type="dxa"/>
            <w:hideMark/>
          </w:tcPr>
          <w:p w14:paraId="5C972B4C"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0.291</w:t>
            </w:r>
          </w:p>
        </w:tc>
        <w:tc>
          <w:tcPr>
            <w:tcW w:w="960" w:type="dxa"/>
            <w:noWrap/>
            <w:hideMark/>
          </w:tcPr>
          <w:p w14:paraId="2E64DF26" w14:textId="77777777" w:rsidR="00C7217E" w:rsidRPr="00530906" w:rsidRDefault="00C7217E">
            <w:pPr>
              <w:spacing w:line="240" w:lineRule="auto"/>
              <w:jc w:val="both"/>
              <w:rPr>
                <w:rFonts w:ascii="Cambria" w:hAnsi="Cambria"/>
                <w:sz w:val="24"/>
                <w:szCs w:val="24"/>
              </w:rPr>
            </w:pPr>
            <w:r w:rsidRPr="00530906">
              <w:rPr>
                <w:rFonts w:ascii="Cambria" w:hAnsi="Cambria"/>
                <w:sz w:val="24"/>
                <w:szCs w:val="24"/>
              </w:rPr>
              <w:t>–1.33</w:t>
            </w:r>
          </w:p>
        </w:tc>
      </w:tr>
    </w:tbl>
    <w:p w14:paraId="747A6E3A" w14:textId="77777777" w:rsidR="00C7217E" w:rsidRPr="00530906" w:rsidRDefault="00C7217E">
      <w:pPr>
        <w:spacing w:line="360" w:lineRule="auto"/>
        <w:jc w:val="both"/>
        <w:rPr>
          <w:rFonts w:ascii="Cambria" w:hAnsi="Cambria"/>
          <w:sz w:val="24"/>
          <w:szCs w:val="24"/>
        </w:rPr>
      </w:pPr>
    </w:p>
    <w:p w14:paraId="17E3A939" w14:textId="33E34BAE"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Other than this, box plots in appendix </w:t>
      </w:r>
      <w:r w:rsidR="00416FAD">
        <w:rPr>
          <w:rFonts w:ascii="Cambria" w:hAnsi="Cambria"/>
          <w:sz w:val="24"/>
          <w:szCs w:val="24"/>
        </w:rPr>
        <w:t>3</w:t>
      </w:r>
      <w:r w:rsidRPr="00530906">
        <w:rPr>
          <w:rFonts w:ascii="Cambria" w:hAnsi="Cambria"/>
          <w:sz w:val="24"/>
          <w:szCs w:val="24"/>
        </w:rPr>
        <w:t>.3 show no extreme outlier (see Pallant 2010; Field 2018).</w:t>
      </w:r>
    </w:p>
    <w:p w14:paraId="13DFB6D1" w14:textId="59AFB3D5"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In order to detect multicollinearity, </w:t>
      </w:r>
      <w:r w:rsidRPr="00530906">
        <w:rPr>
          <w:rFonts w:ascii="Cambria" w:hAnsi="Cambria"/>
          <w:sz w:val="24"/>
          <w:szCs w:val="24"/>
          <w:lang w:val="en-US"/>
        </w:rPr>
        <w:t>variance inflation factors (</w:t>
      </w:r>
      <w:r w:rsidRPr="00530906">
        <w:rPr>
          <w:rFonts w:ascii="Cambria" w:hAnsi="Cambria"/>
          <w:sz w:val="24"/>
          <w:szCs w:val="24"/>
        </w:rPr>
        <w:t>VIF) and tolerance have been tested on 3 models– model 1 with Social media engagement as dependent variable, model 2 with purchase behaviour intention as dependent variable and model 3 with sustainable behaviour intention as dependent variable. None of the VIFs exceeded 5 and none of the Tolerance value is below .20 (table 1</w:t>
      </w:r>
      <w:r w:rsidR="00134435">
        <w:rPr>
          <w:rFonts w:ascii="Cambria" w:hAnsi="Cambria"/>
          <w:sz w:val="24"/>
          <w:szCs w:val="24"/>
        </w:rPr>
        <w:t>3</w:t>
      </w:r>
      <w:r w:rsidRPr="00530906">
        <w:rPr>
          <w:rFonts w:ascii="Cambria" w:hAnsi="Cambria"/>
          <w:sz w:val="24"/>
          <w:szCs w:val="24"/>
        </w:rPr>
        <w:t>) for any construct. This indicates that the constructs can be used to test hypotheses without any concern of multicollinearity (</w:t>
      </w:r>
      <w:r w:rsidRPr="00530906">
        <w:rPr>
          <w:rFonts w:ascii="Cambria" w:hAnsi="Cambria"/>
          <w:sz w:val="24"/>
          <w:szCs w:val="24"/>
          <w:lang w:val="en-US"/>
        </w:rPr>
        <w:t xml:space="preserve">Antonetti et al 2019; </w:t>
      </w:r>
      <w:r w:rsidRPr="00530906">
        <w:rPr>
          <w:rFonts w:ascii="Cambria" w:hAnsi="Cambria"/>
          <w:sz w:val="24"/>
          <w:szCs w:val="24"/>
        </w:rPr>
        <w:t>Pallant 2010; Field 2018).</w:t>
      </w:r>
    </w:p>
    <w:p w14:paraId="087531DE" w14:textId="67C327FE" w:rsidR="00C7217E" w:rsidRPr="00530906" w:rsidRDefault="00C7217E">
      <w:pPr>
        <w:spacing w:line="360" w:lineRule="auto"/>
        <w:jc w:val="both"/>
        <w:rPr>
          <w:rFonts w:ascii="Cambria" w:hAnsi="Cambria"/>
          <w:sz w:val="24"/>
          <w:szCs w:val="24"/>
        </w:rPr>
      </w:pPr>
      <w:r w:rsidRPr="00530906">
        <w:rPr>
          <w:rFonts w:ascii="Cambria" w:hAnsi="Cambria"/>
          <w:sz w:val="24"/>
          <w:szCs w:val="24"/>
        </w:rPr>
        <w:t>Table 1</w:t>
      </w:r>
      <w:r w:rsidR="003620A4">
        <w:rPr>
          <w:rFonts w:ascii="Cambria" w:hAnsi="Cambria"/>
          <w:sz w:val="24"/>
          <w:szCs w:val="24"/>
        </w:rPr>
        <w:t>3</w:t>
      </w:r>
      <w:r w:rsidRPr="00530906">
        <w:rPr>
          <w:rFonts w:ascii="Cambria" w:hAnsi="Cambria"/>
          <w:sz w:val="24"/>
          <w:szCs w:val="24"/>
        </w:rPr>
        <w:t>: Multicollinearity test</w:t>
      </w:r>
    </w:p>
    <w:tbl>
      <w:tblPr>
        <w:tblStyle w:val="TableGrid3"/>
        <w:tblW w:w="8298" w:type="dxa"/>
        <w:tblLook w:val="04A0" w:firstRow="1" w:lastRow="0" w:firstColumn="1" w:lastColumn="0" w:noHBand="0" w:noVBand="1"/>
      </w:tblPr>
      <w:tblGrid>
        <w:gridCol w:w="2088"/>
        <w:gridCol w:w="1156"/>
        <w:gridCol w:w="790"/>
        <w:gridCol w:w="1156"/>
        <w:gridCol w:w="914"/>
        <w:gridCol w:w="1214"/>
        <w:gridCol w:w="1092"/>
      </w:tblGrid>
      <w:tr w:rsidR="00C7217E" w:rsidRPr="00530906" w14:paraId="03E7D04F" w14:textId="77777777" w:rsidTr="00C7217E">
        <w:trPr>
          <w:trHeight w:val="300"/>
        </w:trPr>
        <w:tc>
          <w:tcPr>
            <w:tcW w:w="2088" w:type="dxa"/>
            <w:shd w:val="clear" w:color="auto" w:fill="D5DCE4" w:themeFill="text2" w:themeFillTint="33"/>
            <w:noWrap/>
            <w:hideMark/>
          </w:tcPr>
          <w:p w14:paraId="1306BF22" w14:textId="77777777" w:rsidR="00C7217E" w:rsidRPr="00530906" w:rsidRDefault="00C7217E" w:rsidP="008756B1">
            <w:pPr>
              <w:spacing w:line="240" w:lineRule="auto"/>
              <w:jc w:val="both"/>
              <w:rPr>
                <w:rFonts w:ascii="Cambria" w:eastAsia="Times New Roman" w:hAnsi="Cambria" w:cs="Calibri"/>
                <w:lang w:val="en-US"/>
              </w:rPr>
            </w:pPr>
          </w:p>
        </w:tc>
        <w:tc>
          <w:tcPr>
            <w:tcW w:w="1890" w:type="dxa"/>
            <w:gridSpan w:val="2"/>
            <w:shd w:val="clear" w:color="auto" w:fill="D5DCE4" w:themeFill="text2" w:themeFillTint="33"/>
            <w:noWrap/>
            <w:hideMark/>
          </w:tcPr>
          <w:p w14:paraId="04DF38A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 xml:space="preserve">Model 1: DV engagement </w:t>
            </w:r>
          </w:p>
        </w:tc>
        <w:tc>
          <w:tcPr>
            <w:tcW w:w="2014" w:type="dxa"/>
            <w:gridSpan w:val="2"/>
            <w:shd w:val="clear" w:color="auto" w:fill="D5DCE4" w:themeFill="text2" w:themeFillTint="33"/>
            <w:noWrap/>
            <w:hideMark/>
          </w:tcPr>
          <w:p w14:paraId="028CDBC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Model 2: DV purchase behaviour</w:t>
            </w:r>
          </w:p>
        </w:tc>
        <w:tc>
          <w:tcPr>
            <w:tcW w:w="2306" w:type="dxa"/>
            <w:gridSpan w:val="2"/>
            <w:shd w:val="clear" w:color="auto" w:fill="D5DCE4" w:themeFill="text2" w:themeFillTint="33"/>
            <w:noWrap/>
            <w:hideMark/>
          </w:tcPr>
          <w:p w14:paraId="70D7050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Model 3: DV Sustainable behaviour</w:t>
            </w:r>
          </w:p>
        </w:tc>
      </w:tr>
      <w:tr w:rsidR="00C7217E" w:rsidRPr="00530906" w14:paraId="6BCBF784" w14:textId="77777777" w:rsidTr="00C7217E">
        <w:trPr>
          <w:trHeight w:val="300"/>
        </w:trPr>
        <w:tc>
          <w:tcPr>
            <w:tcW w:w="2088" w:type="dxa"/>
            <w:shd w:val="clear" w:color="auto" w:fill="D5DCE4" w:themeFill="text2" w:themeFillTint="33"/>
            <w:noWrap/>
            <w:hideMark/>
          </w:tcPr>
          <w:p w14:paraId="6F2F221D" w14:textId="77777777" w:rsidR="00C7217E" w:rsidRPr="00530906" w:rsidRDefault="00C7217E" w:rsidP="008756B1">
            <w:pPr>
              <w:spacing w:line="240" w:lineRule="auto"/>
              <w:jc w:val="both"/>
              <w:rPr>
                <w:rFonts w:ascii="Cambria" w:eastAsia="Times New Roman" w:hAnsi="Cambria" w:cs="Calibri"/>
                <w:lang w:val="en-US"/>
              </w:rPr>
            </w:pPr>
          </w:p>
        </w:tc>
        <w:tc>
          <w:tcPr>
            <w:tcW w:w="1100" w:type="dxa"/>
            <w:shd w:val="clear" w:color="auto" w:fill="D5DCE4" w:themeFill="text2" w:themeFillTint="33"/>
            <w:noWrap/>
            <w:hideMark/>
          </w:tcPr>
          <w:p w14:paraId="7E3CB44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Tolerance</w:t>
            </w:r>
          </w:p>
        </w:tc>
        <w:tc>
          <w:tcPr>
            <w:tcW w:w="790" w:type="dxa"/>
            <w:shd w:val="clear" w:color="auto" w:fill="D5DCE4" w:themeFill="text2" w:themeFillTint="33"/>
            <w:noWrap/>
            <w:hideMark/>
          </w:tcPr>
          <w:p w14:paraId="79DE2B9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VIF</w:t>
            </w:r>
          </w:p>
        </w:tc>
        <w:tc>
          <w:tcPr>
            <w:tcW w:w="1100" w:type="dxa"/>
            <w:shd w:val="clear" w:color="auto" w:fill="D5DCE4" w:themeFill="text2" w:themeFillTint="33"/>
            <w:noWrap/>
            <w:hideMark/>
          </w:tcPr>
          <w:p w14:paraId="5B3C1C0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Tolerance</w:t>
            </w:r>
          </w:p>
        </w:tc>
        <w:tc>
          <w:tcPr>
            <w:tcW w:w="914" w:type="dxa"/>
            <w:shd w:val="clear" w:color="auto" w:fill="D5DCE4" w:themeFill="text2" w:themeFillTint="33"/>
            <w:noWrap/>
            <w:hideMark/>
          </w:tcPr>
          <w:p w14:paraId="2C0CD57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VIF</w:t>
            </w:r>
          </w:p>
        </w:tc>
        <w:tc>
          <w:tcPr>
            <w:tcW w:w="1214" w:type="dxa"/>
            <w:shd w:val="clear" w:color="auto" w:fill="D5DCE4" w:themeFill="text2" w:themeFillTint="33"/>
            <w:noWrap/>
            <w:hideMark/>
          </w:tcPr>
          <w:p w14:paraId="03673A8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Tolerance</w:t>
            </w:r>
          </w:p>
        </w:tc>
        <w:tc>
          <w:tcPr>
            <w:tcW w:w="1092" w:type="dxa"/>
            <w:shd w:val="clear" w:color="auto" w:fill="D5DCE4" w:themeFill="text2" w:themeFillTint="33"/>
            <w:noWrap/>
            <w:hideMark/>
          </w:tcPr>
          <w:p w14:paraId="2A3C711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VIF</w:t>
            </w:r>
          </w:p>
        </w:tc>
      </w:tr>
      <w:tr w:rsidR="00C7217E" w:rsidRPr="00530906" w14:paraId="6E6B87D5" w14:textId="77777777" w:rsidTr="00C7217E">
        <w:trPr>
          <w:trHeight w:val="300"/>
        </w:trPr>
        <w:tc>
          <w:tcPr>
            <w:tcW w:w="2088" w:type="dxa"/>
            <w:shd w:val="clear" w:color="auto" w:fill="D5DCE4" w:themeFill="text2" w:themeFillTint="33"/>
            <w:noWrap/>
            <w:hideMark/>
          </w:tcPr>
          <w:p w14:paraId="0AE3739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Involvement</w:t>
            </w:r>
          </w:p>
        </w:tc>
        <w:tc>
          <w:tcPr>
            <w:tcW w:w="1100" w:type="dxa"/>
            <w:noWrap/>
            <w:hideMark/>
          </w:tcPr>
          <w:p w14:paraId="52D5822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0.31</w:t>
            </w:r>
          </w:p>
        </w:tc>
        <w:tc>
          <w:tcPr>
            <w:tcW w:w="790" w:type="dxa"/>
            <w:noWrap/>
            <w:hideMark/>
          </w:tcPr>
          <w:p w14:paraId="63EFE5E4"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3.233</w:t>
            </w:r>
          </w:p>
        </w:tc>
        <w:tc>
          <w:tcPr>
            <w:tcW w:w="1100" w:type="dxa"/>
            <w:noWrap/>
            <w:hideMark/>
          </w:tcPr>
          <w:p w14:paraId="05534B1A"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0.302</w:t>
            </w:r>
          </w:p>
        </w:tc>
        <w:tc>
          <w:tcPr>
            <w:tcW w:w="914" w:type="dxa"/>
            <w:noWrap/>
            <w:hideMark/>
          </w:tcPr>
          <w:p w14:paraId="6774CDC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3.309</w:t>
            </w:r>
          </w:p>
        </w:tc>
        <w:tc>
          <w:tcPr>
            <w:tcW w:w="1214" w:type="dxa"/>
            <w:noWrap/>
            <w:hideMark/>
          </w:tcPr>
          <w:p w14:paraId="07083BD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0.294</w:t>
            </w:r>
          </w:p>
        </w:tc>
        <w:tc>
          <w:tcPr>
            <w:tcW w:w="1092" w:type="dxa"/>
            <w:noWrap/>
            <w:hideMark/>
          </w:tcPr>
          <w:p w14:paraId="61ED79E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3.397</w:t>
            </w:r>
          </w:p>
        </w:tc>
      </w:tr>
      <w:tr w:rsidR="00C7217E" w:rsidRPr="00530906" w14:paraId="1067D95F" w14:textId="77777777" w:rsidTr="00C7217E">
        <w:trPr>
          <w:trHeight w:val="300"/>
        </w:trPr>
        <w:tc>
          <w:tcPr>
            <w:tcW w:w="2088" w:type="dxa"/>
            <w:shd w:val="clear" w:color="auto" w:fill="D5DCE4" w:themeFill="text2" w:themeFillTint="33"/>
            <w:noWrap/>
            <w:hideMark/>
          </w:tcPr>
          <w:p w14:paraId="2E46F78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SCV_Image</w:t>
            </w:r>
          </w:p>
        </w:tc>
        <w:tc>
          <w:tcPr>
            <w:tcW w:w="1100" w:type="dxa"/>
            <w:noWrap/>
            <w:hideMark/>
          </w:tcPr>
          <w:p w14:paraId="7393E21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0.53</w:t>
            </w:r>
          </w:p>
        </w:tc>
        <w:tc>
          <w:tcPr>
            <w:tcW w:w="790" w:type="dxa"/>
            <w:noWrap/>
            <w:hideMark/>
          </w:tcPr>
          <w:p w14:paraId="0B568972"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1.887</w:t>
            </w:r>
          </w:p>
        </w:tc>
        <w:tc>
          <w:tcPr>
            <w:tcW w:w="1100" w:type="dxa"/>
            <w:noWrap/>
            <w:hideMark/>
          </w:tcPr>
          <w:p w14:paraId="11E3874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0.526</w:t>
            </w:r>
          </w:p>
        </w:tc>
        <w:tc>
          <w:tcPr>
            <w:tcW w:w="914" w:type="dxa"/>
            <w:noWrap/>
            <w:hideMark/>
          </w:tcPr>
          <w:p w14:paraId="60CA40E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1.901</w:t>
            </w:r>
          </w:p>
        </w:tc>
        <w:tc>
          <w:tcPr>
            <w:tcW w:w="1214" w:type="dxa"/>
            <w:noWrap/>
            <w:hideMark/>
          </w:tcPr>
          <w:p w14:paraId="4A27E28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0.515</w:t>
            </w:r>
          </w:p>
        </w:tc>
        <w:tc>
          <w:tcPr>
            <w:tcW w:w="1092" w:type="dxa"/>
            <w:noWrap/>
            <w:hideMark/>
          </w:tcPr>
          <w:p w14:paraId="77298F3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1.941</w:t>
            </w:r>
          </w:p>
        </w:tc>
      </w:tr>
      <w:tr w:rsidR="00C7217E" w:rsidRPr="00530906" w14:paraId="45F882AA" w14:textId="77777777" w:rsidTr="00C7217E">
        <w:trPr>
          <w:trHeight w:val="300"/>
        </w:trPr>
        <w:tc>
          <w:tcPr>
            <w:tcW w:w="2088" w:type="dxa"/>
            <w:shd w:val="clear" w:color="auto" w:fill="D5DCE4" w:themeFill="text2" w:themeFillTint="33"/>
            <w:noWrap/>
            <w:hideMark/>
          </w:tcPr>
          <w:p w14:paraId="7B0AC16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SCV_engrossment</w:t>
            </w:r>
          </w:p>
        </w:tc>
        <w:tc>
          <w:tcPr>
            <w:tcW w:w="1100" w:type="dxa"/>
            <w:noWrap/>
            <w:hideMark/>
          </w:tcPr>
          <w:p w14:paraId="66A9F5CA"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0.83</w:t>
            </w:r>
          </w:p>
        </w:tc>
        <w:tc>
          <w:tcPr>
            <w:tcW w:w="790" w:type="dxa"/>
            <w:noWrap/>
            <w:hideMark/>
          </w:tcPr>
          <w:p w14:paraId="214725E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1.204</w:t>
            </w:r>
          </w:p>
        </w:tc>
        <w:tc>
          <w:tcPr>
            <w:tcW w:w="1100" w:type="dxa"/>
            <w:noWrap/>
            <w:hideMark/>
          </w:tcPr>
          <w:p w14:paraId="4186728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0.805</w:t>
            </w:r>
          </w:p>
        </w:tc>
        <w:tc>
          <w:tcPr>
            <w:tcW w:w="914" w:type="dxa"/>
            <w:noWrap/>
            <w:hideMark/>
          </w:tcPr>
          <w:p w14:paraId="5DE55E5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1.243</w:t>
            </w:r>
          </w:p>
        </w:tc>
        <w:tc>
          <w:tcPr>
            <w:tcW w:w="1214" w:type="dxa"/>
            <w:noWrap/>
            <w:hideMark/>
          </w:tcPr>
          <w:p w14:paraId="4360342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0.792</w:t>
            </w:r>
          </w:p>
        </w:tc>
        <w:tc>
          <w:tcPr>
            <w:tcW w:w="1092" w:type="dxa"/>
            <w:noWrap/>
            <w:hideMark/>
          </w:tcPr>
          <w:p w14:paraId="5CBC7C4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1.263</w:t>
            </w:r>
          </w:p>
        </w:tc>
      </w:tr>
      <w:tr w:rsidR="00C7217E" w:rsidRPr="00530906" w14:paraId="410C881C" w14:textId="77777777" w:rsidTr="00C7217E">
        <w:trPr>
          <w:trHeight w:val="300"/>
        </w:trPr>
        <w:tc>
          <w:tcPr>
            <w:tcW w:w="2088" w:type="dxa"/>
            <w:shd w:val="clear" w:color="auto" w:fill="D5DCE4" w:themeFill="text2" w:themeFillTint="33"/>
            <w:noWrap/>
            <w:hideMark/>
          </w:tcPr>
          <w:p w14:paraId="69B9898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SCV_self_projection</w:t>
            </w:r>
          </w:p>
        </w:tc>
        <w:tc>
          <w:tcPr>
            <w:tcW w:w="1100" w:type="dxa"/>
            <w:noWrap/>
            <w:hideMark/>
          </w:tcPr>
          <w:p w14:paraId="0DDEBF3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0.39</w:t>
            </w:r>
          </w:p>
        </w:tc>
        <w:tc>
          <w:tcPr>
            <w:tcW w:w="790" w:type="dxa"/>
            <w:noWrap/>
            <w:hideMark/>
          </w:tcPr>
          <w:p w14:paraId="355B58E8"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2.592</w:t>
            </w:r>
          </w:p>
        </w:tc>
        <w:tc>
          <w:tcPr>
            <w:tcW w:w="1100" w:type="dxa"/>
            <w:noWrap/>
            <w:hideMark/>
          </w:tcPr>
          <w:p w14:paraId="0C6E9CA4"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0.366</w:t>
            </w:r>
          </w:p>
        </w:tc>
        <w:tc>
          <w:tcPr>
            <w:tcW w:w="914" w:type="dxa"/>
            <w:noWrap/>
            <w:hideMark/>
          </w:tcPr>
          <w:p w14:paraId="0A7C09B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2.735</w:t>
            </w:r>
          </w:p>
        </w:tc>
        <w:tc>
          <w:tcPr>
            <w:tcW w:w="1214" w:type="dxa"/>
            <w:noWrap/>
            <w:hideMark/>
          </w:tcPr>
          <w:p w14:paraId="538C4AB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0.361</w:t>
            </w:r>
          </w:p>
        </w:tc>
        <w:tc>
          <w:tcPr>
            <w:tcW w:w="1092" w:type="dxa"/>
            <w:noWrap/>
            <w:hideMark/>
          </w:tcPr>
          <w:p w14:paraId="481AA3D9"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2.77</w:t>
            </w:r>
          </w:p>
        </w:tc>
      </w:tr>
      <w:tr w:rsidR="00C7217E" w:rsidRPr="00530906" w14:paraId="185B8C31" w14:textId="77777777" w:rsidTr="00C7217E">
        <w:trPr>
          <w:trHeight w:val="300"/>
        </w:trPr>
        <w:tc>
          <w:tcPr>
            <w:tcW w:w="2088" w:type="dxa"/>
            <w:shd w:val="clear" w:color="auto" w:fill="D5DCE4" w:themeFill="text2" w:themeFillTint="33"/>
            <w:noWrap/>
            <w:hideMark/>
          </w:tcPr>
          <w:p w14:paraId="18CE709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SCV_mental_fluency</w:t>
            </w:r>
          </w:p>
        </w:tc>
        <w:tc>
          <w:tcPr>
            <w:tcW w:w="1100" w:type="dxa"/>
            <w:noWrap/>
            <w:hideMark/>
          </w:tcPr>
          <w:p w14:paraId="42C12EB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0.45</w:t>
            </w:r>
          </w:p>
        </w:tc>
        <w:tc>
          <w:tcPr>
            <w:tcW w:w="790" w:type="dxa"/>
            <w:noWrap/>
            <w:hideMark/>
          </w:tcPr>
          <w:p w14:paraId="0829D34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2.206</w:t>
            </w:r>
          </w:p>
        </w:tc>
        <w:tc>
          <w:tcPr>
            <w:tcW w:w="1100" w:type="dxa"/>
            <w:noWrap/>
            <w:hideMark/>
          </w:tcPr>
          <w:p w14:paraId="479A6E5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0.445</w:t>
            </w:r>
          </w:p>
        </w:tc>
        <w:tc>
          <w:tcPr>
            <w:tcW w:w="914" w:type="dxa"/>
            <w:noWrap/>
            <w:hideMark/>
          </w:tcPr>
          <w:p w14:paraId="0A87872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2.248</w:t>
            </w:r>
          </w:p>
        </w:tc>
        <w:tc>
          <w:tcPr>
            <w:tcW w:w="1214" w:type="dxa"/>
            <w:noWrap/>
            <w:hideMark/>
          </w:tcPr>
          <w:p w14:paraId="0C598A1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0.445</w:t>
            </w:r>
          </w:p>
        </w:tc>
        <w:tc>
          <w:tcPr>
            <w:tcW w:w="1092" w:type="dxa"/>
            <w:noWrap/>
            <w:hideMark/>
          </w:tcPr>
          <w:p w14:paraId="6213456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2.25</w:t>
            </w:r>
          </w:p>
        </w:tc>
      </w:tr>
      <w:tr w:rsidR="00C7217E" w:rsidRPr="00530906" w14:paraId="7234F0F2" w14:textId="77777777" w:rsidTr="00C7217E">
        <w:trPr>
          <w:trHeight w:val="300"/>
        </w:trPr>
        <w:tc>
          <w:tcPr>
            <w:tcW w:w="2088" w:type="dxa"/>
            <w:shd w:val="clear" w:color="auto" w:fill="D5DCE4" w:themeFill="text2" w:themeFillTint="33"/>
            <w:noWrap/>
            <w:hideMark/>
          </w:tcPr>
          <w:p w14:paraId="0B1DF79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Pleasure</w:t>
            </w:r>
          </w:p>
        </w:tc>
        <w:tc>
          <w:tcPr>
            <w:tcW w:w="1100" w:type="dxa"/>
            <w:noWrap/>
            <w:hideMark/>
          </w:tcPr>
          <w:p w14:paraId="17B1044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0.30</w:t>
            </w:r>
          </w:p>
        </w:tc>
        <w:tc>
          <w:tcPr>
            <w:tcW w:w="790" w:type="dxa"/>
            <w:noWrap/>
            <w:hideMark/>
          </w:tcPr>
          <w:p w14:paraId="7CFDBAC8"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3.343</w:t>
            </w:r>
          </w:p>
        </w:tc>
        <w:tc>
          <w:tcPr>
            <w:tcW w:w="1100" w:type="dxa"/>
            <w:noWrap/>
            <w:hideMark/>
          </w:tcPr>
          <w:p w14:paraId="2CF3843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0.27</w:t>
            </w:r>
          </w:p>
        </w:tc>
        <w:tc>
          <w:tcPr>
            <w:tcW w:w="914" w:type="dxa"/>
            <w:noWrap/>
            <w:hideMark/>
          </w:tcPr>
          <w:p w14:paraId="15231742"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3.7</w:t>
            </w:r>
          </w:p>
        </w:tc>
        <w:tc>
          <w:tcPr>
            <w:tcW w:w="1214" w:type="dxa"/>
            <w:noWrap/>
            <w:hideMark/>
          </w:tcPr>
          <w:p w14:paraId="7E3FEF14"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0.269</w:t>
            </w:r>
          </w:p>
        </w:tc>
        <w:tc>
          <w:tcPr>
            <w:tcW w:w="1092" w:type="dxa"/>
            <w:noWrap/>
            <w:hideMark/>
          </w:tcPr>
          <w:p w14:paraId="75C3C3A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3.716</w:t>
            </w:r>
          </w:p>
        </w:tc>
      </w:tr>
      <w:tr w:rsidR="00C7217E" w:rsidRPr="00530906" w14:paraId="7BC2C8EB" w14:textId="77777777" w:rsidTr="00C7217E">
        <w:trPr>
          <w:trHeight w:val="300"/>
        </w:trPr>
        <w:tc>
          <w:tcPr>
            <w:tcW w:w="2088" w:type="dxa"/>
            <w:shd w:val="clear" w:color="auto" w:fill="D5DCE4" w:themeFill="text2" w:themeFillTint="33"/>
            <w:noWrap/>
            <w:hideMark/>
          </w:tcPr>
          <w:p w14:paraId="740C5EA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Arousal</w:t>
            </w:r>
          </w:p>
        </w:tc>
        <w:tc>
          <w:tcPr>
            <w:tcW w:w="1100" w:type="dxa"/>
            <w:noWrap/>
            <w:hideMark/>
          </w:tcPr>
          <w:p w14:paraId="199959A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0.59</w:t>
            </w:r>
          </w:p>
        </w:tc>
        <w:tc>
          <w:tcPr>
            <w:tcW w:w="790" w:type="dxa"/>
            <w:noWrap/>
            <w:hideMark/>
          </w:tcPr>
          <w:p w14:paraId="2B1071A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1.692</w:t>
            </w:r>
          </w:p>
        </w:tc>
        <w:tc>
          <w:tcPr>
            <w:tcW w:w="1100" w:type="dxa"/>
            <w:noWrap/>
            <w:hideMark/>
          </w:tcPr>
          <w:p w14:paraId="30E49FF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0.555</w:t>
            </w:r>
          </w:p>
        </w:tc>
        <w:tc>
          <w:tcPr>
            <w:tcW w:w="914" w:type="dxa"/>
            <w:noWrap/>
            <w:hideMark/>
          </w:tcPr>
          <w:p w14:paraId="4DD94BC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1.801</w:t>
            </w:r>
          </w:p>
        </w:tc>
        <w:tc>
          <w:tcPr>
            <w:tcW w:w="1214" w:type="dxa"/>
            <w:noWrap/>
            <w:hideMark/>
          </w:tcPr>
          <w:p w14:paraId="243BE51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0.551</w:t>
            </w:r>
          </w:p>
        </w:tc>
        <w:tc>
          <w:tcPr>
            <w:tcW w:w="1092" w:type="dxa"/>
            <w:noWrap/>
            <w:hideMark/>
          </w:tcPr>
          <w:p w14:paraId="28D12D4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1.816</w:t>
            </w:r>
          </w:p>
        </w:tc>
      </w:tr>
      <w:tr w:rsidR="00C7217E" w:rsidRPr="00530906" w14:paraId="3E112E5E" w14:textId="77777777" w:rsidTr="00C7217E">
        <w:trPr>
          <w:trHeight w:val="300"/>
        </w:trPr>
        <w:tc>
          <w:tcPr>
            <w:tcW w:w="2088" w:type="dxa"/>
            <w:shd w:val="clear" w:color="auto" w:fill="D5DCE4" w:themeFill="text2" w:themeFillTint="33"/>
            <w:noWrap/>
            <w:hideMark/>
          </w:tcPr>
          <w:p w14:paraId="7AA2CE30"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Dominance</w:t>
            </w:r>
          </w:p>
        </w:tc>
        <w:tc>
          <w:tcPr>
            <w:tcW w:w="1100" w:type="dxa"/>
            <w:noWrap/>
            <w:hideMark/>
          </w:tcPr>
          <w:p w14:paraId="52CCFA2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0.91</w:t>
            </w:r>
          </w:p>
        </w:tc>
        <w:tc>
          <w:tcPr>
            <w:tcW w:w="790" w:type="dxa"/>
            <w:noWrap/>
            <w:hideMark/>
          </w:tcPr>
          <w:p w14:paraId="1CA5879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1.103</w:t>
            </w:r>
          </w:p>
        </w:tc>
        <w:tc>
          <w:tcPr>
            <w:tcW w:w="1100" w:type="dxa"/>
            <w:noWrap/>
            <w:hideMark/>
          </w:tcPr>
          <w:p w14:paraId="15500C32"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0.899</w:t>
            </w:r>
          </w:p>
        </w:tc>
        <w:tc>
          <w:tcPr>
            <w:tcW w:w="914" w:type="dxa"/>
            <w:noWrap/>
            <w:hideMark/>
          </w:tcPr>
          <w:p w14:paraId="3AF08732"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1.113</w:t>
            </w:r>
          </w:p>
        </w:tc>
        <w:tc>
          <w:tcPr>
            <w:tcW w:w="1214" w:type="dxa"/>
            <w:noWrap/>
            <w:hideMark/>
          </w:tcPr>
          <w:p w14:paraId="387F695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0.898</w:t>
            </w:r>
          </w:p>
        </w:tc>
        <w:tc>
          <w:tcPr>
            <w:tcW w:w="1092" w:type="dxa"/>
            <w:noWrap/>
            <w:hideMark/>
          </w:tcPr>
          <w:p w14:paraId="0AFA440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1.113</w:t>
            </w:r>
          </w:p>
        </w:tc>
      </w:tr>
      <w:tr w:rsidR="00C7217E" w:rsidRPr="00530906" w14:paraId="778166C4" w14:textId="77777777" w:rsidTr="00C7217E">
        <w:trPr>
          <w:trHeight w:val="300"/>
        </w:trPr>
        <w:tc>
          <w:tcPr>
            <w:tcW w:w="2088" w:type="dxa"/>
            <w:shd w:val="clear" w:color="auto" w:fill="D5DCE4" w:themeFill="text2" w:themeFillTint="33"/>
            <w:noWrap/>
            <w:hideMark/>
          </w:tcPr>
          <w:p w14:paraId="342C93D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Attitude</w:t>
            </w:r>
          </w:p>
        </w:tc>
        <w:tc>
          <w:tcPr>
            <w:tcW w:w="1100" w:type="dxa"/>
            <w:noWrap/>
            <w:hideMark/>
          </w:tcPr>
          <w:p w14:paraId="2D310BE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0.37</w:t>
            </w:r>
          </w:p>
        </w:tc>
        <w:tc>
          <w:tcPr>
            <w:tcW w:w="790" w:type="dxa"/>
            <w:noWrap/>
            <w:hideMark/>
          </w:tcPr>
          <w:p w14:paraId="4DA18FFA"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2.722</w:t>
            </w:r>
          </w:p>
        </w:tc>
        <w:tc>
          <w:tcPr>
            <w:tcW w:w="1100" w:type="dxa"/>
            <w:noWrap/>
            <w:hideMark/>
          </w:tcPr>
          <w:p w14:paraId="4A1D5079"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0.362</w:t>
            </w:r>
          </w:p>
        </w:tc>
        <w:tc>
          <w:tcPr>
            <w:tcW w:w="914" w:type="dxa"/>
            <w:noWrap/>
            <w:hideMark/>
          </w:tcPr>
          <w:p w14:paraId="61A505F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2.762</w:t>
            </w:r>
          </w:p>
        </w:tc>
        <w:tc>
          <w:tcPr>
            <w:tcW w:w="1214" w:type="dxa"/>
            <w:noWrap/>
            <w:hideMark/>
          </w:tcPr>
          <w:p w14:paraId="12E22CD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0.361</w:t>
            </w:r>
          </w:p>
        </w:tc>
        <w:tc>
          <w:tcPr>
            <w:tcW w:w="1092" w:type="dxa"/>
            <w:noWrap/>
            <w:hideMark/>
          </w:tcPr>
          <w:p w14:paraId="09E02894"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2.769</w:t>
            </w:r>
          </w:p>
        </w:tc>
      </w:tr>
      <w:tr w:rsidR="00C7217E" w:rsidRPr="00530906" w14:paraId="2878FF35" w14:textId="77777777" w:rsidTr="00C7217E">
        <w:trPr>
          <w:trHeight w:val="300"/>
        </w:trPr>
        <w:tc>
          <w:tcPr>
            <w:tcW w:w="2088" w:type="dxa"/>
            <w:shd w:val="clear" w:color="auto" w:fill="D5DCE4" w:themeFill="text2" w:themeFillTint="33"/>
            <w:noWrap/>
            <w:hideMark/>
          </w:tcPr>
          <w:p w14:paraId="3A50657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Expertise</w:t>
            </w:r>
          </w:p>
        </w:tc>
        <w:tc>
          <w:tcPr>
            <w:tcW w:w="1100" w:type="dxa"/>
            <w:noWrap/>
            <w:hideMark/>
          </w:tcPr>
          <w:p w14:paraId="39514E3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0.75</w:t>
            </w:r>
          </w:p>
        </w:tc>
        <w:tc>
          <w:tcPr>
            <w:tcW w:w="790" w:type="dxa"/>
            <w:noWrap/>
            <w:hideMark/>
          </w:tcPr>
          <w:p w14:paraId="7F3342FD"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1.34</w:t>
            </w:r>
          </w:p>
        </w:tc>
        <w:tc>
          <w:tcPr>
            <w:tcW w:w="1100" w:type="dxa"/>
            <w:noWrap/>
            <w:hideMark/>
          </w:tcPr>
          <w:p w14:paraId="6C9DD30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0.715</w:t>
            </w:r>
          </w:p>
        </w:tc>
        <w:tc>
          <w:tcPr>
            <w:tcW w:w="914" w:type="dxa"/>
            <w:noWrap/>
            <w:hideMark/>
          </w:tcPr>
          <w:p w14:paraId="7DB59BC4"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1.398</w:t>
            </w:r>
          </w:p>
        </w:tc>
        <w:tc>
          <w:tcPr>
            <w:tcW w:w="1214" w:type="dxa"/>
            <w:noWrap/>
            <w:hideMark/>
          </w:tcPr>
          <w:p w14:paraId="3B25A18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0.712</w:t>
            </w:r>
          </w:p>
        </w:tc>
        <w:tc>
          <w:tcPr>
            <w:tcW w:w="1092" w:type="dxa"/>
            <w:noWrap/>
            <w:hideMark/>
          </w:tcPr>
          <w:p w14:paraId="2DB233C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1.404</w:t>
            </w:r>
          </w:p>
        </w:tc>
      </w:tr>
      <w:tr w:rsidR="00C7217E" w:rsidRPr="00530906" w14:paraId="16C08AEA" w14:textId="77777777" w:rsidTr="00C7217E">
        <w:trPr>
          <w:trHeight w:val="300"/>
        </w:trPr>
        <w:tc>
          <w:tcPr>
            <w:tcW w:w="2088" w:type="dxa"/>
            <w:shd w:val="clear" w:color="auto" w:fill="D5DCE4" w:themeFill="text2" w:themeFillTint="33"/>
            <w:noWrap/>
            <w:hideMark/>
          </w:tcPr>
          <w:p w14:paraId="44E36AA5"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Engagement</w:t>
            </w:r>
          </w:p>
        </w:tc>
        <w:tc>
          <w:tcPr>
            <w:tcW w:w="1100" w:type="dxa"/>
            <w:noWrap/>
            <w:hideMark/>
          </w:tcPr>
          <w:p w14:paraId="637F2656" w14:textId="77777777" w:rsidR="00C7217E" w:rsidRPr="00530906" w:rsidRDefault="00C7217E" w:rsidP="008756B1">
            <w:pPr>
              <w:spacing w:line="240" w:lineRule="auto"/>
              <w:jc w:val="both"/>
              <w:rPr>
                <w:rFonts w:ascii="Cambria" w:eastAsia="Times New Roman" w:hAnsi="Cambria" w:cs="Calibri"/>
                <w:lang w:val="en-US"/>
              </w:rPr>
            </w:pPr>
          </w:p>
        </w:tc>
        <w:tc>
          <w:tcPr>
            <w:tcW w:w="790" w:type="dxa"/>
            <w:noWrap/>
            <w:hideMark/>
          </w:tcPr>
          <w:p w14:paraId="1FEEAEC0" w14:textId="77777777" w:rsidR="00C7217E" w:rsidRPr="00530906" w:rsidRDefault="00C7217E" w:rsidP="008756B1">
            <w:pPr>
              <w:spacing w:line="240" w:lineRule="auto"/>
              <w:jc w:val="both"/>
              <w:rPr>
                <w:rFonts w:ascii="Cambria" w:eastAsia="Times New Roman" w:hAnsi="Cambria" w:cs="Calibri"/>
                <w:lang w:val="en-US"/>
              </w:rPr>
            </w:pPr>
          </w:p>
        </w:tc>
        <w:tc>
          <w:tcPr>
            <w:tcW w:w="1100" w:type="dxa"/>
            <w:noWrap/>
            <w:hideMark/>
          </w:tcPr>
          <w:p w14:paraId="22B2B8B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0.454</w:t>
            </w:r>
          </w:p>
        </w:tc>
        <w:tc>
          <w:tcPr>
            <w:tcW w:w="914" w:type="dxa"/>
            <w:noWrap/>
            <w:hideMark/>
          </w:tcPr>
          <w:p w14:paraId="3D66255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2.202</w:t>
            </w:r>
          </w:p>
        </w:tc>
        <w:tc>
          <w:tcPr>
            <w:tcW w:w="1214" w:type="dxa"/>
            <w:noWrap/>
            <w:hideMark/>
          </w:tcPr>
          <w:p w14:paraId="12B27B88"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0.446</w:t>
            </w:r>
          </w:p>
        </w:tc>
        <w:tc>
          <w:tcPr>
            <w:tcW w:w="1092" w:type="dxa"/>
            <w:noWrap/>
            <w:hideMark/>
          </w:tcPr>
          <w:p w14:paraId="6439C17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2.243</w:t>
            </w:r>
          </w:p>
        </w:tc>
      </w:tr>
      <w:tr w:rsidR="00C7217E" w:rsidRPr="00530906" w14:paraId="1BF63B39" w14:textId="77777777" w:rsidTr="00C7217E">
        <w:trPr>
          <w:trHeight w:val="300"/>
        </w:trPr>
        <w:tc>
          <w:tcPr>
            <w:tcW w:w="2088" w:type="dxa"/>
            <w:shd w:val="clear" w:color="auto" w:fill="D5DCE4" w:themeFill="text2" w:themeFillTint="33"/>
            <w:noWrap/>
            <w:hideMark/>
          </w:tcPr>
          <w:p w14:paraId="739DF6D1"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Information</w:t>
            </w:r>
          </w:p>
        </w:tc>
        <w:tc>
          <w:tcPr>
            <w:tcW w:w="1100" w:type="dxa"/>
            <w:noWrap/>
            <w:hideMark/>
          </w:tcPr>
          <w:p w14:paraId="0E129887" w14:textId="77777777" w:rsidR="00C7217E" w:rsidRPr="00530906" w:rsidRDefault="00C7217E" w:rsidP="008756B1">
            <w:pPr>
              <w:spacing w:line="240" w:lineRule="auto"/>
              <w:jc w:val="both"/>
              <w:rPr>
                <w:rFonts w:ascii="Cambria" w:eastAsia="Times New Roman" w:hAnsi="Cambria" w:cs="Calibri"/>
                <w:lang w:val="en-US"/>
              </w:rPr>
            </w:pPr>
          </w:p>
        </w:tc>
        <w:tc>
          <w:tcPr>
            <w:tcW w:w="790" w:type="dxa"/>
            <w:noWrap/>
            <w:hideMark/>
          </w:tcPr>
          <w:p w14:paraId="7A723C65" w14:textId="77777777" w:rsidR="00C7217E" w:rsidRPr="00530906" w:rsidRDefault="00C7217E" w:rsidP="008756B1">
            <w:pPr>
              <w:spacing w:line="240" w:lineRule="auto"/>
              <w:jc w:val="both"/>
              <w:rPr>
                <w:rFonts w:ascii="Cambria" w:eastAsia="Times New Roman" w:hAnsi="Cambria" w:cs="Calibri"/>
                <w:lang w:val="en-US"/>
              </w:rPr>
            </w:pPr>
          </w:p>
        </w:tc>
        <w:tc>
          <w:tcPr>
            <w:tcW w:w="1100" w:type="dxa"/>
            <w:noWrap/>
            <w:hideMark/>
          </w:tcPr>
          <w:p w14:paraId="0B83E83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0.604</w:t>
            </w:r>
          </w:p>
        </w:tc>
        <w:tc>
          <w:tcPr>
            <w:tcW w:w="914" w:type="dxa"/>
            <w:noWrap/>
            <w:hideMark/>
          </w:tcPr>
          <w:p w14:paraId="5E70C48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1.656</w:t>
            </w:r>
          </w:p>
        </w:tc>
        <w:tc>
          <w:tcPr>
            <w:tcW w:w="1214" w:type="dxa"/>
            <w:noWrap/>
            <w:hideMark/>
          </w:tcPr>
          <w:p w14:paraId="27301F26"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0.598</w:t>
            </w:r>
          </w:p>
        </w:tc>
        <w:tc>
          <w:tcPr>
            <w:tcW w:w="1092" w:type="dxa"/>
            <w:noWrap/>
            <w:hideMark/>
          </w:tcPr>
          <w:p w14:paraId="7C27BFCE"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1.671</w:t>
            </w:r>
          </w:p>
        </w:tc>
      </w:tr>
      <w:tr w:rsidR="00C7217E" w:rsidRPr="00530906" w14:paraId="4E170D1C" w14:textId="77777777" w:rsidTr="00C7217E">
        <w:trPr>
          <w:trHeight w:val="300"/>
        </w:trPr>
        <w:tc>
          <w:tcPr>
            <w:tcW w:w="2088" w:type="dxa"/>
            <w:shd w:val="clear" w:color="auto" w:fill="D5DCE4" w:themeFill="text2" w:themeFillTint="33"/>
            <w:noWrap/>
            <w:hideMark/>
          </w:tcPr>
          <w:p w14:paraId="504AB71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Norm</w:t>
            </w:r>
          </w:p>
        </w:tc>
        <w:tc>
          <w:tcPr>
            <w:tcW w:w="1100" w:type="dxa"/>
            <w:noWrap/>
            <w:hideMark/>
          </w:tcPr>
          <w:p w14:paraId="5D5E24AC" w14:textId="77777777" w:rsidR="00C7217E" w:rsidRPr="00530906" w:rsidRDefault="00C7217E" w:rsidP="008756B1">
            <w:pPr>
              <w:spacing w:line="240" w:lineRule="auto"/>
              <w:jc w:val="both"/>
              <w:rPr>
                <w:rFonts w:ascii="Cambria" w:eastAsia="Times New Roman" w:hAnsi="Cambria" w:cs="Calibri"/>
                <w:lang w:val="en-US"/>
              </w:rPr>
            </w:pPr>
          </w:p>
        </w:tc>
        <w:tc>
          <w:tcPr>
            <w:tcW w:w="790" w:type="dxa"/>
            <w:noWrap/>
            <w:hideMark/>
          </w:tcPr>
          <w:p w14:paraId="7FB1D357" w14:textId="77777777" w:rsidR="00C7217E" w:rsidRPr="00530906" w:rsidRDefault="00C7217E" w:rsidP="008756B1">
            <w:pPr>
              <w:spacing w:line="240" w:lineRule="auto"/>
              <w:jc w:val="both"/>
              <w:rPr>
                <w:rFonts w:ascii="Cambria" w:eastAsia="Times New Roman" w:hAnsi="Cambria" w:cs="Calibri"/>
                <w:lang w:val="en-US"/>
              </w:rPr>
            </w:pPr>
          </w:p>
        </w:tc>
        <w:tc>
          <w:tcPr>
            <w:tcW w:w="1100" w:type="dxa"/>
            <w:noWrap/>
            <w:hideMark/>
          </w:tcPr>
          <w:p w14:paraId="6405B048"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0.551</w:t>
            </w:r>
          </w:p>
        </w:tc>
        <w:tc>
          <w:tcPr>
            <w:tcW w:w="914" w:type="dxa"/>
            <w:noWrap/>
            <w:hideMark/>
          </w:tcPr>
          <w:p w14:paraId="4948A7C7"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1.816</w:t>
            </w:r>
          </w:p>
        </w:tc>
        <w:tc>
          <w:tcPr>
            <w:tcW w:w="1214" w:type="dxa"/>
            <w:noWrap/>
            <w:hideMark/>
          </w:tcPr>
          <w:p w14:paraId="03594D2C"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0.551</w:t>
            </w:r>
          </w:p>
        </w:tc>
        <w:tc>
          <w:tcPr>
            <w:tcW w:w="1092" w:type="dxa"/>
            <w:noWrap/>
            <w:hideMark/>
          </w:tcPr>
          <w:p w14:paraId="13F2363A"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1.816</w:t>
            </w:r>
          </w:p>
        </w:tc>
      </w:tr>
      <w:tr w:rsidR="00C7217E" w:rsidRPr="00530906" w14:paraId="2CBC0A6E" w14:textId="77777777" w:rsidTr="00C7217E">
        <w:trPr>
          <w:trHeight w:val="300"/>
        </w:trPr>
        <w:tc>
          <w:tcPr>
            <w:tcW w:w="2088" w:type="dxa"/>
            <w:shd w:val="clear" w:color="auto" w:fill="D5DCE4" w:themeFill="text2" w:themeFillTint="33"/>
            <w:noWrap/>
            <w:hideMark/>
          </w:tcPr>
          <w:p w14:paraId="655ED44B"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Purchase</w:t>
            </w:r>
          </w:p>
        </w:tc>
        <w:tc>
          <w:tcPr>
            <w:tcW w:w="1100" w:type="dxa"/>
            <w:noWrap/>
            <w:hideMark/>
          </w:tcPr>
          <w:p w14:paraId="02033B62" w14:textId="77777777" w:rsidR="00C7217E" w:rsidRPr="00530906" w:rsidRDefault="00C7217E" w:rsidP="008756B1">
            <w:pPr>
              <w:spacing w:line="240" w:lineRule="auto"/>
              <w:jc w:val="both"/>
              <w:rPr>
                <w:rFonts w:ascii="Cambria" w:eastAsia="Times New Roman" w:hAnsi="Cambria" w:cs="Calibri"/>
                <w:lang w:val="en-US"/>
              </w:rPr>
            </w:pPr>
          </w:p>
        </w:tc>
        <w:tc>
          <w:tcPr>
            <w:tcW w:w="790" w:type="dxa"/>
            <w:noWrap/>
            <w:hideMark/>
          </w:tcPr>
          <w:p w14:paraId="5109D4ED" w14:textId="77777777" w:rsidR="00C7217E" w:rsidRPr="00530906" w:rsidRDefault="00C7217E" w:rsidP="008756B1">
            <w:pPr>
              <w:spacing w:line="240" w:lineRule="auto"/>
              <w:jc w:val="both"/>
              <w:rPr>
                <w:rFonts w:ascii="Cambria" w:eastAsia="Times New Roman" w:hAnsi="Cambria" w:cs="Calibri"/>
                <w:lang w:val="en-US"/>
              </w:rPr>
            </w:pPr>
          </w:p>
        </w:tc>
        <w:tc>
          <w:tcPr>
            <w:tcW w:w="1100" w:type="dxa"/>
            <w:noWrap/>
            <w:hideMark/>
          </w:tcPr>
          <w:p w14:paraId="013A5608" w14:textId="77777777" w:rsidR="00C7217E" w:rsidRPr="00530906" w:rsidRDefault="00C7217E" w:rsidP="008756B1">
            <w:pPr>
              <w:spacing w:line="240" w:lineRule="auto"/>
              <w:jc w:val="both"/>
              <w:rPr>
                <w:rFonts w:ascii="Cambria" w:eastAsia="Times New Roman" w:hAnsi="Cambria" w:cs="Calibri"/>
                <w:lang w:val="en-US"/>
              </w:rPr>
            </w:pPr>
          </w:p>
        </w:tc>
        <w:tc>
          <w:tcPr>
            <w:tcW w:w="914" w:type="dxa"/>
            <w:noWrap/>
            <w:hideMark/>
          </w:tcPr>
          <w:p w14:paraId="3603116D" w14:textId="77777777" w:rsidR="00C7217E" w:rsidRPr="00530906" w:rsidRDefault="00C7217E" w:rsidP="008756B1">
            <w:pPr>
              <w:spacing w:line="240" w:lineRule="auto"/>
              <w:jc w:val="both"/>
              <w:rPr>
                <w:rFonts w:ascii="Cambria" w:eastAsia="Times New Roman" w:hAnsi="Cambria" w:cs="Calibri"/>
                <w:lang w:val="en-US"/>
              </w:rPr>
            </w:pPr>
          </w:p>
        </w:tc>
        <w:tc>
          <w:tcPr>
            <w:tcW w:w="1214" w:type="dxa"/>
            <w:noWrap/>
            <w:hideMark/>
          </w:tcPr>
          <w:p w14:paraId="2EC055FF"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0.463</w:t>
            </w:r>
          </w:p>
        </w:tc>
        <w:tc>
          <w:tcPr>
            <w:tcW w:w="1092" w:type="dxa"/>
            <w:noWrap/>
            <w:hideMark/>
          </w:tcPr>
          <w:p w14:paraId="23AFDCF3" w14:textId="77777777" w:rsidR="00C7217E" w:rsidRPr="00530906" w:rsidRDefault="00C7217E" w:rsidP="008756B1">
            <w:pPr>
              <w:spacing w:line="240" w:lineRule="auto"/>
              <w:jc w:val="both"/>
              <w:rPr>
                <w:rFonts w:ascii="Cambria" w:eastAsia="Times New Roman" w:hAnsi="Cambria" w:cs="Calibri"/>
                <w:lang w:val="en-US"/>
              </w:rPr>
            </w:pPr>
            <w:r w:rsidRPr="00530906">
              <w:rPr>
                <w:rFonts w:ascii="Cambria" w:eastAsia="Times New Roman" w:hAnsi="Cambria" w:cs="Calibri"/>
                <w:lang w:val="en-US"/>
              </w:rPr>
              <w:t>2.162</w:t>
            </w:r>
          </w:p>
        </w:tc>
      </w:tr>
    </w:tbl>
    <w:p w14:paraId="44E8E19F" w14:textId="77777777" w:rsidR="00C7217E" w:rsidRPr="00530906" w:rsidRDefault="00C7217E">
      <w:pPr>
        <w:spacing w:line="360" w:lineRule="auto"/>
        <w:jc w:val="both"/>
        <w:rPr>
          <w:rFonts w:ascii="Cambria" w:hAnsi="Cambria"/>
          <w:sz w:val="24"/>
          <w:szCs w:val="24"/>
        </w:rPr>
      </w:pPr>
    </w:p>
    <w:p w14:paraId="35246B6D" w14:textId="5D44D323" w:rsidR="00C7217E" w:rsidRPr="00530906" w:rsidRDefault="00C7217E">
      <w:pPr>
        <w:spacing w:line="360" w:lineRule="auto"/>
        <w:jc w:val="both"/>
        <w:rPr>
          <w:rFonts w:ascii="Cambria" w:hAnsi="Cambria"/>
          <w:sz w:val="24"/>
          <w:szCs w:val="24"/>
        </w:rPr>
      </w:pPr>
      <w:r w:rsidRPr="00530906">
        <w:rPr>
          <w:rFonts w:ascii="Cambria" w:hAnsi="Cambria"/>
          <w:sz w:val="24"/>
          <w:szCs w:val="24"/>
        </w:rPr>
        <w:t>Before conducting the analysis, it is also necessary to check, whether the data satisfy the assumptions of the analysis. This study has included, MANOVA, two</w:t>
      </w:r>
      <w:r w:rsidR="004179CD" w:rsidRPr="00530906">
        <w:rPr>
          <w:rFonts w:ascii="Cambria" w:hAnsi="Cambria"/>
          <w:sz w:val="24"/>
          <w:szCs w:val="24"/>
        </w:rPr>
        <w:t>–</w:t>
      </w:r>
      <w:r w:rsidRPr="00530906">
        <w:rPr>
          <w:rFonts w:ascii="Cambria" w:hAnsi="Cambria"/>
          <w:sz w:val="24"/>
          <w:szCs w:val="24"/>
        </w:rPr>
        <w:t>way MANOVA, ANOVA, two–way ANOVA, multiple regression and regression analysis.</w:t>
      </w:r>
    </w:p>
    <w:p w14:paraId="3A0C7E96" w14:textId="4F8BC830" w:rsidR="00C7217E" w:rsidRDefault="00C7217E" w:rsidP="008D3901">
      <w:pPr>
        <w:spacing w:line="360" w:lineRule="auto"/>
        <w:jc w:val="both"/>
        <w:rPr>
          <w:rFonts w:ascii="Cambria" w:hAnsi="Cambria"/>
          <w:sz w:val="24"/>
          <w:szCs w:val="24"/>
          <w:lang w:val="en-US"/>
        </w:rPr>
      </w:pPr>
      <w:r w:rsidRPr="00530906">
        <w:rPr>
          <w:rFonts w:ascii="Cambria" w:hAnsi="Cambria"/>
          <w:sz w:val="24"/>
          <w:szCs w:val="24"/>
        </w:rPr>
        <w:t>MANOVA should have minimum sample size of 24 for this study (4 Dependent variable x 2 levels of Independent variables x 3). With the same formula, in the case of two</w:t>
      </w:r>
      <w:r w:rsidR="004179CD" w:rsidRPr="00530906">
        <w:rPr>
          <w:rFonts w:ascii="Cambria" w:hAnsi="Cambria"/>
          <w:sz w:val="24"/>
          <w:szCs w:val="24"/>
        </w:rPr>
        <w:t>–</w:t>
      </w:r>
      <w:r w:rsidRPr="00530906">
        <w:rPr>
          <w:rFonts w:ascii="Cambria" w:hAnsi="Cambria"/>
          <w:sz w:val="24"/>
          <w:szCs w:val="24"/>
        </w:rPr>
        <w:t xml:space="preserve">way MANOVA minimum sample size is 48 due to 2 levels of independent variable (IV)– ‘types of caption’ and 2 levels of IV– ‘source expertise’. Box plots of appendix </w:t>
      </w:r>
      <w:r w:rsidR="00134435">
        <w:rPr>
          <w:rFonts w:ascii="Cambria" w:hAnsi="Cambria"/>
          <w:sz w:val="24"/>
          <w:szCs w:val="24"/>
        </w:rPr>
        <w:t>3</w:t>
      </w:r>
      <w:r w:rsidRPr="00530906">
        <w:rPr>
          <w:rFonts w:ascii="Cambria" w:hAnsi="Cambria"/>
          <w:sz w:val="24"/>
          <w:szCs w:val="24"/>
        </w:rPr>
        <w:t>.3 with no extreme outliers fulfil the assumption of no univariate outliers.</w:t>
      </w:r>
      <w:r w:rsidRPr="00530906">
        <w:rPr>
          <w:rFonts w:ascii="Cambria" w:hAnsi="Cambria" w:cs="Minion-Regular"/>
          <w:lang w:val="en-US"/>
        </w:rPr>
        <w:t xml:space="preserve"> </w:t>
      </w:r>
      <w:r w:rsidRPr="00530906">
        <w:rPr>
          <w:rFonts w:ascii="Cambria" w:hAnsi="Cambria"/>
          <w:sz w:val="24"/>
          <w:szCs w:val="24"/>
        </w:rPr>
        <w:t>Assumptions for multivariate</w:t>
      </w:r>
      <w:r w:rsidRPr="00530906">
        <w:rPr>
          <w:rFonts w:ascii="Cambria" w:hAnsi="Cambria"/>
          <w:sz w:val="24"/>
          <w:szCs w:val="24"/>
          <w:lang w:val="en-US"/>
        </w:rPr>
        <w:t xml:space="preserve"> outliers and multivariate normality were tested through mahalanobis distance. Since there were only 3 cases among 279 respondents, where the values exceeded the critical value of 18.47 for 4 DVs those cases were included in the analysis (see </w:t>
      </w:r>
      <w:r w:rsidR="00A7286E">
        <w:rPr>
          <w:rFonts w:ascii="Cambria" w:hAnsi="Cambria"/>
          <w:sz w:val="24"/>
          <w:szCs w:val="24"/>
          <w:lang w:val="en-US"/>
        </w:rPr>
        <w:t>Pallant</w:t>
      </w:r>
      <w:r w:rsidRPr="00530906">
        <w:rPr>
          <w:rFonts w:ascii="Cambria" w:hAnsi="Cambria"/>
          <w:sz w:val="24"/>
          <w:szCs w:val="24"/>
          <w:lang w:val="en-US"/>
        </w:rPr>
        <w:t xml:space="preserve"> 2010). </w:t>
      </w:r>
    </w:p>
    <w:p w14:paraId="253D249E" w14:textId="35B28D4D" w:rsidR="00242A2A" w:rsidRDefault="00242A2A" w:rsidP="008D3901">
      <w:pPr>
        <w:spacing w:line="360" w:lineRule="auto"/>
        <w:jc w:val="both"/>
        <w:rPr>
          <w:rFonts w:ascii="Cambria" w:hAnsi="Cambria"/>
          <w:sz w:val="24"/>
          <w:szCs w:val="24"/>
          <w:lang w:val="en-US"/>
        </w:rPr>
      </w:pPr>
    </w:p>
    <w:p w14:paraId="1DE39CE4" w14:textId="70225673" w:rsidR="00242A2A" w:rsidRDefault="00242A2A" w:rsidP="008D3901">
      <w:pPr>
        <w:spacing w:line="360" w:lineRule="auto"/>
        <w:jc w:val="both"/>
        <w:rPr>
          <w:rFonts w:ascii="Cambria" w:hAnsi="Cambria" w:cs="Times New Roman"/>
          <w:sz w:val="24"/>
          <w:szCs w:val="24"/>
          <w:lang w:val="en-US"/>
        </w:rPr>
      </w:pPr>
    </w:p>
    <w:p w14:paraId="705B5EA1" w14:textId="7C4A3335" w:rsidR="00A26F6C" w:rsidRDefault="00A26F6C" w:rsidP="008D3901">
      <w:pPr>
        <w:spacing w:line="360" w:lineRule="auto"/>
        <w:jc w:val="both"/>
        <w:rPr>
          <w:rFonts w:ascii="Cambria" w:hAnsi="Cambria" w:cs="Times New Roman"/>
          <w:sz w:val="24"/>
          <w:szCs w:val="24"/>
          <w:lang w:val="en-US"/>
        </w:rPr>
      </w:pPr>
    </w:p>
    <w:p w14:paraId="459B67AC" w14:textId="77777777" w:rsidR="00A26F6C" w:rsidRPr="00530906" w:rsidRDefault="00A26F6C" w:rsidP="008D3901">
      <w:pPr>
        <w:spacing w:line="360" w:lineRule="auto"/>
        <w:jc w:val="both"/>
        <w:rPr>
          <w:rFonts w:ascii="Cambria" w:hAnsi="Cambria" w:cs="Times New Roman"/>
          <w:sz w:val="24"/>
          <w:szCs w:val="24"/>
          <w:lang w:val="en-US"/>
        </w:rPr>
      </w:pPr>
    </w:p>
    <w:p w14:paraId="0C6112D8" w14:textId="3D2FDC47" w:rsidR="00C7217E" w:rsidRPr="00530906" w:rsidRDefault="00C7217E" w:rsidP="008756B1">
      <w:pPr>
        <w:autoSpaceDE w:val="0"/>
        <w:autoSpaceDN w:val="0"/>
        <w:adjustRightInd w:val="0"/>
        <w:spacing w:after="0" w:line="240" w:lineRule="auto"/>
        <w:jc w:val="both"/>
        <w:rPr>
          <w:rFonts w:ascii="Cambria" w:hAnsi="Cambria" w:cs="Minion-Regular"/>
          <w:lang w:val="en-US"/>
        </w:rPr>
      </w:pPr>
      <w:r w:rsidRPr="00530906">
        <w:rPr>
          <w:rFonts w:ascii="Cambria" w:hAnsi="Cambria" w:cs="Times New Roman"/>
          <w:sz w:val="24"/>
          <w:szCs w:val="24"/>
          <w:lang w:val="en-US"/>
        </w:rPr>
        <w:t>Fig 1</w:t>
      </w:r>
      <w:r w:rsidR="00A26F6C">
        <w:rPr>
          <w:rFonts w:ascii="Cambria" w:hAnsi="Cambria" w:cs="Times New Roman"/>
          <w:sz w:val="24"/>
          <w:szCs w:val="24"/>
          <w:lang w:val="en-US"/>
        </w:rPr>
        <w:t>7</w:t>
      </w:r>
      <w:r w:rsidRPr="00530906">
        <w:rPr>
          <w:rFonts w:ascii="Cambria" w:hAnsi="Cambria" w:cs="Times New Roman"/>
          <w:sz w:val="24"/>
          <w:szCs w:val="24"/>
          <w:lang w:val="en-US"/>
        </w:rPr>
        <w:t xml:space="preserve">: </w:t>
      </w:r>
      <w:r w:rsidRPr="00530906">
        <w:rPr>
          <w:rFonts w:ascii="Cambria" w:hAnsi="Cambria" w:cs="Minion-Regular"/>
          <w:lang w:val="en-US"/>
        </w:rPr>
        <w:t>Matrix of scatter plots between each pair of DV</w:t>
      </w:r>
    </w:p>
    <w:p w14:paraId="031C8D7D" w14:textId="77777777" w:rsidR="00C7217E" w:rsidRPr="00530906" w:rsidRDefault="00C7217E" w:rsidP="008756B1">
      <w:pPr>
        <w:autoSpaceDE w:val="0"/>
        <w:autoSpaceDN w:val="0"/>
        <w:adjustRightInd w:val="0"/>
        <w:spacing w:after="0" w:line="240" w:lineRule="auto"/>
        <w:jc w:val="both"/>
        <w:rPr>
          <w:rFonts w:ascii="Cambria" w:hAnsi="Cambria" w:cs="Minion-Regular"/>
          <w:lang w:val="en-US"/>
        </w:rPr>
      </w:pPr>
      <w:r w:rsidRPr="00530906">
        <w:rPr>
          <w:rFonts w:ascii="Cambria" w:hAnsi="Cambria" w:cs="Times New Roman"/>
          <w:noProof/>
          <w:sz w:val="24"/>
          <w:szCs w:val="24"/>
          <w:lang w:val="en-US"/>
        </w:rPr>
        <mc:AlternateContent>
          <mc:Choice Requires="wps">
            <w:drawing>
              <wp:anchor distT="0" distB="0" distL="114300" distR="114300" simplePos="0" relativeHeight="251657238" behindDoc="0" locked="0" layoutInCell="1" allowOverlap="1" wp14:anchorId="6EDF57C3" wp14:editId="0D814F7C">
                <wp:simplePos x="0" y="0"/>
                <wp:positionH relativeFrom="column">
                  <wp:posOffset>3609975</wp:posOffset>
                </wp:positionH>
                <wp:positionV relativeFrom="paragraph">
                  <wp:posOffset>62865</wp:posOffset>
                </wp:positionV>
                <wp:extent cx="1409700" cy="247650"/>
                <wp:effectExtent l="9525" t="12700" r="9525" b="6350"/>
                <wp:wrapNone/>
                <wp:docPr id="5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rgbClr val="FFFFFF"/>
                        </a:solidFill>
                        <a:ln w="9525">
                          <a:solidFill>
                            <a:srgbClr val="000000"/>
                          </a:solidFill>
                          <a:miter lim="800000"/>
                          <a:headEnd/>
                          <a:tailEnd/>
                        </a:ln>
                      </wps:spPr>
                      <wps:txbx>
                        <w:txbxContent>
                          <w:p w14:paraId="70B8BE93" w14:textId="77777777" w:rsidR="00D34F1C" w:rsidRDefault="00D34F1C" w:rsidP="00C7217E">
                            <w:r>
                              <w:t>Two way 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F57C3" id="Text Box 59" o:spid="_x0000_s1359" type="#_x0000_t202" style="position:absolute;left:0;text-align:left;margin-left:284.25pt;margin-top:4.95pt;width:111pt;height:19.5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">
                <v:textbox>
                  <w:txbxContent>
                    <w:p w14:paraId="70B8BE93" w14:textId="77777777" w:rsidR="00D34F1C" w:rsidRDefault="00D34F1C" w:rsidP="00C7217E">
                      <w:r>
                        <w:t>Two way MANOVA</w:t>
                      </w:r>
                    </w:p>
                  </w:txbxContent>
                </v:textbox>
              </v:shape>
            </w:pict>
          </mc:Fallback>
        </mc:AlternateContent>
      </w:r>
      <w:r w:rsidRPr="00530906">
        <w:rPr>
          <w:rFonts w:ascii="Cambria" w:hAnsi="Cambria" w:cs="Minion-Regular"/>
          <w:noProof/>
          <w:lang w:val="en-US"/>
        </w:rPr>
        <mc:AlternateContent>
          <mc:Choice Requires="wps">
            <w:drawing>
              <wp:anchor distT="0" distB="0" distL="114300" distR="114300" simplePos="0" relativeHeight="251657237" behindDoc="0" locked="0" layoutInCell="1" allowOverlap="1" wp14:anchorId="141BC23B" wp14:editId="34D2F6E1">
                <wp:simplePos x="0" y="0"/>
                <wp:positionH relativeFrom="column">
                  <wp:posOffset>133350</wp:posOffset>
                </wp:positionH>
                <wp:positionV relativeFrom="paragraph">
                  <wp:posOffset>91440</wp:posOffset>
                </wp:positionV>
                <wp:extent cx="1114425" cy="247650"/>
                <wp:effectExtent l="9525" t="12700" r="9525" b="6350"/>
                <wp:wrapNone/>
                <wp:docPr id="5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rgbClr val="000000"/>
                          </a:solidFill>
                          <a:miter lim="800000"/>
                          <a:headEnd/>
                          <a:tailEnd/>
                        </a:ln>
                      </wps:spPr>
                      <wps:txbx>
                        <w:txbxContent>
                          <w:p w14:paraId="7A73F134" w14:textId="77777777" w:rsidR="00D34F1C" w:rsidRDefault="00D34F1C" w:rsidP="00C7217E">
                            <w:r>
                              <w:t>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C23B" id="Text Box 58" o:spid="_x0000_s1360" type="#_x0000_t202" style="position:absolute;left:0;text-align:left;margin-left:10.5pt;margin-top:7.2pt;width:87.75pt;height:19.5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">
                <v:textbox>
                  <w:txbxContent>
                    <w:p w14:paraId="7A73F134" w14:textId="77777777" w:rsidR="00D34F1C" w:rsidRDefault="00D34F1C" w:rsidP="00C7217E">
                      <w:r>
                        <w:t>MANOVA</w:t>
                      </w:r>
                    </w:p>
                  </w:txbxContent>
                </v:textbox>
              </v:shape>
            </w:pict>
          </mc:Fallback>
        </mc:AlternateContent>
      </w:r>
    </w:p>
    <w:p w14:paraId="796C9D8B" w14:textId="77777777" w:rsidR="00C7217E" w:rsidRPr="00530906" w:rsidRDefault="00C7217E" w:rsidP="008756B1">
      <w:pPr>
        <w:autoSpaceDE w:val="0"/>
        <w:autoSpaceDN w:val="0"/>
        <w:adjustRightInd w:val="0"/>
        <w:spacing w:after="0" w:line="240" w:lineRule="auto"/>
        <w:jc w:val="both"/>
        <w:rPr>
          <w:rFonts w:ascii="Cambria" w:hAnsi="Cambria" w:cs="Minion-Regular"/>
          <w:lang w:val="en-US"/>
        </w:rPr>
      </w:pPr>
    </w:p>
    <w:p w14:paraId="56E4D2FC"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237EF746"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r w:rsidRPr="00530906">
        <w:rPr>
          <w:rFonts w:ascii="Cambria" w:hAnsi="Cambria" w:cs="Times New Roman"/>
          <w:noProof/>
          <w:sz w:val="24"/>
          <w:szCs w:val="24"/>
          <w:lang w:val="en-US"/>
        </w:rPr>
        <w:drawing>
          <wp:anchor distT="0" distB="0" distL="114300" distR="114300" simplePos="0" relativeHeight="251657235" behindDoc="0" locked="0" layoutInCell="1" allowOverlap="1" wp14:anchorId="2BFCBF60" wp14:editId="1C55DD5F">
            <wp:simplePos x="0" y="0"/>
            <wp:positionH relativeFrom="column">
              <wp:posOffset>3990975</wp:posOffset>
            </wp:positionH>
            <wp:positionV relativeFrom="paragraph">
              <wp:posOffset>-104775</wp:posOffset>
            </wp:positionV>
            <wp:extent cx="2353310" cy="5572125"/>
            <wp:effectExtent l="19050" t="0" r="8890" b="0"/>
            <wp:wrapNone/>
            <wp:docPr id="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40064" r="35096"/>
                    <a:stretch>
                      <a:fillRect/>
                    </a:stretch>
                  </pic:blipFill>
                  <pic:spPr bwMode="auto">
                    <a:xfrm>
                      <a:off x="0" y="0"/>
                      <a:ext cx="2353310" cy="5572125"/>
                    </a:xfrm>
                    <a:prstGeom prst="rect">
                      <a:avLst/>
                    </a:prstGeom>
                    <a:noFill/>
                    <a:ln w="9525">
                      <a:noFill/>
                      <a:miter lim="800000"/>
                      <a:headEnd/>
                      <a:tailEnd/>
                    </a:ln>
                  </pic:spPr>
                </pic:pic>
              </a:graphicData>
            </a:graphic>
          </wp:anchor>
        </w:drawing>
      </w:r>
      <w:r w:rsidRPr="00530906">
        <w:rPr>
          <w:rFonts w:ascii="Cambria" w:hAnsi="Cambria" w:cs="Times New Roman"/>
          <w:noProof/>
          <w:sz w:val="24"/>
          <w:szCs w:val="24"/>
          <w:lang w:val="en-US"/>
        </w:rPr>
        <mc:AlternateContent>
          <mc:Choice Requires="wpg">
            <w:drawing>
              <wp:anchor distT="0" distB="0" distL="114300" distR="114300" simplePos="0" relativeHeight="251657236" behindDoc="0" locked="0" layoutInCell="1" allowOverlap="1" wp14:anchorId="21EE66B7" wp14:editId="251A51DE">
                <wp:simplePos x="0" y="0"/>
                <wp:positionH relativeFrom="column">
                  <wp:posOffset>2628900</wp:posOffset>
                </wp:positionH>
                <wp:positionV relativeFrom="paragraph">
                  <wp:posOffset>-19050</wp:posOffset>
                </wp:positionV>
                <wp:extent cx="1447800" cy="3990975"/>
                <wp:effectExtent l="0" t="0" r="0" b="4445"/>
                <wp:wrapNone/>
                <wp:docPr id="53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3990975"/>
                          <a:chOff x="5940" y="1410"/>
                          <a:chExt cx="2280" cy="6285"/>
                        </a:xfrm>
                      </wpg:grpSpPr>
                      <wpg:grpSp>
                        <wpg:cNvPr id="539" name="Group 41"/>
                        <wpg:cNvGrpSpPr>
                          <a:grpSpLocks/>
                        </wpg:cNvGrpSpPr>
                        <wpg:grpSpPr bwMode="auto">
                          <a:xfrm>
                            <a:off x="5940" y="1410"/>
                            <a:ext cx="2205" cy="1530"/>
                            <a:chOff x="5940" y="1410"/>
                            <a:chExt cx="2205" cy="1530"/>
                          </a:xfrm>
                        </wpg:grpSpPr>
                        <wps:wsp>
                          <wps:cNvPr id="540" name="Text Box 16"/>
                          <wps:cNvSpPr txBox="1">
                            <a:spLocks noChangeArrowheads="1"/>
                          </wps:cNvSpPr>
                          <wps:spPr bwMode="auto">
                            <a:xfrm>
                              <a:off x="6195" y="1410"/>
                              <a:ext cx="19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955FF" w14:textId="77777777" w:rsidR="00D34F1C" w:rsidRPr="00CC61B6" w:rsidRDefault="00D34F1C" w:rsidP="00C7217E">
                                <w:pPr>
                                  <w:jc w:val="right"/>
                                  <w:rPr>
                                    <w:sz w:val="18"/>
                                    <w:szCs w:val="18"/>
                                  </w:rPr>
                                </w:pPr>
                                <w:r w:rsidRPr="00CC61B6">
                                  <w:rPr>
                                    <w:sz w:val="18"/>
                                    <w:szCs w:val="18"/>
                                  </w:rPr>
                                  <w:t>SCV_mental image</w:t>
                                </w:r>
                              </w:p>
                              <w:p w14:paraId="1464E617" w14:textId="77777777" w:rsidR="00D34F1C" w:rsidRDefault="00D34F1C" w:rsidP="00C7217E"/>
                            </w:txbxContent>
                          </wps:txbx>
                          <wps:bodyPr rot="0" vert="horz" wrap="square" lIns="91440" tIns="45720" rIns="91440" bIns="45720" anchor="t" anchorCtr="0" upright="1">
                            <a:noAutofit/>
                          </wps:bodyPr>
                        </wps:wsp>
                        <wps:wsp>
                          <wps:cNvPr id="541" name="Text Box 17"/>
                          <wps:cNvSpPr txBox="1">
                            <a:spLocks noChangeArrowheads="1"/>
                          </wps:cNvSpPr>
                          <wps:spPr bwMode="auto">
                            <a:xfrm>
                              <a:off x="6195" y="1815"/>
                              <a:ext cx="195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BBAA5" w14:textId="77777777" w:rsidR="00D34F1C" w:rsidRPr="00CC61B6" w:rsidRDefault="00D34F1C" w:rsidP="00C7217E">
                                <w:pPr>
                                  <w:jc w:val="right"/>
                                  <w:rPr>
                                    <w:sz w:val="18"/>
                                    <w:szCs w:val="18"/>
                                  </w:rPr>
                                </w:pPr>
                                <w:r w:rsidRPr="00CC61B6">
                                  <w:rPr>
                                    <w:sz w:val="18"/>
                                    <w:szCs w:val="18"/>
                                  </w:rPr>
                                  <w:t>SCV_engrossment</w:t>
                                </w:r>
                              </w:p>
                              <w:p w14:paraId="71945848" w14:textId="77777777" w:rsidR="00D34F1C" w:rsidRDefault="00D34F1C" w:rsidP="00C7217E"/>
                            </w:txbxContent>
                          </wps:txbx>
                          <wps:bodyPr rot="0" vert="horz" wrap="square" lIns="91440" tIns="45720" rIns="91440" bIns="45720" anchor="t" anchorCtr="0" upright="1">
                            <a:noAutofit/>
                          </wps:bodyPr>
                        </wps:wsp>
                        <wps:wsp>
                          <wps:cNvPr id="542" name="Text Box 18"/>
                          <wps:cNvSpPr txBox="1">
                            <a:spLocks noChangeArrowheads="1"/>
                          </wps:cNvSpPr>
                          <wps:spPr bwMode="auto">
                            <a:xfrm>
                              <a:off x="5940" y="219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BA43C" w14:textId="77777777" w:rsidR="00D34F1C" w:rsidRPr="00CC61B6" w:rsidRDefault="00D34F1C" w:rsidP="00C7217E">
                                <w:pPr>
                                  <w:jc w:val="right"/>
                                  <w:rPr>
                                    <w:sz w:val="18"/>
                                    <w:szCs w:val="18"/>
                                  </w:rPr>
                                </w:pPr>
                                <w:r w:rsidRPr="00CC61B6">
                                  <w:rPr>
                                    <w:sz w:val="18"/>
                                    <w:szCs w:val="18"/>
                                  </w:rPr>
                                  <w:t>SCV_self_projection</w:t>
                                </w:r>
                              </w:p>
                              <w:p w14:paraId="50A88928" w14:textId="77777777" w:rsidR="00D34F1C" w:rsidRPr="00CC61B6" w:rsidRDefault="00D34F1C" w:rsidP="00C7217E">
                                <w:pPr>
                                  <w:rPr>
                                    <w:sz w:val="18"/>
                                    <w:szCs w:val="18"/>
                                  </w:rPr>
                                </w:pPr>
                              </w:p>
                            </w:txbxContent>
                          </wps:txbx>
                          <wps:bodyPr rot="0" vert="horz" wrap="square" lIns="91440" tIns="45720" rIns="91440" bIns="45720" anchor="t" anchorCtr="0" upright="1">
                            <a:noAutofit/>
                          </wps:bodyPr>
                        </wps:wsp>
                        <wps:wsp>
                          <wps:cNvPr id="543" name="Text Box 19"/>
                          <wps:cNvSpPr txBox="1">
                            <a:spLocks noChangeArrowheads="1"/>
                          </wps:cNvSpPr>
                          <wps:spPr bwMode="auto">
                            <a:xfrm>
                              <a:off x="6285" y="2550"/>
                              <a:ext cx="18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AAEE" w14:textId="77777777" w:rsidR="00D34F1C" w:rsidRPr="00CC61B6" w:rsidRDefault="00D34F1C" w:rsidP="00C7217E">
                                <w:pPr>
                                  <w:rPr>
                                    <w:sz w:val="18"/>
                                    <w:szCs w:val="18"/>
                                  </w:rPr>
                                </w:pPr>
                                <w:r w:rsidRPr="00CC61B6">
                                  <w:rPr>
                                    <w:sz w:val="18"/>
                                    <w:szCs w:val="18"/>
                                  </w:rPr>
                                  <w:t>SCV_mental fluency</w:t>
                                </w:r>
                              </w:p>
                              <w:p w14:paraId="37845FC7" w14:textId="77777777" w:rsidR="00D34F1C" w:rsidRDefault="00D34F1C" w:rsidP="00C7217E"/>
                            </w:txbxContent>
                          </wps:txbx>
                          <wps:bodyPr rot="0" vert="horz" wrap="square" lIns="91440" tIns="45720" rIns="91440" bIns="45720" anchor="t" anchorCtr="0" upright="1">
                            <a:noAutofit/>
                          </wps:bodyPr>
                        </wps:wsp>
                      </wpg:grpSp>
                      <wpg:grpSp>
                        <wpg:cNvPr id="544" name="Group 42"/>
                        <wpg:cNvGrpSpPr>
                          <a:grpSpLocks/>
                        </wpg:cNvGrpSpPr>
                        <wpg:grpSpPr bwMode="auto">
                          <a:xfrm>
                            <a:off x="6015" y="6165"/>
                            <a:ext cx="2205" cy="1530"/>
                            <a:chOff x="5940" y="1410"/>
                            <a:chExt cx="2205" cy="1530"/>
                          </a:xfrm>
                        </wpg:grpSpPr>
                        <wps:wsp>
                          <wps:cNvPr id="545" name="Text Box 43"/>
                          <wps:cNvSpPr txBox="1">
                            <a:spLocks noChangeArrowheads="1"/>
                          </wps:cNvSpPr>
                          <wps:spPr bwMode="auto">
                            <a:xfrm>
                              <a:off x="6195" y="1410"/>
                              <a:ext cx="19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1DBF" w14:textId="77777777" w:rsidR="00D34F1C" w:rsidRPr="00CC61B6" w:rsidRDefault="00D34F1C" w:rsidP="00C7217E">
                                <w:pPr>
                                  <w:jc w:val="right"/>
                                  <w:rPr>
                                    <w:sz w:val="18"/>
                                    <w:szCs w:val="18"/>
                                  </w:rPr>
                                </w:pPr>
                                <w:r w:rsidRPr="00CC61B6">
                                  <w:rPr>
                                    <w:sz w:val="18"/>
                                    <w:szCs w:val="18"/>
                                  </w:rPr>
                                  <w:t>SCV_mental image</w:t>
                                </w:r>
                              </w:p>
                              <w:p w14:paraId="7E911B06" w14:textId="77777777" w:rsidR="00D34F1C" w:rsidRDefault="00D34F1C" w:rsidP="00C7217E"/>
                            </w:txbxContent>
                          </wps:txbx>
                          <wps:bodyPr rot="0" vert="horz" wrap="square" lIns="91440" tIns="45720" rIns="91440" bIns="45720" anchor="t" anchorCtr="0" upright="1">
                            <a:noAutofit/>
                          </wps:bodyPr>
                        </wps:wsp>
                        <wps:wsp>
                          <wps:cNvPr id="546" name="Text Box 44"/>
                          <wps:cNvSpPr txBox="1">
                            <a:spLocks noChangeArrowheads="1"/>
                          </wps:cNvSpPr>
                          <wps:spPr bwMode="auto">
                            <a:xfrm>
                              <a:off x="6195" y="1815"/>
                              <a:ext cx="195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6B216" w14:textId="77777777" w:rsidR="00D34F1C" w:rsidRPr="00CC61B6" w:rsidRDefault="00D34F1C" w:rsidP="00C7217E">
                                <w:pPr>
                                  <w:jc w:val="right"/>
                                  <w:rPr>
                                    <w:sz w:val="18"/>
                                    <w:szCs w:val="18"/>
                                  </w:rPr>
                                </w:pPr>
                                <w:r w:rsidRPr="00CC61B6">
                                  <w:rPr>
                                    <w:sz w:val="18"/>
                                    <w:szCs w:val="18"/>
                                  </w:rPr>
                                  <w:t>SCV_engrossment</w:t>
                                </w:r>
                              </w:p>
                              <w:p w14:paraId="24AAC80A" w14:textId="77777777" w:rsidR="00D34F1C" w:rsidRDefault="00D34F1C" w:rsidP="00C7217E"/>
                            </w:txbxContent>
                          </wps:txbx>
                          <wps:bodyPr rot="0" vert="horz" wrap="square" lIns="91440" tIns="45720" rIns="91440" bIns="45720" anchor="t" anchorCtr="0" upright="1">
                            <a:noAutofit/>
                          </wps:bodyPr>
                        </wps:wsp>
                        <wps:wsp>
                          <wps:cNvPr id="547" name="Text Box 45"/>
                          <wps:cNvSpPr txBox="1">
                            <a:spLocks noChangeArrowheads="1"/>
                          </wps:cNvSpPr>
                          <wps:spPr bwMode="auto">
                            <a:xfrm>
                              <a:off x="5940" y="219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FD80" w14:textId="77777777" w:rsidR="00D34F1C" w:rsidRPr="00CC61B6" w:rsidRDefault="00D34F1C" w:rsidP="00C7217E">
                                <w:pPr>
                                  <w:jc w:val="right"/>
                                  <w:rPr>
                                    <w:sz w:val="18"/>
                                    <w:szCs w:val="18"/>
                                  </w:rPr>
                                </w:pPr>
                                <w:r w:rsidRPr="00CC61B6">
                                  <w:rPr>
                                    <w:sz w:val="18"/>
                                    <w:szCs w:val="18"/>
                                  </w:rPr>
                                  <w:t>SCV_self_projection</w:t>
                                </w:r>
                              </w:p>
                              <w:p w14:paraId="27B1F77C" w14:textId="77777777" w:rsidR="00D34F1C" w:rsidRPr="00CC61B6" w:rsidRDefault="00D34F1C" w:rsidP="00C7217E">
                                <w:pPr>
                                  <w:rPr>
                                    <w:sz w:val="18"/>
                                    <w:szCs w:val="18"/>
                                  </w:rPr>
                                </w:pPr>
                              </w:p>
                            </w:txbxContent>
                          </wps:txbx>
                          <wps:bodyPr rot="0" vert="horz" wrap="square" lIns="91440" tIns="45720" rIns="91440" bIns="45720" anchor="t" anchorCtr="0" upright="1">
                            <a:noAutofit/>
                          </wps:bodyPr>
                        </wps:wsp>
                        <wps:wsp>
                          <wps:cNvPr id="548" name="Text Box 46"/>
                          <wps:cNvSpPr txBox="1">
                            <a:spLocks noChangeArrowheads="1"/>
                          </wps:cNvSpPr>
                          <wps:spPr bwMode="auto">
                            <a:xfrm>
                              <a:off x="6285" y="2550"/>
                              <a:ext cx="18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1DAB" w14:textId="77777777" w:rsidR="00D34F1C" w:rsidRPr="00CC61B6" w:rsidRDefault="00D34F1C" w:rsidP="00C7217E">
                                <w:pPr>
                                  <w:rPr>
                                    <w:sz w:val="18"/>
                                    <w:szCs w:val="18"/>
                                  </w:rPr>
                                </w:pPr>
                                <w:r w:rsidRPr="00CC61B6">
                                  <w:rPr>
                                    <w:sz w:val="18"/>
                                    <w:szCs w:val="18"/>
                                  </w:rPr>
                                  <w:t>SCV_mental fluency</w:t>
                                </w:r>
                              </w:p>
                              <w:p w14:paraId="752F3037" w14:textId="77777777" w:rsidR="00D34F1C" w:rsidRDefault="00D34F1C" w:rsidP="00C7217E"/>
                            </w:txbxContent>
                          </wps:txbx>
                          <wps:bodyPr rot="0" vert="horz" wrap="square" lIns="91440" tIns="45720" rIns="91440" bIns="45720" anchor="t" anchorCtr="0" upright="1">
                            <a:noAutofit/>
                          </wps:bodyPr>
                        </wps:wsp>
                      </wpg:grpSp>
                      <wpg:grpSp>
                        <wpg:cNvPr id="549" name="Group 47"/>
                        <wpg:cNvGrpSpPr>
                          <a:grpSpLocks/>
                        </wpg:cNvGrpSpPr>
                        <wpg:grpSpPr bwMode="auto">
                          <a:xfrm>
                            <a:off x="6000" y="4635"/>
                            <a:ext cx="2205" cy="1530"/>
                            <a:chOff x="5940" y="1410"/>
                            <a:chExt cx="2205" cy="1530"/>
                          </a:xfrm>
                        </wpg:grpSpPr>
                        <wps:wsp>
                          <wps:cNvPr id="550" name="Text Box 48"/>
                          <wps:cNvSpPr txBox="1">
                            <a:spLocks noChangeArrowheads="1"/>
                          </wps:cNvSpPr>
                          <wps:spPr bwMode="auto">
                            <a:xfrm>
                              <a:off x="6195" y="1410"/>
                              <a:ext cx="19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99B01" w14:textId="77777777" w:rsidR="00D34F1C" w:rsidRPr="00CC61B6" w:rsidRDefault="00D34F1C" w:rsidP="00C7217E">
                                <w:pPr>
                                  <w:jc w:val="right"/>
                                  <w:rPr>
                                    <w:sz w:val="18"/>
                                    <w:szCs w:val="18"/>
                                  </w:rPr>
                                </w:pPr>
                                <w:r w:rsidRPr="00CC61B6">
                                  <w:rPr>
                                    <w:sz w:val="18"/>
                                    <w:szCs w:val="18"/>
                                  </w:rPr>
                                  <w:t>SCV_mental image</w:t>
                                </w:r>
                              </w:p>
                              <w:p w14:paraId="3E9C33EE" w14:textId="77777777" w:rsidR="00D34F1C" w:rsidRDefault="00D34F1C" w:rsidP="00C7217E"/>
                            </w:txbxContent>
                          </wps:txbx>
                          <wps:bodyPr rot="0" vert="horz" wrap="square" lIns="91440" tIns="45720" rIns="91440" bIns="45720" anchor="t" anchorCtr="0" upright="1">
                            <a:noAutofit/>
                          </wps:bodyPr>
                        </wps:wsp>
                        <wps:wsp>
                          <wps:cNvPr id="551" name="Text Box 49"/>
                          <wps:cNvSpPr txBox="1">
                            <a:spLocks noChangeArrowheads="1"/>
                          </wps:cNvSpPr>
                          <wps:spPr bwMode="auto">
                            <a:xfrm>
                              <a:off x="6195" y="1815"/>
                              <a:ext cx="195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0FEA4" w14:textId="77777777" w:rsidR="00D34F1C" w:rsidRPr="00CC61B6" w:rsidRDefault="00D34F1C" w:rsidP="00C7217E">
                                <w:pPr>
                                  <w:jc w:val="right"/>
                                  <w:rPr>
                                    <w:sz w:val="18"/>
                                    <w:szCs w:val="18"/>
                                  </w:rPr>
                                </w:pPr>
                                <w:r w:rsidRPr="00CC61B6">
                                  <w:rPr>
                                    <w:sz w:val="18"/>
                                    <w:szCs w:val="18"/>
                                  </w:rPr>
                                  <w:t>SCV_engrossment</w:t>
                                </w:r>
                              </w:p>
                              <w:p w14:paraId="34B59080" w14:textId="77777777" w:rsidR="00D34F1C" w:rsidRDefault="00D34F1C" w:rsidP="00C7217E"/>
                            </w:txbxContent>
                          </wps:txbx>
                          <wps:bodyPr rot="0" vert="horz" wrap="square" lIns="91440" tIns="45720" rIns="91440" bIns="45720" anchor="t" anchorCtr="0" upright="1">
                            <a:noAutofit/>
                          </wps:bodyPr>
                        </wps:wsp>
                        <wps:wsp>
                          <wps:cNvPr id="552" name="Text Box 50"/>
                          <wps:cNvSpPr txBox="1">
                            <a:spLocks noChangeArrowheads="1"/>
                          </wps:cNvSpPr>
                          <wps:spPr bwMode="auto">
                            <a:xfrm>
                              <a:off x="5940" y="219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55DCF" w14:textId="77777777" w:rsidR="00D34F1C" w:rsidRPr="00CC61B6" w:rsidRDefault="00D34F1C" w:rsidP="00C7217E">
                                <w:pPr>
                                  <w:jc w:val="right"/>
                                  <w:rPr>
                                    <w:sz w:val="18"/>
                                    <w:szCs w:val="18"/>
                                  </w:rPr>
                                </w:pPr>
                                <w:r w:rsidRPr="00CC61B6">
                                  <w:rPr>
                                    <w:sz w:val="18"/>
                                    <w:szCs w:val="18"/>
                                  </w:rPr>
                                  <w:t>SCV_self_projection</w:t>
                                </w:r>
                              </w:p>
                              <w:p w14:paraId="159CA9D7" w14:textId="77777777" w:rsidR="00D34F1C" w:rsidRPr="00CC61B6" w:rsidRDefault="00D34F1C" w:rsidP="00C7217E">
                                <w:pPr>
                                  <w:rPr>
                                    <w:sz w:val="18"/>
                                    <w:szCs w:val="18"/>
                                  </w:rPr>
                                </w:pPr>
                              </w:p>
                            </w:txbxContent>
                          </wps:txbx>
                          <wps:bodyPr rot="0" vert="horz" wrap="square" lIns="91440" tIns="45720" rIns="91440" bIns="45720" anchor="t" anchorCtr="0" upright="1">
                            <a:noAutofit/>
                          </wps:bodyPr>
                        </wps:wsp>
                        <wps:wsp>
                          <wps:cNvPr id="553" name="Text Box 51"/>
                          <wps:cNvSpPr txBox="1">
                            <a:spLocks noChangeArrowheads="1"/>
                          </wps:cNvSpPr>
                          <wps:spPr bwMode="auto">
                            <a:xfrm>
                              <a:off x="6285" y="2550"/>
                              <a:ext cx="18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C5634" w14:textId="77777777" w:rsidR="00D34F1C" w:rsidRPr="00CC61B6" w:rsidRDefault="00D34F1C" w:rsidP="00C7217E">
                                <w:pPr>
                                  <w:rPr>
                                    <w:sz w:val="18"/>
                                    <w:szCs w:val="18"/>
                                  </w:rPr>
                                </w:pPr>
                                <w:r w:rsidRPr="00CC61B6">
                                  <w:rPr>
                                    <w:sz w:val="18"/>
                                    <w:szCs w:val="18"/>
                                  </w:rPr>
                                  <w:t>SCV_mental fluency</w:t>
                                </w:r>
                              </w:p>
                              <w:p w14:paraId="5DF3CC1A" w14:textId="77777777" w:rsidR="00D34F1C" w:rsidRDefault="00D34F1C" w:rsidP="00C7217E"/>
                            </w:txbxContent>
                          </wps:txbx>
                          <wps:bodyPr rot="0" vert="horz" wrap="square" lIns="91440" tIns="45720" rIns="91440" bIns="45720" anchor="t" anchorCtr="0" upright="1">
                            <a:noAutofit/>
                          </wps:bodyPr>
                        </wps:wsp>
                      </wpg:grpSp>
                      <wpg:grpSp>
                        <wpg:cNvPr id="554" name="Group 52"/>
                        <wpg:cNvGrpSpPr>
                          <a:grpSpLocks/>
                        </wpg:cNvGrpSpPr>
                        <wpg:grpSpPr bwMode="auto">
                          <a:xfrm>
                            <a:off x="5985" y="2970"/>
                            <a:ext cx="2205" cy="1530"/>
                            <a:chOff x="5940" y="1410"/>
                            <a:chExt cx="2205" cy="1530"/>
                          </a:xfrm>
                        </wpg:grpSpPr>
                        <wps:wsp>
                          <wps:cNvPr id="555" name="Text Box 53"/>
                          <wps:cNvSpPr txBox="1">
                            <a:spLocks noChangeArrowheads="1"/>
                          </wps:cNvSpPr>
                          <wps:spPr bwMode="auto">
                            <a:xfrm>
                              <a:off x="6195" y="1410"/>
                              <a:ext cx="19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9D8A9" w14:textId="77777777" w:rsidR="00D34F1C" w:rsidRPr="00CC61B6" w:rsidRDefault="00D34F1C" w:rsidP="00C7217E">
                                <w:pPr>
                                  <w:jc w:val="right"/>
                                  <w:rPr>
                                    <w:sz w:val="18"/>
                                    <w:szCs w:val="18"/>
                                  </w:rPr>
                                </w:pPr>
                                <w:r w:rsidRPr="00CC61B6">
                                  <w:rPr>
                                    <w:sz w:val="18"/>
                                    <w:szCs w:val="18"/>
                                  </w:rPr>
                                  <w:t>SCV_mental image</w:t>
                                </w:r>
                              </w:p>
                              <w:p w14:paraId="6229B5B7" w14:textId="77777777" w:rsidR="00D34F1C" w:rsidRDefault="00D34F1C" w:rsidP="00C7217E"/>
                            </w:txbxContent>
                          </wps:txbx>
                          <wps:bodyPr rot="0" vert="horz" wrap="square" lIns="91440" tIns="45720" rIns="91440" bIns="45720" anchor="t" anchorCtr="0" upright="1">
                            <a:noAutofit/>
                          </wps:bodyPr>
                        </wps:wsp>
                        <wps:wsp>
                          <wps:cNvPr id="556" name="Text Box 54"/>
                          <wps:cNvSpPr txBox="1">
                            <a:spLocks noChangeArrowheads="1"/>
                          </wps:cNvSpPr>
                          <wps:spPr bwMode="auto">
                            <a:xfrm>
                              <a:off x="6195" y="1815"/>
                              <a:ext cx="195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2417" w14:textId="77777777" w:rsidR="00D34F1C" w:rsidRPr="00CC61B6" w:rsidRDefault="00D34F1C" w:rsidP="00C7217E">
                                <w:pPr>
                                  <w:jc w:val="right"/>
                                  <w:rPr>
                                    <w:sz w:val="18"/>
                                    <w:szCs w:val="18"/>
                                  </w:rPr>
                                </w:pPr>
                                <w:r w:rsidRPr="00CC61B6">
                                  <w:rPr>
                                    <w:sz w:val="18"/>
                                    <w:szCs w:val="18"/>
                                  </w:rPr>
                                  <w:t>SCV_engrossment</w:t>
                                </w:r>
                              </w:p>
                              <w:p w14:paraId="5FCE74CC" w14:textId="77777777" w:rsidR="00D34F1C" w:rsidRDefault="00D34F1C" w:rsidP="00C7217E"/>
                            </w:txbxContent>
                          </wps:txbx>
                          <wps:bodyPr rot="0" vert="horz" wrap="square" lIns="91440" tIns="45720" rIns="91440" bIns="45720" anchor="t" anchorCtr="0" upright="1">
                            <a:noAutofit/>
                          </wps:bodyPr>
                        </wps:wsp>
                        <wps:wsp>
                          <wps:cNvPr id="557" name="Text Box 55"/>
                          <wps:cNvSpPr txBox="1">
                            <a:spLocks noChangeArrowheads="1"/>
                          </wps:cNvSpPr>
                          <wps:spPr bwMode="auto">
                            <a:xfrm>
                              <a:off x="5940" y="219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3AC6D" w14:textId="77777777" w:rsidR="00D34F1C" w:rsidRPr="00CC61B6" w:rsidRDefault="00D34F1C" w:rsidP="00C7217E">
                                <w:pPr>
                                  <w:jc w:val="right"/>
                                  <w:rPr>
                                    <w:sz w:val="18"/>
                                    <w:szCs w:val="18"/>
                                  </w:rPr>
                                </w:pPr>
                                <w:r w:rsidRPr="00CC61B6">
                                  <w:rPr>
                                    <w:sz w:val="18"/>
                                    <w:szCs w:val="18"/>
                                  </w:rPr>
                                  <w:t>SCV_self_projection</w:t>
                                </w:r>
                              </w:p>
                              <w:p w14:paraId="20DA7DCF" w14:textId="77777777" w:rsidR="00D34F1C" w:rsidRPr="00CC61B6" w:rsidRDefault="00D34F1C" w:rsidP="00C7217E">
                                <w:pPr>
                                  <w:rPr>
                                    <w:sz w:val="18"/>
                                    <w:szCs w:val="18"/>
                                  </w:rPr>
                                </w:pPr>
                              </w:p>
                            </w:txbxContent>
                          </wps:txbx>
                          <wps:bodyPr rot="0" vert="horz" wrap="square" lIns="91440" tIns="45720" rIns="91440" bIns="45720" anchor="t" anchorCtr="0" upright="1">
                            <a:noAutofit/>
                          </wps:bodyPr>
                        </wps:wsp>
                        <wps:wsp>
                          <wps:cNvPr id="558" name="Text Box 56"/>
                          <wps:cNvSpPr txBox="1">
                            <a:spLocks noChangeArrowheads="1"/>
                          </wps:cNvSpPr>
                          <wps:spPr bwMode="auto">
                            <a:xfrm>
                              <a:off x="6285" y="2550"/>
                              <a:ext cx="18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9281E" w14:textId="77777777" w:rsidR="00D34F1C" w:rsidRPr="00CC61B6" w:rsidRDefault="00D34F1C" w:rsidP="00C7217E">
                                <w:pPr>
                                  <w:rPr>
                                    <w:sz w:val="18"/>
                                    <w:szCs w:val="18"/>
                                  </w:rPr>
                                </w:pPr>
                                <w:r w:rsidRPr="00CC61B6">
                                  <w:rPr>
                                    <w:sz w:val="18"/>
                                    <w:szCs w:val="18"/>
                                  </w:rPr>
                                  <w:t>SCV_mental fluency</w:t>
                                </w:r>
                              </w:p>
                              <w:p w14:paraId="5524F066" w14:textId="77777777" w:rsidR="00D34F1C" w:rsidRDefault="00D34F1C" w:rsidP="00C7217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E66B7" id="Group 57" o:spid="_x0000_s1361" style="position:absolute;left:0;text-align:left;margin-left:207pt;margin-top:-1.5pt;width:114pt;height:314.25pt;z-index:251657236" coordorigin="5940,1410" coordsize="2280,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">
                <v:group id="Group 41" o:spid="_x0000_s1362" style="position:absolute;left:5940;top:1410;width:2205;height:1530" coordorigin="5940,1410" coordsize="220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Text Box 16" o:spid="_x0000_s1363" type="#_x0000_t202" style="position:absolute;left:6195;top:1410;width:19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" stroked="f">
                    <v:textbox>
                      <w:txbxContent>
                        <w:p w14:paraId="4CF955FF" w14:textId="77777777" w:rsidR="00D34F1C" w:rsidRPr="00CC61B6" w:rsidRDefault="00D34F1C" w:rsidP="00C7217E">
                          <w:pPr>
                            <w:jc w:val="right"/>
                            <w:rPr>
                              <w:sz w:val="18"/>
                              <w:szCs w:val="18"/>
                            </w:rPr>
                          </w:pPr>
                          <w:proofErr w:type="spellStart"/>
                          <w:r w:rsidRPr="00CC61B6">
                            <w:rPr>
                              <w:sz w:val="18"/>
                              <w:szCs w:val="18"/>
                            </w:rPr>
                            <w:t>SCV_mental</w:t>
                          </w:r>
                          <w:proofErr w:type="spellEnd"/>
                          <w:r w:rsidRPr="00CC61B6">
                            <w:rPr>
                              <w:sz w:val="18"/>
                              <w:szCs w:val="18"/>
                            </w:rPr>
                            <w:t xml:space="preserve"> image</w:t>
                          </w:r>
                        </w:p>
                        <w:p w14:paraId="1464E617" w14:textId="77777777" w:rsidR="00D34F1C" w:rsidRDefault="00D34F1C" w:rsidP="00C7217E"/>
                      </w:txbxContent>
                    </v:textbox>
                  </v:shape>
                  <v:shape id="Text Box 17" o:spid="_x0000_s1364" type="#_x0000_t202" style="position:absolute;left:6195;top:1815;width:19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14:paraId="7DDBBAA5" w14:textId="77777777" w:rsidR="00D34F1C" w:rsidRPr="00CC61B6" w:rsidRDefault="00D34F1C" w:rsidP="00C7217E">
                          <w:pPr>
                            <w:jc w:val="right"/>
                            <w:rPr>
                              <w:sz w:val="18"/>
                              <w:szCs w:val="18"/>
                            </w:rPr>
                          </w:pPr>
                          <w:proofErr w:type="spellStart"/>
                          <w:r w:rsidRPr="00CC61B6">
                            <w:rPr>
                              <w:sz w:val="18"/>
                              <w:szCs w:val="18"/>
                            </w:rPr>
                            <w:t>SCV_engrossment</w:t>
                          </w:r>
                          <w:proofErr w:type="spellEnd"/>
                        </w:p>
                        <w:p w14:paraId="71945848" w14:textId="77777777" w:rsidR="00D34F1C" w:rsidRDefault="00D34F1C" w:rsidP="00C7217E"/>
                      </w:txbxContent>
                    </v:textbox>
                  </v:shape>
                  <v:shape id="Text Box 18" o:spid="_x0000_s1365" type="#_x0000_t202" style="position:absolute;left:5940;top:219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" stroked="f">
                    <v:textbox>
                      <w:txbxContent>
                        <w:p w14:paraId="630BA43C" w14:textId="77777777" w:rsidR="00D34F1C" w:rsidRPr="00CC61B6" w:rsidRDefault="00D34F1C" w:rsidP="00C7217E">
                          <w:pPr>
                            <w:jc w:val="right"/>
                            <w:rPr>
                              <w:sz w:val="18"/>
                              <w:szCs w:val="18"/>
                            </w:rPr>
                          </w:pPr>
                          <w:proofErr w:type="spellStart"/>
                          <w:r w:rsidRPr="00CC61B6">
                            <w:rPr>
                              <w:sz w:val="18"/>
                              <w:szCs w:val="18"/>
                            </w:rPr>
                            <w:t>SCV_self_projection</w:t>
                          </w:r>
                          <w:proofErr w:type="spellEnd"/>
                        </w:p>
                        <w:p w14:paraId="50A88928" w14:textId="77777777" w:rsidR="00D34F1C" w:rsidRPr="00CC61B6" w:rsidRDefault="00D34F1C" w:rsidP="00C7217E">
                          <w:pPr>
                            <w:rPr>
                              <w:sz w:val="18"/>
                              <w:szCs w:val="18"/>
                            </w:rPr>
                          </w:pPr>
                        </w:p>
                      </w:txbxContent>
                    </v:textbox>
                  </v:shape>
                  <v:shape id="Text Box 19" o:spid="_x0000_s1366" type="#_x0000_t202" style="position:absolute;left:6285;top:2550;width:18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" stroked="f">
                    <v:textbox>
                      <w:txbxContent>
                        <w:p w14:paraId="6CA2AAEE" w14:textId="77777777" w:rsidR="00D34F1C" w:rsidRPr="00CC61B6" w:rsidRDefault="00D34F1C" w:rsidP="00C7217E">
                          <w:pPr>
                            <w:rPr>
                              <w:sz w:val="18"/>
                              <w:szCs w:val="18"/>
                            </w:rPr>
                          </w:pPr>
                          <w:proofErr w:type="spellStart"/>
                          <w:r w:rsidRPr="00CC61B6">
                            <w:rPr>
                              <w:sz w:val="18"/>
                              <w:szCs w:val="18"/>
                            </w:rPr>
                            <w:t>SCV_mental</w:t>
                          </w:r>
                          <w:proofErr w:type="spellEnd"/>
                          <w:r w:rsidRPr="00CC61B6">
                            <w:rPr>
                              <w:sz w:val="18"/>
                              <w:szCs w:val="18"/>
                            </w:rPr>
                            <w:t xml:space="preserve"> fluency</w:t>
                          </w:r>
                        </w:p>
                        <w:p w14:paraId="37845FC7" w14:textId="77777777" w:rsidR="00D34F1C" w:rsidRDefault="00D34F1C" w:rsidP="00C7217E"/>
                      </w:txbxContent>
                    </v:textbox>
                  </v:shape>
                </v:group>
                <v:group id="Group 42" o:spid="_x0000_s1367" style="position:absolute;left:6015;top:6165;width:2205;height:1530" coordorigin="5940,1410" coordsize="220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Text Box 43" o:spid="_x0000_s1368" type="#_x0000_t202" style="position:absolute;left:6195;top:1410;width:19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" stroked="f">
                    <v:textbox>
                      <w:txbxContent>
                        <w:p w14:paraId="6C5B1DBF" w14:textId="77777777" w:rsidR="00D34F1C" w:rsidRPr="00CC61B6" w:rsidRDefault="00D34F1C" w:rsidP="00C7217E">
                          <w:pPr>
                            <w:jc w:val="right"/>
                            <w:rPr>
                              <w:sz w:val="18"/>
                              <w:szCs w:val="18"/>
                            </w:rPr>
                          </w:pPr>
                          <w:proofErr w:type="spellStart"/>
                          <w:r w:rsidRPr="00CC61B6">
                            <w:rPr>
                              <w:sz w:val="18"/>
                              <w:szCs w:val="18"/>
                            </w:rPr>
                            <w:t>SCV_mental</w:t>
                          </w:r>
                          <w:proofErr w:type="spellEnd"/>
                          <w:r w:rsidRPr="00CC61B6">
                            <w:rPr>
                              <w:sz w:val="18"/>
                              <w:szCs w:val="18"/>
                            </w:rPr>
                            <w:t xml:space="preserve"> image</w:t>
                          </w:r>
                        </w:p>
                        <w:p w14:paraId="7E911B06" w14:textId="77777777" w:rsidR="00D34F1C" w:rsidRDefault="00D34F1C" w:rsidP="00C7217E"/>
                      </w:txbxContent>
                    </v:textbox>
                  </v:shape>
                  <v:shape id="Text Box 44" o:spid="_x0000_s1369" type="#_x0000_t202" style="position:absolute;left:6195;top:1815;width:19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14:paraId="1FC6B216" w14:textId="77777777" w:rsidR="00D34F1C" w:rsidRPr="00CC61B6" w:rsidRDefault="00D34F1C" w:rsidP="00C7217E">
                          <w:pPr>
                            <w:jc w:val="right"/>
                            <w:rPr>
                              <w:sz w:val="18"/>
                              <w:szCs w:val="18"/>
                            </w:rPr>
                          </w:pPr>
                          <w:proofErr w:type="spellStart"/>
                          <w:r w:rsidRPr="00CC61B6">
                            <w:rPr>
                              <w:sz w:val="18"/>
                              <w:szCs w:val="18"/>
                            </w:rPr>
                            <w:t>SCV_engrossment</w:t>
                          </w:r>
                          <w:proofErr w:type="spellEnd"/>
                        </w:p>
                        <w:p w14:paraId="24AAC80A" w14:textId="77777777" w:rsidR="00D34F1C" w:rsidRDefault="00D34F1C" w:rsidP="00C7217E"/>
                      </w:txbxContent>
                    </v:textbox>
                  </v:shape>
                  <v:shape id="Text Box 45" o:spid="_x0000_s1370" type="#_x0000_t202" style="position:absolute;left:5940;top:219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14:paraId="46C8FD80" w14:textId="77777777" w:rsidR="00D34F1C" w:rsidRPr="00CC61B6" w:rsidRDefault="00D34F1C" w:rsidP="00C7217E">
                          <w:pPr>
                            <w:jc w:val="right"/>
                            <w:rPr>
                              <w:sz w:val="18"/>
                              <w:szCs w:val="18"/>
                            </w:rPr>
                          </w:pPr>
                          <w:proofErr w:type="spellStart"/>
                          <w:r w:rsidRPr="00CC61B6">
                            <w:rPr>
                              <w:sz w:val="18"/>
                              <w:szCs w:val="18"/>
                            </w:rPr>
                            <w:t>SCV_self_projection</w:t>
                          </w:r>
                          <w:proofErr w:type="spellEnd"/>
                        </w:p>
                        <w:p w14:paraId="27B1F77C" w14:textId="77777777" w:rsidR="00D34F1C" w:rsidRPr="00CC61B6" w:rsidRDefault="00D34F1C" w:rsidP="00C7217E">
                          <w:pPr>
                            <w:rPr>
                              <w:sz w:val="18"/>
                              <w:szCs w:val="18"/>
                            </w:rPr>
                          </w:pPr>
                        </w:p>
                      </w:txbxContent>
                    </v:textbox>
                  </v:shape>
                  <v:shape id="Text Box 46" o:spid="_x0000_s1371" type="#_x0000_t202" style="position:absolute;left:6285;top:2550;width:18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" stroked="f">
                    <v:textbox>
                      <w:txbxContent>
                        <w:p w14:paraId="71701DAB" w14:textId="77777777" w:rsidR="00D34F1C" w:rsidRPr="00CC61B6" w:rsidRDefault="00D34F1C" w:rsidP="00C7217E">
                          <w:pPr>
                            <w:rPr>
                              <w:sz w:val="18"/>
                              <w:szCs w:val="18"/>
                            </w:rPr>
                          </w:pPr>
                          <w:proofErr w:type="spellStart"/>
                          <w:r w:rsidRPr="00CC61B6">
                            <w:rPr>
                              <w:sz w:val="18"/>
                              <w:szCs w:val="18"/>
                            </w:rPr>
                            <w:t>SCV_mental</w:t>
                          </w:r>
                          <w:proofErr w:type="spellEnd"/>
                          <w:r w:rsidRPr="00CC61B6">
                            <w:rPr>
                              <w:sz w:val="18"/>
                              <w:szCs w:val="18"/>
                            </w:rPr>
                            <w:t xml:space="preserve"> fluency</w:t>
                          </w:r>
                        </w:p>
                        <w:p w14:paraId="752F3037" w14:textId="77777777" w:rsidR="00D34F1C" w:rsidRDefault="00D34F1C" w:rsidP="00C7217E"/>
                      </w:txbxContent>
                    </v:textbox>
                  </v:shape>
                </v:group>
                <v:group id="Group 47" o:spid="_x0000_s1372" style="position:absolute;left:6000;top:4635;width:2205;height:1530" coordorigin="5940,1410" coordsize="220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Text Box 48" o:spid="_x0000_s1373" type="#_x0000_t202" style="position:absolute;left:6195;top:1410;width:19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" stroked="f">
                    <v:textbox>
                      <w:txbxContent>
                        <w:p w14:paraId="2E599B01" w14:textId="77777777" w:rsidR="00D34F1C" w:rsidRPr="00CC61B6" w:rsidRDefault="00D34F1C" w:rsidP="00C7217E">
                          <w:pPr>
                            <w:jc w:val="right"/>
                            <w:rPr>
                              <w:sz w:val="18"/>
                              <w:szCs w:val="18"/>
                            </w:rPr>
                          </w:pPr>
                          <w:proofErr w:type="spellStart"/>
                          <w:r w:rsidRPr="00CC61B6">
                            <w:rPr>
                              <w:sz w:val="18"/>
                              <w:szCs w:val="18"/>
                            </w:rPr>
                            <w:t>SCV_mental</w:t>
                          </w:r>
                          <w:proofErr w:type="spellEnd"/>
                          <w:r w:rsidRPr="00CC61B6">
                            <w:rPr>
                              <w:sz w:val="18"/>
                              <w:szCs w:val="18"/>
                            </w:rPr>
                            <w:t xml:space="preserve"> image</w:t>
                          </w:r>
                        </w:p>
                        <w:p w14:paraId="3E9C33EE" w14:textId="77777777" w:rsidR="00D34F1C" w:rsidRDefault="00D34F1C" w:rsidP="00C7217E"/>
                      </w:txbxContent>
                    </v:textbox>
                  </v:shape>
                  <v:shape id="Text Box 49" o:spid="_x0000_s1374" type="#_x0000_t202" style="position:absolute;left:6195;top:1815;width:19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" stroked="f">
                    <v:textbox>
                      <w:txbxContent>
                        <w:p w14:paraId="0980FEA4" w14:textId="77777777" w:rsidR="00D34F1C" w:rsidRPr="00CC61B6" w:rsidRDefault="00D34F1C" w:rsidP="00C7217E">
                          <w:pPr>
                            <w:jc w:val="right"/>
                            <w:rPr>
                              <w:sz w:val="18"/>
                              <w:szCs w:val="18"/>
                            </w:rPr>
                          </w:pPr>
                          <w:proofErr w:type="spellStart"/>
                          <w:r w:rsidRPr="00CC61B6">
                            <w:rPr>
                              <w:sz w:val="18"/>
                              <w:szCs w:val="18"/>
                            </w:rPr>
                            <w:t>SCV_engrossment</w:t>
                          </w:r>
                          <w:proofErr w:type="spellEnd"/>
                        </w:p>
                        <w:p w14:paraId="34B59080" w14:textId="77777777" w:rsidR="00D34F1C" w:rsidRDefault="00D34F1C" w:rsidP="00C7217E"/>
                      </w:txbxContent>
                    </v:textbox>
                  </v:shape>
                  <v:shape id="Text Box 50" o:spid="_x0000_s1375" type="#_x0000_t202" style="position:absolute;left:5940;top:219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" stroked="f">
                    <v:textbox>
                      <w:txbxContent>
                        <w:p w14:paraId="34755DCF" w14:textId="77777777" w:rsidR="00D34F1C" w:rsidRPr="00CC61B6" w:rsidRDefault="00D34F1C" w:rsidP="00C7217E">
                          <w:pPr>
                            <w:jc w:val="right"/>
                            <w:rPr>
                              <w:sz w:val="18"/>
                              <w:szCs w:val="18"/>
                            </w:rPr>
                          </w:pPr>
                          <w:proofErr w:type="spellStart"/>
                          <w:r w:rsidRPr="00CC61B6">
                            <w:rPr>
                              <w:sz w:val="18"/>
                              <w:szCs w:val="18"/>
                            </w:rPr>
                            <w:t>SCV_self_projection</w:t>
                          </w:r>
                          <w:proofErr w:type="spellEnd"/>
                        </w:p>
                        <w:p w14:paraId="159CA9D7" w14:textId="77777777" w:rsidR="00D34F1C" w:rsidRPr="00CC61B6" w:rsidRDefault="00D34F1C" w:rsidP="00C7217E">
                          <w:pPr>
                            <w:rPr>
                              <w:sz w:val="18"/>
                              <w:szCs w:val="18"/>
                            </w:rPr>
                          </w:pPr>
                        </w:p>
                      </w:txbxContent>
                    </v:textbox>
                  </v:shape>
                  <v:shape id="Text Box 51" o:spid="_x0000_s1376" type="#_x0000_t202" style="position:absolute;left:6285;top:2550;width:18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" stroked="f">
                    <v:textbox>
                      <w:txbxContent>
                        <w:p w14:paraId="362C5634" w14:textId="77777777" w:rsidR="00D34F1C" w:rsidRPr="00CC61B6" w:rsidRDefault="00D34F1C" w:rsidP="00C7217E">
                          <w:pPr>
                            <w:rPr>
                              <w:sz w:val="18"/>
                              <w:szCs w:val="18"/>
                            </w:rPr>
                          </w:pPr>
                          <w:proofErr w:type="spellStart"/>
                          <w:r w:rsidRPr="00CC61B6">
                            <w:rPr>
                              <w:sz w:val="18"/>
                              <w:szCs w:val="18"/>
                            </w:rPr>
                            <w:t>SCV_mental</w:t>
                          </w:r>
                          <w:proofErr w:type="spellEnd"/>
                          <w:r w:rsidRPr="00CC61B6">
                            <w:rPr>
                              <w:sz w:val="18"/>
                              <w:szCs w:val="18"/>
                            </w:rPr>
                            <w:t xml:space="preserve"> fluency</w:t>
                          </w:r>
                        </w:p>
                        <w:p w14:paraId="5DF3CC1A" w14:textId="77777777" w:rsidR="00D34F1C" w:rsidRDefault="00D34F1C" w:rsidP="00C7217E"/>
                      </w:txbxContent>
                    </v:textbox>
                  </v:shape>
                </v:group>
                <v:group id="Group 52" o:spid="_x0000_s1377" style="position:absolute;left:5985;top:2970;width:2205;height:1530" coordorigin="5940,1410" coordsize="220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Text Box 53" o:spid="_x0000_s1378" type="#_x0000_t202" style="position:absolute;left:6195;top:1410;width:19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" stroked="f">
                    <v:textbox>
                      <w:txbxContent>
                        <w:p w14:paraId="6CE9D8A9" w14:textId="77777777" w:rsidR="00D34F1C" w:rsidRPr="00CC61B6" w:rsidRDefault="00D34F1C" w:rsidP="00C7217E">
                          <w:pPr>
                            <w:jc w:val="right"/>
                            <w:rPr>
                              <w:sz w:val="18"/>
                              <w:szCs w:val="18"/>
                            </w:rPr>
                          </w:pPr>
                          <w:proofErr w:type="spellStart"/>
                          <w:r w:rsidRPr="00CC61B6">
                            <w:rPr>
                              <w:sz w:val="18"/>
                              <w:szCs w:val="18"/>
                            </w:rPr>
                            <w:t>SCV_mental</w:t>
                          </w:r>
                          <w:proofErr w:type="spellEnd"/>
                          <w:r w:rsidRPr="00CC61B6">
                            <w:rPr>
                              <w:sz w:val="18"/>
                              <w:szCs w:val="18"/>
                            </w:rPr>
                            <w:t xml:space="preserve"> image</w:t>
                          </w:r>
                        </w:p>
                        <w:p w14:paraId="6229B5B7" w14:textId="77777777" w:rsidR="00D34F1C" w:rsidRDefault="00D34F1C" w:rsidP="00C7217E"/>
                      </w:txbxContent>
                    </v:textbox>
                  </v:shape>
                  <v:shape id="Text Box 54" o:spid="_x0000_s1379" type="#_x0000_t202" style="position:absolute;left:6195;top:1815;width:19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752D2417" w14:textId="77777777" w:rsidR="00D34F1C" w:rsidRPr="00CC61B6" w:rsidRDefault="00D34F1C" w:rsidP="00C7217E">
                          <w:pPr>
                            <w:jc w:val="right"/>
                            <w:rPr>
                              <w:sz w:val="18"/>
                              <w:szCs w:val="18"/>
                            </w:rPr>
                          </w:pPr>
                          <w:proofErr w:type="spellStart"/>
                          <w:r w:rsidRPr="00CC61B6">
                            <w:rPr>
                              <w:sz w:val="18"/>
                              <w:szCs w:val="18"/>
                            </w:rPr>
                            <w:t>SCV_engrossment</w:t>
                          </w:r>
                          <w:proofErr w:type="spellEnd"/>
                        </w:p>
                        <w:p w14:paraId="5FCE74CC" w14:textId="77777777" w:rsidR="00D34F1C" w:rsidRDefault="00D34F1C" w:rsidP="00C7217E"/>
                      </w:txbxContent>
                    </v:textbox>
                  </v:shape>
                  <v:shape id="Text Box 55" o:spid="_x0000_s1380" type="#_x0000_t202" style="position:absolute;left:5940;top:219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" stroked="f">
                    <v:textbox>
                      <w:txbxContent>
                        <w:p w14:paraId="0E63AC6D" w14:textId="77777777" w:rsidR="00D34F1C" w:rsidRPr="00CC61B6" w:rsidRDefault="00D34F1C" w:rsidP="00C7217E">
                          <w:pPr>
                            <w:jc w:val="right"/>
                            <w:rPr>
                              <w:sz w:val="18"/>
                              <w:szCs w:val="18"/>
                            </w:rPr>
                          </w:pPr>
                          <w:proofErr w:type="spellStart"/>
                          <w:r w:rsidRPr="00CC61B6">
                            <w:rPr>
                              <w:sz w:val="18"/>
                              <w:szCs w:val="18"/>
                            </w:rPr>
                            <w:t>SCV_self_projection</w:t>
                          </w:r>
                          <w:proofErr w:type="spellEnd"/>
                        </w:p>
                        <w:p w14:paraId="20DA7DCF" w14:textId="77777777" w:rsidR="00D34F1C" w:rsidRPr="00CC61B6" w:rsidRDefault="00D34F1C" w:rsidP="00C7217E">
                          <w:pPr>
                            <w:rPr>
                              <w:sz w:val="18"/>
                              <w:szCs w:val="18"/>
                            </w:rPr>
                          </w:pPr>
                        </w:p>
                      </w:txbxContent>
                    </v:textbox>
                  </v:shape>
                  <v:shape id="Text Box 56" o:spid="_x0000_s1381" type="#_x0000_t202" style="position:absolute;left:6285;top:2550;width:18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14:paraId="7919281E" w14:textId="77777777" w:rsidR="00D34F1C" w:rsidRPr="00CC61B6" w:rsidRDefault="00D34F1C" w:rsidP="00C7217E">
                          <w:pPr>
                            <w:rPr>
                              <w:sz w:val="18"/>
                              <w:szCs w:val="18"/>
                            </w:rPr>
                          </w:pPr>
                          <w:proofErr w:type="spellStart"/>
                          <w:r w:rsidRPr="00CC61B6">
                            <w:rPr>
                              <w:sz w:val="18"/>
                              <w:szCs w:val="18"/>
                            </w:rPr>
                            <w:t>SCV_mental</w:t>
                          </w:r>
                          <w:proofErr w:type="spellEnd"/>
                          <w:r w:rsidRPr="00CC61B6">
                            <w:rPr>
                              <w:sz w:val="18"/>
                              <w:szCs w:val="18"/>
                            </w:rPr>
                            <w:t xml:space="preserve"> fluency</w:t>
                          </w:r>
                        </w:p>
                        <w:p w14:paraId="5524F066" w14:textId="77777777" w:rsidR="00D34F1C" w:rsidRDefault="00D34F1C" w:rsidP="00C7217E"/>
                      </w:txbxContent>
                    </v:textbox>
                  </v:shape>
                </v:group>
              </v:group>
            </w:pict>
          </mc:Fallback>
        </mc:AlternateContent>
      </w:r>
      <w:r w:rsidRPr="00530906">
        <w:rPr>
          <w:rFonts w:ascii="Cambria" w:hAnsi="Cambria" w:cs="Times New Roman"/>
          <w:noProof/>
          <w:sz w:val="24"/>
          <w:szCs w:val="24"/>
          <w:lang w:val="en-US"/>
        </w:rPr>
        <w:drawing>
          <wp:anchor distT="0" distB="0" distL="114300" distR="114300" simplePos="0" relativeHeight="251657233" behindDoc="0" locked="0" layoutInCell="1" allowOverlap="1" wp14:anchorId="3058D975" wp14:editId="7DC368A4">
            <wp:simplePos x="0" y="0"/>
            <wp:positionH relativeFrom="column">
              <wp:posOffset>1038225</wp:posOffset>
            </wp:positionH>
            <wp:positionV relativeFrom="paragraph">
              <wp:posOffset>-57150</wp:posOffset>
            </wp:positionV>
            <wp:extent cx="1695450" cy="3495675"/>
            <wp:effectExtent l="19050" t="0" r="0" b="0"/>
            <wp:wrapNone/>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36859" r="34615"/>
                    <a:stretch>
                      <a:fillRect/>
                    </a:stretch>
                  </pic:blipFill>
                  <pic:spPr bwMode="auto">
                    <a:xfrm>
                      <a:off x="0" y="0"/>
                      <a:ext cx="1695450" cy="3495675"/>
                    </a:xfrm>
                    <a:prstGeom prst="rect">
                      <a:avLst/>
                    </a:prstGeom>
                    <a:noFill/>
                    <a:ln w="9525">
                      <a:noFill/>
                      <a:miter lim="800000"/>
                      <a:headEnd/>
                      <a:tailEnd/>
                    </a:ln>
                  </pic:spPr>
                </pic:pic>
              </a:graphicData>
            </a:graphic>
          </wp:anchor>
        </w:drawing>
      </w:r>
      <w:r w:rsidRPr="00530906">
        <w:rPr>
          <w:rFonts w:ascii="Cambria" w:hAnsi="Cambria" w:cs="Times New Roman"/>
          <w:noProof/>
          <w:sz w:val="24"/>
          <w:szCs w:val="24"/>
          <w:lang w:val="en-US"/>
        </w:rPr>
        <mc:AlternateContent>
          <mc:Choice Requires="wpg">
            <w:drawing>
              <wp:anchor distT="0" distB="0" distL="114300" distR="114300" simplePos="0" relativeHeight="251657234" behindDoc="0" locked="0" layoutInCell="1" allowOverlap="1" wp14:anchorId="6A3CF872" wp14:editId="4C926838">
                <wp:simplePos x="0" y="0"/>
                <wp:positionH relativeFrom="column">
                  <wp:posOffset>-19050</wp:posOffset>
                </wp:positionH>
                <wp:positionV relativeFrom="paragraph">
                  <wp:posOffset>19050</wp:posOffset>
                </wp:positionV>
                <wp:extent cx="1076325" cy="2409825"/>
                <wp:effectExtent l="0" t="0" r="0" b="4445"/>
                <wp:wrapNone/>
                <wp:docPr id="5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2409825"/>
                          <a:chOff x="2145" y="1470"/>
                          <a:chExt cx="1695" cy="3795"/>
                        </a:xfrm>
                      </wpg:grpSpPr>
                      <wps:wsp>
                        <wps:cNvPr id="560" name="Text Box 7"/>
                        <wps:cNvSpPr txBox="1">
                          <a:spLocks noChangeArrowheads="1"/>
                        </wps:cNvSpPr>
                        <wps:spPr bwMode="auto">
                          <a:xfrm>
                            <a:off x="2220" y="1470"/>
                            <a:ext cx="15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7494F" w14:textId="77777777" w:rsidR="00D34F1C" w:rsidRPr="0090118C" w:rsidRDefault="00D34F1C" w:rsidP="00C7217E">
                              <w:pPr>
                                <w:rPr>
                                  <w:sz w:val="16"/>
                                  <w:szCs w:val="16"/>
                                </w:rPr>
                              </w:pPr>
                              <w:r w:rsidRPr="0090118C">
                                <w:rPr>
                                  <w:sz w:val="16"/>
                                  <w:szCs w:val="16"/>
                                </w:rPr>
                                <w:t>SCV_mental image</w:t>
                              </w:r>
                            </w:p>
                          </w:txbxContent>
                        </wps:txbx>
                        <wps:bodyPr rot="0" vert="horz" wrap="square" lIns="91440" tIns="45720" rIns="91440" bIns="45720" anchor="t" anchorCtr="0" upright="1">
                          <a:noAutofit/>
                        </wps:bodyPr>
                      </wps:wsp>
                      <wps:wsp>
                        <wps:cNvPr id="561" name="Text Box 8"/>
                        <wps:cNvSpPr txBox="1">
                          <a:spLocks noChangeArrowheads="1"/>
                        </wps:cNvSpPr>
                        <wps:spPr bwMode="auto">
                          <a:xfrm>
                            <a:off x="2220" y="3510"/>
                            <a:ext cx="15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3FD6B" w14:textId="77777777" w:rsidR="00D34F1C" w:rsidRPr="0090118C" w:rsidRDefault="00D34F1C" w:rsidP="00C7217E">
                              <w:pPr>
                                <w:rPr>
                                  <w:sz w:val="16"/>
                                  <w:szCs w:val="16"/>
                                </w:rPr>
                              </w:pPr>
                              <w:r w:rsidRPr="0090118C">
                                <w:rPr>
                                  <w:sz w:val="16"/>
                                  <w:szCs w:val="16"/>
                                </w:rPr>
                                <w:t>SCV_mental image</w:t>
                              </w:r>
                            </w:p>
                          </w:txbxContent>
                        </wps:txbx>
                        <wps:bodyPr rot="0" vert="horz" wrap="square" lIns="91440" tIns="45720" rIns="91440" bIns="45720" anchor="t" anchorCtr="0" upright="1">
                          <a:noAutofit/>
                        </wps:bodyPr>
                      </wps:wsp>
                      <wps:wsp>
                        <wps:cNvPr id="562" name="Text Box 9"/>
                        <wps:cNvSpPr txBox="1">
                          <a:spLocks noChangeArrowheads="1"/>
                        </wps:cNvSpPr>
                        <wps:spPr bwMode="auto">
                          <a:xfrm>
                            <a:off x="2220" y="1950"/>
                            <a:ext cx="15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DC1AC" w14:textId="77777777" w:rsidR="00D34F1C" w:rsidRPr="0090118C" w:rsidRDefault="00D34F1C" w:rsidP="00C7217E">
                              <w:pPr>
                                <w:rPr>
                                  <w:sz w:val="16"/>
                                  <w:szCs w:val="16"/>
                                </w:rPr>
                              </w:pPr>
                              <w:r w:rsidRPr="0090118C">
                                <w:rPr>
                                  <w:sz w:val="16"/>
                                  <w:szCs w:val="16"/>
                                </w:rPr>
                                <w:t>SCV_</w:t>
                              </w:r>
                              <w:r>
                                <w:rPr>
                                  <w:sz w:val="16"/>
                                  <w:szCs w:val="16"/>
                                </w:rPr>
                                <w:t>engrossment</w:t>
                              </w:r>
                            </w:p>
                          </w:txbxContent>
                        </wps:txbx>
                        <wps:bodyPr rot="0" vert="horz" wrap="square" lIns="91440" tIns="45720" rIns="91440" bIns="45720" anchor="t" anchorCtr="0" upright="1">
                          <a:noAutofit/>
                        </wps:bodyPr>
                      </wps:wsp>
                      <wps:wsp>
                        <wps:cNvPr id="563" name="Text Box 10"/>
                        <wps:cNvSpPr txBox="1">
                          <a:spLocks noChangeArrowheads="1"/>
                        </wps:cNvSpPr>
                        <wps:spPr bwMode="auto">
                          <a:xfrm>
                            <a:off x="2280" y="3960"/>
                            <a:ext cx="15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BA81F" w14:textId="77777777" w:rsidR="00D34F1C" w:rsidRPr="0090118C" w:rsidRDefault="00D34F1C" w:rsidP="00C7217E">
                              <w:pPr>
                                <w:rPr>
                                  <w:sz w:val="16"/>
                                  <w:szCs w:val="16"/>
                                </w:rPr>
                              </w:pPr>
                              <w:r w:rsidRPr="0090118C">
                                <w:rPr>
                                  <w:sz w:val="16"/>
                                  <w:szCs w:val="16"/>
                                </w:rPr>
                                <w:t>SCV_</w:t>
                              </w:r>
                              <w:r>
                                <w:rPr>
                                  <w:sz w:val="16"/>
                                  <w:szCs w:val="16"/>
                                </w:rPr>
                                <w:t>engrossment</w:t>
                              </w:r>
                            </w:p>
                          </w:txbxContent>
                        </wps:txbx>
                        <wps:bodyPr rot="0" vert="horz" wrap="square" lIns="91440" tIns="45720" rIns="91440" bIns="45720" anchor="t" anchorCtr="0" upright="1">
                          <a:noAutofit/>
                        </wps:bodyPr>
                      </wps:wsp>
                      <wps:wsp>
                        <wps:cNvPr id="564" name="Text Box 11"/>
                        <wps:cNvSpPr txBox="1">
                          <a:spLocks noChangeArrowheads="1"/>
                        </wps:cNvSpPr>
                        <wps:spPr bwMode="auto">
                          <a:xfrm>
                            <a:off x="2145" y="2385"/>
                            <a:ext cx="163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D6F6D" w14:textId="77777777" w:rsidR="00D34F1C" w:rsidRPr="0090118C" w:rsidRDefault="00D34F1C" w:rsidP="00C7217E">
                              <w:pPr>
                                <w:rPr>
                                  <w:sz w:val="16"/>
                                  <w:szCs w:val="16"/>
                                </w:rPr>
                              </w:pPr>
                              <w:r w:rsidRPr="0090118C">
                                <w:rPr>
                                  <w:sz w:val="16"/>
                                  <w:szCs w:val="16"/>
                                </w:rPr>
                                <w:t>SCV_</w:t>
                              </w:r>
                              <w:r>
                                <w:rPr>
                                  <w:sz w:val="16"/>
                                  <w:szCs w:val="16"/>
                                </w:rPr>
                                <w:t>Self_projection</w:t>
                              </w:r>
                            </w:p>
                          </w:txbxContent>
                        </wps:txbx>
                        <wps:bodyPr rot="0" vert="horz" wrap="square" lIns="91440" tIns="45720" rIns="91440" bIns="45720" anchor="t" anchorCtr="0" upright="1">
                          <a:noAutofit/>
                        </wps:bodyPr>
                      </wps:wsp>
                      <wps:wsp>
                        <wps:cNvPr id="565" name="Text Box 12"/>
                        <wps:cNvSpPr txBox="1">
                          <a:spLocks noChangeArrowheads="1"/>
                        </wps:cNvSpPr>
                        <wps:spPr bwMode="auto">
                          <a:xfrm>
                            <a:off x="2145" y="4440"/>
                            <a:ext cx="163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86AFC" w14:textId="77777777" w:rsidR="00D34F1C" w:rsidRPr="0090118C" w:rsidRDefault="00D34F1C" w:rsidP="00C7217E">
                              <w:pPr>
                                <w:rPr>
                                  <w:sz w:val="16"/>
                                  <w:szCs w:val="16"/>
                                </w:rPr>
                              </w:pPr>
                              <w:r w:rsidRPr="0090118C">
                                <w:rPr>
                                  <w:sz w:val="16"/>
                                  <w:szCs w:val="16"/>
                                </w:rPr>
                                <w:t>SCV_</w:t>
                              </w:r>
                              <w:r>
                                <w:rPr>
                                  <w:sz w:val="16"/>
                                  <w:szCs w:val="16"/>
                                </w:rPr>
                                <w:t>self_projection</w:t>
                              </w:r>
                            </w:p>
                          </w:txbxContent>
                        </wps:txbx>
                        <wps:bodyPr rot="0" vert="horz" wrap="square" lIns="91440" tIns="45720" rIns="91440" bIns="45720" anchor="t" anchorCtr="0" upright="1">
                          <a:noAutofit/>
                        </wps:bodyPr>
                      </wps:wsp>
                      <wps:wsp>
                        <wps:cNvPr id="566" name="Text Box 13"/>
                        <wps:cNvSpPr txBox="1">
                          <a:spLocks noChangeArrowheads="1"/>
                        </wps:cNvSpPr>
                        <wps:spPr bwMode="auto">
                          <a:xfrm>
                            <a:off x="2145" y="4920"/>
                            <a:ext cx="163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D1CD7" w14:textId="77777777" w:rsidR="00D34F1C" w:rsidRPr="0090118C" w:rsidRDefault="00D34F1C" w:rsidP="00C7217E">
                              <w:pPr>
                                <w:rPr>
                                  <w:sz w:val="16"/>
                                  <w:szCs w:val="16"/>
                                </w:rPr>
                              </w:pPr>
                              <w:r w:rsidRPr="0090118C">
                                <w:rPr>
                                  <w:sz w:val="16"/>
                                  <w:szCs w:val="16"/>
                                </w:rPr>
                                <w:t>SCV_</w:t>
                              </w:r>
                              <w:r>
                                <w:rPr>
                                  <w:sz w:val="16"/>
                                  <w:szCs w:val="16"/>
                                </w:rPr>
                                <w:t>mental_fluency</w:t>
                              </w:r>
                            </w:p>
                          </w:txbxContent>
                        </wps:txbx>
                        <wps:bodyPr rot="0" vert="horz" wrap="square" lIns="91440" tIns="45720" rIns="91440" bIns="45720" anchor="t" anchorCtr="0" upright="1">
                          <a:noAutofit/>
                        </wps:bodyPr>
                      </wps:wsp>
                      <wps:wsp>
                        <wps:cNvPr id="567" name="Text Box 14"/>
                        <wps:cNvSpPr txBox="1">
                          <a:spLocks noChangeArrowheads="1"/>
                        </wps:cNvSpPr>
                        <wps:spPr bwMode="auto">
                          <a:xfrm>
                            <a:off x="2145" y="2940"/>
                            <a:ext cx="163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82F0A" w14:textId="77777777" w:rsidR="00D34F1C" w:rsidRPr="0090118C" w:rsidRDefault="00D34F1C" w:rsidP="00C7217E">
                              <w:pPr>
                                <w:rPr>
                                  <w:sz w:val="16"/>
                                  <w:szCs w:val="16"/>
                                </w:rPr>
                              </w:pPr>
                              <w:r w:rsidRPr="0090118C">
                                <w:rPr>
                                  <w:sz w:val="16"/>
                                  <w:szCs w:val="16"/>
                                </w:rPr>
                                <w:t>SCV_</w:t>
                              </w:r>
                              <w:r>
                                <w:rPr>
                                  <w:sz w:val="16"/>
                                  <w:szCs w:val="16"/>
                                </w:rPr>
                                <w:t>mental_fluency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CF872" id="Group 15" o:spid="_x0000_s1382" style="position:absolute;left:0;text-align:left;margin-left:-1.5pt;margin-top:1.5pt;width:84.75pt;height:189.75pt;z-index:251657234" coordorigin="2145,1470" coordsize="169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">
                <v:shape id="Text Box 7" o:spid="_x0000_s1383" type="#_x0000_t202" style="position:absolute;left:2220;top:147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527494F" w14:textId="77777777" w:rsidR="00D34F1C" w:rsidRPr="0090118C" w:rsidRDefault="00D34F1C" w:rsidP="00C7217E">
                        <w:pPr>
                          <w:rPr>
                            <w:sz w:val="16"/>
                            <w:szCs w:val="16"/>
                          </w:rPr>
                        </w:pPr>
                        <w:proofErr w:type="spellStart"/>
                        <w:r w:rsidRPr="0090118C">
                          <w:rPr>
                            <w:sz w:val="16"/>
                            <w:szCs w:val="16"/>
                          </w:rPr>
                          <w:t>SCV_mental</w:t>
                        </w:r>
                        <w:proofErr w:type="spellEnd"/>
                        <w:r w:rsidRPr="0090118C">
                          <w:rPr>
                            <w:sz w:val="16"/>
                            <w:szCs w:val="16"/>
                          </w:rPr>
                          <w:t xml:space="preserve"> image</w:t>
                        </w:r>
                      </w:p>
                    </w:txbxContent>
                  </v:textbox>
                </v:shape>
                <v:shape id="Text Box 8" o:spid="_x0000_s1384" type="#_x0000_t202" style="position:absolute;left:2220;top:351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4F33FD6B" w14:textId="77777777" w:rsidR="00D34F1C" w:rsidRPr="0090118C" w:rsidRDefault="00D34F1C" w:rsidP="00C7217E">
                        <w:pPr>
                          <w:rPr>
                            <w:sz w:val="16"/>
                            <w:szCs w:val="16"/>
                          </w:rPr>
                        </w:pPr>
                        <w:proofErr w:type="spellStart"/>
                        <w:r w:rsidRPr="0090118C">
                          <w:rPr>
                            <w:sz w:val="16"/>
                            <w:szCs w:val="16"/>
                          </w:rPr>
                          <w:t>SCV_mental</w:t>
                        </w:r>
                        <w:proofErr w:type="spellEnd"/>
                        <w:r w:rsidRPr="0090118C">
                          <w:rPr>
                            <w:sz w:val="16"/>
                            <w:szCs w:val="16"/>
                          </w:rPr>
                          <w:t xml:space="preserve"> image</w:t>
                        </w:r>
                      </w:p>
                    </w:txbxContent>
                  </v:textbox>
                </v:shape>
                <v:shape id="Text Box 9" o:spid="_x0000_s1385" type="#_x0000_t202" style="position:absolute;left:2220;top:195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" stroked="f">
                  <v:textbox>
                    <w:txbxContent>
                      <w:p w14:paraId="188DC1AC" w14:textId="77777777" w:rsidR="00D34F1C" w:rsidRPr="0090118C" w:rsidRDefault="00D34F1C" w:rsidP="00C7217E">
                        <w:pPr>
                          <w:rPr>
                            <w:sz w:val="16"/>
                            <w:szCs w:val="16"/>
                          </w:rPr>
                        </w:pPr>
                        <w:proofErr w:type="spellStart"/>
                        <w:r w:rsidRPr="0090118C">
                          <w:rPr>
                            <w:sz w:val="16"/>
                            <w:szCs w:val="16"/>
                          </w:rPr>
                          <w:t>SCV_</w:t>
                        </w:r>
                        <w:r>
                          <w:rPr>
                            <w:sz w:val="16"/>
                            <w:szCs w:val="16"/>
                          </w:rPr>
                          <w:t>engrossment</w:t>
                        </w:r>
                        <w:proofErr w:type="spellEnd"/>
                      </w:p>
                    </w:txbxContent>
                  </v:textbox>
                </v:shape>
                <v:shape id="Text Box 10" o:spid="_x0000_s1386" type="#_x0000_t202" style="position:absolute;left:2280;top:396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14:paraId="114BA81F" w14:textId="77777777" w:rsidR="00D34F1C" w:rsidRPr="0090118C" w:rsidRDefault="00D34F1C" w:rsidP="00C7217E">
                        <w:pPr>
                          <w:rPr>
                            <w:sz w:val="16"/>
                            <w:szCs w:val="16"/>
                          </w:rPr>
                        </w:pPr>
                        <w:proofErr w:type="spellStart"/>
                        <w:r w:rsidRPr="0090118C">
                          <w:rPr>
                            <w:sz w:val="16"/>
                            <w:szCs w:val="16"/>
                          </w:rPr>
                          <w:t>SCV_</w:t>
                        </w:r>
                        <w:r>
                          <w:rPr>
                            <w:sz w:val="16"/>
                            <w:szCs w:val="16"/>
                          </w:rPr>
                          <w:t>engrossment</w:t>
                        </w:r>
                        <w:proofErr w:type="spellEnd"/>
                      </w:p>
                    </w:txbxContent>
                  </v:textbox>
                </v:shape>
                <v:shape id="Text Box 11" o:spid="_x0000_s1387" type="#_x0000_t202" style="position:absolute;left:2145;top:2385;width:16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" stroked="f">
                  <v:textbox>
                    <w:txbxContent>
                      <w:p w14:paraId="1E7D6F6D" w14:textId="77777777" w:rsidR="00D34F1C" w:rsidRPr="0090118C" w:rsidRDefault="00D34F1C" w:rsidP="00C7217E">
                        <w:pPr>
                          <w:rPr>
                            <w:sz w:val="16"/>
                            <w:szCs w:val="16"/>
                          </w:rPr>
                        </w:pPr>
                        <w:proofErr w:type="spellStart"/>
                        <w:r w:rsidRPr="0090118C">
                          <w:rPr>
                            <w:sz w:val="16"/>
                            <w:szCs w:val="16"/>
                          </w:rPr>
                          <w:t>SCV_</w:t>
                        </w:r>
                        <w:r>
                          <w:rPr>
                            <w:sz w:val="16"/>
                            <w:szCs w:val="16"/>
                          </w:rPr>
                          <w:t>Self_projection</w:t>
                        </w:r>
                        <w:proofErr w:type="spellEnd"/>
                      </w:p>
                    </w:txbxContent>
                  </v:textbox>
                </v:shape>
                <v:shape id="Text Box 12" o:spid="_x0000_s1388" type="#_x0000_t202" style="position:absolute;left:2145;top:4440;width:16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" stroked="f">
                  <v:textbox>
                    <w:txbxContent>
                      <w:p w14:paraId="4D286AFC" w14:textId="77777777" w:rsidR="00D34F1C" w:rsidRPr="0090118C" w:rsidRDefault="00D34F1C" w:rsidP="00C7217E">
                        <w:pPr>
                          <w:rPr>
                            <w:sz w:val="16"/>
                            <w:szCs w:val="16"/>
                          </w:rPr>
                        </w:pPr>
                        <w:proofErr w:type="spellStart"/>
                        <w:r w:rsidRPr="0090118C">
                          <w:rPr>
                            <w:sz w:val="16"/>
                            <w:szCs w:val="16"/>
                          </w:rPr>
                          <w:t>SCV_</w:t>
                        </w:r>
                        <w:r>
                          <w:rPr>
                            <w:sz w:val="16"/>
                            <w:szCs w:val="16"/>
                          </w:rPr>
                          <w:t>self_projection</w:t>
                        </w:r>
                        <w:proofErr w:type="spellEnd"/>
                      </w:p>
                    </w:txbxContent>
                  </v:textbox>
                </v:shape>
                <v:shape id="Text Box 13" o:spid="_x0000_s1389" type="#_x0000_t202" style="position:absolute;left:2145;top:4920;width:16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" stroked="f">
                  <v:textbox>
                    <w:txbxContent>
                      <w:p w14:paraId="229D1CD7" w14:textId="77777777" w:rsidR="00D34F1C" w:rsidRPr="0090118C" w:rsidRDefault="00D34F1C" w:rsidP="00C7217E">
                        <w:pPr>
                          <w:rPr>
                            <w:sz w:val="16"/>
                            <w:szCs w:val="16"/>
                          </w:rPr>
                        </w:pPr>
                        <w:proofErr w:type="spellStart"/>
                        <w:r w:rsidRPr="0090118C">
                          <w:rPr>
                            <w:sz w:val="16"/>
                            <w:szCs w:val="16"/>
                          </w:rPr>
                          <w:t>SCV_</w:t>
                        </w:r>
                        <w:r>
                          <w:rPr>
                            <w:sz w:val="16"/>
                            <w:szCs w:val="16"/>
                          </w:rPr>
                          <w:t>mental_fluency</w:t>
                        </w:r>
                        <w:proofErr w:type="spellEnd"/>
                      </w:p>
                    </w:txbxContent>
                  </v:textbox>
                </v:shape>
                <v:shape id="Text Box 14" o:spid="_x0000_s1390" type="#_x0000_t202" style="position:absolute;left:2145;top:2940;width:16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00682F0A" w14:textId="77777777" w:rsidR="00D34F1C" w:rsidRPr="0090118C" w:rsidRDefault="00D34F1C" w:rsidP="00C7217E">
                        <w:pPr>
                          <w:rPr>
                            <w:sz w:val="16"/>
                            <w:szCs w:val="16"/>
                          </w:rPr>
                        </w:pPr>
                        <w:proofErr w:type="spellStart"/>
                        <w:r w:rsidRPr="0090118C">
                          <w:rPr>
                            <w:sz w:val="16"/>
                            <w:szCs w:val="16"/>
                          </w:rPr>
                          <w:t>SCV_</w:t>
                        </w:r>
                        <w:r>
                          <w:rPr>
                            <w:sz w:val="16"/>
                            <w:szCs w:val="16"/>
                          </w:rPr>
                          <w:t>mental_fluency</w:t>
                        </w:r>
                        <w:proofErr w:type="spellEnd"/>
                      </w:p>
                    </w:txbxContent>
                  </v:textbox>
                </v:shape>
              </v:group>
            </w:pict>
          </mc:Fallback>
        </mc:AlternateContent>
      </w:r>
    </w:p>
    <w:p w14:paraId="58E0F738"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979016D"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42388385" w14:textId="77777777" w:rsidR="00C7217E" w:rsidRPr="00530906" w:rsidRDefault="00C7217E">
      <w:pPr>
        <w:spacing w:line="360" w:lineRule="auto"/>
        <w:jc w:val="both"/>
        <w:rPr>
          <w:rFonts w:ascii="Cambria" w:hAnsi="Cambria"/>
          <w:sz w:val="24"/>
          <w:szCs w:val="24"/>
        </w:rPr>
      </w:pPr>
    </w:p>
    <w:p w14:paraId="0D1A65C1" w14:textId="77777777" w:rsidR="00C7217E" w:rsidRPr="00530906" w:rsidRDefault="00C7217E">
      <w:pPr>
        <w:spacing w:line="360" w:lineRule="auto"/>
        <w:jc w:val="both"/>
        <w:rPr>
          <w:rFonts w:ascii="Cambria" w:hAnsi="Cambria"/>
          <w:sz w:val="24"/>
          <w:szCs w:val="24"/>
        </w:rPr>
      </w:pPr>
    </w:p>
    <w:p w14:paraId="48BE47D2" w14:textId="77777777" w:rsidR="00C7217E" w:rsidRPr="00530906" w:rsidRDefault="00C7217E">
      <w:pPr>
        <w:spacing w:line="360" w:lineRule="auto"/>
        <w:jc w:val="both"/>
        <w:rPr>
          <w:rFonts w:ascii="Cambria" w:hAnsi="Cambria"/>
          <w:sz w:val="24"/>
          <w:szCs w:val="24"/>
        </w:rPr>
      </w:pPr>
    </w:p>
    <w:p w14:paraId="46D631A9" w14:textId="77777777" w:rsidR="00C7217E" w:rsidRPr="00530906" w:rsidRDefault="00C7217E">
      <w:pPr>
        <w:spacing w:line="360" w:lineRule="auto"/>
        <w:jc w:val="both"/>
        <w:rPr>
          <w:rFonts w:ascii="Cambria" w:hAnsi="Cambria"/>
          <w:sz w:val="24"/>
          <w:szCs w:val="24"/>
        </w:rPr>
      </w:pPr>
    </w:p>
    <w:p w14:paraId="223BE93A" w14:textId="77777777" w:rsidR="00C7217E" w:rsidRPr="00530906" w:rsidRDefault="00C7217E">
      <w:pPr>
        <w:spacing w:line="360" w:lineRule="auto"/>
        <w:jc w:val="both"/>
        <w:rPr>
          <w:rFonts w:ascii="Cambria" w:hAnsi="Cambria"/>
          <w:sz w:val="24"/>
          <w:szCs w:val="24"/>
        </w:rPr>
      </w:pPr>
    </w:p>
    <w:p w14:paraId="6F6F1ED3" w14:textId="77777777" w:rsidR="00C7217E" w:rsidRPr="00530906" w:rsidRDefault="00C7217E">
      <w:pPr>
        <w:spacing w:line="360" w:lineRule="auto"/>
        <w:jc w:val="both"/>
        <w:rPr>
          <w:rFonts w:ascii="Cambria" w:hAnsi="Cambria"/>
          <w:sz w:val="24"/>
          <w:szCs w:val="24"/>
        </w:rPr>
      </w:pPr>
    </w:p>
    <w:p w14:paraId="14FE6CCE" w14:textId="77777777" w:rsidR="00C7217E" w:rsidRPr="00530906" w:rsidRDefault="00C7217E">
      <w:pPr>
        <w:spacing w:line="360" w:lineRule="auto"/>
        <w:jc w:val="both"/>
        <w:rPr>
          <w:rFonts w:ascii="Cambria" w:hAnsi="Cambria"/>
          <w:sz w:val="24"/>
          <w:szCs w:val="24"/>
        </w:rPr>
      </w:pPr>
    </w:p>
    <w:p w14:paraId="7FA0E0E4"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59E084A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154E2EB9"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73633530" w14:textId="77777777" w:rsidR="00C7217E" w:rsidRPr="00530906" w:rsidRDefault="00C7217E">
      <w:pPr>
        <w:spacing w:line="360" w:lineRule="auto"/>
        <w:jc w:val="both"/>
        <w:rPr>
          <w:rFonts w:ascii="Cambria" w:hAnsi="Cambria"/>
          <w:sz w:val="24"/>
          <w:szCs w:val="24"/>
        </w:rPr>
      </w:pPr>
    </w:p>
    <w:p w14:paraId="3FFC654E" w14:textId="77777777" w:rsidR="00C7217E" w:rsidRPr="00530906" w:rsidRDefault="00C7217E">
      <w:pPr>
        <w:spacing w:line="360" w:lineRule="auto"/>
        <w:jc w:val="both"/>
        <w:rPr>
          <w:rFonts w:ascii="Cambria" w:hAnsi="Cambria"/>
          <w:sz w:val="24"/>
          <w:szCs w:val="24"/>
        </w:rPr>
      </w:pPr>
    </w:p>
    <w:p w14:paraId="50C72658" w14:textId="77777777" w:rsidR="00C7217E" w:rsidRPr="00530906" w:rsidRDefault="00C7217E">
      <w:pPr>
        <w:spacing w:line="360" w:lineRule="auto"/>
        <w:jc w:val="both"/>
        <w:rPr>
          <w:rFonts w:ascii="Cambria" w:hAnsi="Cambria"/>
          <w:sz w:val="24"/>
          <w:szCs w:val="24"/>
        </w:rPr>
      </w:pPr>
    </w:p>
    <w:p w14:paraId="0316E2FA" w14:textId="77777777" w:rsidR="00C7217E" w:rsidRPr="00530906" w:rsidRDefault="00C7217E">
      <w:pPr>
        <w:spacing w:line="360" w:lineRule="auto"/>
        <w:jc w:val="both"/>
        <w:rPr>
          <w:rFonts w:ascii="Cambria" w:hAnsi="Cambria"/>
          <w:sz w:val="24"/>
          <w:szCs w:val="24"/>
        </w:rPr>
      </w:pPr>
    </w:p>
    <w:p w14:paraId="200E3E9B" w14:textId="5B016076" w:rsidR="00C7217E" w:rsidRDefault="00C7217E">
      <w:pPr>
        <w:spacing w:line="360" w:lineRule="auto"/>
        <w:jc w:val="both"/>
        <w:rPr>
          <w:rFonts w:ascii="Cambria" w:hAnsi="Cambria"/>
          <w:sz w:val="24"/>
          <w:szCs w:val="24"/>
        </w:rPr>
      </w:pPr>
    </w:p>
    <w:p w14:paraId="5EDE7ECF" w14:textId="18B3B347" w:rsidR="00242A2A" w:rsidRDefault="00242A2A">
      <w:pPr>
        <w:spacing w:line="360" w:lineRule="auto"/>
        <w:jc w:val="both"/>
        <w:rPr>
          <w:rFonts w:ascii="Cambria" w:hAnsi="Cambria"/>
          <w:sz w:val="24"/>
          <w:szCs w:val="24"/>
        </w:rPr>
      </w:pPr>
    </w:p>
    <w:p w14:paraId="1C80CB53" w14:textId="74263442" w:rsidR="00242A2A" w:rsidRDefault="00242A2A">
      <w:pPr>
        <w:spacing w:line="360" w:lineRule="auto"/>
        <w:jc w:val="both"/>
        <w:rPr>
          <w:rFonts w:ascii="Cambria" w:hAnsi="Cambria"/>
          <w:sz w:val="24"/>
          <w:szCs w:val="24"/>
        </w:rPr>
      </w:pPr>
    </w:p>
    <w:p w14:paraId="78AFBD03" w14:textId="08F311CE" w:rsidR="000E26B0" w:rsidRDefault="000E26B0">
      <w:pPr>
        <w:spacing w:line="360" w:lineRule="auto"/>
        <w:jc w:val="both"/>
        <w:rPr>
          <w:rFonts w:ascii="Cambria" w:hAnsi="Cambria"/>
          <w:sz w:val="24"/>
          <w:szCs w:val="24"/>
        </w:rPr>
      </w:pPr>
    </w:p>
    <w:p w14:paraId="5D84731C" w14:textId="6762EEB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r w:rsidRPr="00530906">
        <w:rPr>
          <w:rFonts w:ascii="Cambria" w:hAnsi="Cambria" w:cs="Times New Roman"/>
          <w:sz w:val="24"/>
          <w:szCs w:val="24"/>
          <w:lang w:val="en-US"/>
        </w:rPr>
        <w:t>Table 1</w:t>
      </w:r>
      <w:r w:rsidR="000E26B0">
        <w:rPr>
          <w:rFonts w:ascii="Cambria" w:hAnsi="Cambria" w:cs="Times New Roman"/>
          <w:sz w:val="24"/>
          <w:szCs w:val="24"/>
          <w:lang w:val="en-US"/>
        </w:rPr>
        <w:t>4</w:t>
      </w:r>
      <w:r w:rsidRPr="00530906">
        <w:rPr>
          <w:rFonts w:ascii="Cambria" w:hAnsi="Cambria" w:cs="Times New Roman"/>
          <w:sz w:val="24"/>
          <w:szCs w:val="24"/>
          <w:lang w:val="en-US"/>
        </w:rPr>
        <w:t>: Correlation matrix of DVs of MANOVA and two way MANOVA</w:t>
      </w: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6"/>
        <w:gridCol w:w="1274"/>
        <w:gridCol w:w="41"/>
        <w:gridCol w:w="1487"/>
        <w:gridCol w:w="1485"/>
        <w:gridCol w:w="45"/>
        <w:gridCol w:w="1442"/>
      </w:tblGrid>
      <w:tr w:rsidR="00C7217E" w:rsidRPr="00530906" w14:paraId="4DB427C9" w14:textId="77777777" w:rsidTr="00C7217E">
        <w:trPr>
          <w:cantSplit/>
        </w:trPr>
        <w:tc>
          <w:tcPr>
            <w:tcW w:w="3330" w:type="dxa"/>
            <w:gridSpan w:val="2"/>
            <w:tcBorders>
              <w:top w:val="nil"/>
              <w:left w:val="nil"/>
              <w:bottom w:val="single" w:sz="8" w:space="0" w:color="152935"/>
              <w:right w:val="single" w:sz="8" w:space="0" w:color="E0E0E0"/>
            </w:tcBorders>
            <w:shd w:val="clear" w:color="auto" w:fill="FFFFFF"/>
            <w:vAlign w:val="bottom"/>
          </w:tcPr>
          <w:p w14:paraId="3D40EFD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SCV_Image</w:t>
            </w:r>
          </w:p>
        </w:tc>
        <w:tc>
          <w:tcPr>
            <w:tcW w:w="1528" w:type="dxa"/>
            <w:gridSpan w:val="2"/>
            <w:tcBorders>
              <w:top w:val="nil"/>
              <w:left w:val="single" w:sz="8" w:space="0" w:color="E0E0E0"/>
              <w:bottom w:val="single" w:sz="8" w:space="0" w:color="152935"/>
              <w:right w:val="single" w:sz="8" w:space="0" w:color="E0E0E0"/>
            </w:tcBorders>
            <w:shd w:val="clear" w:color="auto" w:fill="FFFFFF"/>
            <w:vAlign w:val="bottom"/>
          </w:tcPr>
          <w:p w14:paraId="7F3E99F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w:t>
            </w:r>
          </w:p>
          <w:p w14:paraId="1FA5B12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engrossment</w:t>
            </w:r>
          </w:p>
        </w:tc>
        <w:tc>
          <w:tcPr>
            <w:tcW w:w="1530" w:type="dxa"/>
            <w:gridSpan w:val="2"/>
            <w:tcBorders>
              <w:top w:val="nil"/>
              <w:left w:val="single" w:sz="8" w:space="0" w:color="E0E0E0"/>
              <w:bottom w:val="single" w:sz="8" w:space="0" w:color="152935"/>
              <w:right w:val="single" w:sz="8" w:space="0" w:color="E0E0E0"/>
            </w:tcBorders>
            <w:shd w:val="clear" w:color="auto" w:fill="FFFFFF"/>
            <w:vAlign w:val="bottom"/>
          </w:tcPr>
          <w:p w14:paraId="328950E0"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SCV_self_</w:t>
            </w:r>
          </w:p>
          <w:p w14:paraId="58F06DF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projection</w:t>
            </w:r>
          </w:p>
        </w:tc>
        <w:tc>
          <w:tcPr>
            <w:tcW w:w="1442" w:type="dxa"/>
            <w:tcBorders>
              <w:top w:val="nil"/>
              <w:left w:val="single" w:sz="8" w:space="0" w:color="E0E0E0"/>
              <w:bottom w:val="single" w:sz="8" w:space="0" w:color="152935"/>
              <w:right w:val="nil"/>
            </w:tcBorders>
            <w:shd w:val="clear" w:color="auto" w:fill="FFFFFF"/>
            <w:vAlign w:val="bottom"/>
          </w:tcPr>
          <w:p w14:paraId="1AB6F58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SCV_mental_</w:t>
            </w:r>
          </w:p>
          <w:p w14:paraId="77F6AF68"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fluency</w:t>
            </w:r>
          </w:p>
        </w:tc>
      </w:tr>
      <w:tr w:rsidR="00C7217E" w:rsidRPr="00530906" w14:paraId="4407530D" w14:textId="77777777" w:rsidTr="00C7217E">
        <w:trPr>
          <w:cantSplit/>
        </w:trPr>
        <w:tc>
          <w:tcPr>
            <w:tcW w:w="2056" w:type="dxa"/>
            <w:tcBorders>
              <w:top w:val="single" w:sz="8" w:space="0" w:color="152935"/>
              <w:left w:val="nil"/>
              <w:bottom w:val="nil"/>
              <w:right w:val="nil"/>
            </w:tcBorders>
            <w:shd w:val="clear" w:color="auto" w:fill="E0E0E0"/>
          </w:tcPr>
          <w:p w14:paraId="13671F5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SCV_Image</w:t>
            </w:r>
          </w:p>
        </w:tc>
        <w:tc>
          <w:tcPr>
            <w:tcW w:w="1315" w:type="dxa"/>
            <w:gridSpan w:val="2"/>
            <w:tcBorders>
              <w:top w:val="single" w:sz="8" w:space="0" w:color="152935"/>
              <w:left w:val="nil"/>
              <w:bottom w:val="single" w:sz="8" w:space="0" w:color="AEAEAE"/>
              <w:right w:val="single" w:sz="8" w:space="0" w:color="E0E0E0"/>
            </w:tcBorders>
            <w:shd w:val="clear" w:color="auto" w:fill="FFFFFF"/>
          </w:tcPr>
          <w:p w14:paraId="762B085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7" w:type="dxa"/>
            <w:tcBorders>
              <w:top w:val="single" w:sz="8" w:space="0" w:color="152935"/>
              <w:left w:val="single" w:sz="8" w:space="0" w:color="E0E0E0"/>
              <w:bottom w:val="single" w:sz="8" w:space="0" w:color="AEAEAE"/>
              <w:right w:val="single" w:sz="8" w:space="0" w:color="E0E0E0"/>
            </w:tcBorders>
            <w:shd w:val="clear" w:color="auto" w:fill="FFFFFF"/>
          </w:tcPr>
          <w:p w14:paraId="6BEC4F2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5" w:type="dxa"/>
            <w:tcBorders>
              <w:top w:val="single" w:sz="8" w:space="0" w:color="152935"/>
              <w:left w:val="single" w:sz="8" w:space="0" w:color="E0E0E0"/>
              <w:bottom w:val="single" w:sz="8" w:space="0" w:color="AEAEAE"/>
              <w:right w:val="single" w:sz="8" w:space="0" w:color="E0E0E0"/>
            </w:tcBorders>
            <w:shd w:val="clear" w:color="auto" w:fill="FFFFFF"/>
          </w:tcPr>
          <w:p w14:paraId="63A602C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7" w:type="dxa"/>
            <w:gridSpan w:val="2"/>
            <w:tcBorders>
              <w:top w:val="single" w:sz="8" w:space="0" w:color="152935"/>
              <w:left w:val="single" w:sz="8" w:space="0" w:color="E0E0E0"/>
              <w:bottom w:val="single" w:sz="8" w:space="0" w:color="AEAEAE"/>
              <w:right w:val="nil"/>
            </w:tcBorders>
            <w:shd w:val="clear" w:color="auto" w:fill="FFFFFF"/>
          </w:tcPr>
          <w:p w14:paraId="72C67F1C"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r>
      <w:tr w:rsidR="00C7217E" w:rsidRPr="00530906" w14:paraId="394519D5" w14:textId="77777777" w:rsidTr="00C7217E">
        <w:trPr>
          <w:cantSplit/>
        </w:trPr>
        <w:tc>
          <w:tcPr>
            <w:tcW w:w="2056" w:type="dxa"/>
            <w:tcBorders>
              <w:top w:val="single" w:sz="8" w:space="0" w:color="AEAEAE"/>
              <w:left w:val="nil"/>
              <w:bottom w:val="nil"/>
              <w:right w:val="nil"/>
            </w:tcBorders>
            <w:shd w:val="clear" w:color="auto" w:fill="E0E0E0"/>
          </w:tcPr>
          <w:p w14:paraId="6809F98E"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SCV_engrossment</w:t>
            </w:r>
          </w:p>
        </w:tc>
        <w:tc>
          <w:tcPr>
            <w:tcW w:w="1315" w:type="dxa"/>
            <w:gridSpan w:val="2"/>
            <w:tcBorders>
              <w:top w:val="single" w:sz="8" w:space="0" w:color="AEAEAE"/>
              <w:left w:val="nil"/>
              <w:bottom w:val="single" w:sz="8" w:space="0" w:color="AEAEAE"/>
              <w:right w:val="single" w:sz="8" w:space="0" w:color="E0E0E0"/>
            </w:tcBorders>
            <w:shd w:val="clear" w:color="auto" w:fill="FFFFFF"/>
          </w:tcPr>
          <w:p w14:paraId="61B7A2A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.202</w:t>
            </w:r>
            <w:r w:rsidRPr="00530906">
              <w:rPr>
                <w:rFonts w:ascii="Cambria" w:hAnsi="Cambria" w:cs="Arial"/>
                <w:sz w:val="18"/>
                <w:szCs w:val="18"/>
                <w:vertAlign w:val="superscript"/>
                <w:lang w:val="en-US"/>
              </w:rPr>
              <w:t>**</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CE73030"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2C308DA3"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7" w:type="dxa"/>
            <w:gridSpan w:val="2"/>
            <w:tcBorders>
              <w:top w:val="single" w:sz="8" w:space="0" w:color="AEAEAE"/>
              <w:left w:val="single" w:sz="8" w:space="0" w:color="E0E0E0"/>
              <w:bottom w:val="single" w:sz="8" w:space="0" w:color="AEAEAE"/>
              <w:right w:val="nil"/>
            </w:tcBorders>
            <w:shd w:val="clear" w:color="auto" w:fill="FFFFFF"/>
          </w:tcPr>
          <w:p w14:paraId="5DB664C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r>
      <w:tr w:rsidR="00C7217E" w:rsidRPr="00530906" w14:paraId="6628E049" w14:textId="77777777" w:rsidTr="00C7217E">
        <w:trPr>
          <w:cantSplit/>
        </w:trPr>
        <w:tc>
          <w:tcPr>
            <w:tcW w:w="2056" w:type="dxa"/>
            <w:tcBorders>
              <w:top w:val="single" w:sz="8" w:space="0" w:color="AEAEAE"/>
              <w:left w:val="nil"/>
              <w:bottom w:val="nil"/>
              <w:right w:val="nil"/>
            </w:tcBorders>
            <w:shd w:val="clear" w:color="auto" w:fill="E0E0E0"/>
          </w:tcPr>
          <w:p w14:paraId="2AFCDDAB"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SCV_self_projection</w:t>
            </w:r>
          </w:p>
        </w:tc>
        <w:tc>
          <w:tcPr>
            <w:tcW w:w="1315" w:type="dxa"/>
            <w:gridSpan w:val="2"/>
            <w:tcBorders>
              <w:top w:val="single" w:sz="8" w:space="0" w:color="AEAEAE"/>
              <w:left w:val="nil"/>
              <w:bottom w:val="single" w:sz="8" w:space="0" w:color="AEAEAE"/>
              <w:right w:val="single" w:sz="8" w:space="0" w:color="E0E0E0"/>
            </w:tcBorders>
            <w:shd w:val="clear" w:color="auto" w:fill="FFFFFF"/>
          </w:tcPr>
          <w:p w14:paraId="41D0A211"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.529</w:t>
            </w:r>
            <w:r w:rsidRPr="00530906">
              <w:rPr>
                <w:rFonts w:ascii="Cambria" w:hAnsi="Cambria" w:cs="Arial"/>
                <w:sz w:val="18"/>
                <w:szCs w:val="18"/>
                <w:vertAlign w:val="superscript"/>
                <w:lang w:val="en-US"/>
              </w:rPr>
              <w:t>**</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7BE641CF"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.369</w:t>
            </w:r>
            <w:r w:rsidRPr="00530906">
              <w:rPr>
                <w:rFonts w:ascii="Cambria" w:hAnsi="Cambria" w:cs="Arial"/>
                <w:sz w:val="18"/>
                <w:szCs w:val="18"/>
                <w:vertAlign w:val="superscript"/>
                <w:lang w:val="en-US"/>
              </w:rPr>
              <w:t>**</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4B77A80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c>
          <w:tcPr>
            <w:tcW w:w="1487" w:type="dxa"/>
            <w:gridSpan w:val="2"/>
            <w:tcBorders>
              <w:top w:val="single" w:sz="8" w:space="0" w:color="AEAEAE"/>
              <w:left w:val="single" w:sz="8" w:space="0" w:color="E0E0E0"/>
              <w:bottom w:val="single" w:sz="8" w:space="0" w:color="AEAEAE"/>
              <w:right w:val="nil"/>
            </w:tcBorders>
            <w:shd w:val="clear" w:color="auto" w:fill="FFFFFF"/>
          </w:tcPr>
          <w:p w14:paraId="4875B18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r>
      <w:tr w:rsidR="00C7217E" w:rsidRPr="00530906" w14:paraId="6BBAE5C6" w14:textId="77777777" w:rsidTr="00C7217E">
        <w:trPr>
          <w:cantSplit/>
        </w:trPr>
        <w:tc>
          <w:tcPr>
            <w:tcW w:w="2056" w:type="dxa"/>
            <w:tcBorders>
              <w:top w:val="single" w:sz="8" w:space="0" w:color="AEAEAE"/>
              <w:left w:val="nil"/>
              <w:bottom w:val="single" w:sz="8" w:space="0" w:color="152935"/>
              <w:right w:val="nil"/>
            </w:tcBorders>
            <w:shd w:val="clear" w:color="auto" w:fill="E0E0E0"/>
          </w:tcPr>
          <w:p w14:paraId="4931329A"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SCV_mental_fluency</w:t>
            </w:r>
          </w:p>
        </w:tc>
        <w:tc>
          <w:tcPr>
            <w:tcW w:w="1315" w:type="dxa"/>
            <w:gridSpan w:val="2"/>
            <w:tcBorders>
              <w:top w:val="single" w:sz="8" w:space="0" w:color="AEAEAE"/>
              <w:left w:val="nil"/>
              <w:bottom w:val="single" w:sz="8" w:space="0" w:color="AEAEAE"/>
              <w:right w:val="single" w:sz="8" w:space="0" w:color="E0E0E0"/>
            </w:tcBorders>
            <w:shd w:val="clear" w:color="auto" w:fill="FFFFFF"/>
          </w:tcPr>
          <w:p w14:paraId="7F6F0EDD"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.449</w:t>
            </w:r>
            <w:r w:rsidRPr="00530906">
              <w:rPr>
                <w:rFonts w:ascii="Cambria" w:hAnsi="Cambria" w:cs="Arial"/>
                <w:sz w:val="18"/>
                <w:szCs w:val="18"/>
                <w:vertAlign w:val="superscript"/>
                <w:lang w:val="en-US"/>
              </w:rPr>
              <w:t>**</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629A3B14"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.199</w:t>
            </w:r>
            <w:r w:rsidRPr="00530906">
              <w:rPr>
                <w:rFonts w:ascii="Cambria" w:hAnsi="Cambria" w:cs="Arial"/>
                <w:sz w:val="18"/>
                <w:szCs w:val="18"/>
                <w:vertAlign w:val="superscript"/>
                <w:lang w:val="en-US"/>
              </w:rPr>
              <w:t>**</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51D965C7"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r w:rsidRPr="00530906">
              <w:rPr>
                <w:rFonts w:ascii="Cambria" w:hAnsi="Cambria" w:cs="Arial"/>
                <w:sz w:val="18"/>
                <w:szCs w:val="18"/>
                <w:lang w:val="en-US"/>
              </w:rPr>
              <w:t>.696</w:t>
            </w:r>
            <w:r w:rsidRPr="00530906">
              <w:rPr>
                <w:rFonts w:ascii="Cambria" w:hAnsi="Cambria" w:cs="Arial"/>
                <w:sz w:val="18"/>
                <w:szCs w:val="18"/>
                <w:vertAlign w:val="superscript"/>
                <w:lang w:val="en-US"/>
              </w:rPr>
              <w:t>**</w:t>
            </w:r>
          </w:p>
        </w:tc>
        <w:tc>
          <w:tcPr>
            <w:tcW w:w="1487" w:type="dxa"/>
            <w:gridSpan w:val="2"/>
            <w:tcBorders>
              <w:top w:val="single" w:sz="8" w:space="0" w:color="AEAEAE"/>
              <w:left w:val="single" w:sz="8" w:space="0" w:color="E0E0E0"/>
              <w:bottom w:val="single" w:sz="8" w:space="0" w:color="AEAEAE"/>
              <w:right w:val="nil"/>
            </w:tcBorders>
            <w:shd w:val="clear" w:color="auto" w:fill="FFFFFF"/>
          </w:tcPr>
          <w:p w14:paraId="1C225245" w14:textId="77777777" w:rsidR="00C7217E" w:rsidRPr="00530906" w:rsidRDefault="00C7217E" w:rsidP="008756B1">
            <w:pPr>
              <w:autoSpaceDE w:val="0"/>
              <w:autoSpaceDN w:val="0"/>
              <w:adjustRightInd w:val="0"/>
              <w:spacing w:after="0" w:line="320" w:lineRule="atLeast"/>
              <w:ind w:left="60" w:right="60"/>
              <w:jc w:val="both"/>
              <w:rPr>
                <w:rFonts w:ascii="Cambria" w:hAnsi="Cambria" w:cs="Arial"/>
                <w:sz w:val="18"/>
                <w:szCs w:val="18"/>
                <w:lang w:val="en-US"/>
              </w:rPr>
            </w:pPr>
          </w:p>
        </w:tc>
      </w:tr>
    </w:tbl>
    <w:p w14:paraId="7C0DCC6B"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38682FDD" w14:textId="0894CF47" w:rsidR="00C7217E" w:rsidRPr="00530906" w:rsidRDefault="00C7217E">
      <w:pPr>
        <w:autoSpaceDE w:val="0"/>
        <w:autoSpaceDN w:val="0"/>
        <w:adjustRightInd w:val="0"/>
        <w:spacing w:after="0" w:line="400" w:lineRule="atLeast"/>
        <w:jc w:val="both"/>
        <w:rPr>
          <w:rFonts w:ascii="Cambria" w:hAnsi="Cambria" w:cs="Times New Roman"/>
          <w:sz w:val="24"/>
          <w:szCs w:val="24"/>
          <w:lang w:val="en-US"/>
        </w:rPr>
      </w:pPr>
      <w:r w:rsidRPr="00530906">
        <w:rPr>
          <w:rFonts w:ascii="Cambria" w:hAnsi="Cambria" w:cs="Times New Roman"/>
          <w:sz w:val="24"/>
          <w:szCs w:val="24"/>
          <w:lang w:val="en-US"/>
        </w:rPr>
        <w:t xml:space="preserve">MANOVA is a most effective with moderately related dependent variables (DV). Correlation of .8 or .9 represents the risk of </w:t>
      </w:r>
      <w:r w:rsidR="00B517C2" w:rsidRPr="00530906">
        <w:rPr>
          <w:rFonts w:ascii="Cambria" w:hAnsi="Cambria" w:cs="Times New Roman"/>
          <w:sz w:val="24"/>
          <w:szCs w:val="24"/>
          <w:lang w:val="en-US"/>
        </w:rPr>
        <w:t>multicollinearity</w:t>
      </w:r>
      <w:r w:rsidRPr="00530906">
        <w:rPr>
          <w:rFonts w:ascii="Cambria" w:hAnsi="Cambria" w:cs="Times New Roman"/>
          <w:sz w:val="24"/>
          <w:szCs w:val="24"/>
          <w:lang w:val="en-US"/>
        </w:rPr>
        <w:t>. Matrix scatter plot (Fig 1</w:t>
      </w:r>
      <w:r w:rsidR="004F0DC4">
        <w:rPr>
          <w:rFonts w:ascii="Cambria" w:hAnsi="Cambria" w:cs="Times New Roman"/>
          <w:sz w:val="24"/>
          <w:szCs w:val="24"/>
          <w:lang w:val="en-US"/>
        </w:rPr>
        <w:t>7</w:t>
      </w:r>
      <w:r w:rsidRPr="00530906">
        <w:rPr>
          <w:rFonts w:ascii="Cambria" w:hAnsi="Cambria" w:cs="Times New Roman"/>
          <w:sz w:val="24"/>
          <w:szCs w:val="24"/>
          <w:lang w:val="en-US"/>
        </w:rPr>
        <w:t>) shows moderate linear relationship and correlation matrix (table 1</w:t>
      </w:r>
      <w:r w:rsidR="00106D8F">
        <w:rPr>
          <w:rFonts w:ascii="Cambria" w:hAnsi="Cambria" w:cs="Times New Roman"/>
          <w:sz w:val="24"/>
          <w:szCs w:val="24"/>
          <w:lang w:val="en-US"/>
        </w:rPr>
        <w:t>4</w:t>
      </w:r>
      <w:r w:rsidRPr="00530906">
        <w:rPr>
          <w:rFonts w:ascii="Cambria" w:hAnsi="Cambria" w:cs="Times New Roman"/>
          <w:sz w:val="24"/>
          <w:szCs w:val="24"/>
          <w:lang w:val="en-US"/>
        </w:rPr>
        <w:t>) shows moderate relationship except correlation between SCV_image vs SCV_engrossmennt and SCV_mental_fluency vs SCV_engrossmennt. However, non</w:t>
      </w:r>
      <w:r w:rsidR="004179CD" w:rsidRPr="00530906">
        <w:rPr>
          <w:rFonts w:ascii="Cambria" w:hAnsi="Cambria" w:cs="Times New Roman"/>
          <w:sz w:val="24"/>
          <w:szCs w:val="24"/>
          <w:lang w:val="en-US"/>
        </w:rPr>
        <w:t>–</w:t>
      </w:r>
      <w:r w:rsidRPr="00530906">
        <w:rPr>
          <w:rFonts w:ascii="Cambria" w:hAnsi="Cambria" w:cs="Times New Roman"/>
          <w:sz w:val="24"/>
          <w:szCs w:val="24"/>
          <w:lang w:val="en-US"/>
        </w:rPr>
        <w:t xml:space="preserve">significant Box’s M test </w:t>
      </w:r>
      <w:r w:rsidRPr="00530906">
        <w:rPr>
          <w:rFonts w:ascii="Cambria" w:hAnsi="Cambria" w:cs="Times New Roman"/>
          <w:bCs/>
          <w:sz w:val="24"/>
          <w:szCs w:val="24"/>
          <w:lang w:val="en-US"/>
        </w:rPr>
        <w:t>of Equality of Covariance Matrices shows robustness of the MANOVA and two–way MANOVA analysis, which are</w:t>
      </w:r>
      <w:r w:rsidRPr="00530906">
        <w:rPr>
          <w:rFonts w:ascii="Cambria" w:hAnsi="Cambria"/>
          <w:sz w:val="24"/>
          <w:szCs w:val="24"/>
          <w:lang w:val="en-US"/>
        </w:rPr>
        <w:t xml:space="preserve"> of p = .064 and p = .066 respectively. So even if the assumptions are not met properly, the analysis still generates valid results (see </w:t>
      </w:r>
      <w:r w:rsidR="00A7286E">
        <w:rPr>
          <w:rFonts w:ascii="Cambria" w:hAnsi="Cambria"/>
          <w:sz w:val="24"/>
          <w:szCs w:val="24"/>
          <w:lang w:val="en-US"/>
        </w:rPr>
        <w:t>Pallant</w:t>
      </w:r>
      <w:r w:rsidRPr="00530906">
        <w:rPr>
          <w:rFonts w:ascii="Cambria" w:hAnsi="Cambria"/>
          <w:sz w:val="24"/>
          <w:szCs w:val="24"/>
          <w:lang w:val="en-US"/>
        </w:rPr>
        <w:t xml:space="preserve"> 2010)</w:t>
      </w:r>
    </w:p>
    <w:p w14:paraId="10010908"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12C41FEC" w14:textId="047B81FB" w:rsidR="00C7217E" w:rsidRPr="00530906" w:rsidRDefault="00C7217E">
      <w:pPr>
        <w:spacing w:line="360" w:lineRule="auto"/>
        <w:jc w:val="both"/>
        <w:rPr>
          <w:rFonts w:ascii="Cambria" w:hAnsi="Cambria"/>
          <w:sz w:val="24"/>
          <w:szCs w:val="24"/>
        </w:rPr>
      </w:pPr>
      <w:r w:rsidRPr="00530906">
        <w:rPr>
          <w:rFonts w:ascii="Cambria" w:hAnsi="Cambria"/>
          <w:sz w:val="24"/>
          <w:szCs w:val="24"/>
          <w:lang w:val="en-US"/>
        </w:rPr>
        <w:t>According to Cohen (1988, p, 387), for analysis like ANOVA sample size should be N = 42 for level of significance .05, u = 1 (2 means to be compared – 1), .40 effect size, which is deemed to be large effect size and .95 desired power, which is higher than the adequate desired power .80. For two–way ANOVA the minimum sample size should be N = 34 for u = 3 (4 means to be compared – 1). The assumptions for ANOVA and two</w:t>
      </w:r>
      <w:r w:rsidR="004179CD" w:rsidRPr="00530906">
        <w:rPr>
          <w:rFonts w:ascii="Cambria" w:hAnsi="Cambria"/>
          <w:sz w:val="24"/>
          <w:szCs w:val="24"/>
          <w:lang w:val="en-US"/>
        </w:rPr>
        <w:t>–</w:t>
      </w:r>
      <w:r w:rsidRPr="00530906">
        <w:rPr>
          <w:rFonts w:ascii="Cambria" w:hAnsi="Cambria"/>
          <w:sz w:val="24"/>
          <w:szCs w:val="24"/>
          <w:lang w:val="en-US"/>
        </w:rPr>
        <w:t>way ANOVA were met with 279 sample size and non–significant Levene’s test representing heterogeneity of variance. For ANOVA the level of significance of Levene’s test is, p = .171 and for two</w:t>
      </w:r>
      <w:r w:rsidR="004179CD" w:rsidRPr="00530906">
        <w:rPr>
          <w:rFonts w:ascii="Cambria" w:hAnsi="Cambria"/>
          <w:sz w:val="24"/>
          <w:szCs w:val="24"/>
          <w:lang w:val="en-US"/>
        </w:rPr>
        <w:t>–</w:t>
      </w:r>
      <w:r w:rsidRPr="00530906">
        <w:rPr>
          <w:rFonts w:ascii="Cambria" w:hAnsi="Cambria"/>
          <w:sz w:val="24"/>
          <w:szCs w:val="24"/>
          <w:lang w:val="en-US"/>
        </w:rPr>
        <w:t xml:space="preserve">way ANOVA it is p = .057 (see </w:t>
      </w:r>
      <w:r w:rsidR="00A7286E">
        <w:rPr>
          <w:rFonts w:ascii="Cambria" w:hAnsi="Cambria"/>
          <w:sz w:val="24"/>
          <w:szCs w:val="24"/>
          <w:lang w:val="en-US"/>
        </w:rPr>
        <w:t>Pallant</w:t>
      </w:r>
      <w:r w:rsidRPr="00530906">
        <w:rPr>
          <w:rFonts w:ascii="Cambria" w:hAnsi="Cambria"/>
          <w:sz w:val="24"/>
          <w:szCs w:val="24"/>
          <w:lang w:val="en-US"/>
        </w:rPr>
        <w:t xml:space="preserve"> 2010).</w:t>
      </w:r>
    </w:p>
    <w:p w14:paraId="09095410" w14:textId="1A7A6642" w:rsidR="00C7217E" w:rsidRPr="00530906" w:rsidRDefault="00C7217E">
      <w:pPr>
        <w:spacing w:line="360" w:lineRule="auto"/>
        <w:jc w:val="both"/>
        <w:rPr>
          <w:rFonts w:ascii="Cambria" w:hAnsi="Cambria"/>
          <w:bCs/>
          <w:sz w:val="24"/>
          <w:szCs w:val="24"/>
          <w:lang w:val="en-US"/>
        </w:rPr>
      </w:pPr>
      <w:r w:rsidRPr="00530906">
        <w:rPr>
          <w:rFonts w:ascii="Cambria" w:hAnsi="Cambria"/>
          <w:sz w:val="24"/>
          <w:szCs w:val="24"/>
        </w:rPr>
        <w:t>For multiple regression, the sample size should be “</w:t>
      </w:r>
      <w:r w:rsidRPr="00530906">
        <w:rPr>
          <w:rFonts w:ascii="Cambria" w:hAnsi="Cambria"/>
          <w:i/>
          <w:iCs/>
          <w:sz w:val="24"/>
          <w:szCs w:val="24"/>
          <w:lang w:val="en-US"/>
        </w:rPr>
        <w:t xml:space="preserve">N &gt;= </w:t>
      </w:r>
      <w:r w:rsidRPr="00530906">
        <w:rPr>
          <w:rFonts w:ascii="Cambria" w:hAnsi="Cambria"/>
          <w:sz w:val="24"/>
          <w:szCs w:val="24"/>
          <w:lang w:val="en-US"/>
        </w:rPr>
        <w:t>50 + 8</w:t>
      </w:r>
      <w:r w:rsidRPr="00530906">
        <w:rPr>
          <w:rFonts w:ascii="Cambria" w:hAnsi="Cambria"/>
          <w:i/>
          <w:iCs/>
          <w:sz w:val="24"/>
          <w:szCs w:val="24"/>
          <w:lang w:val="en-US"/>
        </w:rPr>
        <w:t xml:space="preserve">m </w:t>
      </w:r>
      <w:r w:rsidRPr="00530906">
        <w:rPr>
          <w:rFonts w:ascii="Cambria" w:hAnsi="Cambria"/>
          <w:sz w:val="24"/>
          <w:szCs w:val="24"/>
          <w:lang w:val="en-US"/>
        </w:rPr>
        <w:t xml:space="preserve">(where </w:t>
      </w:r>
      <w:r w:rsidRPr="00530906">
        <w:rPr>
          <w:rFonts w:ascii="Cambria" w:hAnsi="Cambria"/>
          <w:i/>
          <w:iCs/>
          <w:sz w:val="24"/>
          <w:szCs w:val="24"/>
          <w:lang w:val="en-US"/>
        </w:rPr>
        <w:t xml:space="preserve">m </w:t>
      </w:r>
      <w:r w:rsidRPr="00530906">
        <w:rPr>
          <w:rFonts w:ascii="Cambria" w:hAnsi="Cambria"/>
          <w:sz w:val="24"/>
          <w:szCs w:val="24"/>
          <w:lang w:val="en-US"/>
        </w:rPr>
        <w:t xml:space="preserve">is the number of IVs) for testing the multiple correlation and </w:t>
      </w:r>
      <w:r w:rsidRPr="00530906">
        <w:rPr>
          <w:rFonts w:ascii="Cambria" w:hAnsi="Cambria"/>
          <w:i/>
          <w:iCs/>
          <w:sz w:val="24"/>
          <w:szCs w:val="24"/>
          <w:lang w:val="en-US"/>
        </w:rPr>
        <w:t xml:space="preserve">N &gt;= </w:t>
      </w:r>
      <w:r w:rsidRPr="00530906">
        <w:rPr>
          <w:rFonts w:ascii="Cambria" w:hAnsi="Cambria"/>
          <w:sz w:val="24"/>
          <w:szCs w:val="24"/>
          <w:lang w:val="en-US"/>
        </w:rPr>
        <w:t xml:space="preserve">104 + </w:t>
      </w:r>
      <w:r w:rsidRPr="00530906">
        <w:rPr>
          <w:rFonts w:ascii="Cambria" w:hAnsi="Cambria"/>
          <w:i/>
          <w:iCs/>
          <w:sz w:val="24"/>
          <w:szCs w:val="24"/>
          <w:lang w:val="en-US"/>
        </w:rPr>
        <w:t xml:space="preserve">m </w:t>
      </w:r>
      <w:r w:rsidRPr="00530906">
        <w:rPr>
          <w:rFonts w:ascii="Cambria" w:hAnsi="Cambria"/>
          <w:sz w:val="24"/>
          <w:szCs w:val="24"/>
          <w:lang w:val="en-US"/>
        </w:rPr>
        <w:t>for testing individual predictors” (Tabachnick and Fidell 2014, p. 159). In this study the minimum sample size should have been 82 (50 + 8*4) to calculate the combined effect and 108 (104 +4) to calculate the individual predictor’s effect. The criterion is met with a sample size of 279 in this research. For linear regression, assumption of not having m</w:t>
      </w:r>
      <w:r w:rsidRPr="00530906">
        <w:rPr>
          <w:rFonts w:ascii="Cambria" w:hAnsi="Cambria"/>
          <w:bCs/>
          <w:sz w:val="24"/>
          <w:szCs w:val="24"/>
          <w:lang w:val="en-US"/>
        </w:rPr>
        <w:t xml:space="preserve">ulticollinearity and singularity among IVs are met when none of VIF is greater than 10 the tolerance is less than .10. of </w:t>
      </w:r>
      <w:r w:rsidRPr="00530906">
        <w:rPr>
          <w:rFonts w:ascii="Cambria" w:hAnsi="Cambria"/>
          <w:sz w:val="24"/>
          <w:szCs w:val="24"/>
          <w:lang w:val="en-US"/>
        </w:rPr>
        <w:t>the 4 first order constructs of SCV– mental image (Tolerance .707, VIF 1.414), engrossment (Tolerance .857, VIF 1.167), self</w:t>
      </w:r>
      <w:r w:rsidR="004179CD" w:rsidRPr="00530906">
        <w:rPr>
          <w:rFonts w:ascii="Cambria" w:hAnsi="Cambria"/>
          <w:sz w:val="24"/>
          <w:szCs w:val="24"/>
          <w:lang w:val="en-US"/>
        </w:rPr>
        <w:t>–</w:t>
      </w:r>
      <w:r w:rsidRPr="00530906">
        <w:rPr>
          <w:rFonts w:ascii="Cambria" w:hAnsi="Cambria"/>
          <w:sz w:val="24"/>
          <w:szCs w:val="24"/>
          <w:lang w:val="en-US"/>
        </w:rPr>
        <w:t>projection (Tolerance .414, VIF 2.414), and mental</w:t>
      </w:r>
      <w:r w:rsidR="004179CD" w:rsidRPr="00530906">
        <w:rPr>
          <w:rFonts w:ascii="Cambria" w:hAnsi="Cambria"/>
          <w:sz w:val="24"/>
          <w:szCs w:val="24"/>
          <w:lang w:val="en-US"/>
        </w:rPr>
        <w:t>–</w:t>
      </w:r>
      <w:r w:rsidRPr="00530906">
        <w:rPr>
          <w:rFonts w:ascii="Cambria" w:hAnsi="Cambria"/>
          <w:sz w:val="24"/>
          <w:szCs w:val="24"/>
          <w:lang w:val="en-US"/>
        </w:rPr>
        <w:t>fluency (Tolerance .502, VIF 1.991) for separate</w:t>
      </w:r>
      <w:r w:rsidRPr="00530906">
        <w:rPr>
          <w:rFonts w:ascii="Cambria" w:hAnsi="Cambria"/>
          <w:bCs/>
          <w:sz w:val="24"/>
          <w:szCs w:val="24"/>
          <w:lang w:val="en-US"/>
        </w:rPr>
        <w:t xml:space="preserve"> multiple regression analysis with pleasure, arousal, </w:t>
      </w:r>
      <w:r w:rsidR="00613FB3" w:rsidRPr="00530906">
        <w:rPr>
          <w:rFonts w:ascii="Cambria" w:hAnsi="Cambria"/>
          <w:bCs/>
          <w:sz w:val="24"/>
          <w:szCs w:val="24"/>
          <w:lang w:val="en-US"/>
        </w:rPr>
        <w:t>dominance,</w:t>
      </w:r>
      <w:r w:rsidRPr="00530906">
        <w:rPr>
          <w:rFonts w:ascii="Cambria" w:hAnsi="Cambria"/>
          <w:bCs/>
          <w:sz w:val="24"/>
          <w:szCs w:val="24"/>
          <w:lang w:val="en-US"/>
        </w:rPr>
        <w:t xml:space="preserve"> and engagement as dependent variable (see </w:t>
      </w:r>
      <w:r w:rsidR="00A7286E">
        <w:rPr>
          <w:rFonts w:ascii="Cambria" w:hAnsi="Cambria"/>
          <w:bCs/>
          <w:sz w:val="24"/>
          <w:szCs w:val="24"/>
          <w:lang w:val="en-US"/>
        </w:rPr>
        <w:t>Pallant</w:t>
      </w:r>
      <w:r w:rsidRPr="00530906">
        <w:rPr>
          <w:rFonts w:ascii="Cambria" w:hAnsi="Cambria"/>
          <w:bCs/>
          <w:sz w:val="24"/>
          <w:szCs w:val="24"/>
          <w:lang w:val="en-US"/>
        </w:rPr>
        <w:t xml:space="preserve"> 2010).</w:t>
      </w:r>
    </w:p>
    <w:p w14:paraId="45EAAD8C" w14:textId="475CFEA4" w:rsidR="00C7217E" w:rsidRPr="00530906" w:rsidRDefault="00C7217E">
      <w:pPr>
        <w:spacing w:line="360" w:lineRule="auto"/>
        <w:jc w:val="both"/>
        <w:rPr>
          <w:rFonts w:ascii="Cambria" w:hAnsi="Cambria"/>
          <w:bCs/>
          <w:sz w:val="24"/>
          <w:szCs w:val="24"/>
          <w:lang w:val="en-US"/>
        </w:rPr>
      </w:pPr>
      <w:r w:rsidRPr="00530906">
        <w:rPr>
          <w:rFonts w:ascii="Cambria" w:hAnsi="Cambria"/>
          <w:bCs/>
          <w:sz w:val="24"/>
          <w:szCs w:val="24"/>
          <w:lang w:val="en-US"/>
        </w:rPr>
        <w:t xml:space="preserve">In the multiple regression analysis, there were number of residual outliers detected– 1 for DV ‘engagement’, 2 for DV ‘pleasure’, 1 for DV ‘arousal’ and 3 for DV ‘dominance’. In the case of big sample size, it is only common to find a number of outlying residuals with </w:t>
      </w:r>
      <w:r w:rsidR="00613FB3" w:rsidRPr="00530906">
        <w:rPr>
          <w:rFonts w:ascii="Cambria" w:hAnsi="Cambria"/>
          <w:bCs/>
          <w:sz w:val="24"/>
          <w:szCs w:val="24"/>
          <w:lang w:val="en-US"/>
        </w:rPr>
        <w:t>standardi</w:t>
      </w:r>
      <w:r w:rsidR="00613FB3">
        <w:rPr>
          <w:rFonts w:ascii="Cambria" w:hAnsi="Cambria"/>
          <w:bCs/>
          <w:sz w:val="24"/>
          <w:szCs w:val="24"/>
          <w:lang w:val="en-US"/>
        </w:rPr>
        <w:t>s</w:t>
      </w:r>
      <w:r w:rsidR="00613FB3" w:rsidRPr="00530906">
        <w:rPr>
          <w:rFonts w:ascii="Cambria" w:hAnsi="Cambria"/>
          <w:bCs/>
          <w:sz w:val="24"/>
          <w:szCs w:val="24"/>
          <w:lang w:val="en-US"/>
        </w:rPr>
        <w:t>ed</w:t>
      </w:r>
      <w:r w:rsidRPr="00530906">
        <w:rPr>
          <w:rFonts w:ascii="Cambria" w:hAnsi="Cambria"/>
          <w:bCs/>
          <w:sz w:val="24"/>
          <w:szCs w:val="24"/>
          <w:lang w:val="en-US"/>
        </w:rPr>
        <w:t xml:space="preserve"> residual value more than +– 3. Since there are only a few, no action was taken. The assumption of not having extreme outliers is met judging the Normal P–P Plot of regression standardized residual and scatter plot. As shown in figure 1</w:t>
      </w:r>
      <w:r w:rsidR="00737391">
        <w:rPr>
          <w:rFonts w:ascii="Cambria" w:hAnsi="Cambria"/>
          <w:bCs/>
          <w:sz w:val="24"/>
          <w:szCs w:val="24"/>
          <w:lang w:val="en-US"/>
        </w:rPr>
        <w:t>8</w:t>
      </w:r>
      <w:r w:rsidRPr="00530906">
        <w:rPr>
          <w:rFonts w:ascii="Cambria" w:hAnsi="Cambria"/>
          <w:bCs/>
          <w:sz w:val="24"/>
          <w:szCs w:val="24"/>
          <w:lang w:val="en-US"/>
        </w:rPr>
        <w:t xml:space="preserve"> none of the PP plot shows any major deviation from the line and the points are forming a reasonably straight line. The scatter plots of residuals also showing roughly rectangular distribution with most score scattered along the 0 point. This represents the fulfillment of the assumption of normality, homoscedasticity, independence of residuals (see </w:t>
      </w:r>
      <w:r w:rsidRPr="00530906">
        <w:rPr>
          <w:rFonts w:ascii="Cambria" w:hAnsi="Cambria"/>
          <w:sz w:val="24"/>
          <w:szCs w:val="24"/>
          <w:lang w:val="en-US"/>
        </w:rPr>
        <w:t xml:space="preserve">Tabachnick and Fidell’s 2014; </w:t>
      </w:r>
      <w:r w:rsidR="00A7286E">
        <w:rPr>
          <w:rFonts w:ascii="Cambria" w:hAnsi="Cambria"/>
          <w:bCs/>
          <w:sz w:val="24"/>
          <w:szCs w:val="24"/>
          <w:lang w:val="en-US"/>
        </w:rPr>
        <w:t>Pallant</w:t>
      </w:r>
      <w:r w:rsidRPr="00530906">
        <w:rPr>
          <w:rFonts w:ascii="Cambria" w:hAnsi="Cambria"/>
          <w:bCs/>
          <w:sz w:val="24"/>
          <w:szCs w:val="24"/>
          <w:lang w:val="en-US"/>
        </w:rPr>
        <w:t xml:space="preserve"> 2010).</w:t>
      </w:r>
    </w:p>
    <w:p w14:paraId="5710B57D" w14:textId="05CACC38" w:rsidR="00C7217E" w:rsidRPr="00530906" w:rsidRDefault="00BE7F98">
      <w:pPr>
        <w:spacing w:line="360" w:lineRule="auto"/>
        <w:jc w:val="both"/>
        <w:rPr>
          <w:rFonts w:ascii="Cambria" w:hAnsi="Cambria"/>
          <w:bCs/>
          <w:sz w:val="24"/>
          <w:szCs w:val="24"/>
          <w:lang w:val="en-US"/>
        </w:rPr>
      </w:pPr>
      <w:r w:rsidRPr="00530906">
        <w:rPr>
          <w:rFonts w:ascii="Cambria" w:hAnsi="Cambria" w:cs="Times New Roman"/>
          <w:noProof/>
          <w:sz w:val="24"/>
          <w:szCs w:val="24"/>
          <w:lang w:val="en-US"/>
        </w:rPr>
        <w:drawing>
          <wp:anchor distT="0" distB="0" distL="114300" distR="114300" simplePos="0" relativeHeight="251657226" behindDoc="0" locked="0" layoutInCell="1" allowOverlap="1" wp14:anchorId="50A0A097" wp14:editId="27B503F0">
            <wp:simplePos x="0" y="0"/>
            <wp:positionH relativeFrom="column">
              <wp:posOffset>2595245</wp:posOffset>
            </wp:positionH>
            <wp:positionV relativeFrom="paragraph">
              <wp:posOffset>562629</wp:posOffset>
            </wp:positionV>
            <wp:extent cx="3239135" cy="1911350"/>
            <wp:effectExtent l="0" t="0" r="0" b="0"/>
            <wp:wrapNone/>
            <wp:docPr id="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239135" cy="1911350"/>
                    </a:xfrm>
                    <a:prstGeom prst="rect">
                      <a:avLst/>
                    </a:prstGeom>
                    <a:noFill/>
                    <a:ln w="9525">
                      <a:noFill/>
                      <a:miter lim="800000"/>
                      <a:headEnd/>
                      <a:tailEnd/>
                    </a:ln>
                  </pic:spPr>
                </pic:pic>
              </a:graphicData>
            </a:graphic>
          </wp:anchor>
        </w:drawing>
      </w:r>
      <w:r w:rsidRPr="00530906">
        <w:rPr>
          <w:rFonts w:ascii="Cambria" w:hAnsi="Cambria" w:cs="Times New Roman"/>
          <w:noProof/>
          <w:sz w:val="24"/>
          <w:szCs w:val="24"/>
          <w:lang w:val="en-US"/>
        </w:rPr>
        <w:drawing>
          <wp:anchor distT="0" distB="0" distL="114300" distR="114300" simplePos="0" relativeHeight="251657225" behindDoc="0" locked="0" layoutInCell="1" allowOverlap="1" wp14:anchorId="5BE2B4B9" wp14:editId="6664CEA0">
            <wp:simplePos x="0" y="0"/>
            <wp:positionH relativeFrom="column">
              <wp:posOffset>118745</wp:posOffset>
            </wp:positionH>
            <wp:positionV relativeFrom="paragraph">
              <wp:posOffset>594047</wp:posOffset>
            </wp:positionV>
            <wp:extent cx="1892300" cy="2028190"/>
            <wp:effectExtent l="0" t="0" r="0" b="0"/>
            <wp:wrapNone/>
            <wp:docPr id="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23718" r="21154"/>
                    <a:stretch>
                      <a:fillRect/>
                    </a:stretch>
                  </pic:blipFill>
                  <pic:spPr bwMode="auto">
                    <a:xfrm>
                      <a:off x="0" y="0"/>
                      <a:ext cx="1892300" cy="2028190"/>
                    </a:xfrm>
                    <a:prstGeom prst="rect">
                      <a:avLst/>
                    </a:prstGeom>
                    <a:noFill/>
                    <a:ln w="9525">
                      <a:noFill/>
                      <a:miter lim="800000"/>
                      <a:headEnd/>
                      <a:tailEnd/>
                    </a:ln>
                  </pic:spPr>
                </pic:pic>
              </a:graphicData>
            </a:graphic>
          </wp:anchor>
        </w:drawing>
      </w:r>
      <w:r w:rsidR="00C7217E" w:rsidRPr="00530906">
        <w:rPr>
          <w:rFonts w:ascii="Cambria" w:hAnsi="Cambria"/>
          <w:bCs/>
          <w:sz w:val="24"/>
          <w:szCs w:val="24"/>
          <w:lang w:val="en-US"/>
        </w:rPr>
        <w:t>Fig</w:t>
      </w:r>
      <w:r w:rsidR="00405C62" w:rsidRPr="00530906">
        <w:rPr>
          <w:rFonts w:ascii="Cambria" w:hAnsi="Cambria"/>
          <w:bCs/>
          <w:sz w:val="24"/>
          <w:szCs w:val="24"/>
          <w:lang w:val="en-US"/>
        </w:rPr>
        <w:t xml:space="preserve"> </w:t>
      </w:r>
      <w:r w:rsidR="00C7217E" w:rsidRPr="00530906">
        <w:rPr>
          <w:rFonts w:ascii="Cambria" w:hAnsi="Cambria"/>
          <w:bCs/>
          <w:sz w:val="24"/>
          <w:szCs w:val="24"/>
          <w:lang w:val="en-US"/>
        </w:rPr>
        <w:t>1</w:t>
      </w:r>
      <w:r w:rsidR="00A26F6C">
        <w:rPr>
          <w:rFonts w:ascii="Cambria" w:hAnsi="Cambria"/>
          <w:bCs/>
          <w:sz w:val="24"/>
          <w:szCs w:val="24"/>
          <w:lang w:val="en-US"/>
        </w:rPr>
        <w:t>8</w:t>
      </w:r>
      <w:r w:rsidR="00C7217E" w:rsidRPr="00530906">
        <w:rPr>
          <w:rFonts w:ascii="Cambria" w:hAnsi="Cambria"/>
          <w:bCs/>
          <w:sz w:val="24"/>
          <w:szCs w:val="24"/>
          <w:lang w:val="en-US"/>
        </w:rPr>
        <w:t>: Test of outliers of multiple regression for independent variable SCV, second order reflective construct with 4 first order constructs</w:t>
      </w:r>
    </w:p>
    <w:p w14:paraId="370F7040" w14:textId="7C312E51"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6521A0B" w14:textId="2AA1FCBC"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6BE0D2E"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40CA135"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2391661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1C055EBD"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151033DB"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29A21F11"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4B8EA618"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A86B52B" w14:textId="397713F6" w:rsidR="00C7217E" w:rsidRPr="00530906" w:rsidRDefault="005B3BEB" w:rsidP="008756B1">
      <w:pPr>
        <w:autoSpaceDE w:val="0"/>
        <w:autoSpaceDN w:val="0"/>
        <w:adjustRightInd w:val="0"/>
        <w:spacing w:after="0" w:line="240" w:lineRule="auto"/>
        <w:jc w:val="both"/>
        <w:rPr>
          <w:rFonts w:ascii="Cambria" w:hAnsi="Cambria" w:cs="Times New Roman"/>
          <w:sz w:val="24"/>
          <w:szCs w:val="24"/>
          <w:lang w:val="en-US"/>
        </w:rPr>
      </w:pPr>
      <w:r w:rsidRPr="00530906">
        <w:rPr>
          <w:rFonts w:ascii="Cambria" w:hAnsi="Cambria" w:cs="Times New Roman"/>
          <w:noProof/>
          <w:sz w:val="24"/>
          <w:szCs w:val="24"/>
          <w:lang w:val="en-US"/>
        </w:rPr>
        <w:drawing>
          <wp:anchor distT="0" distB="0" distL="114300" distR="114300" simplePos="0" relativeHeight="251657227" behindDoc="0" locked="0" layoutInCell="1" allowOverlap="1" wp14:anchorId="6EF3E06E" wp14:editId="4457B20E">
            <wp:simplePos x="0" y="0"/>
            <wp:positionH relativeFrom="column">
              <wp:posOffset>203200</wp:posOffset>
            </wp:positionH>
            <wp:positionV relativeFrom="paragraph">
              <wp:posOffset>80342</wp:posOffset>
            </wp:positionV>
            <wp:extent cx="1892300" cy="2028190"/>
            <wp:effectExtent l="0" t="0" r="0" b="0"/>
            <wp:wrapNone/>
            <wp:docPr id="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23558" r="21474"/>
                    <a:stretch>
                      <a:fillRect/>
                    </a:stretch>
                  </pic:blipFill>
                  <pic:spPr bwMode="auto">
                    <a:xfrm>
                      <a:off x="0" y="0"/>
                      <a:ext cx="1892300" cy="2028190"/>
                    </a:xfrm>
                    <a:prstGeom prst="rect">
                      <a:avLst/>
                    </a:prstGeom>
                    <a:noFill/>
                    <a:ln w="9525">
                      <a:noFill/>
                      <a:miter lim="800000"/>
                      <a:headEnd/>
                      <a:tailEnd/>
                    </a:ln>
                  </pic:spPr>
                </pic:pic>
              </a:graphicData>
            </a:graphic>
          </wp:anchor>
        </w:drawing>
      </w:r>
      <w:r w:rsidR="00BE7F98" w:rsidRPr="00530906">
        <w:rPr>
          <w:rFonts w:ascii="Cambria" w:hAnsi="Cambria" w:cs="Times New Roman"/>
          <w:noProof/>
          <w:sz w:val="24"/>
          <w:szCs w:val="24"/>
          <w:lang w:val="en-US"/>
        </w:rPr>
        <w:drawing>
          <wp:anchor distT="0" distB="0" distL="114300" distR="114300" simplePos="0" relativeHeight="251657228" behindDoc="0" locked="0" layoutInCell="1" allowOverlap="1" wp14:anchorId="7D95A527" wp14:editId="7356AC6F">
            <wp:simplePos x="0" y="0"/>
            <wp:positionH relativeFrom="column">
              <wp:posOffset>2612390</wp:posOffset>
            </wp:positionH>
            <wp:positionV relativeFrom="paragraph">
              <wp:posOffset>55264</wp:posOffset>
            </wp:positionV>
            <wp:extent cx="3218815" cy="1894840"/>
            <wp:effectExtent l="0" t="0" r="635" b="0"/>
            <wp:wrapNone/>
            <wp:docPr id="5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218815" cy="1894840"/>
                    </a:xfrm>
                    <a:prstGeom prst="rect">
                      <a:avLst/>
                    </a:prstGeom>
                    <a:noFill/>
                    <a:ln w="9525">
                      <a:noFill/>
                      <a:miter lim="800000"/>
                      <a:headEnd/>
                      <a:tailEnd/>
                    </a:ln>
                  </pic:spPr>
                </pic:pic>
              </a:graphicData>
            </a:graphic>
          </wp:anchor>
        </w:drawing>
      </w:r>
      <w:r w:rsidR="00C7217E" w:rsidRPr="00530906">
        <w:rPr>
          <w:rFonts w:ascii="Cambria" w:hAnsi="Cambria" w:cs="Times New Roman"/>
          <w:sz w:val="24"/>
          <w:szCs w:val="24"/>
          <w:lang w:val="en-US"/>
        </w:rPr>
        <w:t xml:space="preserve"> </w:t>
      </w:r>
    </w:p>
    <w:p w14:paraId="5CE11347" w14:textId="5D34463A"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1AD70C5" w14:textId="24AEFF4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5CC1793"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71B12C5B"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4FF839D"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4968EEE2"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59A12D91" w14:textId="77777777" w:rsidR="00C7217E" w:rsidRPr="001435A7" w:rsidRDefault="00C7217E">
      <w:pPr>
        <w:spacing w:line="360" w:lineRule="auto"/>
        <w:jc w:val="both"/>
        <w:rPr>
          <w:rFonts w:ascii="Cambria" w:hAnsi="Cambria"/>
          <w:sz w:val="24"/>
          <w:szCs w:val="24"/>
          <w:lang w:val="en-US"/>
        </w:rPr>
      </w:pPr>
    </w:p>
    <w:p w14:paraId="361F2A96"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4B19402"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w:drawing>
          <wp:anchor distT="0" distB="0" distL="114300" distR="114300" simplePos="0" relativeHeight="251657230" behindDoc="1" locked="0" layoutInCell="1" allowOverlap="1" wp14:anchorId="1BADAFCE" wp14:editId="5F2206FF">
            <wp:simplePos x="0" y="0"/>
            <wp:positionH relativeFrom="column">
              <wp:posOffset>2372995</wp:posOffset>
            </wp:positionH>
            <wp:positionV relativeFrom="paragraph">
              <wp:posOffset>-224155</wp:posOffset>
            </wp:positionV>
            <wp:extent cx="3540125" cy="2081530"/>
            <wp:effectExtent l="19050" t="0" r="3175" b="0"/>
            <wp:wrapNone/>
            <wp:docPr id="6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3540125" cy="2081530"/>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w:drawing>
          <wp:anchor distT="0" distB="0" distL="114300" distR="114300" simplePos="0" relativeHeight="251657229" behindDoc="0" locked="0" layoutInCell="1" allowOverlap="1" wp14:anchorId="7A71C57A" wp14:editId="37735B66">
            <wp:simplePos x="0" y="0"/>
            <wp:positionH relativeFrom="column">
              <wp:posOffset>369246</wp:posOffset>
            </wp:positionH>
            <wp:positionV relativeFrom="paragraph">
              <wp:posOffset>-97278</wp:posOffset>
            </wp:positionV>
            <wp:extent cx="1829205" cy="2023353"/>
            <wp:effectExtent l="19050" t="0" r="0" b="0"/>
            <wp:wrapNone/>
            <wp:docPr id="6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23558" r="22276"/>
                    <a:stretch>
                      <a:fillRect/>
                    </a:stretch>
                  </pic:blipFill>
                  <pic:spPr bwMode="auto">
                    <a:xfrm>
                      <a:off x="0" y="0"/>
                      <a:ext cx="1829205" cy="2023353"/>
                    </a:xfrm>
                    <a:prstGeom prst="rect">
                      <a:avLst/>
                    </a:prstGeom>
                    <a:noFill/>
                    <a:ln w="9525">
                      <a:noFill/>
                      <a:miter lim="800000"/>
                      <a:headEnd/>
                      <a:tailEnd/>
                    </a:ln>
                  </pic:spPr>
                </pic:pic>
              </a:graphicData>
            </a:graphic>
          </wp:anchor>
        </w:drawing>
      </w:r>
    </w:p>
    <w:p w14:paraId="0B87F090"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9248400"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08E8DCFA"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87228BA"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E915377"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283BEBA7"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1DCC1D0B"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A82EB64"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B8D1E3D"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FCDEBDD" w14:textId="77777777" w:rsidR="00C7217E" w:rsidRPr="001435A7" w:rsidRDefault="00C7217E">
      <w:pPr>
        <w:spacing w:line="360" w:lineRule="auto"/>
        <w:jc w:val="both"/>
        <w:rPr>
          <w:rFonts w:ascii="Cambria" w:hAnsi="Cambria" w:cs="Times New Roman"/>
          <w:sz w:val="24"/>
          <w:szCs w:val="24"/>
          <w:lang w:val="en-US"/>
        </w:rPr>
      </w:pPr>
    </w:p>
    <w:p w14:paraId="19DE7818"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r w:rsidRPr="001435A7">
        <w:rPr>
          <w:rFonts w:ascii="Cambria" w:hAnsi="Cambria" w:cs="Times New Roman"/>
          <w:noProof/>
          <w:sz w:val="24"/>
          <w:szCs w:val="24"/>
          <w:lang w:val="en-US"/>
        </w:rPr>
        <w:drawing>
          <wp:anchor distT="0" distB="0" distL="114300" distR="114300" simplePos="0" relativeHeight="251657232" behindDoc="0" locked="0" layoutInCell="1" allowOverlap="1" wp14:anchorId="3800EF45" wp14:editId="5F862E12">
            <wp:simplePos x="0" y="0"/>
            <wp:positionH relativeFrom="column">
              <wp:posOffset>2469170</wp:posOffset>
            </wp:positionH>
            <wp:positionV relativeFrom="paragraph">
              <wp:posOffset>109220</wp:posOffset>
            </wp:positionV>
            <wp:extent cx="3119174" cy="1838528"/>
            <wp:effectExtent l="19050" t="0" r="5026" b="0"/>
            <wp:wrapNone/>
            <wp:docPr id="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119174" cy="1838528"/>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w:drawing>
          <wp:anchor distT="0" distB="0" distL="114300" distR="114300" simplePos="0" relativeHeight="251657231" behindDoc="0" locked="0" layoutInCell="1" allowOverlap="1" wp14:anchorId="5E57E80A" wp14:editId="39A25676">
            <wp:simplePos x="0" y="0"/>
            <wp:positionH relativeFrom="column">
              <wp:posOffset>165735</wp:posOffset>
            </wp:positionH>
            <wp:positionV relativeFrom="paragraph">
              <wp:posOffset>167640</wp:posOffset>
            </wp:positionV>
            <wp:extent cx="1829205" cy="1896894"/>
            <wp:effectExtent l="19050" t="0" r="0" b="0"/>
            <wp:wrapNone/>
            <wp:docPr id="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22596" r="20673"/>
                    <a:stretch>
                      <a:fillRect/>
                    </a:stretch>
                  </pic:blipFill>
                  <pic:spPr bwMode="auto">
                    <a:xfrm>
                      <a:off x="0" y="0"/>
                      <a:ext cx="1829205" cy="1896894"/>
                    </a:xfrm>
                    <a:prstGeom prst="rect">
                      <a:avLst/>
                    </a:prstGeom>
                    <a:noFill/>
                    <a:ln w="9525">
                      <a:noFill/>
                      <a:miter lim="800000"/>
                      <a:headEnd/>
                      <a:tailEnd/>
                    </a:ln>
                  </pic:spPr>
                </pic:pic>
              </a:graphicData>
            </a:graphic>
          </wp:anchor>
        </w:drawing>
      </w:r>
    </w:p>
    <w:p w14:paraId="06B1FF79" w14:textId="6BC57086" w:rsidR="00C7217E" w:rsidRPr="001435A7" w:rsidRDefault="00C7217E">
      <w:pPr>
        <w:spacing w:line="360" w:lineRule="auto"/>
        <w:jc w:val="both"/>
        <w:rPr>
          <w:rFonts w:ascii="Cambria" w:hAnsi="Cambria"/>
          <w:bCs/>
          <w:sz w:val="24"/>
          <w:szCs w:val="24"/>
          <w:lang w:val="en-US"/>
        </w:rPr>
      </w:pPr>
    </w:p>
    <w:p w14:paraId="75A274C2" w14:textId="77777777" w:rsidR="00C7217E" w:rsidRPr="001435A7" w:rsidRDefault="00C7217E">
      <w:pPr>
        <w:spacing w:line="360" w:lineRule="auto"/>
        <w:jc w:val="both"/>
        <w:rPr>
          <w:rFonts w:ascii="Cambria" w:hAnsi="Cambria"/>
          <w:bCs/>
          <w:sz w:val="24"/>
          <w:szCs w:val="24"/>
          <w:lang w:val="en-US"/>
        </w:rPr>
      </w:pPr>
    </w:p>
    <w:p w14:paraId="74663255" w14:textId="77777777" w:rsidR="00C7217E" w:rsidRPr="001435A7" w:rsidRDefault="00C7217E">
      <w:pPr>
        <w:spacing w:line="360" w:lineRule="auto"/>
        <w:jc w:val="both"/>
        <w:rPr>
          <w:rFonts w:ascii="Cambria" w:hAnsi="Cambria"/>
          <w:bCs/>
          <w:sz w:val="24"/>
          <w:szCs w:val="24"/>
          <w:lang w:val="en-US"/>
        </w:rPr>
      </w:pPr>
    </w:p>
    <w:p w14:paraId="0FA5CA76"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654D3C7" w14:textId="57EA9965" w:rsidR="00C7217E" w:rsidRPr="001435A7" w:rsidRDefault="00C7217E">
      <w:pPr>
        <w:spacing w:line="360" w:lineRule="auto"/>
        <w:jc w:val="both"/>
        <w:rPr>
          <w:rFonts w:ascii="Cambria" w:hAnsi="Cambria"/>
          <w:sz w:val="24"/>
          <w:szCs w:val="24"/>
        </w:rPr>
      </w:pPr>
    </w:p>
    <w:p w14:paraId="5F4D5AFF" w14:textId="77777777" w:rsidR="00C7217E" w:rsidRPr="001435A7" w:rsidRDefault="00C7217E">
      <w:pPr>
        <w:spacing w:line="360" w:lineRule="auto"/>
        <w:jc w:val="both"/>
        <w:rPr>
          <w:rFonts w:ascii="Cambria" w:hAnsi="Cambria"/>
          <w:sz w:val="24"/>
          <w:szCs w:val="24"/>
        </w:rPr>
      </w:pPr>
    </w:p>
    <w:p w14:paraId="35A8E372" w14:textId="45E716CF" w:rsidR="00C7217E" w:rsidRPr="001435A7" w:rsidRDefault="00C7217E">
      <w:pPr>
        <w:spacing w:line="360" w:lineRule="auto"/>
        <w:jc w:val="both"/>
        <w:rPr>
          <w:rFonts w:ascii="Cambria" w:hAnsi="Cambria"/>
          <w:sz w:val="24"/>
          <w:szCs w:val="24"/>
        </w:rPr>
      </w:pPr>
      <w:r w:rsidRPr="001435A7">
        <w:rPr>
          <w:rFonts w:ascii="Cambria" w:hAnsi="Cambria"/>
          <w:sz w:val="24"/>
          <w:szCs w:val="24"/>
        </w:rPr>
        <w:t xml:space="preserve">The same conclusion of satisfied assumptions of </w:t>
      </w:r>
      <w:r w:rsidRPr="001435A7">
        <w:rPr>
          <w:rFonts w:ascii="Cambria" w:hAnsi="Cambria"/>
          <w:bCs/>
          <w:sz w:val="24"/>
          <w:szCs w:val="24"/>
          <w:lang w:val="en-US"/>
        </w:rPr>
        <w:t xml:space="preserve">normality, homoscedasticity, independence of residuals </w:t>
      </w:r>
      <w:r w:rsidRPr="001435A7">
        <w:rPr>
          <w:rFonts w:ascii="Cambria" w:hAnsi="Cambria"/>
          <w:sz w:val="24"/>
          <w:szCs w:val="24"/>
        </w:rPr>
        <w:t>can be derived from the residual scatter plots and the scarcity of outliers (Fig 1</w:t>
      </w:r>
      <w:r w:rsidR="008569CC">
        <w:rPr>
          <w:rFonts w:ascii="Cambria" w:hAnsi="Cambria"/>
          <w:sz w:val="24"/>
          <w:szCs w:val="24"/>
        </w:rPr>
        <w:t>9</w:t>
      </w:r>
      <w:r w:rsidRPr="001435A7">
        <w:rPr>
          <w:rFonts w:ascii="Cambria" w:hAnsi="Cambria"/>
          <w:sz w:val="24"/>
          <w:szCs w:val="24"/>
        </w:rPr>
        <w:t>) of all the regression analysis with single predictor (Field 2018)</w:t>
      </w:r>
    </w:p>
    <w:p w14:paraId="11DD9C1F" w14:textId="6E4EDC0B" w:rsidR="007A2B7F" w:rsidRPr="001435A7" w:rsidRDefault="00C7217E" w:rsidP="00C52C9B">
      <w:pPr>
        <w:spacing w:line="360" w:lineRule="auto"/>
        <w:jc w:val="both"/>
        <w:rPr>
          <w:rFonts w:ascii="Cambria" w:hAnsi="Cambria" w:cs="Times New Roman"/>
          <w:sz w:val="24"/>
          <w:szCs w:val="24"/>
          <w:lang w:val="en-US"/>
        </w:rPr>
      </w:pPr>
      <w:r w:rsidRPr="001435A7">
        <w:rPr>
          <w:rFonts w:ascii="Cambria" w:hAnsi="Cambria"/>
          <w:sz w:val="24"/>
          <w:szCs w:val="24"/>
        </w:rPr>
        <w:t>Fig 1</w:t>
      </w:r>
      <w:r w:rsidR="00C52C9B" w:rsidRPr="001435A7">
        <w:rPr>
          <w:rFonts w:ascii="Cambria" w:hAnsi="Cambria"/>
          <w:sz w:val="24"/>
          <w:szCs w:val="24"/>
        </w:rPr>
        <w:t>9</w:t>
      </w:r>
      <w:r w:rsidRPr="001435A7">
        <w:rPr>
          <w:rFonts w:ascii="Cambria" w:hAnsi="Cambria"/>
          <w:sz w:val="24"/>
          <w:szCs w:val="24"/>
        </w:rPr>
        <w:t xml:space="preserve">: Scatter plot of residual </w:t>
      </w:r>
    </w:p>
    <w:p w14:paraId="12F5508F" w14:textId="16854610"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45" behindDoc="0" locked="0" layoutInCell="1" allowOverlap="1" wp14:anchorId="214E76D7" wp14:editId="23DBB241">
                <wp:simplePos x="0" y="0"/>
                <wp:positionH relativeFrom="column">
                  <wp:posOffset>4767580</wp:posOffset>
                </wp:positionH>
                <wp:positionV relativeFrom="paragraph">
                  <wp:posOffset>73660</wp:posOffset>
                </wp:positionV>
                <wp:extent cx="515620" cy="184785"/>
                <wp:effectExtent l="0" t="2540" r="3175" b="3175"/>
                <wp:wrapNone/>
                <wp:docPr id="5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13853"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E76D7" id="Text Box 63" o:spid="_x0000_s1391" type="#_x0000_t202" style="position:absolute;left:0;text-align:left;margin-left:375.4pt;margin-top:5.8pt;width:40.6pt;height:14.55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" stroked="f">
                <v:textbox>
                  <w:txbxContent>
                    <w:p w14:paraId="37E13853"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42" behindDoc="0" locked="0" layoutInCell="1" allowOverlap="1" wp14:anchorId="43E9A0F9" wp14:editId="3E5222BB">
            <wp:simplePos x="0" y="0"/>
            <wp:positionH relativeFrom="column">
              <wp:posOffset>3091859</wp:posOffset>
            </wp:positionH>
            <wp:positionV relativeFrom="paragraph">
              <wp:posOffset>54655</wp:posOffset>
            </wp:positionV>
            <wp:extent cx="2405174" cy="1414130"/>
            <wp:effectExtent l="19050" t="0" r="0" b="0"/>
            <wp:wrapNone/>
            <wp:docPr id="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405174" cy="1414130"/>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44" behindDoc="0" locked="0" layoutInCell="1" allowOverlap="1" wp14:anchorId="1B1962EC" wp14:editId="700B45D5">
                <wp:simplePos x="0" y="0"/>
                <wp:positionH relativeFrom="column">
                  <wp:posOffset>1930400</wp:posOffset>
                </wp:positionH>
                <wp:positionV relativeFrom="paragraph">
                  <wp:posOffset>71755</wp:posOffset>
                </wp:positionV>
                <wp:extent cx="515620" cy="184785"/>
                <wp:effectExtent l="0" t="635" r="1905" b="0"/>
                <wp:wrapNone/>
                <wp:docPr id="5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A89A4" w14:textId="77777777" w:rsidR="00D34F1C" w:rsidRPr="00C34525" w:rsidRDefault="00D34F1C" w:rsidP="00C7217E">
                            <w:pPr>
                              <w:rPr>
                                <w:sz w:val="12"/>
                                <w:szCs w:val="12"/>
                              </w:rPr>
                            </w:pPr>
                            <w:r w:rsidRPr="00C34525">
                              <w:rPr>
                                <w:sz w:val="12"/>
                                <w:szCs w:val="12"/>
                              </w:rPr>
                              <w:t xml:space="preserve">Outlier </w:t>
                            </w:r>
                            <w:r>
                              <w:rPr>
                                <w:sz w:val="12"/>
                                <w:szCs w:val="12"/>
                              </w:rPr>
                              <w:t>–</w:t>
                            </w:r>
                            <w:r w:rsidRPr="00C34525">
                              <w:rPr>
                                <w:sz w:val="12"/>
                                <w:szCs w:val="12"/>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62EC" id="Text Box 62" o:spid="_x0000_s1392" type="#_x0000_t202" style="position:absolute;left:0;text-align:left;margin-left:152pt;margin-top:5.65pt;width:40.6pt;height:14.55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" stroked="f">
                <v:textbox>
                  <w:txbxContent>
                    <w:p w14:paraId="563A89A4" w14:textId="77777777" w:rsidR="00D34F1C" w:rsidRPr="00C34525" w:rsidRDefault="00D34F1C" w:rsidP="00C7217E">
                      <w:pPr>
                        <w:rPr>
                          <w:sz w:val="12"/>
                          <w:szCs w:val="12"/>
                        </w:rPr>
                      </w:pPr>
                      <w:r w:rsidRPr="00C34525">
                        <w:rPr>
                          <w:sz w:val="12"/>
                          <w:szCs w:val="12"/>
                        </w:rPr>
                        <w:t xml:space="preserve">Outlier </w:t>
                      </w:r>
                      <w:r>
                        <w:rPr>
                          <w:sz w:val="12"/>
                          <w:szCs w:val="12"/>
                        </w:rPr>
                        <w:t>–</w:t>
                      </w:r>
                      <w:r w:rsidRPr="00C34525">
                        <w:rPr>
                          <w:sz w:val="12"/>
                          <w:szCs w:val="12"/>
                        </w:rPr>
                        <w:t xml:space="preserve"> 3</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41" behindDoc="0" locked="0" layoutInCell="1" allowOverlap="1" wp14:anchorId="441EDCD6" wp14:editId="7B82FDC7">
            <wp:simplePos x="0" y="0"/>
            <wp:positionH relativeFrom="column">
              <wp:posOffset>274232</wp:posOffset>
            </wp:positionH>
            <wp:positionV relativeFrom="paragraph">
              <wp:posOffset>54654</wp:posOffset>
            </wp:positionV>
            <wp:extent cx="2522131" cy="1488558"/>
            <wp:effectExtent l="19050" t="0" r="0" b="0"/>
            <wp:wrapNone/>
            <wp:docPr id="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522131" cy="1488558"/>
                    </a:xfrm>
                    <a:prstGeom prst="rect">
                      <a:avLst/>
                    </a:prstGeom>
                    <a:noFill/>
                    <a:ln w="9525">
                      <a:noFill/>
                      <a:miter lim="800000"/>
                      <a:headEnd/>
                      <a:tailEnd/>
                    </a:ln>
                  </pic:spPr>
                </pic:pic>
              </a:graphicData>
            </a:graphic>
          </wp:anchor>
        </w:drawing>
      </w:r>
    </w:p>
    <w:p w14:paraId="68203133"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60C54A9"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121896C9"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43" behindDoc="0" locked="0" layoutInCell="1" allowOverlap="1" wp14:anchorId="0D6207CA" wp14:editId="6B4EAFCE">
                <wp:simplePos x="0" y="0"/>
                <wp:positionH relativeFrom="column">
                  <wp:posOffset>-76835</wp:posOffset>
                </wp:positionH>
                <wp:positionV relativeFrom="paragraph">
                  <wp:posOffset>2540</wp:posOffset>
                </wp:positionV>
                <wp:extent cx="323850" cy="1333500"/>
                <wp:effectExtent l="0" t="2540" r="635" b="0"/>
                <wp:wrapNone/>
                <wp:docPr id="5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F375D" w14:textId="77777777" w:rsidR="00D34F1C" w:rsidRDefault="00D34F1C" w:rsidP="00C7217E">
                            <w:r>
                              <w:t>For IV= Involvement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207CA" id="Text Box 61" o:spid="_x0000_s1393" type="#_x0000_t202" style="position:absolute;left:0;text-align:left;margin-left:-6.05pt;margin-top:.2pt;width:25.5pt;height:105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" stroked="f">
                <v:textbox style="layout-flow:vertical;mso-layout-flow-alt:bottom-to-top">
                  <w:txbxContent>
                    <w:p w14:paraId="1EBF375D" w14:textId="77777777" w:rsidR="00D34F1C" w:rsidRDefault="00D34F1C" w:rsidP="00C7217E">
                      <w:r>
                        <w:t>For IV= Involvement</w:t>
                      </w:r>
                    </w:p>
                  </w:txbxContent>
                </v:textbox>
              </v:shape>
            </w:pict>
          </mc:Fallback>
        </mc:AlternateContent>
      </w:r>
    </w:p>
    <w:p w14:paraId="545D6A1F"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1EBCFD95"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5358FA32"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17832B6E"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1E25D795"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r w:rsidRPr="001435A7">
        <w:rPr>
          <w:rFonts w:ascii="Cambria" w:hAnsi="Cambria" w:cs="Times New Roman"/>
          <w:noProof/>
          <w:sz w:val="24"/>
          <w:szCs w:val="24"/>
          <w:lang w:val="en-US"/>
        </w:rPr>
        <w:drawing>
          <wp:anchor distT="0" distB="0" distL="114300" distR="114300" simplePos="0" relativeHeight="251657240" behindDoc="0" locked="0" layoutInCell="1" allowOverlap="1" wp14:anchorId="7385EE8F" wp14:editId="44BB5D0F">
            <wp:simplePos x="0" y="0"/>
            <wp:positionH relativeFrom="column">
              <wp:posOffset>3019425</wp:posOffset>
            </wp:positionH>
            <wp:positionV relativeFrom="paragraph">
              <wp:posOffset>79375</wp:posOffset>
            </wp:positionV>
            <wp:extent cx="2564765" cy="1339215"/>
            <wp:effectExtent l="19050" t="0" r="6985" b="0"/>
            <wp:wrapNone/>
            <wp:docPr id="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564765" cy="1339215"/>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47" behindDoc="0" locked="0" layoutInCell="1" allowOverlap="1" wp14:anchorId="376AD913" wp14:editId="62EDDF97">
                <wp:simplePos x="0" y="0"/>
                <wp:positionH relativeFrom="column">
                  <wp:posOffset>2042160</wp:posOffset>
                </wp:positionH>
                <wp:positionV relativeFrom="paragraph">
                  <wp:posOffset>102235</wp:posOffset>
                </wp:positionV>
                <wp:extent cx="515620" cy="184785"/>
                <wp:effectExtent l="3810" t="0" r="4445" b="0"/>
                <wp:wrapNone/>
                <wp:docPr id="5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BBC02"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D913" id="Text Box 65" o:spid="_x0000_s1394" type="#_x0000_t202" style="position:absolute;left:0;text-align:left;margin-left:160.8pt;margin-top:8.05pt;width:40.6pt;height:14.55pt;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" stroked="f">
                <v:textbox>
                  <w:txbxContent>
                    <w:p w14:paraId="28BBBC02"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46" behindDoc="0" locked="0" layoutInCell="1" allowOverlap="1" wp14:anchorId="0ED5A78C" wp14:editId="5AA78736">
                <wp:simplePos x="0" y="0"/>
                <wp:positionH relativeFrom="column">
                  <wp:posOffset>4981575</wp:posOffset>
                </wp:positionH>
                <wp:positionV relativeFrom="paragraph">
                  <wp:posOffset>102235</wp:posOffset>
                </wp:positionV>
                <wp:extent cx="515620" cy="184785"/>
                <wp:effectExtent l="0" t="0" r="0" b="0"/>
                <wp:wrapNone/>
                <wp:docPr id="5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86EAB"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A78C" id="Text Box 64" o:spid="_x0000_s1395" type="#_x0000_t202" style="position:absolute;left:0;text-align:left;margin-left:392.25pt;margin-top:8.05pt;width:40.6pt;height:14.5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" stroked="f">
                <v:textbox>
                  <w:txbxContent>
                    <w:p w14:paraId="45286EAB"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39" behindDoc="0" locked="0" layoutInCell="1" allowOverlap="1" wp14:anchorId="70211654" wp14:editId="67FAF6E9">
            <wp:simplePos x="0" y="0"/>
            <wp:positionH relativeFrom="column">
              <wp:posOffset>372110</wp:posOffset>
            </wp:positionH>
            <wp:positionV relativeFrom="paragraph">
              <wp:posOffset>83185</wp:posOffset>
            </wp:positionV>
            <wp:extent cx="2370455" cy="1392555"/>
            <wp:effectExtent l="19050" t="0" r="0" b="0"/>
            <wp:wrapNone/>
            <wp:docPr id="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370455" cy="1392555"/>
                    </a:xfrm>
                    <a:prstGeom prst="rect">
                      <a:avLst/>
                    </a:prstGeom>
                    <a:noFill/>
                    <a:ln w="9525">
                      <a:noFill/>
                      <a:miter lim="800000"/>
                      <a:headEnd/>
                      <a:tailEnd/>
                    </a:ln>
                  </pic:spPr>
                </pic:pic>
              </a:graphicData>
            </a:graphic>
          </wp:anchor>
        </w:drawing>
      </w:r>
    </w:p>
    <w:p w14:paraId="2CCC2095"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2E0AC979" w14:textId="23C97FF1"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EDFFC86" w14:textId="06E12D5B" w:rsidR="00C52C9B" w:rsidRPr="001435A7" w:rsidRDefault="00C52C9B">
      <w:pPr>
        <w:spacing w:line="259" w:lineRule="auto"/>
        <w:rPr>
          <w:rFonts w:ascii="Cambria" w:hAnsi="Cambria" w:cs="Times New Roman"/>
          <w:sz w:val="24"/>
          <w:szCs w:val="24"/>
          <w:lang w:val="en-US"/>
        </w:rPr>
      </w:pPr>
      <w:r w:rsidRPr="001435A7">
        <w:rPr>
          <w:rFonts w:ascii="Cambria" w:hAnsi="Cambria" w:cs="Times New Roman"/>
          <w:sz w:val="24"/>
          <w:szCs w:val="24"/>
          <w:lang w:val="en-US"/>
        </w:rPr>
        <w:br w:type="page"/>
      </w:r>
    </w:p>
    <w:p w14:paraId="4AD2355A" w14:textId="4906C53D"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w:drawing>
          <wp:anchor distT="0" distB="0" distL="114300" distR="114300" simplePos="0" relativeHeight="251657248" behindDoc="0" locked="0" layoutInCell="1" allowOverlap="1" wp14:anchorId="1CEB16E4" wp14:editId="21DF2FBF">
            <wp:simplePos x="0" y="0"/>
            <wp:positionH relativeFrom="column">
              <wp:posOffset>241935</wp:posOffset>
            </wp:positionH>
            <wp:positionV relativeFrom="paragraph">
              <wp:posOffset>-64135</wp:posOffset>
            </wp:positionV>
            <wp:extent cx="2776855" cy="1761490"/>
            <wp:effectExtent l="19050" t="0" r="4445" b="0"/>
            <wp:wrapNone/>
            <wp:docPr id="6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2776855" cy="1761490"/>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52" behindDoc="0" locked="0" layoutInCell="1" allowOverlap="1" wp14:anchorId="2180247F" wp14:editId="0A3789D5">
                <wp:simplePos x="0" y="0"/>
                <wp:positionH relativeFrom="column">
                  <wp:posOffset>3009265</wp:posOffset>
                </wp:positionH>
                <wp:positionV relativeFrom="paragraph">
                  <wp:posOffset>-17780</wp:posOffset>
                </wp:positionV>
                <wp:extent cx="323850" cy="1333500"/>
                <wp:effectExtent l="0" t="1270" r="635" b="0"/>
                <wp:wrapNone/>
                <wp:docPr id="5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7D13" w14:textId="77777777" w:rsidR="00D34F1C" w:rsidRDefault="00D34F1C" w:rsidP="00C7217E">
                            <w:r>
                              <w:t>For IV= Arousal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247F" id="Text Box 70" o:spid="_x0000_s1396" type="#_x0000_t202" style="position:absolute;left:0;text-align:left;margin-left:236.95pt;margin-top:-1.4pt;width:25.5pt;height:105pt;z-index:251657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" filled="f" stroked="f">
                <v:textbox style="layout-flow:vertical;mso-layout-flow-alt:bottom-to-top">
                  <w:txbxContent>
                    <w:p w14:paraId="3B2A7D13" w14:textId="77777777" w:rsidR="00D34F1C" w:rsidRDefault="00D34F1C" w:rsidP="00C7217E">
                      <w:r>
                        <w:t>For IV= Arousal</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53" behindDoc="0" locked="0" layoutInCell="1" allowOverlap="1" wp14:anchorId="72862136" wp14:editId="0FAF62E2">
                <wp:simplePos x="0" y="0"/>
                <wp:positionH relativeFrom="column">
                  <wp:posOffset>5089525</wp:posOffset>
                </wp:positionH>
                <wp:positionV relativeFrom="paragraph">
                  <wp:posOffset>-17780</wp:posOffset>
                </wp:positionV>
                <wp:extent cx="515620" cy="184785"/>
                <wp:effectExtent l="3175" t="1270" r="0" b="4445"/>
                <wp:wrapNone/>
                <wp:docPr id="5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D0B68"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2136" id="Text Box 71" o:spid="_x0000_s1397" type="#_x0000_t202" style="position:absolute;left:0;text-align:left;margin-left:400.75pt;margin-top:-1.4pt;width:40.6pt;height:14.55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" stroked="f">
                <v:textbox>
                  <w:txbxContent>
                    <w:p w14:paraId="680D0B68"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51" behindDoc="0" locked="0" layoutInCell="1" allowOverlap="1" wp14:anchorId="238512B2" wp14:editId="56713BE9">
            <wp:simplePos x="0" y="0"/>
            <wp:positionH relativeFrom="column">
              <wp:posOffset>3248633</wp:posOffset>
            </wp:positionH>
            <wp:positionV relativeFrom="paragraph">
              <wp:posOffset>0</wp:posOffset>
            </wp:positionV>
            <wp:extent cx="2675512" cy="1575881"/>
            <wp:effectExtent l="19050" t="0" r="0" b="0"/>
            <wp:wrapNone/>
            <wp:docPr id="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2675512" cy="1575881"/>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50" behindDoc="0" locked="0" layoutInCell="1" allowOverlap="1" wp14:anchorId="609BD64B" wp14:editId="5114423E">
                <wp:simplePos x="0" y="0"/>
                <wp:positionH relativeFrom="column">
                  <wp:posOffset>2240280</wp:posOffset>
                </wp:positionH>
                <wp:positionV relativeFrom="paragraph">
                  <wp:posOffset>-48895</wp:posOffset>
                </wp:positionV>
                <wp:extent cx="515620" cy="184785"/>
                <wp:effectExtent l="1905" t="0" r="0" b="0"/>
                <wp:wrapNone/>
                <wp:docPr id="5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B75E3"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D64B" id="Text Box 68" o:spid="_x0000_s1398" type="#_x0000_t202" style="position:absolute;left:0;text-align:left;margin-left:176.4pt;margin-top:-3.85pt;width:40.6pt;height:14.55pt;z-index:251657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" stroked="f">
                <v:textbox>
                  <w:txbxContent>
                    <w:p w14:paraId="577B75E3" w14:textId="77777777" w:rsidR="00D34F1C" w:rsidRPr="00C34525" w:rsidRDefault="00D34F1C" w:rsidP="00C7217E">
                      <w:pPr>
                        <w:rPr>
                          <w:sz w:val="12"/>
                          <w:szCs w:val="12"/>
                        </w:rPr>
                      </w:pPr>
                      <w:r w:rsidRPr="00C34525">
                        <w:rPr>
                          <w:sz w:val="12"/>
                          <w:szCs w:val="12"/>
                        </w:rPr>
                        <w:t xml:space="preserve">Outlier </w:t>
                      </w:r>
                      <w:r>
                        <w:rPr>
                          <w:sz w:val="12"/>
                          <w:szCs w:val="12"/>
                        </w:rPr>
                        <w:t>– 1</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49" behindDoc="0" locked="0" layoutInCell="1" allowOverlap="1" wp14:anchorId="1745E229" wp14:editId="113E343F">
                <wp:simplePos x="0" y="0"/>
                <wp:positionH relativeFrom="column">
                  <wp:posOffset>-1905</wp:posOffset>
                </wp:positionH>
                <wp:positionV relativeFrom="paragraph">
                  <wp:posOffset>48895</wp:posOffset>
                </wp:positionV>
                <wp:extent cx="323850" cy="1333500"/>
                <wp:effectExtent l="0" t="1270" r="1905" b="0"/>
                <wp:wrapNone/>
                <wp:docPr id="5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6EE4" w14:textId="77777777" w:rsidR="00D34F1C" w:rsidRDefault="00D34F1C" w:rsidP="00C7217E">
                            <w:r>
                              <w:t>For IV= Pleasure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E229" id="Text Box 67" o:spid="_x0000_s1399" type="#_x0000_t202" style="position:absolute;left:0;text-align:left;margin-left:-.15pt;margin-top:3.85pt;width:25.5pt;height:105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" filled="f" stroked="f">
                <v:textbox style="layout-flow:vertical;mso-layout-flow-alt:bottom-to-top">
                  <w:txbxContent>
                    <w:p w14:paraId="36666EE4" w14:textId="77777777" w:rsidR="00D34F1C" w:rsidRDefault="00D34F1C" w:rsidP="00C7217E">
                      <w:r>
                        <w:t>For IV= Pleasure</w:t>
                      </w:r>
                    </w:p>
                  </w:txbxContent>
                </v:textbox>
              </v:shape>
            </w:pict>
          </mc:Fallback>
        </mc:AlternateContent>
      </w:r>
    </w:p>
    <w:p w14:paraId="7D55A3E5" w14:textId="1D0F5FC6"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74BFBA42" w14:textId="6CAB3D77" w:rsidR="007A2B7F" w:rsidRPr="001435A7" w:rsidRDefault="007A2B7F" w:rsidP="008756B1">
      <w:pPr>
        <w:spacing w:line="259" w:lineRule="auto"/>
        <w:jc w:val="both"/>
        <w:rPr>
          <w:rFonts w:ascii="Cambria" w:hAnsi="Cambria" w:cs="Times New Roman"/>
          <w:sz w:val="24"/>
          <w:szCs w:val="24"/>
        </w:rPr>
      </w:pPr>
    </w:p>
    <w:p w14:paraId="517CDE0C" w14:textId="3B4F6699" w:rsidR="007A2B7F" w:rsidRPr="001435A7" w:rsidRDefault="007A2B7F" w:rsidP="008756B1">
      <w:pPr>
        <w:spacing w:line="259" w:lineRule="auto"/>
        <w:jc w:val="both"/>
        <w:rPr>
          <w:rFonts w:ascii="Cambria" w:hAnsi="Cambria" w:cs="Times New Roman"/>
          <w:sz w:val="24"/>
          <w:szCs w:val="24"/>
        </w:rPr>
      </w:pPr>
    </w:p>
    <w:p w14:paraId="68099D0F" w14:textId="77777777" w:rsidR="007A2B7F" w:rsidRPr="001435A7" w:rsidRDefault="007A2B7F" w:rsidP="008756B1">
      <w:pPr>
        <w:spacing w:line="259" w:lineRule="auto"/>
        <w:jc w:val="both"/>
        <w:rPr>
          <w:rFonts w:ascii="Cambria" w:hAnsi="Cambria" w:cs="Times New Roman"/>
          <w:sz w:val="24"/>
          <w:szCs w:val="24"/>
        </w:rPr>
      </w:pPr>
    </w:p>
    <w:p w14:paraId="36354A9A" w14:textId="3E5F45E8" w:rsidR="00C7217E" w:rsidRPr="001435A7" w:rsidRDefault="00C7217E" w:rsidP="008756B1">
      <w:pPr>
        <w:spacing w:line="259" w:lineRule="auto"/>
        <w:jc w:val="both"/>
        <w:rPr>
          <w:rFonts w:ascii="Cambria" w:hAnsi="Cambria" w:cs="Times New Roman"/>
          <w:sz w:val="24"/>
          <w:szCs w:val="24"/>
        </w:rPr>
      </w:pPr>
      <w:r w:rsidRPr="001435A7">
        <w:rPr>
          <w:rFonts w:ascii="Cambria" w:hAnsi="Cambria" w:cs="Times New Roman"/>
          <w:noProof/>
          <w:sz w:val="24"/>
          <w:szCs w:val="24"/>
          <w:lang w:val="en-US"/>
        </w:rPr>
        <mc:AlternateContent>
          <mc:Choice Requires="wps">
            <w:drawing>
              <wp:anchor distT="0" distB="0" distL="114300" distR="114300" simplePos="0" relativeHeight="251657259" behindDoc="0" locked="0" layoutInCell="1" allowOverlap="1" wp14:anchorId="38181F8E" wp14:editId="1A6701B2">
                <wp:simplePos x="0" y="0"/>
                <wp:positionH relativeFrom="column">
                  <wp:posOffset>5212715</wp:posOffset>
                </wp:positionH>
                <wp:positionV relativeFrom="paragraph">
                  <wp:posOffset>197485</wp:posOffset>
                </wp:positionV>
                <wp:extent cx="515620" cy="184785"/>
                <wp:effectExtent l="2540" t="0" r="0" b="0"/>
                <wp:wrapNone/>
                <wp:docPr id="5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8EA1C"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1F8E" id="Text Box 77" o:spid="_x0000_s1400" type="#_x0000_t202" style="position:absolute;left:0;text-align:left;margin-left:410.45pt;margin-top:15.55pt;width:40.6pt;height:14.55pt;z-index:251657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" stroked="f">
                <v:textbox>
                  <w:txbxContent>
                    <w:p w14:paraId="12B8EA1C"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57" behindDoc="0" locked="0" layoutInCell="1" allowOverlap="1" wp14:anchorId="02E333C6" wp14:editId="7CB8D4F7">
            <wp:simplePos x="0" y="0"/>
            <wp:positionH relativeFrom="column">
              <wp:posOffset>3251348</wp:posOffset>
            </wp:positionH>
            <wp:positionV relativeFrom="paragraph">
              <wp:posOffset>125317</wp:posOffset>
            </wp:positionV>
            <wp:extent cx="2787944" cy="1988288"/>
            <wp:effectExtent l="19050" t="0" r="0" b="0"/>
            <wp:wrapNone/>
            <wp:docPr id="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2787944" cy="1988288"/>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58" behindDoc="0" locked="0" layoutInCell="1" allowOverlap="1" wp14:anchorId="5040857E" wp14:editId="59CEF6A0">
                <wp:simplePos x="0" y="0"/>
                <wp:positionH relativeFrom="column">
                  <wp:posOffset>3009265</wp:posOffset>
                </wp:positionH>
                <wp:positionV relativeFrom="paragraph">
                  <wp:posOffset>220345</wp:posOffset>
                </wp:positionV>
                <wp:extent cx="323850" cy="1333500"/>
                <wp:effectExtent l="0" t="0" r="635" b="0"/>
                <wp:wrapNone/>
                <wp:docPr id="5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005F" w14:textId="77777777" w:rsidR="00D34F1C" w:rsidRDefault="00D34F1C" w:rsidP="00C7217E">
                            <w:r>
                              <w:t>For IV= Ad Attitude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0857E" id="Text Box 75" o:spid="_x0000_s1401" type="#_x0000_t202" style="position:absolute;left:0;text-align:left;margin-left:236.95pt;margin-top:17.35pt;width:25.5pt;height:105pt;z-index:251657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" filled="f" stroked="f">
                <v:textbox style="layout-flow:vertical;mso-layout-flow-alt:bottom-to-top">
                  <w:txbxContent>
                    <w:p w14:paraId="5AFA005F" w14:textId="77777777" w:rsidR="00D34F1C" w:rsidRDefault="00D34F1C" w:rsidP="00C7217E">
                      <w:r>
                        <w:t>For IV= Ad Attitude</w:t>
                      </w:r>
                    </w:p>
                  </w:txbxContent>
                </v:textbox>
              </v:shape>
            </w:pict>
          </mc:Fallback>
        </mc:AlternateContent>
      </w:r>
    </w:p>
    <w:p w14:paraId="357BD57B" w14:textId="30FF3EEF" w:rsidR="00C7217E" w:rsidRPr="001435A7" w:rsidRDefault="00C7217E" w:rsidP="008756B1">
      <w:pPr>
        <w:spacing w:line="259" w:lineRule="auto"/>
        <w:jc w:val="both"/>
        <w:rPr>
          <w:rFonts w:ascii="Cambria" w:hAnsi="Cambria" w:cs="Times New Roman"/>
          <w:sz w:val="24"/>
          <w:szCs w:val="24"/>
        </w:rPr>
      </w:pPr>
      <w:r w:rsidRPr="001435A7">
        <w:rPr>
          <w:rFonts w:ascii="Cambria" w:hAnsi="Cambria" w:cs="Times New Roman"/>
          <w:noProof/>
          <w:sz w:val="24"/>
          <w:szCs w:val="24"/>
          <w:lang w:val="en-US"/>
        </w:rPr>
        <w:drawing>
          <wp:anchor distT="0" distB="0" distL="114300" distR="114300" simplePos="0" relativeHeight="251657254" behindDoc="1" locked="0" layoutInCell="1" allowOverlap="1" wp14:anchorId="0ABF9ACA" wp14:editId="73D82B5E">
            <wp:simplePos x="0" y="0"/>
            <wp:positionH relativeFrom="column">
              <wp:posOffset>263598</wp:posOffset>
            </wp:positionH>
            <wp:positionV relativeFrom="paragraph">
              <wp:posOffset>635</wp:posOffset>
            </wp:positionV>
            <wp:extent cx="2751603" cy="1807454"/>
            <wp:effectExtent l="19050" t="0" r="0" b="0"/>
            <wp:wrapNone/>
            <wp:docPr id="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751231" cy="1807210"/>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55" behindDoc="0" locked="0" layoutInCell="1" allowOverlap="1" wp14:anchorId="25F26923" wp14:editId="4704ADC8">
                <wp:simplePos x="0" y="0"/>
                <wp:positionH relativeFrom="column">
                  <wp:posOffset>635</wp:posOffset>
                </wp:positionH>
                <wp:positionV relativeFrom="paragraph">
                  <wp:posOffset>34925</wp:posOffset>
                </wp:positionV>
                <wp:extent cx="323850" cy="1333500"/>
                <wp:effectExtent l="635" t="0" r="0" b="3810"/>
                <wp:wrapNone/>
                <wp:docPr id="5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D324D" w14:textId="77777777" w:rsidR="00D34F1C" w:rsidRDefault="00D34F1C" w:rsidP="00C7217E">
                            <w:r>
                              <w:t>For IV= dominance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6923" id="Text Box 72" o:spid="_x0000_s1402" type="#_x0000_t202" style="position:absolute;left:0;text-align:left;margin-left:.05pt;margin-top:2.75pt;width:25.5pt;height:105pt;z-index:25165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" filled="f" stroked="f">
                <v:textbox style="layout-flow:vertical;mso-layout-flow-alt:bottom-to-top">
                  <w:txbxContent>
                    <w:p w14:paraId="43ED324D" w14:textId="77777777" w:rsidR="00D34F1C" w:rsidRDefault="00D34F1C" w:rsidP="00C7217E">
                      <w:r>
                        <w:t>For IV= dominance</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56" behindDoc="0" locked="0" layoutInCell="1" allowOverlap="1" wp14:anchorId="39D3859F" wp14:editId="198BBC95">
                <wp:simplePos x="0" y="0"/>
                <wp:positionH relativeFrom="column">
                  <wp:posOffset>2317750</wp:posOffset>
                </wp:positionH>
                <wp:positionV relativeFrom="paragraph">
                  <wp:posOffset>34925</wp:posOffset>
                </wp:positionV>
                <wp:extent cx="515620" cy="184785"/>
                <wp:effectExtent l="3175" t="0" r="0" b="0"/>
                <wp:wrapNone/>
                <wp:docPr id="5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F7C20"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859F" id="Text Box 73" o:spid="_x0000_s1403" type="#_x0000_t202" style="position:absolute;left:0;text-align:left;margin-left:182.5pt;margin-top:2.75pt;width:40.6pt;height:14.55pt;z-index:25165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" stroked="f">
                <v:textbox>
                  <w:txbxContent>
                    <w:p w14:paraId="7DAF7C20" w14:textId="77777777" w:rsidR="00D34F1C" w:rsidRPr="00C34525" w:rsidRDefault="00D34F1C" w:rsidP="00C7217E">
                      <w:pPr>
                        <w:rPr>
                          <w:sz w:val="12"/>
                          <w:szCs w:val="12"/>
                        </w:rPr>
                      </w:pPr>
                      <w:r w:rsidRPr="00C34525">
                        <w:rPr>
                          <w:sz w:val="12"/>
                          <w:szCs w:val="12"/>
                        </w:rPr>
                        <w:t xml:space="preserve">Outlier </w:t>
                      </w:r>
                      <w:r>
                        <w:rPr>
                          <w:sz w:val="12"/>
                          <w:szCs w:val="12"/>
                        </w:rPr>
                        <w:t>– 2</w:t>
                      </w:r>
                    </w:p>
                  </w:txbxContent>
                </v:textbox>
              </v:shape>
            </w:pict>
          </mc:Fallback>
        </mc:AlternateContent>
      </w:r>
    </w:p>
    <w:p w14:paraId="6AB999DC" w14:textId="77777777" w:rsidR="00C7217E" w:rsidRPr="001435A7" w:rsidRDefault="00C7217E" w:rsidP="008756B1">
      <w:pPr>
        <w:spacing w:line="259" w:lineRule="auto"/>
        <w:jc w:val="both"/>
        <w:rPr>
          <w:rFonts w:ascii="Cambria" w:hAnsi="Cambria" w:cs="Times New Roman"/>
          <w:sz w:val="24"/>
          <w:szCs w:val="24"/>
        </w:rPr>
      </w:pPr>
    </w:p>
    <w:p w14:paraId="6D508661" w14:textId="6219A3F2" w:rsidR="00C7217E" w:rsidRPr="001435A7" w:rsidRDefault="00C7217E" w:rsidP="008756B1">
      <w:pPr>
        <w:spacing w:line="259" w:lineRule="auto"/>
        <w:jc w:val="both"/>
        <w:rPr>
          <w:rFonts w:ascii="Cambria" w:hAnsi="Cambria" w:cs="Times New Roman"/>
          <w:sz w:val="24"/>
          <w:szCs w:val="24"/>
        </w:rPr>
      </w:pPr>
    </w:p>
    <w:p w14:paraId="454021F0"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862C0D7"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0F8CCAFB"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2753AE9D"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505E960D"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64" behindDoc="0" locked="0" layoutInCell="1" allowOverlap="1" wp14:anchorId="33273A1A" wp14:editId="20CE5B53">
                <wp:simplePos x="0" y="0"/>
                <wp:positionH relativeFrom="column">
                  <wp:posOffset>5113020</wp:posOffset>
                </wp:positionH>
                <wp:positionV relativeFrom="paragraph">
                  <wp:posOffset>218440</wp:posOffset>
                </wp:positionV>
                <wp:extent cx="515620" cy="184785"/>
                <wp:effectExtent l="0" t="0" r="635" b="0"/>
                <wp:wrapNone/>
                <wp:docPr id="5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9D4C1"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3A1A" id="Text Box 81" o:spid="_x0000_s1404" type="#_x0000_t202" style="position:absolute;left:0;text-align:left;margin-left:402.6pt;margin-top:17.2pt;width:40.6pt;height:14.55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" stroked="f">
                <v:textbox>
                  <w:txbxContent>
                    <w:p w14:paraId="5039D4C1"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63" behindDoc="0" locked="0" layoutInCell="1" allowOverlap="1" wp14:anchorId="524284E6" wp14:editId="279245A9">
            <wp:simplePos x="0" y="0"/>
            <wp:positionH relativeFrom="column">
              <wp:posOffset>3251348</wp:posOffset>
            </wp:positionH>
            <wp:positionV relativeFrom="paragraph">
              <wp:posOffset>125125</wp:posOffset>
            </wp:positionV>
            <wp:extent cx="2766679" cy="1733107"/>
            <wp:effectExtent l="19050" t="0" r="0" b="0"/>
            <wp:wrapNone/>
            <wp:docPr id="6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2766680" cy="1733108"/>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61" behindDoc="0" locked="0" layoutInCell="1" allowOverlap="1" wp14:anchorId="32E58F7E" wp14:editId="31873B50">
                <wp:simplePos x="0" y="0"/>
                <wp:positionH relativeFrom="column">
                  <wp:posOffset>85090</wp:posOffset>
                </wp:positionH>
                <wp:positionV relativeFrom="paragraph">
                  <wp:posOffset>120650</wp:posOffset>
                </wp:positionV>
                <wp:extent cx="323850" cy="1333500"/>
                <wp:effectExtent l="0" t="0" r="635" b="3810"/>
                <wp:wrapNone/>
                <wp:docPr id="5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D724" w14:textId="77777777" w:rsidR="00D34F1C" w:rsidRDefault="00D34F1C" w:rsidP="00C7217E">
                            <w:r>
                              <w:t>For IV= Ad Attitude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8F7E" id="Text Box 79" o:spid="_x0000_s1405" type="#_x0000_t202" style="position:absolute;left:0;text-align:left;margin-left:6.7pt;margin-top:9.5pt;width:25.5pt;height:105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" filled="f" stroked="f">
                <v:textbox style="layout-flow:vertical;mso-layout-flow-alt:bottom-to-top">
                  <w:txbxContent>
                    <w:p w14:paraId="55A3D724" w14:textId="77777777" w:rsidR="00D34F1C" w:rsidRDefault="00D34F1C" w:rsidP="00C7217E">
                      <w:r>
                        <w:t>For IV= Ad Attitude</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60" behindDoc="0" locked="0" layoutInCell="1" allowOverlap="1" wp14:anchorId="4A3B315E" wp14:editId="2BFB3A84">
            <wp:simplePos x="0" y="0"/>
            <wp:positionH relativeFrom="column">
              <wp:posOffset>295497</wp:posOffset>
            </wp:positionH>
            <wp:positionV relativeFrom="paragraph">
              <wp:posOffset>231450</wp:posOffset>
            </wp:positionV>
            <wp:extent cx="2766680" cy="1626781"/>
            <wp:effectExtent l="19050" t="0" r="0" b="0"/>
            <wp:wrapNone/>
            <wp:docPr id="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2766680" cy="1626781"/>
                    </a:xfrm>
                    <a:prstGeom prst="rect">
                      <a:avLst/>
                    </a:prstGeom>
                    <a:noFill/>
                    <a:ln w="9525">
                      <a:noFill/>
                      <a:miter lim="800000"/>
                      <a:headEnd/>
                      <a:tailEnd/>
                    </a:ln>
                  </pic:spPr>
                </pic:pic>
              </a:graphicData>
            </a:graphic>
          </wp:anchor>
        </w:drawing>
      </w:r>
    </w:p>
    <w:p w14:paraId="57AF4278"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65" behindDoc="0" locked="0" layoutInCell="1" allowOverlap="1" wp14:anchorId="7CD45652" wp14:editId="6000943F">
                <wp:simplePos x="0" y="0"/>
                <wp:positionH relativeFrom="column">
                  <wp:posOffset>3001010</wp:posOffset>
                </wp:positionH>
                <wp:positionV relativeFrom="paragraph">
                  <wp:posOffset>19050</wp:posOffset>
                </wp:positionV>
                <wp:extent cx="323850" cy="1333500"/>
                <wp:effectExtent l="635" t="0" r="0" b="3810"/>
                <wp:wrapNone/>
                <wp:docPr id="5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508E" w14:textId="77777777" w:rsidR="00D34F1C" w:rsidRDefault="00D34F1C" w:rsidP="00C7217E">
                            <w:r>
                              <w:t>For IV= Engagement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5652" id="Text Box 82" o:spid="_x0000_s1406" type="#_x0000_t202" style="position:absolute;left:0;text-align:left;margin-left:236.3pt;margin-top:1.5pt;width:25.5pt;height:105pt;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" filled="f" stroked="f">
                <v:textbox style="layout-flow:vertical;mso-layout-flow-alt:bottom-to-top">
                  <w:txbxContent>
                    <w:p w14:paraId="0981508E" w14:textId="77777777" w:rsidR="00D34F1C" w:rsidRDefault="00D34F1C" w:rsidP="00C7217E">
                      <w:r>
                        <w:t>For IV= Engagement</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62" behindDoc="0" locked="0" layoutInCell="1" allowOverlap="1" wp14:anchorId="25C6DD81" wp14:editId="11441ADE">
                <wp:simplePos x="0" y="0"/>
                <wp:positionH relativeFrom="column">
                  <wp:posOffset>2240280</wp:posOffset>
                </wp:positionH>
                <wp:positionV relativeFrom="paragraph">
                  <wp:posOffset>49530</wp:posOffset>
                </wp:positionV>
                <wp:extent cx="515620" cy="184785"/>
                <wp:effectExtent l="1905" t="0" r="0" b="0"/>
                <wp:wrapNone/>
                <wp:docPr id="5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C0E35"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DD81" id="Text Box 80" o:spid="_x0000_s1407" type="#_x0000_t202" style="position:absolute;left:0;text-align:left;margin-left:176.4pt;margin-top:3.9pt;width:40.6pt;height:14.55pt;z-index:251657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" stroked="f">
                <v:textbox>
                  <w:txbxContent>
                    <w:p w14:paraId="40FC0E35"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v:textbox>
              </v:shape>
            </w:pict>
          </mc:Fallback>
        </mc:AlternateContent>
      </w:r>
    </w:p>
    <w:p w14:paraId="7995D5F3"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043DBBC0"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F585A97"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0B982248"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6667EC4F"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3BE18FD4"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57579EE4"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w:drawing>
          <wp:anchor distT="0" distB="0" distL="114300" distR="114300" simplePos="0" relativeHeight="251657269" behindDoc="0" locked="0" layoutInCell="1" allowOverlap="1" wp14:anchorId="15D735A8" wp14:editId="7CC7724A">
            <wp:simplePos x="0" y="0"/>
            <wp:positionH relativeFrom="column">
              <wp:posOffset>3251348</wp:posOffset>
            </wp:positionH>
            <wp:positionV relativeFrom="paragraph">
              <wp:posOffset>141192</wp:posOffset>
            </wp:positionV>
            <wp:extent cx="2670987" cy="1765005"/>
            <wp:effectExtent l="19050" t="0" r="0" b="0"/>
            <wp:wrapNone/>
            <wp:docPr id="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2670987" cy="1765005"/>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w:drawing>
          <wp:anchor distT="0" distB="0" distL="114300" distR="114300" simplePos="0" relativeHeight="251657267" behindDoc="0" locked="0" layoutInCell="1" allowOverlap="1" wp14:anchorId="2D38E780" wp14:editId="0A787134">
            <wp:simplePos x="0" y="0"/>
            <wp:positionH relativeFrom="column">
              <wp:posOffset>231140</wp:posOffset>
            </wp:positionH>
            <wp:positionV relativeFrom="paragraph">
              <wp:posOffset>151765</wp:posOffset>
            </wp:positionV>
            <wp:extent cx="2713355" cy="1753870"/>
            <wp:effectExtent l="19050" t="0" r="0" b="0"/>
            <wp:wrapNone/>
            <wp:docPr id="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2713355" cy="1753870"/>
                    </a:xfrm>
                    <a:prstGeom prst="rect">
                      <a:avLst/>
                    </a:prstGeom>
                    <a:noFill/>
                    <a:ln w="9525">
                      <a:noFill/>
                      <a:miter lim="800000"/>
                      <a:headEnd/>
                      <a:tailEnd/>
                    </a:ln>
                  </pic:spPr>
                </pic:pic>
              </a:graphicData>
            </a:graphic>
          </wp:anchor>
        </w:drawing>
      </w:r>
    </w:p>
    <w:p w14:paraId="577779BA"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70" behindDoc="0" locked="0" layoutInCell="1" allowOverlap="1" wp14:anchorId="10C6C914" wp14:editId="499B9628">
                <wp:simplePos x="0" y="0"/>
                <wp:positionH relativeFrom="column">
                  <wp:posOffset>5089525</wp:posOffset>
                </wp:positionH>
                <wp:positionV relativeFrom="paragraph">
                  <wp:posOffset>24130</wp:posOffset>
                </wp:positionV>
                <wp:extent cx="515620" cy="184785"/>
                <wp:effectExtent l="3175" t="1270" r="0" b="4445"/>
                <wp:wrapNone/>
                <wp:docPr id="5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9F10E"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6C914" id="Text Box 86" o:spid="_x0000_s1408" type="#_x0000_t202" style="position:absolute;left:0;text-align:left;margin-left:400.75pt;margin-top:1.9pt;width:40.6pt;height:14.55pt;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" stroked="f">
                <v:textbox>
                  <w:txbxContent>
                    <w:p w14:paraId="20B9F10E"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68" behindDoc="0" locked="0" layoutInCell="1" allowOverlap="1" wp14:anchorId="2B03B736" wp14:editId="70DC5432">
                <wp:simplePos x="0" y="0"/>
                <wp:positionH relativeFrom="column">
                  <wp:posOffset>2317750</wp:posOffset>
                </wp:positionH>
                <wp:positionV relativeFrom="paragraph">
                  <wp:posOffset>68580</wp:posOffset>
                </wp:positionV>
                <wp:extent cx="515620" cy="184785"/>
                <wp:effectExtent l="3175" t="0" r="0" b="0"/>
                <wp:wrapNone/>
                <wp:docPr id="5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16BD9"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3B736" id="Text Box 85" o:spid="_x0000_s1409" type="#_x0000_t202" style="position:absolute;left:0;text-align:left;margin-left:182.5pt;margin-top:5.4pt;width:40.6pt;height:14.55pt;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" stroked="f">
                <v:textbox>
                  <w:txbxContent>
                    <w:p w14:paraId="18616BD9"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66" behindDoc="0" locked="0" layoutInCell="1" allowOverlap="1" wp14:anchorId="1A465906" wp14:editId="4F96EFEF">
                <wp:simplePos x="0" y="0"/>
                <wp:positionH relativeFrom="column">
                  <wp:posOffset>-3175</wp:posOffset>
                </wp:positionH>
                <wp:positionV relativeFrom="paragraph">
                  <wp:posOffset>68580</wp:posOffset>
                </wp:positionV>
                <wp:extent cx="323850" cy="1333500"/>
                <wp:effectExtent l="0" t="0" r="3175" b="1905"/>
                <wp:wrapNone/>
                <wp:docPr id="5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1B6D" w14:textId="77777777" w:rsidR="00D34F1C" w:rsidRDefault="00D34F1C" w:rsidP="00C7217E">
                            <w:r>
                              <w:t>For IV= Engagement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5906" id="Text Box 84" o:spid="_x0000_s1410" type="#_x0000_t202" style="position:absolute;left:0;text-align:left;margin-left:-.25pt;margin-top:5.4pt;width:25.5pt;height:105pt;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" filled="f" stroked="f">
                <v:textbox style="layout-flow:vertical;mso-layout-flow-alt:bottom-to-top">
                  <w:txbxContent>
                    <w:p w14:paraId="6C731B6D" w14:textId="77777777" w:rsidR="00D34F1C" w:rsidRDefault="00D34F1C" w:rsidP="00C7217E">
                      <w:r>
                        <w:t>For IV= Engagement</w:t>
                      </w:r>
                    </w:p>
                  </w:txbxContent>
                </v:textbox>
              </v:shape>
            </w:pict>
          </mc:Fallback>
        </mc:AlternateContent>
      </w:r>
    </w:p>
    <w:p w14:paraId="1D85B9CD"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73" behindDoc="0" locked="0" layoutInCell="1" allowOverlap="1" wp14:anchorId="6DC2DD6C" wp14:editId="6C7F81B5">
                <wp:simplePos x="0" y="0"/>
                <wp:positionH relativeFrom="column">
                  <wp:posOffset>3021330</wp:posOffset>
                </wp:positionH>
                <wp:positionV relativeFrom="paragraph">
                  <wp:posOffset>1270</wp:posOffset>
                </wp:positionV>
                <wp:extent cx="323850" cy="1333500"/>
                <wp:effectExtent l="1905" t="1270" r="0" b="0"/>
                <wp:wrapNone/>
                <wp:docPr id="5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1C43" w14:textId="77777777" w:rsidR="00D34F1C" w:rsidRDefault="00D34F1C" w:rsidP="00C7217E">
                            <w:r>
                              <w:t>For IV= Information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DD6C" id="Text Box 88" o:spid="_x0000_s1411" type="#_x0000_t202" style="position:absolute;left:0;text-align:left;margin-left:237.9pt;margin-top:.1pt;width:25.5pt;height:105pt;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" filled="f" stroked="f">
                <v:textbox style="layout-flow:vertical;mso-layout-flow-alt:bottom-to-top">
                  <w:txbxContent>
                    <w:p w14:paraId="16F01C43" w14:textId="77777777" w:rsidR="00D34F1C" w:rsidRDefault="00D34F1C" w:rsidP="00C7217E">
                      <w:r>
                        <w:t>For IV= Information</w:t>
                      </w:r>
                    </w:p>
                  </w:txbxContent>
                </v:textbox>
              </v:shape>
            </w:pict>
          </mc:Fallback>
        </mc:AlternateContent>
      </w:r>
    </w:p>
    <w:p w14:paraId="2E35B029"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rPr>
      </w:pPr>
    </w:p>
    <w:p w14:paraId="5CB3E1B2"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rPr>
      </w:pPr>
    </w:p>
    <w:p w14:paraId="7BE64A78"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4CC3D182"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p>
    <w:p w14:paraId="0F494212" w14:textId="77777777" w:rsidR="00C7217E" w:rsidRPr="001435A7" w:rsidRDefault="00C7217E" w:rsidP="008756B1">
      <w:pPr>
        <w:autoSpaceDE w:val="0"/>
        <w:autoSpaceDN w:val="0"/>
        <w:adjustRightInd w:val="0"/>
        <w:spacing w:after="0" w:line="400" w:lineRule="atLeast"/>
        <w:jc w:val="both"/>
        <w:rPr>
          <w:rFonts w:ascii="Cambria" w:hAnsi="Cambria" w:cs="Times New Roman"/>
          <w:sz w:val="24"/>
          <w:szCs w:val="24"/>
          <w:lang w:val="en-US"/>
        </w:rPr>
      </w:pPr>
    </w:p>
    <w:p w14:paraId="087857DA" w14:textId="77777777" w:rsidR="00C7217E" w:rsidRPr="001435A7" w:rsidRDefault="00C7217E" w:rsidP="008756B1">
      <w:pPr>
        <w:spacing w:line="259" w:lineRule="auto"/>
        <w:jc w:val="both"/>
        <w:rPr>
          <w:rFonts w:ascii="Cambria" w:hAnsi="Cambria" w:cs="Times New Roman"/>
          <w:sz w:val="24"/>
          <w:szCs w:val="24"/>
        </w:rPr>
      </w:pPr>
      <w:r w:rsidRPr="001435A7">
        <w:rPr>
          <w:rFonts w:ascii="Cambria" w:hAnsi="Cambria" w:cs="Times New Roman"/>
          <w:noProof/>
          <w:sz w:val="24"/>
          <w:szCs w:val="24"/>
          <w:lang w:val="en-US"/>
        </w:rPr>
        <w:drawing>
          <wp:anchor distT="0" distB="0" distL="114300" distR="114300" simplePos="0" relativeHeight="251657275" behindDoc="0" locked="0" layoutInCell="1" allowOverlap="1" wp14:anchorId="35DA8975" wp14:editId="729FED71">
            <wp:simplePos x="0" y="0"/>
            <wp:positionH relativeFrom="column">
              <wp:posOffset>3230083</wp:posOffset>
            </wp:positionH>
            <wp:positionV relativeFrom="paragraph">
              <wp:posOffset>286799</wp:posOffset>
            </wp:positionV>
            <wp:extent cx="2692252" cy="1584251"/>
            <wp:effectExtent l="19050" t="0" r="0" b="0"/>
            <wp:wrapNone/>
            <wp:docPr id="6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2692252" cy="1584251"/>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76" behindDoc="0" locked="0" layoutInCell="1" allowOverlap="1" wp14:anchorId="4A56BB96" wp14:editId="7C650F71">
                <wp:simplePos x="0" y="0"/>
                <wp:positionH relativeFrom="column">
                  <wp:posOffset>3011805</wp:posOffset>
                </wp:positionH>
                <wp:positionV relativeFrom="paragraph">
                  <wp:posOffset>276860</wp:posOffset>
                </wp:positionV>
                <wp:extent cx="323850" cy="1333500"/>
                <wp:effectExtent l="1905" t="0" r="0" b="635"/>
                <wp:wrapNone/>
                <wp:docPr id="5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ECF7" w14:textId="77777777" w:rsidR="00D34F1C" w:rsidRDefault="00D34F1C" w:rsidP="00C7217E">
                            <w:r>
                              <w:t>For IV= Purchase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BB96" id="Text Box 90" o:spid="_x0000_s1412" type="#_x0000_t202" style="position:absolute;left:0;text-align:left;margin-left:237.15pt;margin-top:21.8pt;width:25.5pt;height:105pt;z-index:25165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" filled="f" stroked="f">
                <v:textbox style="layout-flow:vertical;mso-layout-flow-alt:bottom-to-top">
                  <w:txbxContent>
                    <w:p w14:paraId="1478ECF7" w14:textId="77777777" w:rsidR="00D34F1C" w:rsidRDefault="00D34F1C" w:rsidP="00C7217E">
                      <w:r>
                        <w:t>For IV= Purchase</w:t>
                      </w:r>
                    </w:p>
                  </w:txbxContent>
                </v:textbox>
              </v:shape>
            </w:pict>
          </mc:Fallback>
        </mc:AlternateContent>
      </w:r>
    </w:p>
    <w:p w14:paraId="0BCEF93A" w14:textId="77777777" w:rsidR="00C7217E" w:rsidRPr="001435A7" w:rsidRDefault="00C7217E" w:rsidP="008756B1">
      <w:pPr>
        <w:autoSpaceDE w:val="0"/>
        <w:autoSpaceDN w:val="0"/>
        <w:adjustRightInd w:val="0"/>
        <w:spacing w:after="0" w:line="240" w:lineRule="auto"/>
        <w:jc w:val="both"/>
        <w:rPr>
          <w:rFonts w:ascii="Cambria" w:hAnsi="Cambria" w:cs="Times New Roman"/>
          <w:sz w:val="24"/>
          <w:szCs w:val="24"/>
          <w:lang w:val="en-US"/>
        </w:rPr>
      </w:pPr>
      <w:r w:rsidRPr="001435A7">
        <w:rPr>
          <w:rFonts w:ascii="Cambria" w:hAnsi="Cambria" w:cs="Times New Roman"/>
          <w:noProof/>
          <w:sz w:val="24"/>
          <w:szCs w:val="24"/>
          <w:lang w:val="en-US"/>
        </w:rPr>
        <mc:AlternateContent>
          <mc:Choice Requires="wps">
            <w:drawing>
              <wp:anchor distT="0" distB="0" distL="114300" distR="114300" simplePos="0" relativeHeight="251657277" behindDoc="0" locked="0" layoutInCell="1" allowOverlap="1" wp14:anchorId="207506B8" wp14:editId="4C0E6AF2">
                <wp:simplePos x="0" y="0"/>
                <wp:positionH relativeFrom="column">
                  <wp:posOffset>5057140</wp:posOffset>
                </wp:positionH>
                <wp:positionV relativeFrom="paragraph">
                  <wp:posOffset>13970</wp:posOffset>
                </wp:positionV>
                <wp:extent cx="515620" cy="184785"/>
                <wp:effectExtent l="0" t="4445" r="0" b="1270"/>
                <wp:wrapNone/>
                <wp:docPr id="5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7832A" w14:textId="77777777" w:rsidR="00D34F1C" w:rsidRPr="00C34525" w:rsidRDefault="00D34F1C" w:rsidP="00C7217E">
                            <w:pPr>
                              <w:rPr>
                                <w:sz w:val="12"/>
                                <w:szCs w:val="12"/>
                              </w:rPr>
                            </w:pPr>
                            <w:r w:rsidRPr="00C34525">
                              <w:rPr>
                                <w:sz w:val="12"/>
                                <w:szCs w:val="12"/>
                              </w:rPr>
                              <w:t xml:space="preserve">Outlier </w:t>
                            </w:r>
                            <w:r>
                              <w:rPr>
                                <w:sz w:val="12"/>
                                <w:szCs w:val="12"/>
                              </w:rPr>
                              <w:t>–</w:t>
                            </w:r>
                            <w:r w:rsidRPr="00C34525">
                              <w:rPr>
                                <w:sz w:val="12"/>
                                <w:szCs w:val="12"/>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06B8" id="Text Box 91" o:spid="_x0000_s1413" type="#_x0000_t202" style="position:absolute;left:0;text-align:left;margin-left:398.2pt;margin-top:1.1pt;width:40.6pt;height:14.55pt;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" stroked="f">
                <v:textbox>
                  <w:txbxContent>
                    <w:p w14:paraId="7E27832A" w14:textId="77777777" w:rsidR="00D34F1C" w:rsidRPr="00C34525" w:rsidRDefault="00D34F1C" w:rsidP="00C7217E">
                      <w:pPr>
                        <w:rPr>
                          <w:sz w:val="12"/>
                          <w:szCs w:val="12"/>
                        </w:rPr>
                      </w:pPr>
                      <w:r w:rsidRPr="00C34525">
                        <w:rPr>
                          <w:sz w:val="12"/>
                          <w:szCs w:val="12"/>
                        </w:rPr>
                        <w:t xml:space="preserve">Outlier </w:t>
                      </w:r>
                      <w:r>
                        <w:rPr>
                          <w:sz w:val="12"/>
                          <w:szCs w:val="12"/>
                        </w:rPr>
                        <w:t>–</w:t>
                      </w:r>
                      <w:r w:rsidRPr="00C34525">
                        <w:rPr>
                          <w:sz w:val="12"/>
                          <w:szCs w:val="12"/>
                        </w:rPr>
                        <w:t xml:space="preserve"> 3</w:t>
                      </w:r>
                    </w:p>
                  </w:txbxContent>
                </v:textbox>
              </v:shape>
            </w:pict>
          </mc:Fallback>
        </mc:AlternateContent>
      </w:r>
      <w:r w:rsidRPr="001435A7">
        <w:rPr>
          <w:rFonts w:ascii="Cambria" w:hAnsi="Cambria" w:cs="Times New Roman"/>
          <w:noProof/>
          <w:sz w:val="24"/>
          <w:szCs w:val="24"/>
          <w:lang w:val="en-US"/>
        </w:rPr>
        <w:drawing>
          <wp:anchor distT="0" distB="0" distL="114300" distR="114300" simplePos="0" relativeHeight="251657272" behindDoc="0" locked="0" layoutInCell="1" allowOverlap="1" wp14:anchorId="4E2F024E" wp14:editId="60299A5B">
            <wp:simplePos x="0" y="0"/>
            <wp:positionH relativeFrom="column">
              <wp:posOffset>337820</wp:posOffset>
            </wp:positionH>
            <wp:positionV relativeFrom="paragraph">
              <wp:posOffset>12065</wp:posOffset>
            </wp:positionV>
            <wp:extent cx="2574925" cy="1594485"/>
            <wp:effectExtent l="19050" t="0" r="0" b="0"/>
            <wp:wrapNone/>
            <wp:docPr id="6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srcRect/>
                    <a:stretch>
                      <a:fillRect/>
                    </a:stretch>
                  </pic:blipFill>
                  <pic:spPr bwMode="auto">
                    <a:xfrm>
                      <a:off x="0" y="0"/>
                      <a:ext cx="2574925" cy="1594485"/>
                    </a:xfrm>
                    <a:prstGeom prst="rect">
                      <a:avLst/>
                    </a:prstGeom>
                    <a:noFill/>
                    <a:ln w="9525">
                      <a:noFill/>
                      <a:miter lim="800000"/>
                      <a:headEnd/>
                      <a:tailEnd/>
                    </a:ln>
                  </pic:spPr>
                </pic:pic>
              </a:graphicData>
            </a:graphic>
          </wp:anchor>
        </w:drawing>
      </w:r>
      <w:r w:rsidRPr="001435A7">
        <w:rPr>
          <w:rFonts w:ascii="Cambria" w:hAnsi="Cambria" w:cs="Times New Roman"/>
          <w:noProof/>
          <w:sz w:val="24"/>
          <w:szCs w:val="24"/>
          <w:lang w:val="en-US"/>
        </w:rPr>
        <mc:AlternateContent>
          <mc:Choice Requires="wps">
            <w:drawing>
              <wp:anchor distT="0" distB="0" distL="114300" distR="114300" simplePos="0" relativeHeight="251657271" behindDoc="0" locked="0" layoutInCell="1" allowOverlap="1" wp14:anchorId="2EE1ACBE" wp14:editId="37138A19">
                <wp:simplePos x="0" y="0"/>
                <wp:positionH relativeFrom="column">
                  <wp:posOffset>85090</wp:posOffset>
                </wp:positionH>
                <wp:positionV relativeFrom="paragraph">
                  <wp:posOffset>246380</wp:posOffset>
                </wp:positionV>
                <wp:extent cx="323850" cy="925195"/>
                <wp:effectExtent l="0" t="0" r="635" b="0"/>
                <wp:wrapNone/>
                <wp:docPr id="5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CE61" w14:textId="77777777" w:rsidR="00D34F1C" w:rsidRDefault="00D34F1C" w:rsidP="00C7217E">
                            <w:r>
                              <w:t>For IV= Norm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ACBE" id="Text Box 87" o:spid="_x0000_s1414" type="#_x0000_t202" style="position:absolute;left:0;text-align:left;margin-left:6.7pt;margin-top:19.4pt;width:25.5pt;height:72.85pt;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" filled="f" stroked="f">
                <v:textbox style="layout-flow:vertical;mso-layout-flow-alt:bottom-to-top">
                  <w:txbxContent>
                    <w:p w14:paraId="4CDFCE61" w14:textId="77777777" w:rsidR="00D34F1C" w:rsidRDefault="00D34F1C" w:rsidP="00C7217E">
                      <w:r>
                        <w:t>For IV= Norm</w:t>
                      </w:r>
                    </w:p>
                  </w:txbxContent>
                </v:textbox>
              </v:shape>
            </w:pict>
          </mc:Fallback>
        </mc:AlternateContent>
      </w:r>
      <w:r w:rsidRPr="001435A7">
        <w:rPr>
          <w:rFonts w:ascii="Cambria" w:hAnsi="Cambria" w:cs="Times New Roman"/>
          <w:noProof/>
          <w:sz w:val="24"/>
          <w:szCs w:val="24"/>
          <w:lang w:val="en-US"/>
        </w:rPr>
        <mc:AlternateContent>
          <mc:Choice Requires="wps">
            <w:drawing>
              <wp:anchor distT="0" distB="0" distL="114300" distR="114300" simplePos="0" relativeHeight="251657274" behindDoc="0" locked="0" layoutInCell="1" allowOverlap="1" wp14:anchorId="588EDCB8" wp14:editId="03A5B049">
                <wp:simplePos x="0" y="0"/>
                <wp:positionH relativeFrom="column">
                  <wp:posOffset>2103755</wp:posOffset>
                </wp:positionH>
                <wp:positionV relativeFrom="paragraph">
                  <wp:posOffset>61595</wp:posOffset>
                </wp:positionV>
                <wp:extent cx="515620" cy="184785"/>
                <wp:effectExtent l="0" t="4445" r="0" b="1270"/>
                <wp:wrapNone/>
                <wp:docPr id="5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3D46"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DCB8" id="Text Box 89" o:spid="_x0000_s1415" type="#_x0000_t202" style="position:absolute;left:0;text-align:left;margin-left:165.65pt;margin-top:4.85pt;width:40.6pt;height:14.55pt;z-index:25165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" stroked="f">
                <v:textbox>
                  <w:txbxContent>
                    <w:p w14:paraId="40FD3D46" w14:textId="77777777" w:rsidR="00D34F1C" w:rsidRPr="00C34525" w:rsidRDefault="00D34F1C" w:rsidP="00C7217E">
                      <w:pPr>
                        <w:rPr>
                          <w:sz w:val="12"/>
                          <w:szCs w:val="12"/>
                        </w:rPr>
                      </w:pPr>
                      <w:r w:rsidRPr="00C34525">
                        <w:rPr>
                          <w:sz w:val="12"/>
                          <w:szCs w:val="12"/>
                        </w:rPr>
                        <w:t xml:space="preserve">Outlier </w:t>
                      </w:r>
                      <w:r>
                        <w:rPr>
                          <w:sz w:val="12"/>
                          <w:szCs w:val="12"/>
                        </w:rPr>
                        <w:t>– 0</w:t>
                      </w:r>
                    </w:p>
                  </w:txbxContent>
                </v:textbox>
              </v:shape>
            </w:pict>
          </mc:Fallback>
        </mc:AlternateContent>
      </w:r>
      <w:r w:rsidRPr="001435A7">
        <w:rPr>
          <w:rFonts w:ascii="Cambria" w:hAnsi="Cambria" w:cs="Times New Roman"/>
          <w:sz w:val="24"/>
          <w:szCs w:val="24"/>
        </w:rPr>
        <w:br w:type="page"/>
      </w:r>
    </w:p>
    <w:p w14:paraId="0FE02722" w14:textId="673F48B2" w:rsidR="00F44BD1" w:rsidRPr="001435A7" w:rsidRDefault="005452E9" w:rsidP="005452E9">
      <w:pPr>
        <w:autoSpaceDE w:val="0"/>
        <w:autoSpaceDN w:val="0"/>
        <w:adjustRightInd w:val="0"/>
        <w:spacing w:after="0" w:line="360" w:lineRule="auto"/>
        <w:jc w:val="both"/>
        <w:rPr>
          <w:rFonts w:ascii="Cambria" w:hAnsi="Cambria" w:cs="Times New Roman"/>
          <w:sz w:val="24"/>
          <w:szCs w:val="24"/>
        </w:rPr>
      </w:pPr>
      <w:r w:rsidRPr="001435A7">
        <w:rPr>
          <w:rFonts w:ascii="Cambria" w:hAnsi="Cambria" w:cs="Times New Roman"/>
          <w:sz w:val="24"/>
          <w:szCs w:val="24"/>
        </w:rPr>
        <w:t>In Table 1</w:t>
      </w:r>
      <w:r w:rsidR="007E4678">
        <w:rPr>
          <w:rFonts w:ascii="Cambria" w:hAnsi="Cambria" w:cs="Times New Roman"/>
          <w:sz w:val="24"/>
          <w:szCs w:val="24"/>
        </w:rPr>
        <w:t>5</w:t>
      </w:r>
      <w:r w:rsidRPr="001435A7">
        <w:rPr>
          <w:rFonts w:ascii="Cambria" w:hAnsi="Cambria" w:cs="Times New Roman"/>
          <w:sz w:val="24"/>
          <w:szCs w:val="24"/>
        </w:rPr>
        <w:t>, t</w:t>
      </w:r>
      <w:r w:rsidR="00C7217E" w:rsidRPr="001435A7">
        <w:rPr>
          <w:rFonts w:ascii="Cambria" w:hAnsi="Cambria" w:cs="Times New Roman"/>
          <w:sz w:val="24"/>
          <w:szCs w:val="24"/>
        </w:rPr>
        <w:t>he Cronbach Alpha</w:t>
      </w:r>
      <w:r w:rsidR="00B54F53" w:rsidRPr="001435A7">
        <w:rPr>
          <w:rFonts w:ascii="Cambria" w:hAnsi="Cambria" w:cs="Times New Roman"/>
          <w:sz w:val="24"/>
          <w:szCs w:val="24"/>
        </w:rPr>
        <w:t xml:space="preserve"> (</w:t>
      </w:r>
      <w:r w:rsidR="00B54F53" w:rsidRPr="001435A7">
        <w:rPr>
          <w:rFonts w:ascii="Cambria" w:hAnsi="Cambria" w:cstheme="minorHAnsi"/>
          <w:sz w:val="24"/>
          <w:szCs w:val="24"/>
        </w:rPr>
        <w:t>α</w:t>
      </w:r>
      <w:r w:rsidR="00B54F53" w:rsidRPr="001435A7">
        <w:rPr>
          <w:rFonts w:ascii="Cambria" w:hAnsi="Cambria" w:cs="Times New Roman"/>
          <w:sz w:val="24"/>
          <w:szCs w:val="24"/>
        </w:rPr>
        <w:t>)</w:t>
      </w:r>
      <w:r w:rsidR="00C7217E" w:rsidRPr="001435A7">
        <w:rPr>
          <w:rFonts w:ascii="Cambria" w:hAnsi="Cambria" w:cs="Times New Roman"/>
          <w:sz w:val="24"/>
          <w:szCs w:val="24"/>
        </w:rPr>
        <w:t xml:space="preserve"> shows reliability of the scales</w:t>
      </w:r>
      <w:r w:rsidR="00B70877" w:rsidRPr="001435A7">
        <w:rPr>
          <w:rFonts w:ascii="Cambria" w:hAnsi="Cambria" w:cs="Times New Roman"/>
          <w:sz w:val="24"/>
          <w:szCs w:val="24"/>
        </w:rPr>
        <w:t xml:space="preserve"> </w:t>
      </w:r>
      <w:r w:rsidR="00116645" w:rsidRPr="001435A7">
        <w:rPr>
          <w:rFonts w:ascii="Cambria" w:hAnsi="Cambria" w:cs="Times New Roman"/>
          <w:sz w:val="24"/>
          <w:szCs w:val="24"/>
        </w:rPr>
        <w:t xml:space="preserve">and Composite </w:t>
      </w:r>
      <w:r w:rsidR="00B52693" w:rsidRPr="001435A7">
        <w:rPr>
          <w:rFonts w:ascii="Cambria" w:hAnsi="Cambria" w:cs="Times New Roman"/>
          <w:sz w:val="24"/>
          <w:szCs w:val="24"/>
        </w:rPr>
        <w:t xml:space="preserve">reliability (CR) shows the convergent </w:t>
      </w:r>
      <w:r w:rsidR="005B4119" w:rsidRPr="001435A7">
        <w:rPr>
          <w:rFonts w:ascii="Cambria" w:hAnsi="Cambria" w:cs="Times New Roman"/>
          <w:sz w:val="24"/>
          <w:szCs w:val="24"/>
        </w:rPr>
        <w:t>validity of the scales (Malhotra and Das 2013, Hair et al 2017)</w:t>
      </w:r>
      <w:r w:rsidR="005A32EC" w:rsidRPr="001435A7">
        <w:rPr>
          <w:rFonts w:ascii="Cambria" w:hAnsi="Cambria" w:cs="Times New Roman"/>
          <w:sz w:val="24"/>
          <w:szCs w:val="24"/>
        </w:rPr>
        <w:t>.</w:t>
      </w:r>
      <w:r w:rsidR="00D57971" w:rsidRPr="001435A7">
        <w:rPr>
          <w:rFonts w:ascii="Cambria" w:hAnsi="Cambria" w:cs="Times New Roman"/>
          <w:sz w:val="24"/>
          <w:szCs w:val="24"/>
        </w:rPr>
        <w:t xml:space="preserve"> Table 1</w:t>
      </w:r>
      <w:r w:rsidR="00737391" w:rsidRPr="001435A7">
        <w:rPr>
          <w:rFonts w:ascii="Cambria" w:hAnsi="Cambria" w:cs="Times New Roman"/>
          <w:sz w:val="24"/>
          <w:szCs w:val="24"/>
        </w:rPr>
        <w:t>5</w:t>
      </w:r>
      <w:r w:rsidR="00D57971" w:rsidRPr="001435A7">
        <w:rPr>
          <w:rFonts w:ascii="Cambria" w:hAnsi="Cambria" w:cs="Times New Roman"/>
          <w:sz w:val="24"/>
          <w:szCs w:val="24"/>
        </w:rPr>
        <w:t xml:space="preserve"> shows</w:t>
      </w:r>
      <w:r w:rsidR="00CE6296" w:rsidRPr="001435A7">
        <w:rPr>
          <w:rFonts w:ascii="Cambria" w:hAnsi="Cambria" w:cs="Times New Roman"/>
          <w:sz w:val="24"/>
          <w:szCs w:val="24"/>
        </w:rPr>
        <w:t xml:space="preserve"> </w:t>
      </w:r>
      <w:r w:rsidR="00750A2A" w:rsidRPr="001435A7">
        <w:rPr>
          <w:rFonts w:ascii="Cambria" w:hAnsi="Cambria" w:cs="Times New Roman"/>
          <w:sz w:val="24"/>
          <w:szCs w:val="24"/>
        </w:rPr>
        <w:t xml:space="preserve">high level of reliability and convergent validity </w:t>
      </w:r>
      <w:r w:rsidR="00F44BD1" w:rsidRPr="001435A7">
        <w:rPr>
          <w:rFonts w:ascii="Cambria" w:hAnsi="Cambria" w:cs="Times New Roman"/>
          <w:sz w:val="24"/>
          <w:szCs w:val="24"/>
        </w:rPr>
        <w:t xml:space="preserve">since all </w:t>
      </w:r>
      <w:r w:rsidR="00CE6296" w:rsidRPr="001435A7">
        <w:rPr>
          <w:rFonts w:ascii="Cambria" w:hAnsi="Cambria" w:cs="Times New Roman"/>
          <w:sz w:val="24"/>
          <w:szCs w:val="24"/>
        </w:rPr>
        <w:t>CR and</w:t>
      </w:r>
      <w:r w:rsidRPr="001435A7">
        <w:rPr>
          <w:rFonts w:ascii="Cambria" w:hAnsi="Cambria" w:cs="Times New Roman"/>
          <w:sz w:val="24"/>
          <w:szCs w:val="24"/>
        </w:rPr>
        <w:t xml:space="preserve"> </w:t>
      </w:r>
      <w:r w:rsidR="00CE6296" w:rsidRPr="001435A7">
        <w:rPr>
          <w:rFonts w:ascii="Cambria" w:hAnsi="Cambria" w:cstheme="minorHAnsi"/>
          <w:sz w:val="24"/>
          <w:szCs w:val="24"/>
        </w:rPr>
        <w:t>α</w:t>
      </w:r>
      <w:r w:rsidR="00F44BD1" w:rsidRPr="001435A7">
        <w:rPr>
          <w:rFonts w:ascii="Cambria" w:hAnsi="Cambria" w:cs="Times New Roman"/>
          <w:sz w:val="24"/>
          <w:szCs w:val="24"/>
        </w:rPr>
        <w:t xml:space="preserve"> are above </w:t>
      </w:r>
      <w:r w:rsidR="007452AC" w:rsidRPr="001435A7">
        <w:rPr>
          <w:rFonts w:ascii="Cambria" w:hAnsi="Cambria" w:cs="Times New Roman"/>
          <w:sz w:val="24"/>
          <w:szCs w:val="24"/>
        </w:rPr>
        <w:t>0</w:t>
      </w:r>
      <w:r w:rsidR="00F44BD1" w:rsidRPr="001435A7">
        <w:rPr>
          <w:rFonts w:ascii="Cambria" w:hAnsi="Cambria" w:cs="Times New Roman"/>
          <w:sz w:val="24"/>
          <w:szCs w:val="24"/>
        </w:rPr>
        <w:t xml:space="preserve">.7. </w:t>
      </w:r>
      <w:r w:rsidR="0042795F" w:rsidRPr="001435A7">
        <w:rPr>
          <w:rFonts w:ascii="Cambria" w:hAnsi="Cambria" w:cs="Times New Roman"/>
          <w:sz w:val="24"/>
          <w:szCs w:val="24"/>
        </w:rPr>
        <w:t>this table also shows the satisfied</w:t>
      </w:r>
      <w:r w:rsidR="003E1BC3" w:rsidRPr="001435A7">
        <w:rPr>
          <w:rFonts w:ascii="Cambria" w:hAnsi="Cambria" w:cs="Times New Roman"/>
          <w:sz w:val="24"/>
          <w:szCs w:val="24"/>
        </w:rPr>
        <w:t xml:space="preserve"> factor loading of exploratory factor analysis (EFA).</w:t>
      </w:r>
    </w:p>
    <w:p w14:paraId="34DF1018" w14:textId="1B365ED1" w:rsidR="00CA65BF" w:rsidRPr="001435A7" w:rsidRDefault="00CA65BF" w:rsidP="005452E9">
      <w:pPr>
        <w:autoSpaceDE w:val="0"/>
        <w:autoSpaceDN w:val="0"/>
        <w:adjustRightInd w:val="0"/>
        <w:spacing w:after="0" w:line="360" w:lineRule="auto"/>
        <w:jc w:val="both"/>
        <w:rPr>
          <w:rFonts w:ascii="Cambria" w:hAnsi="Cambria" w:cs="Times New Roman"/>
          <w:sz w:val="24"/>
          <w:szCs w:val="24"/>
        </w:rPr>
      </w:pPr>
      <w:r w:rsidRPr="001435A7">
        <w:rPr>
          <w:rFonts w:ascii="Cambria" w:hAnsi="Cambria" w:cs="Times New Roman"/>
          <w:sz w:val="24"/>
          <w:szCs w:val="24"/>
        </w:rPr>
        <w:t>In terms on Confirmatory factor analysis (CFA), only ‘Dominance 4’ (.380) and ‘Dominance 5’ is showing less than 0.5 outer loading. Yet, when cross loading was considered (Appendix 3.8), .308 of Dominance 4 was</w:t>
      </w:r>
      <w:r w:rsidR="0028732E" w:rsidRPr="001435A7">
        <w:rPr>
          <w:rFonts w:ascii="Cambria" w:hAnsi="Cambria" w:cs="Times New Roman"/>
          <w:sz w:val="24"/>
          <w:szCs w:val="24"/>
        </w:rPr>
        <w:t xml:space="preserve"> observed to be</w:t>
      </w:r>
      <w:r w:rsidRPr="001435A7">
        <w:rPr>
          <w:rFonts w:ascii="Cambria" w:hAnsi="Cambria" w:cs="Times New Roman"/>
          <w:sz w:val="24"/>
          <w:szCs w:val="24"/>
        </w:rPr>
        <w:t xml:space="preserve"> the highest loading compared to other constructs of the row. However, Dominance 5 have marginal higher loading under ‘Behavioural intention’ with .117 than the construct ‘Dominance’. </w:t>
      </w:r>
    </w:p>
    <w:p w14:paraId="77581593" w14:textId="51DA75B3" w:rsidR="00C7217E" w:rsidRPr="001435A7" w:rsidRDefault="00C7217E" w:rsidP="008756B1">
      <w:pPr>
        <w:autoSpaceDE w:val="0"/>
        <w:autoSpaceDN w:val="0"/>
        <w:adjustRightInd w:val="0"/>
        <w:spacing w:after="0" w:line="400" w:lineRule="atLeast"/>
        <w:jc w:val="both"/>
        <w:rPr>
          <w:rFonts w:ascii="Cambria" w:hAnsi="Cambria" w:cs="Times New Roman"/>
          <w:sz w:val="24"/>
          <w:szCs w:val="24"/>
        </w:rPr>
      </w:pPr>
      <w:r w:rsidRPr="001435A7">
        <w:rPr>
          <w:rFonts w:ascii="Cambria" w:hAnsi="Cambria" w:cs="Times New Roman"/>
          <w:sz w:val="24"/>
          <w:szCs w:val="24"/>
        </w:rPr>
        <w:t>Table 1</w:t>
      </w:r>
      <w:r w:rsidR="000E26B0" w:rsidRPr="001435A7">
        <w:rPr>
          <w:rFonts w:ascii="Cambria" w:hAnsi="Cambria" w:cs="Times New Roman"/>
          <w:sz w:val="24"/>
          <w:szCs w:val="24"/>
        </w:rPr>
        <w:t>5</w:t>
      </w:r>
      <w:r w:rsidRPr="001435A7">
        <w:rPr>
          <w:rFonts w:ascii="Cambria" w:hAnsi="Cambria" w:cs="Times New Roman"/>
          <w:sz w:val="24"/>
          <w:szCs w:val="24"/>
        </w:rPr>
        <w:t xml:space="preserve">: Items, Cronbach’s Alpha with </w:t>
      </w:r>
      <w:r w:rsidR="008B6E1F" w:rsidRPr="001435A7">
        <w:rPr>
          <w:rFonts w:ascii="Cambria" w:hAnsi="Cambria" w:cs="Times New Roman"/>
          <w:sz w:val="24"/>
          <w:szCs w:val="24"/>
        </w:rPr>
        <w:t>standardised</w:t>
      </w:r>
      <w:r w:rsidRPr="001435A7">
        <w:rPr>
          <w:rFonts w:ascii="Cambria" w:hAnsi="Cambria" w:cs="Times New Roman"/>
          <w:sz w:val="24"/>
          <w:szCs w:val="24"/>
        </w:rPr>
        <w:t xml:space="preserve"> item</w:t>
      </w:r>
      <w:r w:rsidR="00E6705B" w:rsidRPr="001435A7">
        <w:rPr>
          <w:rFonts w:ascii="Cambria" w:hAnsi="Cambria" w:cs="Times New Roman"/>
          <w:sz w:val="24"/>
          <w:szCs w:val="24"/>
        </w:rPr>
        <w:t>, Outer loading</w:t>
      </w:r>
      <w:r w:rsidRPr="001435A7">
        <w:rPr>
          <w:rFonts w:ascii="Cambria" w:hAnsi="Cambria" w:cs="Times New Roman"/>
          <w:sz w:val="24"/>
          <w:szCs w:val="24"/>
        </w:rPr>
        <w:t>s</w:t>
      </w:r>
      <w:r w:rsidR="00A4706A" w:rsidRPr="001435A7">
        <w:rPr>
          <w:rFonts w:ascii="Cambria" w:hAnsi="Cambria" w:cs="Times New Roman"/>
          <w:sz w:val="24"/>
          <w:szCs w:val="24"/>
        </w:rPr>
        <w:t xml:space="preserve"> and Composite </w:t>
      </w:r>
      <w:r w:rsidR="00D5649F" w:rsidRPr="001435A7">
        <w:rPr>
          <w:rFonts w:ascii="Cambria" w:hAnsi="Cambria" w:cs="Times New Roman"/>
          <w:sz w:val="24"/>
          <w:szCs w:val="24"/>
        </w:rPr>
        <w:t>reliability</w:t>
      </w:r>
    </w:p>
    <w:tbl>
      <w:tblPr>
        <w:tblStyle w:val="TableGrid3"/>
        <w:tblW w:w="9054" w:type="dxa"/>
        <w:tblLook w:val="04A0" w:firstRow="1" w:lastRow="0" w:firstColumn="1" w:lastColumn="0" w:noHBand="0" w:noVBand="1"/>
      </w:tblPr>
      <w:tblGrid>
        <w:gridCol w:w="7033"/>
        <w:gridCol w:w="1042"/>
        <w:gridCol w:w="979"/>
      </w:tblGrid>
      <w:tr w:rsidR="001435A7" w:rsidRPr="001435A7" w14:paraId="77DB978A" w14:textId="67B4FC30" w:rsidTr="00E85A32">
        <w:tc>
          <w:tcPr>
            <w:tcW w:w="7033" w:type="dxa"/>
          </w:tcPr>
          <w:p w14:paraId="09409ABF" w14:textId="77777777" w:rsidR="00121B9F" w:rsidRPr="001435A7" w:rsidRDefault="00121B9F" w:rsidP="008756B1">
            <w:pPr>
              <w:spacing w:line="240" w:lineRule="auto"/>
              <w:jc w:val="both"/>
              <w:rPr>
                <w:rFonts w:ascii="Cambria" w:hAnsi="Cambria"/>
                <w:b/>
                <w:bCs/>
                <w:sz w:val="24"/>
                <w:szCs w:val="24"/>
              </w:rPr>
            </w:pPr>
            <w:r w:rsidRPr="001435A7">
              <w:rPr>
                <w:rFonts w:ascii="Cambria" w:hAnsi="Cambria"/>
                <w:b/>
                <w:bCs/>
                <w:sz w:val="24"/>
                <w:szCs w:val="24"/>
              </w:rPr>
              <w:t xml:space="preserve">Constructs </w:t>
            </w:r>
          </w:p>
        </w:tc>
        <w:tc>
          <w:tcPr>
            <w:tcW w:w="1042" w:type="dxa"/>
          </w:tcPr>
          <w:p w14:paraId="0E7D4C0F" w14:textId="7C7B2AC0" w:rsidR="00121B9F" w:rsidRPr="001435A7" w:rsidRDefault="00A8623B" w:rsidP="008756B1">
            <w:pPr>
              <w:spacing w:line="240" w:lineRule="auto"/>
              <w:jc w:val="both"/>
              <w:rPr>
                <w:rFonts w:ascii="Cambria" w:hAnsi="Cambria"/>
                <w:sz w:val="24"/>
                <w:szCs w:val="24"/>
              </w:rPr>
            </w:pPr>
            <w:r w:rsidRPr="001435A7">
              <w:rPr>
                <w:rFonts w:ascii="Cambria" w:hAnsi="Cambria"/>
                <w:sz w:val="24"/>
                <w:szCs w:val="24"/>
              </w:rPr>
              <w:t>EFA</w:t>
            </w:r>
          </w:p>
        </w:tc>
        <w:tc>
          <w:tcPr>
            <w:tcW w:w="979" w:type="dxa"/>
          </w:tcPr>
          <w:p w14:paraId="253BBC71" w14:textId="74D91FFB" w:rsidR="00121B9F" w:rsidRPr="001435A7" w:rsidRDefault="00300289" w:rsidP="008756B1">
            <w:pPr>
              <w:spacing w:line="240" w:lineRule="auto"/>
              <w:jc w:val="both"/>
              <w:rPr>
                <w:rFonts w:ascii="Cambria" w:hAnsi="Cambria"/>
                <w:sz w:val="24"/>
                <w:szCs w:val="24"/>
              </w:rPr>
            </w:pPr>
            <w:r w:rsidRPr="001435A7">
              <w:rPr>
                <w:rFonts w:ascii="Cambria" w:hAnsi="Cambria"/>
                <w:sz w:val="24"/>
                <w:szCs w:val="24"/>
              </w:rPr>
              <w:t xml:space="preserve">CFA </w:t>
            </w:r>
          </w:p>
        </w:tc>
      </w:tr>
      <w:tr w:rsidR="001435A7" w:rsidRPr="001435A7" w14:paraId="19C2156C" w14:textId="40321206" w:rsidTr="00E85A32">
        <w:trPr>
          <w:trHeight w:val="296"/>
        </w:trPr>
        <w:tc>
          <w:tcPr>
            <w:tcW w:w="7033" w:type="dxa"/>
          </w:tcPr>
          <w:p w14:paraId="3E517CE6" w14:textId="0B7D402A"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 xml:space="preserve">Involvement </w:t>
            </w:r>
            <w:r w:rsidRPr="001435A7">
              <w:rPr>
                <w:rFonts w:ascii="Cambria" w:hAnsi="Cambria"/>
                <w:sz w:val="24"/>
                <w:szCs w:val="24"/>
              </w:rPr>
              <w:t xml:space="preserve">(Zaichowsky' 1994) </w:t>
            </w:r>
            <w:r w:rsidRPr="001435A7">
              <w:rPr>
                <w:rFonts w:ascii="Cambria" w:hAnsi="Cambria" w:cstheme="minorHAnsi"/>
                <w:sz w:val="24"/>
                <w:szCs w:val="24"/>
              </w:rPr>
              <w:t xml:space="preserve">α = </w:t>
            </w:r>
            <w:r w:rsidRPr="001435A7">
              <w:rPr>
                <w:rFonts w:ascii="Cambria" w:hAnsi="Cambria" w:cs="Arial"/>
                <w:sz w:val="24"/>
                <w:szCs w:val="24"/>
              </w:rPr>
              <w:t>.944; CR=.95</w:t>
            </w:r>
          </w:p>
        </w:tc>
        <w:tc>
          <w:tcPr>
            <w:tcW w:w="1042" w:type="dxa"/>
          </w:tcPr>
          <w:p w14:paraId="57314F75" w14:textId="7A4E843A"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 xml:space="preserve">Factor Loading </w:t>
            </w:r>
          </w:p>
        </w:tc>
        <w:tc>
          <w:tcPr>
            <w:tcW w:w="979" w:type="dxa"/>
          </w:tcPr>
          <w:p w14:paraId="5BEA5448" w14:textId="7B22A1BF"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Outer loading</w:t>
            </w:r>
          </w:p>
        </w:tc>
      </w:tr>
      <w:tr w:rsidR="001435A7" w:rsidRPr="001435A7" w14:paraId="2B8F1E8C" w14:textId="2D8A817A" w:rsidTr="00E85A32">
        <w:trPr>
          <w:trHeight w:val="2618"/>
        </w:trPr>
        <w:tc>
          <w:tcPr>
            <w:tcW w:w="7033" w:type="dxa"/>
          </w:tcPr>
          <w:p w14:paraId="45BC8283" w14:textId="490BDB1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Unimportant – Important </w:t>
            </w:r>
          </w:p>
          <w:p w14:paraId="6BE7B0DB" w14:textId="6C3DC8D7"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Boring – Interesting</w:t>
            </w:r>
          </w:p>
          <w:p w14:paraId="3278B686" w14:textId="355D474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Irrelevant – Relevant</w:t>
            </w:r>
          </w:p>
          <w:p w14:paraId="5BFEFAFC" w14:textId="6EB573C6"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Unexciting – Exciting</w:t>
            </w:r>
          </w:p>
          <w:p w14:paraId="5FEF7A40" w14:textId="330663F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Means nothing – Means a lot to me </w:t>
            </w:r>
          </w:p>
          <w:p w14:paraId="0131C7E3" w14:textId="7650E116"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6.</w:t>
            </w:r>
            <w:r w:rsidRPr="001435A7">
              <w:rPr>
                <w:rFonts w:ascii="Cambria" w:hAnsi="Cambria"/>
                <w:sz w:val="24"/>
                <w:szCs w:val="24"/>
              </w:rPr>
              <w:t xml:space="preserve"> Unappealing – Appealing</w:t>
            </w:r>
          </w:p>
          <w:p w14:paraId="6DCE12BF" w14:textId="0904DC86"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7.</w:t>
            </w:r>
            <w:r w:rsidRPr="001435A7">
              <w:rPr>
                <w:rFonts w:ascii="Cambria" w:hAnsi="Cambria"/>
                <w:sz w:val="24"/>
                <w:szCs w:val="24"/>
              </w:rPr>
              <w:t xml:space="preserve"> Mundane – Fascinating</w:t>
            </w:r>
          </w:p>
          <w:p w14:paraId="15B22DF0" w14:textId="44B7163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8.</w:t>
            </w:r>
            <w:r w:rsidRPr="001435A7">
              <w:rPr>
                <w:rFonts w:ascii="Cambria" w:hAnsi="Cambria"/>
                <w:sz w:val="24"/>
                <w:szCs w:val="24"/>
              </w:rPr>
              <w:t xml:space="preserve"> Worthless – Valuable </w:t>
            </w:r>
          </w:p>
          <w:p w14:paraId="6F991BA3" w14:textId="01CCE92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9.</w:t>
            </w:r>
            <w:r w:rsidRPr="001435A7">
              <w:rPr>
                <w:rFonts w:ascii="Cambria" w:hAnsi="Cambria"/>
                <w:sz w:val="24"/>
                <w:szCs w:val="24"/>
              </w:rPr>
              <w:t xml:space="preserve"> Uninvolving – Involving</w:t>
            </w:r>
          </w:p>
          <w:p w14:paraId="5FC6390B" w14:textId="4263DC89"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10.</w:t>
            </w:r>
            <w:r w:rsidRPr="001435A7">
              <w:rPr>
                <w:rFonts w:ascii="Cambria" w:hAnsi="Cambria"/>
                <w:sz w:val="24"/>
                <w:szCs w:val="24"/>
              </w:rPr>
              <w:t xml:space="preserve"> Not needed – Needed</w:t>
            </w:r>
          </w:p>
        </w:tc>
        <w:tc>
          <w:tcPr>
            <w:tcW w:w="1042" w:type="dxa"/>
          </w:tcPr>
          <w:p w14:paraId="2A186B23"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.825</w:t>
            </w:r>
          </w:p>
          <w:p w14:paraId="05D2E87F"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.860</w:t>
            </w:r>
          </w:p>
          <w:p w14:paraId="072E0E42"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.784</w:t>
            </w:r>
          </w:p>
          <w:p w14:paraId="0CE59D5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.851</w:t>
            </w:r>
          </w:p>
          <w:p w14:paraId="5FD2089E"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.846</w:t>
            </w:r>
          </w:p>
          <w:p w14:paraId="17A17276"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.787</w:t>
            </w:r>
          </w:p>
          <w:p w14:paraId="27B0E346"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.786</w:t>
            </w:r>
          </w:p>
          <w:p w14:paraId="480BB611"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.817</w:t>
            </w:r>
          </w:p>
          <w:p w14:paraId="04548884"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.781</w:t>
            </w:r>
          </w:p>
          <w:p w14:paraId="52874C83" w14:textId="3A05D75E"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.818</w:t>
            </w:r>
          </w:p>
        </w:tc>
        <w:tc>
          <w:tcPr>
            <w:tcW w:w="979" w:type="dxa"/>
          </w:tcPr>
          <w:p w14:paraId="2B41647B"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0.825</w:t>
            </w:r>
          </w:p>
          <w:p w14:paraId="7187E74D"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0.863</w:t>
            </w:r>
          </w:p>
          <w:p w14:paraId="05C15DCD"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0.779</w:t>
            </w:r>
          </w:p>
          <w:p w14:paraId="66383971"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0.854</w:t>
            </w:r>
          </w:p>
          <w:p w14:paraId="16009831"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0.843</w:t>
            </w:r>
          </w:p>
          <w:p w14:paraId="2FDB581C"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0.794</w:t>
            </w:r>
          </w:p>
          <w:p w14:paraId="0CCFE884"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0.785</w:t>
            </w:r>
          </w:p>
          <w:p w14:paraId="1F17C83A" w14:textId="77777777" w:rsidR="00D57F51" w:rsidRPr="001435A7" w:rsidRDefault="00D57F51" w:rsidP="00D57F51">
            <w:pPr>
              <w:spacing w:line="240" w:lineRule="auto"/>
              <w:jc w:val="both"/>
              <w:rPr>
                <w:rFonts w:ascii="Cambria" w:hAnsi="Cambria"/>
                <w:sz w:val="24"/>
                <w:szCs w:val="24"/>
              </w:rPr>
            </w:pPr>
            <w:r w:rsidRPr="001435A7">
              <w:rPr>
                <w:rFonts w:ascii="Cambria" w:hAnsi="Cambria"/>
                <w:sz w:val="24"/>
                <w:szCs w:val="24"/>
              </w:rPr>
              <w:t>0.809</w:t>
            </w:r>
          </w:p>
          <w:p w14:paraId="2F69E2F0" w14:textId="77777777" w:rsidR="00A8623B" w:rsidRPr="001435A7" w:rsidRDefault="00D57F51" w:rsidP="00D57F51">
            <w:pPr>
              <w:spacing w:line="240" w:lineRule="auto"/>
              <w:jc w:val="both"/>
              <w:rPr>
                <w:rFonts w:ascii="Cambria" w:hAnsi="Cambria"/>
                <w:sz w:val="24"/>
                <w:szCs w:val="24"/>
              </w:rPr>
            </w:pPr>
            <w:r w:rsidRPr="001435A7">
              <w:rPr>
                <w:rFonts w:ascii="Cambria" w:hAnsi="Cambria"/>
                <w:sz w:val="24"/>
                <w:szCs w:val="24"/>
              </w:rPr>
              <w:t>0.785</w:t>
            </w:r>
          </w:p>
          <w:p w14:paraId="35960155" w14:textId="26C6CF73" w:rsidR="007E442A" w:rsidRPr="001435A7" w:rsidRDefault="007E442A" w:rsidP="00D57F51">
            <w:pPr>
              <w:spacing w:line="240" w:lineRule="auto"/>
              <w:jc w:val="both"/>
              <w:rPr>
                <w:rFonts w:ascii="Cambria" w:hAnsi="Cambria"/>
                <w:sz w:val="24"/>
                <w:szCs w:val="24"/>
              </w:rPr>
            </w:pPr>
            <w:r w:rsidRPr="001435A7">
              <w:rPr>
                <w:rFonts w:ascii="Cambria" w:hAnsi="Cambria"/>
                <w:sz w:val="24"/>
                <w:szCs w:val="24"/>
              </w:rPr>
              <w:t>0.816</w:t>
            </w:r>
          </w:p>
        </w:tc>
      </w:tr>
      <w:tr w:rsidR="001435A7" w:rsidRPr="001435A7" w14:paraId="2B426403" w14:textId="2BE35548" w:rsidTr="004A659A">
        <w:trPr>
          <w:trHeight w:val="287"/>
        </w:trPr>
        <w:tc>
          <w:tcPr>
            <w:tcW w:w="9054" w:type="dxa"/>
            <w:gridSpan w:val="3"/>
          </w:tcPr>
          <w:p w14:paraId="4B4B83DF" w14:textId="4380E811" w:rsidR="00E85A32" w:rsidRPr="001435A7" w:rsidRDefault="00E85A32" w:rsidP="00A8623B">
            <w:pPr>
              <w:spacing w:line="240" w:lineRule="auto"/>
              <w:jc w:val="both"/>
              <w:rPr>
                <w:rFonts w:ascii="Cambria" w:hAnsi="Cambria"/>
                <w:sz w:val="24"/>
                <w:szCs w:val="24"/>
              </w:rPr>
            </w:pPr>
            <w:r w:rsidRPr="001435A7">
              <w:rPr>
                <w:rFonts w:ascii="Cambria" w:hAnsi="Cambria"/>
                <w:b/>
                <w:bCs/>
                <w:sz w:val="24"/>
                <w:szCs w:val="24"/>
              </w:rPr>
              <w:t>Image Quality</w:t>
            </w:r>
            <w:r w:rsidRPr="001435A7">
              <w:rPr>
                <w:rFonts w:ascii="Cambria" w:hAnsi="Cambria"/>
                <w:sz w:val="24"/>
                <w:szCs w:val="24"/>
              </w:rPr>
              <w:t xml:space="preserve"> (Yim et al. 2018) </w:t>
            </w:r>
            <w:r w:rsidRPr="001435A7">
              <w:rPr>
                <w:rFonts w:ascii="Cambria" w:hAnsi="Cambria" w:cstheme="minorHAnsi"/>
                <w:sz w:val="24"/>
                <w:szCs w:val="24"/>
              </w:rPr>
              <w:t xml:space="preserve">α = </w:t>
            </w:r>
            <w:r w:rsidRPr="001435A7">
              <w:rPr>
                <w:rFonts w:ascii="Cambria" w:hAnsi="Cambria" w:cs="Arial"/>
                <w:sz w:val="24"/>
                <w:szCs w:val="24"/>
              </w:rPr>
              <w:t>.922; CR = .94</w:t>
            </w:r>
          </w:p>
        </w:tc>
      </w:tr>
      <w:tr w:rsidR="001435A7" w:rsidRPr="001435A7" w14:paraId="49B0F68D" w14:textId="2F42598A" w:rsidTr="00E85A32">
        <w:trPr>
          <w:trHeight w:val="1160"/>
        </w:trPr>
        <w:tc>
          <w:tcPr>
            <w:tcW w:w="7033" w:type="dxa"/>
          </w:tcPr>
          <w:p w14:paraId="2D039D8F" w14:textId="77099D2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Vague – vivid</w:t>
            </w:r>
          </w:p>
          <w:p w14:paraId="7EC041F3" w14:textId="58548F3A"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Sketchy– detailed</w:t>
            </w:r>
          </w:p>
          <w:p w14:paraId="30AF00AA" w14:textId="36F625A9"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Unclear– clear</w:t>
            </w:r>
          </w:p>
          <w:p w14:paraId="44B93720" w14:textId="344E902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Dim– sharp</w:t>
            </w:r>
          </w:p>
        </w:tc>
        <w:tc>
          <w:tcPr>
            <w:tcW w:w="1042" w:type="dxa"/>
          </w:tcPr>
          <w:p w14:paraId="67C6529F"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.868</w:t>
            </w:r>
          </w:p>
          <w:p w14:paraId="3E5C888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.911</w:t>
            </w:r>
          </w:p>
          <w:p w14:paraId="7EEEC363"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.911</w:t>
            </w:r>
          </w:p>
          <w:p w14:paraId="10849767" w14:textId="28CAA214"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.911</w:t>
            </w:r>
          </w:p>
        </w:tc>
        <w:tc>
          <w:tcPr>
            <w:tcW w:w="979" w:type="dxa"/>
          </w:tcPr>
          <w:p w14:paraId="7B3CE677" w14:textId="45B62105" w:rsidR="005D4EC4" w:rsidRPr="001435A7" w:rsidRDefault="005D4EC4" w:rsidP="005D4EC4">
            <w:pPr>
              <w:spacing w:line="240" w:lineRule="auto"/>
              <w:jc w:val="both"/>
              <w:rPr>
                <w:rFonts w:ascii="Cambria" w:hAnsi="Cambria"/>
                <w:sz w:val="24"/>
                <w:szCs w:val="24"/>
              </w:rPr>
            </w:pPr>
            <w:r w:rsidRPr="001435A7">
              <w:rPr>
                <w:rFonts w:ascii="Cambria" w:hAnsi="Cambria"/>
                <w:sz w:val="24"/>
                <w:szCs w:val="24"/>
              </w:rPr>
              <w:t>0.874</w:t>
            </w:r>
          </w:p>
          <w:p w14:paraId="1E0F8AC2" w14:textId="1EF69364" w:rsidR="005D4EC4" w:rsidRPr="001435A7" w:rsidRDefault="005D4EC4" w:rsidP="005D4EC4">
            <w:pPr>
              <w:spacing w:line="240" w:lineRule="auto"/>
              <w:jc w:val="both"/>
              <w:rPr>
                <w:rFonts w:ascii="Cambria" w:hAnsi="Cambria"/>
                <w:sz w:val="24"/>
                <w:szCs w:val="24"/>
              </w:rPr>
            </w:pPr>
            <w:r w:rsidRPr="001435A7">
              <w:rPr>
                <w:rFonts w:ascii="Cambria" w:hAnsi="Cambria"/>
                <w:sz w:val="24"/>
                <w:szCs w:val="24"/>
              </w:rPr>
              <w:t>0.909</w:t>
            </w:r>
          </w:p>
          <w:p w14:paraId="554B00AD" w14:textId="77777777" w:rsidR="005D4EC4" w:rsidRPr="001435A7" w:rsidRDefault="005D4EC4" w:rsidP="005D4EC4">
            <w:pPr>
              <w:spacing w:line="240" w:lineRule="auto"/>
              <w:jc w:val="both"/>
              <w:rPr>
                <w:rFonts w:ascii="Cambria" w:hAnsi="Cambria"/>
                <w:sz w:val="24"/>
                <w:szCs w:val="24"/>
              </w:rPr>
            </w:pPr>
            <w:r w:rsidRPr="001435A7">
              <w:rPr>
                <w:rFonts w:ascii="Cambria" w:hAnsi="Cambria"/>
                <w:sz w:val="24"/>
                <w:szCs w:val="24"/>
              </w:rPr>
              <w:t>0.910</w:t>
            </w:r>
          </w:p>
          <w:p w14:paraId="1F71DD6C" w14:textId="3965E2A3" w:rsidR="00A8623B" w:rsidRPr="001435A7" w:rsidRDefault="005D4EC4" w:rsidP="005D4EC4">
            <w:pPr>
              <w:spacing w:line="240" w:lineRule="auto"/>
              <w:jc w:val="both"/>
              <w:rPr>
                <w:rFonts w:ascii="Cambria" w:hAnsi="Cambria"/>
                <w:sz w:val="24"/>
                <w:szCs w:val="24"/>
              </w:rPr>
            </w:pPr>
            <w:r w:rsidRPr="001435A7">
              <w:rPr>
                <w:rFonts w:ascii="Cambria" w:hAnsi="Cambria"/>
                <w:sz w:val="24"/>
                <w:szCs w:val="24"/>
              </w:rPr>
              <w:t>0.908</w:t>
            </w:r>
          </w:p>
        </w:tc>
      </w:tr>
      <w:tr w:rsidR="001435A7" w:rsidRPr="001435A7" w14:paraId="49856534" w14:textId="490DF5C1" w:rsidTr="001C1D55">
        <w:trPr>
          <w:trHeight w:val="269"/>
        </w:trPr>
        <w:tc>
          <w:tcPr>
            <w:tcW w:w="9054" w:type="dxa"/>
            <w:gridSpan w:val="3"/>
          </w:tcPr>
          <w:p w14:paraId="3799D112" w14:textId="1EE20D1E" w:rsidR="00E85A32" w:rsidRPr="001435A7" w:rsidRDefault="00E85A32" w:rsidP="00A8623B">
            <w:pPr>
              <w:spacing w:line="240" w:lineRule="auto"/>
              <w:jc w:val="both"/>
              <w:rPr>
                <w:rFonts w:ascii="Cambria" w:hAnsi="Cambria"/>
                <w:sz w:val="24"/>
                <w:szCs w:val="24"/>
              </w:rPr>
            </w:pPr>
            <w:r w:rsidRPr="001435A7">
              <w:rPr>
                <w:rFonts w:ascii="Cambria" w:hAnsi="Cambria"/>
                <w:b/>
                <w:bCs/>
                <w:sz w:val="24"/>
                <w:szCs w:val="24"/>
              </w:rPr>
              <w:t xml:space="preserve">Engrossment </w:t>
            </w:r>
            <w:r w:rsidRPr="001435A7">
              <w:rPr>
                <w:rFonts w:ascii="Cambria" w:hAnsi="Cambria"/>
                <w:sz w:val="24"/>
                <w:szCs w:val="24"/>
              </w:rPr>
              <w:t>(Yim et al. 2018) α</w:t>
            </w:r>
            <w:r w:rsidRPr="001435A7">
              <w:rPr>
                <w:rFonts w:ascii="Cambria" w:hAnsi="Cambria" w:cstheme="minorHAnsi"/>
                <w:sz w:val="24"/>
                <w:szCs w:val="24"/>
              </w:rPr>
              <w:t xml:space="preserve"> =</w:t>
            </w:r>
            <w:r w:rsidRPr="001435A7">
              <w:rPr>
                <w:rFonts w:ascii="Cambria" w:hAnsi="Cambria" w:cs="Arial"/>
                <w:sz w:val="24"/>
                <w:szCs w:val="24"/>
              </w:rPr>
              <w:t>.832</w:t>
            </w:r>
            <w:r w:rsidRPr="001435A7">
              <w:rPr>
                <w:rFonts w:ascii="Cambria" w:hAnsi="Cambria" w:cstheme="minorHAnsi"/>
                <w:sz w:val="24"/>
                <w:szCs w:val="24"/>
              </w:rPr>
              <w:t xml:space="preserve"> ; CR = .89</w:t>
            </w:r>
          </w:p>
        </w:tc>
      </w:tr>
      <w:tr w:rsidR="001435A7" w:rsidRPr="001435A7" w14:paraId="57C2BEA4" w14:textId="37F709BD" w:rsidTr="00E85A32">
        <w:trPr>
          <w:trHeight w:val="260"/>
        </w:trPr>
        <w:tc>
          <w:tcPr>
            <w:tcW w:w="7033" w:type="dxa"/>
          </w:tcPr>
          <w:p w14:paraId="1D88477F" w14:textId="19D91DDE"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While looking at the advertisement posted on Facebook, I felt that I was disconnected from my real world.</w:t>
            </w:r>
          </w:p>
          <w:p w14:paraId="102B912E" w14:textId="2B35AF01"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While looking at the advertisement posted on Facebook, I lost track of time and focused on the images described in it</w:t>
            </w:r>
          </w:p>
          <w:p w14:paraId="726D5478" w14:textId="7CC3401C"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While looking at the advertisement, posted on Facebook, I felt I was in a different world. </w:t>
            </w:r>
          </w:p>
          <w:p w14:paraId="674E79BA" w14:textId="79DFFE2E"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I felt like I was a different person while looking at the advertisement posted on Facebook.</w:t>
            </w:r>
          </w:p>
        </w:tc>
        <w:tc>
          <w:tcPr>
            <w:tcW w:w="1042" w:type="dxa"/>
          </w:tcPr>
          <w:p w14:paraId="706AA669" w14:textId="2477002B"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.751</w:t>
            </w:r>
          </w:p>
          <w:p w14:paraId="044E45D8" w14:textId="77777777" w:rsidR="00A8623B" w:rsidRPr="001435A7" w:rsidRDefault="00A8623B" w:rsidP="00A8623B">
            <w:pPr>
              <w:spacing w:line="240" w:lineRule="auto"/>
              <w:jc w:val="both"/>
              <w:rPr>
                <w:rFonts w:ascii="Cambria" w:hAnsi="Cambria"/>
                <w:sz w:val="24"/>
                <w:szCs w:val="24"/>
              </w:rPr>
            </w:pPr>
          </w:p>
          <w:p w14:paraId="467EF00C" w14:textId="49DA293D"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.796</w:t>
            </w:r>
          </w:p>
          <w:p w14:paraId="516CE4B9" w14:textId="77777777" w:rsidR="00A8623B" w:rsidRPr="001435A7" w:rsidRDefault="00A8623B" w:rsidP="00A8623B">
            <w:pPr>
              <w:spacing w:line="240" w:lineRule="auto"/>
              <w:jc w:val="both"/>
              <w:rPr>
                <w:rFonts w:ascii="Cambria" w:hAnsi="Cambria"/>
                <w:sz w:val="24"/>
                <w:szCs w:val="24"/>
              </w:rPr>
            </w:pPr>
          </w:p>
          <w:p w14:paraId="0ECBD767" w14:textId="598F65B2"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.876</w:t>
            </w:r>
          </w:p>
          <w:p w14:paraId="6D3D4B5B" w14:textId="77777777" w:rsidR="00A8623B" w:rsidRPr="001435A7" w:rsidRDefault="00A8623B" w:rsidP="00A8623B">
            <w:pPr>
              <w:spacing w:line="240" w:lineRule="auto"/>
              <w:jc w:val="both"/>
              <w:rPr>
                <w:rFonts w:ascii="Cambria" w:hAnsi="Cambria"/>
                <w:sz w:val="24"/>
                <w:szCs w:val="24"/>
              </w:rPr>
            </w:pPr>
          </w:p>
          <w:p w14:paraId="48A0B168" w14:textId="3D133221"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.840</w:t>
            </w:r>
          </w:p>
        </w:tc>
        <w:tc>
          <w:tcPr>
            <w:tcW w:w="979" w:type="dxa"/>
          </w:tcPr>
          <w:p w14:paraId="4D3DAE6E" w14:textId="77777777" w:rsidR="00971CC1" w:rsidRPr="001435A7" w:rsidRDefault="00971CC1" w:rsidP="00971CC1">
            <w:pPr>
              <w:spacing w:line="240" w:lineRule="auto"/>
              <w:jc w:val="both"/>
              <w:rPr>
                <w:rFonts w:ascii="Cambria" w:hAnsi="Cambria"/>
                <w:sz w:val="24"/>
                <w:szCs w:val="24"/>
              </w:rPr>
            </w:pPr>
            <w:r w:rsidRPr="001435A7">
              <w:rPr>
                <w:rFonts w:ascii="Cambria" w:hAnsi="Cambria"/>
                <w:sz w:val="24"/>
                <w:szCs w:val="24"/>
              </w:rPr>
              <w:t>0.688</w:t>
            </w:r>
          </w:p>
          <w:p w14:paraId="52599F0E" w14:textId="77777777" w:rsidR="00971CC1" w:rsidRPr="001435A7" w:rsidRDefault="00971CC1" w:rsidP="00971CC1">
            <w:pPr>
              <w:spacing w:line="240" w:lineRule="auto"/>
              <w:jc w:val="both"/>
              <w:rPr>
                <w:rFonts w:ascii="Cambria" w:hAnsi="Cambria"/>
                <w:sz w:val="24"/>
                <w:szCs w:val="24"/>
              </w:rPr>
            </w:pPr>
            <w:r w:rsidRPr="001435A7">
              <w:rPr>
                <w:rFonts w:ascii="Cambria" w:hAnsi="Cambria"/>
                <w:sz w:val="24"/>
                <w:szCs w:val="24"/>
              </w:rPr>
              <w:t xml:space="preserve"> </w:t>
            </w:r>
          </w:p>
          <w:p w14:paraId="5337C7E8" w14:textId="77777777" w:rsidR="00971CC1" w:rsidRPr="001435A7" w:rsidRDefault="00971CC1" w:rsidP="00971CC1">
            <w:pPr>
              <w:spacing w:line="240" w:lineRule="auto"/>
              <w:jc w:val="both"/>
              <w:rPr>
                <w:rFonts w:ascii="Cambria" w:hAnsi="Cambria"/>
                <w:sz w:val="24"/>
                <w:szCs w:val="24"/>
              </w:rPr>
            </w:pPr>
            <w:r w:rsidRPr="001435A7">
              <w:rPr>
                <w:rFonts w:ascii="Cambria" w:hAnsi="Cambria"/>
                <w:sz w:val="24"/>
                <w:szCs w:val="24"/>
              </w:rPr>
              <w:t>0.810</w:t>
            </w:r>
          </w:p>
          <w:p w14:paraId="1DFCF7BC" w14:textId="77777777" w:rsidR="00971CC1" w:rsidRPr="001435A7" w:rsidRDefault="00971CC1" w:rsidP="00971CC1">
            <w:pPr>
              <w:spacing w:line="240" w:lineRule="auto"/>
              <w:jc w:val="both"/>
              <w:rPr>
                <w:rFonts w:ascii="Cambria" w:hAnsi="Cambria"/>
                <w:sz w:val="24"/>
                <w:szCs w:val="24"/>
              </w:rPr>
            </w:pPr>
            <w:r w:rsidRPr="001435A7">
              <w:rPr>
                <w:rFonts w:ascii="Cambria" w:hAnsi="Cambria"/>
                <w:sz w:val="24"/>
                <w:szCs w:val="24"/>
              </w:rPr>
              <w:t xml:space="preserve"> </w:t>
            </w:r>
          </w:p>
          <w:p w14:paraId="0CB8A2B8" w14:textId="77777777" w:rsidR="00971CC1" w:rsidRPr="001435A7" w:rsidRDefault="00971CC1" w:rsidP="00971CC1">
            <w:pPr>
              <w:spacing w:line="240" w:lineRule="auto"/>
              <w:jc w:val="both"/>
              <w:rPr>
                <w:rFonts w:ascii="Cambria" w:hAnsi="Cambria"/>
                <w:sz w:val="24"/>
                <w:szCs w:val="24"/>
              </w:rPr>
            </w:pPr>
            <w:r w:rsidRPr="001435A7">
              <w:rPr>
                <w:rFonts w:ascii="Cambria" w:hAnsi="Cambria"/>
                <w:sz w:val="24"/>
                <w:szCs w:val="24"/>
              </w:rPr>
              <w:t>0.881</w:t>
            </w:r>
          </w:p>
          <w:p w14:paraId="562B6972" w14:textId="77777777" w:rsidR="009B1162" w:rsidRPr="001435A7" w:rsidRDefault="009B1162" w:rsidP="00971CC1">
            <w:pPr>
              <w:spacing w:line="240" w:lineRule="auto"/>
              <w:jc w:val="both"/>
              <w:rPr>
                <w:rFonts w:ascii="Cambria" w:hAnsi="Cambria"/>
                <w:sz w:val="24"/>
                <w:szCs w:val="24"/>
              </w:rPr>
            </w:pPr>
          </w:p>
          <w:p w14:paraId="1B3D7AB8" w14:textId="0E89C3DB" w:rsidR="00A8623B" w:rsidRPr="001435A7" w:rsidRDefault="00971CC1" w:rsidP="00971CC1">
            <w:pPr>
              <w:spacing w:line="240" w:lineRule="auto"/>
              <w:jc w:val="both"/>
              <w:rPr>
                <w:rFonts w:ascii="Cambria" w:hAnsi="Cambria"/>
                <w:sz w:val="24"/>
                <w:szCs w:val="24"/>
              </w:rPr>
            </w:pPr>
            <w:r w:rsidRPr="001435A7">
              <w:rPr>
                <w:rFonts w:ascii="Cambria" w:hAnsi="Cambria"/>
                <w:sz w:val="24"/>
                <w:szCs w:val="24"/>
              </w:rPr>
              <w:t>0.863</w:t>
            </w:r>
          </w:p>
        </w:tc>
      </w:tr>
      <w:tr w:rsidR="001435A7" w:rsidRPr="001435A7" w14:paraId="7470982D" w14:textId="0136FC0B" w:rsidTr="00833404">
        <w:trPr>
          <w:trHeight w:val="251"/>
        </w:trPr>
        <w:tc>
          <w:tcPr>
            <w:tcW w:w="9054" w:type="dxa"/>
            <w:gridSpan w:val="3"/>
          </w:tcPr>
          <w:p w14:paraId="356FF296" w14:textId="1893CC1E" w:rsidR="00E85A32" w:rsidRPr="001435A7" w:rsidRDefault="00E85A32" w:rsidP="00A8623B">
            <w:pPr>
              <w:spacing w:line="240" w:lineRule="auto"/>
              <w:jc w:val="both"/>
              <w:rPr>
                <w:rFonts w:ascii="Cambria" w:hAnsi="Cambria"/>
                <w:sz w:val="24"/>
                <w:szCs w:val="24"/>
              </w:rPr>
            </w:pPr>
            <w:r w:rsidRPr="001435A7">
              <w:rPr>
                <w:rFonts w:ascii="Cambria" w:hAnsi="Cambria"/>
                <w:b/>
                <w:bCs/>
                <w:sz w:val="24"/>
                <w:szCs w:val="24"/>
              </w:rPr>
              <w:t>Self–projection</w:t>
            </w:r>
            <w:r w:rsidRPr="001435A7">
              <w:rPr>
                <w:rFonts w:ascii="Cambria" w:hAnsi="Cambria"/>
                <w:sz w:val="24"/>
                <w:szCs w:val="24"/>
              </w:rPr>
              <w:t xml:space="preserve"> (Yim et al. 2018) α</w:t>
            </w:r>
            <w:r w:rsidRPr="001435A7">
              <w:rPr>
                <w:rFonts w:ascii="Cambria" w:hAnsi="Cambria" w:cstheme="minorHAnsi"/>
                <w:sz w:val="24"/>
                <w:szCs w:val="24"/>
              </w:rPr>
              <w:t xml:space="preserve"> = </w:t>
            </w:r>
            <w:r w:rsidRPr="001435A7">
              <w:rPr>
                <w:rFonts w:ascii="Cambria" w:hAnsi="Cambria" w:cs="Arial"/>
                <w:sz w:val="24"/>
                <w:szCs w:val="24"/>
              </w:rPr>
              <w:t>.888;  CR= .92</w:t>
            </w:r>
          </w:p>
        </w:tc>
      </w:tr>
      <w:tr w:rsidR="001435A7" w:rsidRPr="001435A7" w14:paraId="387D816D" w14:textId="5E40DEA9" w:rsidTr="00E85A32">
        <w:trPr>
          <w:trHeight w:val="350"/>
        </w:trPr>
        <w:tc>
          <w:tcPr>
            <w:tcW w:w="7033" w:type="dxa"/>
          </w:tcPr>
          <w:p w14:paraId="1E8AFC8C" w14:textId="20ACD67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I had images of myself in the advertisement posted on Facebook</w:t>
            </w:r>
          </w:p>
          <w:p w14:paraId="457FE72D" w14:textId="77777777"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I can picture myself drinking the coffee in the advertisement posted on Facebook. </w:t>
            </w:r>
          </w:p>
          <w:p w14:paraId="5507469F" w14:textId="7D1B37B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This advertisement posted on Facebook inspires mental images in me as if I am a part of the scenario shown in it.</w:t>
            </w:r>
          </w:p>
          <w:p w14:paraId="132D31B5" w14:textId="1F09EDC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I could construct a story about myself and the featured coffee based on the mental images that came to my mind.</w:t>
            </w:r>
          </w:p>
          <w:p w14:paraId="47D8AE77" w14:textId="61FC3E27"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I was able to project myself into the picture in the advertisement posted on Facebook.</w:t>
            </w:r>
          </w:p>
        </w:tc>
        <w:tc>
          <w:tcPr>
            <w:tcW w:w="1042" w:type="dxa"/>
          </w:tcPr>
          <w:p w14:paraId="775FB554"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.773</w:t>
            </w:r>
          </w:p>
          <w:p w14:paraId="2DBC42BD"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.775</w:t>
            </w:r>
          </w:p>
          <w:p w14:paraId="2A5923CE" w14:textId="14C3B4CE"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.877</w:t>
            </w:r>
          </w:p>
          <w:p w14:paraId="32FBF3EA" w14:textId="77777777" w:rsidR="00A8623B" w:rsidRPr="001435A7" w:rsidRDefault="00A8623B" w:rsidP="00A8623B">
            <w:pPr>
              <w:spacing w:line="240" w:lineRule="auto"/>
              <w:jc w:val="both"/>
              <w:rPr>
                <w:rFonts w:ascii="Cambria" w:hAnsi="Cambria"/>
                <w:sz w:val="24"/>
                <w:szCs w:val="24"/>
              </w:rPr>
            </w:pPr>
          </w:p>
          <w:p w14:paraId="38BF52D4"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.850</w:t>
            </w:r>
          </w:p>
          <w:p w14:paraId="6F64C52F" w14:textId="77777777" w:rsidR="00A8623B" w:rsidRPr="001435A7" w:rsidRDefault="00A8623B" w:rsidP="00A8623B">
            <w:pPr>
              <w:spacing w:line="240" w:lineRule="auto"/>
              <w:jc w:val="both"/>
              <w:rPr>
                <w:rFonts w:ascii="Cambria" w:hAnsi="Cambria"/>
                <w:sz w:val="24"/>
                <w:szCs w:val="24"/>
              </w:rPr>
            </w:pPr>
          </w:p>
          <w:p w14:paraId="5EA9F088" w14:textId="06C930E0"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.880</w:t>
            </w:r>
          </w:p>
        </w:tc>
        <w:tc>
          <w:tcPr>
            <w:tcW w:w="979" w:type="dxa"/>
          </w:tcPr>
          <w:p w14:paraId="6995F57A" w14:textId="369B4CA0"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0.769</w:t>
            </w:r>
          </w:p>
          <w:p w14:paraId="7F5407CD" w14:textId="43EA10BC"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0.780</w:t>
            </w:r>
          </w:p>
          <w:p w14:paraId="55BC3523" w14:textId="77777777"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0.877</w:t>
            </w:r>
          </w:p>
          <w:p w14:paraId="304F6EAF" w14:textId="77777777"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 xml:space="preserve"> </w:t>
            </w:r>
          </w:p>
          <w:p w14:paraId="725609C9" w14:textId="77777777"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0.849</w:t>
            </w:r>
          </w:p>
          <w:p w14:paraId="5FCB44A1" w14:textId="7A5AB6E3" w:rsidR="00183320" w:rsidRPr="001435A7" w:rsidRDefault="00183320" w:rsidP="00183320">
            <w:pPr>
              <w:spacing w:line="240" w:lineRule="auto"/>
              <w:jc w:val="both"/>
              <w:rPr>
                <w:rFonts w:ascii="Cambria" w:hAnsi="Cambria"/>
                <w:sz w:val="24"/>
                <w:szCs w:val="24"/>
              </w:rPr>
            </w:pPr>
            <w:r w:rsidRPr="001435A7">
              <w:rPr>
                <w:rFonts w:ascii="Cambria" w:hAnsi="Cambria"/>
                <w:sz w:val="24"/>
                <w:szCs w:val="24"/>
              </w:rPr>
              <w:t xml:space="preserve"> </w:t>
            </w:r>
          </w:p>
          <w:p w14:paraId="79AAD853" w14:textId="1414AB8F" w:rsidR="00A8623B" w:rsidRPr="001435A7" w:rsidRDefault="00183320" w:rsidP="00183320">
            <w:pPr>
              <w:spacing w:line="240" w:lineRule="auto"/>
              <w:jc w:val="both"/>
              <w:rPr>
                <w:rFonts w:ascii="Cambria" w:hAnsi="Cambria"/>
                <w:sz w:val="24"/>
                <w:szCs w:val="24"/>
              </w:rPr>
            </w:pPr>
            <w:r w:rsidRPr="001435A7">
              <w:rPr>
                <w:rFonts w:ascii="Cambria" w:hAnsi="Cambria"/>
                <w:sz w:val="24"/>
                <w:szCs w:val="24"/>
              </w:rPr>
              <w:t>0.878</w:t>
            </w:r>
          </w:p>
        </w:tc>
      </w:tr>
      <w:tr w:rsidR="001435A7" w:rsidRPr="001435A7" w14:paraId="159347DA" w14:textId="7649494C" w:rsidTr="00BF1EFC">
        <w:trPr>
          <w:trHeight w:val="260"/>
        </w:trPr>
        <w:tc>
          <w:tcPr>
            <w:tcW w:w="9054" w:type="dxa"/>
            <w:gridSpan w:val="3"/>
          </w:tcPr>
          <w:p w14:paraId="748DEF8D" w14:textId="4EB92218" w:rsidR="00E85A32" w:rsidRPr="001435A7" w:rsidRDefault="00E85A32" w:rsidP="00A8623B">
            <w:pPr>
              <w:spacing w:line="240" w:lineRule="auto"/>
              <w:jc w:val="both"/>
              <w:rPr>
                <w:rFonts w:ascii="Cambria" w:hAnsi="Cambria"/>
                <w:sz w:val="24"/>
                <w:szCs w:val="24"/>
              </w:rPr>
            </w:pPr>
            <w:r w:rsidRPr="001435A7">
              <w:rPr>
                <w:rFonts w:ascii="Cambria" w:hAnsi="Cambria"/>
                <w:b/>
                <w:bCs/>
                <w:sz w:val="24"/>
                <w:szCs w:val="24"/>
              </w:rPr>
              <w:t>Mental fluency</w:t>
            </w:r>
            <w:r w:rsidRPr="001435A7">
              <w:rPr>
                <w:rFonts w:ascii="Cambria" w:hAnsi="Cambria"/>
                <w:sz w:val="24"/>
                <w:szCs w:val="24"/>
              </w:rPr>
              <w:t xml:space="preserve"> (Yim et al. 2018)</w:t>
            </w:r>
          </w:p>
        </w:tc>
      </w:tr>
      <w:tr w:rsidR="001435A7" w:rsidRPr="001435A7" w14:paraId="52EEDF1E" w14:textId="3562C3AD" w:rsidTr="00E85A32">
        <w:trPr>
          <w:trHeight w:val="620"/>
        </w:trPr>
        <w:tc>
          <w:tcPr>
            <w:tcW w:w="7033" w:type="dxa"/>
          </w:tcPr>
          <w:p w14:paraId="4E383B5B"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 xml:space="preserve">I can easily imagine myself being in the scenario described in the advertisement posted on Facebook. </w:t>
            </w:r>
          </w:p>
        </w:tc>
        <w:tc>
          <w:tcPr>
            <w:tcW w:w="1042" w:type="dxa"/>
          </w:tcPr>
          <w:p w14:paraId="5E49DEA2" w14:textId="63EFAE79"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n/a</w:t>
            </w:r>
          </w:p>
        </w:tc>
        <w:tc>
          <w:tcPr>
            <w:tcW w:w="979" w:type="dxa"/>
          </w:tcPr>
          <w:p w14:paraId="28F981D1" w14:textId="2E8AD82D" w:rsidR="00A8623B" w:rsidRPr="001435A7" w:rsidRDefault="00946921" w:rsidP="00A8623B">
            <w:pPr>
              <w:spacing w:line="240" w:lineRule="auto"/>
              <w:jc w:val="both"/>
              <w:rPr>
                <w:rFonts w:ascii="Cambria" w:hAnsi="Cambria"/>
                <w:sz w:val="24"/>
                <w:szCs w:val="24"/>
              </w:rPr>
            </w:pPr>
            <w:r w:rsidRPr="001435A7">
              <w:rPr>
                <w:rFonts w:ascii="Cambria" w:hAnsi="Cambria"/>
                <w:sz w:val="24"/>
                <w:szCs w:val="24"/>
              </w:rPr>
              <w:t>1.000</w:t>
            </w:r>
          </w:p>
        </w:tc>
      </w:tr>
      <w:tr w:rsidR="001435A7" w:rsidRPr="001435A7" w14:paraId="43228729" w14:textId="136A449D" w:rsidTr="00107FFC">
        <w:trPr>
          <w:trHeight w:val="260"/>
        </w:trPr>
        <w:tc>
          <w:tcPr>
            <w:tcW w:w="9054" w:type="dxa"/>
            <w:gridSpan w:val="3"/>
          </w:tcPr>
          <w:p w14:paraId="6ED6E61E" w14:textId="778BF0A8"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Pleasure</w:t>
            </w:r>
            <w:r w:rsidRPr="001435A7">
              <w:rPr>
                <w:rFonts w:ascii="Cambria" w:hAnsi="Cambria"/>
                <w:sz w:val="24"/>
                <w:szCs w:val="24"/>
              </w:rPr>
              <w:t xml:space="preserve"> (Russel et al 1981) </w:t>
            </w:r>
            <w:r w:rsidRPr="001435A7">
              <w:rPr>
                <w:rFonts w:ascii="Cambria" w:hAnsi="Cambria" w:cstheme="minorHAnsi"/>
                <w:sz w:val="24"/>
                <w:szCs w:val="24"/>
              </w:rPr>
              <w:t xml:space="preserve">α = </w:t>
            </w:r>
            <w:r w:rsidRPr="001435A7">
              <w:rPr>
                <w:rFonts w:ascii="Cambria" w:hAnsi="Cambria" w:cs="Arial"/>
                <w:sz w:val="24"/>
                <w:szCs w:val="24"/>
              </w:rPr>
              <w:t>.909</w:t>
            </w:r>
            <w:r w:rsidRPr="001435A7">
              <w:rPr>
                <w:rFonts w:ascii="Cambria" w:hAnsi="Cambria" w:cstheme="minorHAnsi"/>
                <w:sz w:val="24"/>
                <w:szCs w:val="24"/>
              </w:rPr>
              <w:t>, CR=.93</w:t>
            </w:r>
          </w:p>
        </w:tc>
      </w:tr>
      <w:tr w:rsidR="001435A7" w:rsidRPr="001435A7" w14:paraId="72A8246F" w14:textId="3351E531" w:rsidTr="00E85A32">
        <w:trPr>
          <w:trHeight w:val="416"/>
        </w:trPr>
        <w:tc>
          <w:tcPr>
            <w:tcW w:w="7033" w:type="dxa"/>
          </w:tcPr>
          <w:p w14:paraId="1EA7FE7F" w14:textId="4650152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Annoyed – pleased </w:t>
            </w:r>
          </w:p>
          <w:p w14:paraId="2DDB165E" w14:textId="2FB2D4B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Dissatisfied – satisfied</w:t>
            </w:r>
          </w:p>
          <w:p w14:paraId="48F5F1E2" w14:textId="7B9D4B8D"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Unhappy – happy</w:t>
            </w:r>
          </w:p>
          <w:p w14:paraId="1E4D4DDC" w14:textId="1895F35F"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Bored – relaxed </w:t>
            </w:r>
          </w:p>
          <w:p w14:paraId="16B0B3D6" w14:textId="017D1C25"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Despairing – hopeful</w:t>
            </w:r>
          </w:p>
        </w:tc>
        <w:tc>
          <w:tcPr>
            <w:tcW w:w="1042" w:type="dxa"/>
          </w:tcPr>
          <w:p w14:paraId="407A18BC"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.882</w:t>
            </w:r>
          </w:p>
          <w:p w14:paraId="2713C9C0"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.893</w:t>
            </w:r>
          </w:p>
          <w:p w14:paraId="3D2FA25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.872</w:t>
            </w:r>
          </w:p>
          <w:p w14:paraId="6773CA68"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.810</w:t>
            </w:r>
          </w:p>
          <w:p w14:paraId="13EFD417" w14:textId="6028D9B6"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.825</w:t>
            </w:r>
          </w:p>
        </w:tc>
        <w:tc>
          <w:tcPr>
            <w:tcW w:w="979" w:type="dxa"/>
          </w:tcPr>
          <w:p w14:paraId="7173030B" w14:textId="77777777" w:rsidR="00882C7D" w:rsidRPr="001435A7" w:rsidRDefault="00882C7D" w:rsidP="00882C7D">
            <w:pPr>
              <w:spacing w:line="240" w:lineRule="auto"/>
              <w:jc w:val="both"/>
              <w:rPr>
                <w:rFonts w:ascii="Cambria" w:hAnsi="Cambria"/>
                <w:sz w:val="24"/>
                <w:szCs w:val="24"/>
              </w:rPr>
            </w:pPr>
            <w:r w:rsidRPr="001435A7">
              <w:rPr>
                <w:rFonts w:ascii="Cambria" w:hAnsi="Cambria"/>
                <w:sz w:val="24"/>
                <w:szCs w:val="24"/>
              </w:rPr>
              <w:t>0.879</w:t>
            </w:r>
          </w:p>
          <w:p w14:paraId="6448B328" w14:textId="77777777" w:rsidR="00882C7D" w:rsidRPr="001435A7" w:rsidRDefault="00882C7D" w:rsidP="00882C7D">
            <w:pPr>
              <w:spacing w:line="240" w:lineRule="auto"/>
              <w:jc w:val="both"/>
              <w:rPr>
                <w:rFonts w:ascii="Cambria" w:hAnsi="Cambria"/>
                <w:sz w:val="24"/>
                <w:szCs w:val="24"/>
              </w:rPr>
            </w:pPr>
            <w:r w:rsidRPr="001435A7">
              <w:rPr>
                <w:rFonts w:ascii="Cambria" w:hAnsi="Cambria"/>
                <w:sz w:val="24"/>
                <w:szCs w:val="24"/>
              </w:rPr>
              <w:t>0.889</w:t>
            </w:r>
          </w:p>
          <w:p w14:paraId="540DF09A" w14:textId="77777777" w:rsidR="00882C7D" w:rsidRPr="001435A7" w:rsidRDefault="00882C7D" w:rsidP="00882C7D">
            <w:pPr>
              <w:spacing w:line="240" w:lineRule="auto"/>
              <w:jc w:val="both"/>
              <w:rPr>
                <w:rFonts w:ascii="Cambria" w:hAnsi="Cambria"/>
                <w:sz w:val="24"/>
                <w:szCs w:val="24"/>
              </w:rPr>
            </w:pPr>
            <w:r w:rsidRPr="001435A7">
              <w:rPr>
                <w:rFonts w:ascii="Cambria" w:hAnsi="Cambria"/>
                <w:sz w:val="24"/>
                <w:szCs w:val="24"/>
              </w:rPr>
              <w:t>0.866</w:t>
            </w:r>
          </w:p>
          <w:p w14:paraId="35D43371" w14:textId="77777777" w:rsidR="00882C7D" w:rsidRPr="001435A7" w:rsidRDefault="00882C7D" w:rsidP="00882C7D">
            <w:pPr>
              <w:spacing w:line="240" w:lineRule="auto"/>
              <w:jc w:val="both"/>
              <w:rPr>
                <w:rFonts w:ascii="Cambria" w:hAnsi="Cambria"/>
                <w:sz w:val="24"/>
                <w:szCs w:val="24"/>
              </w:rPr>
            </w:pPr>
            <w:r w:rsidRPr="001435A7">
              <w:rPr>
                <w:rFonts w:ascii="Cambria" w:hAnsi="Cambria"/>
                <w:sz w:val="24"/>
                <w:szCs w:val="24"/>
              </w:rPr>
              <w:t>0.813</w:t>
            </w:r>
          </w:p>
          <w:p w14:paraId="67D25719" w14:textId="28C63451" w:rsidR="00A8623B" w:rsidRPr="001435A7" w:rsidRDefault="00882C7D" w:rsidP="00882C7D">
            <w:pPr>
              <w:spacing w:line="240" w:lineRule="auto"/>
              <w:jc w:val="both"/>
              <w:rPr>
                <w:rFonts w:ascii="Cambria" w:hAnsi="Cambria"/>
                <w:sz w:val="24"/>
                <w:szCs w:val="24"/>
              </w:rPr>
            </w:pPr>
            <w:r w:rsidRPr="001435A7">
              <w:rPr>
                <w:rFonts w:ascii="Cambria" w:hAnsi="Cambria"/>
                <w:sz w:val="24"/>
                <w:szCs w:val="24"/>
              </w:rPr>
              <w:t>0.835</w:t>
            </w:r>
          </w:p>
        </w:tc>
      </w:tr>
      <w:tr w:rsidR="001435A7" w:rsidRPr="001435A7" w14:paraId="7D42A5E6" w14:textId="3B9D0994" w:rsidTr="00E41456">
        <w:trPr>
          <w:trHeight w:val="251"/>
        </w:trPr>
        <w:tc>
          <w:tcPr>
            <w:tcW w:w="9054" w:type="dxa"/>
            <w:gridSpan w:val="3"/>
          </w:tcPr>
          <w:p w14:paraId="128543C4" w14:textId="36D0A963"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Arousal</w:t>
            </w:r>
            <w:r w:rsidRPr="001435A7">
              <w:rPr>
                <w:rFonts w:ascii="Cambria" w:hAnsi="Cambria"/>
                <w:sz w:val="24"/>
                <w:szCs w:val="24"/>
              </w:rPr>
              <w:t xml:space="preserve"> (Russel et al 1981) </w:t>
            </w:r>
            <w:r w:rsidRPr="001435A7">
              <w:rPr>
                <w:rFonts w:ascii="Cambria" w:hAnsi="Cambria" w:cstheme="minorHAnsi"/>
                <w:sz w:val="24"/>
                <w:szCs w:val="24"/>
              </w:rPr>
              <w:t xml:space="preserve">α = </w:t>
            </w:r>
            <w:r w:rsidRPr="001435A7">
              <w:rPr>
                <w:rFonts w:ascii="Cambria" w:hAnsi="Cambria" w:cs="Arial"/>
                <w:sz w:val="24"/>
                <w:szCs w:val="24"/>
              </w:rPr>
              <w:t>.845</w:t>
            </w:r>
            <w:r w:rsidRPr="001435A7">
              <w:rPr>
                <w:rFonts w:ascii="Cambria" w:hAnsi="Cambria" w:cstheme="minorHAnsi"/>
                <w:sz w:val="24"/>
                <w:szCs w:val="24"/>
              </w:rPr>
              <w:t>, CR= .89</w:t>
            </w:r>
          </w:p>
        </w:tc>
      </w:tr>
      <w:tr w:rsidR="001435A7" w:rsidRPr="001435A7" w14:paraId="5DF323A3" w14:textId="3934DAB4" w:rsidTr="00E85A32">
        <w:trPr>
          <w:trHeight w:val="274"/>
        </w:trPr>
        <w:tc>
          <w:tcPr>
            <w:tcW w:w="7033" w:type="dxa"/>
          </w:tcPr>
          <w:p w14:paraId="00E369CF" w14:textId="442A6407"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Sluggish – Frenzied</w:t>
            </w:r>
          </w:p>
          <w:p w14:paraId="2F5EEA6A" w14:textId="7E9C8143"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Unaroused – aroused</w:t>
            </w:r>
          </w:p>
          <w:p w14:paraId="6753B188" w14:textId="3DCC65E7"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Sleepy Wide awake </w:t>
            </w:r>
          </w:p>
          <w:p w14:paraId="10CEAFA0" w14:textId="1590085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Calm – exited </w:t>
            </w:r>
          </w:p>
          <w:p w14:paraId="643436A2" w14:textId="1675B3E3"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Relaxed – stimulated </w:t>
            </w:r>
          </w:p>
          <w:p w14:paraId="4220D6D1" w14:textId="220EFEB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6.</w:t>
            </w:r>
            <w:r w:rsidRPr="001435A7">
              <w:rPr>
                <w:rFonts w:ascii="Cambria" w:hAnsi="Cambria"/>
                <w:sz w:val="24"/>
                <w:szCs w:val="24"/>
              </w:rPr>
              <w:t xml:space="preserve"> Dull – jittery</w:t>
            </w:r>
          </w:p>
        </w:tc>
        <w:tc>
          <w:tcPr>
            <w:tcW w:w="1042" w:type="dxa"/>
          </w:tcPr>
          <w:p w14:paraId="27FF5F8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.750</w:t>
            </w:r>
          </w:p>
          <w:p w14:paraId="0B008514"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.719</w:t>
            </w:r>
          </w:p>
          <w:p w14:paraId="2DFE0B3C"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.705</w:t>
            </w:r>
          </w:p>
          <w:p w14:paraId="0601D4C4"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.775</w:t>
            </w:r>
          </w:p>
          <w:p w14:paraId="0F4C2020"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.767</w:t>
            </w:r>
          </w:p>
          <w:p w14:paraId="00DDF455" w14:textId="76791296"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.784</w:t>
            </w:r>
          </w:p>
        </w:tc>
        <w:tc>
          <w:tcPr>
            <w:tcW w:w="979" w:type="dxa"/>
          </w:tcPr>
          <w:p w14:paraId="591F5498" w14:textId="77777777" w:rsidR="009F0B3A" w:rsidRPr="001435A7" w:rsidRDefault="009F0B3A" w:rsidP="009F0B3A">
            <w:pPr>
              <w:spacing w:line="240" w:lineRule="auto"/>
              <w:jc w:val="both"/>
              <w:rPr>
                <w:rFonts w:ascii="Cambria" w:hAnsi="Cambria"/>
                <w:sz w:val="24"/>
                <w:szCs w:val="24"/>
              </w:rPr>
            </w:pPr>
            <w:r w:rsidRPr="001435A7">
              <w:rPr>
                <w:rFonts w:ascii="Cambria" w:hAnsi="Cambria"/>
                <w:sz w:val="24"/>
                <w:szCs w:val="24"/>
              </w:rPr>
              <w:t>0.768</w:t>
            </w:r>
          </w:p>
          <w:p w14:paraId="21FD1E17" w14:textId="77777777" w:rsidR="009F0B3A" w:rsidRPr="001435A7" w:rsidRDefault="009F0B3A" w:rsidP="009F0B3A">
            <w:pPr>
              <w:spacing w:line="240" w:lineRule="auto"/>
              <w:jc w:val="both"/>
              <w:rPr>
                <w:rFonts w:ascii="Cambria" w:hAnsi="Cambria"/>
                <w:sz w:val="24"/>
                <w:szCs w:val="24"/>
              </w:rPr>
            </w:pPr>
            <w:r w:rsidRPr="001435A7">
              <w:rPr>
                <w:rFonts w:ascii="Cambria" w:hAnsi="Cambria"/>
                <w:sz w:val="24"/>
                <w:szCs w:val="24"/>
              </w:rPr>
              <w:t>0.756</w:t>
            </w:r>
          </w:p>
          <w:p w14:paraId="06782E27" w14:textId="77777777" w:rsidR="009F0B3A" w:rsidRPr="001435A7" w:rsidRDefault="009F0B3A" w:rsidP="009F0B3A">
            <w:pPr>
              <w:spacing w:line="240" w:lineRule="auto"/>
              <w:jc w:val="both"/>
              <w:rPr>
                <w:rFonts w:ascii="Cambria" w:hAnsi="Cambria"/>
                <w:sz w:val="24"/>
                <w:szCs w:val="24"/>
              </w:rPr>
            </w:pPr>
            <w:r w:rsidRPr="001435A7">
              <w:rPr>
                <w:rFonts w:ascii="Cambria" w:hAnsi="Cambria"/>
                <w:sz w:val="24"/>
                <w:szCs w:val="24"/>
              </w:rPr>
              <w:t>0.722</w:t>
            </w:r>
          </w:p>
          <w:p w14:paraId="4B8F40D2" w14:textId="77777777" w:rsidR="009F0B3A" w:rsidRPr="001435A7" w:rsidRDefault="009F0B3A" w:rsidP="009F0B3A">
            <w:pPr>
              <w:spacing w:line="240" w:lineRule="auto"/>
              <w:jc w:val="both"/>
              <w:rPr>
                <w:rFonts w:ascii="Cambria" w:hAnsi="Cambria"/>
                <w:sz w:val="24"/>
                <w:szCs w:val="24"/>
              </w:rPr>
            </w:pPr>
            <w:r w:rsidRPr="001435A7">
              <w:rPr>
                <w:rFonts w:ascii="Cambria" w:hAnsi="Cambria"/>
                <w:sz w:val="24"/>
                <w:szCs w:val="24"/>
              </w:rPr>
              <w:t>0.723</w:t>
            </w:r>
          </w:p>
          <w:p w14:paraId="51B68A09" w14:textId="77777777" w:rsidR="009F0B3A" w:rsidRPr="001435A7" w:rsidRDefault="009F0B3A" w:rsidP="009F0B3A">
            <w:pPr>
              <w:spacing w:line="240" w:lineRule="auto"/>
              <w:jc w:val="both"/>
              <w:rPr>
                <w:rFonts w:ascii="Cambria" w:hAnsi="Cambria"/>
                <w:sz w:val="24"/>
                <w:szCs w:val="24"/>
              </w:rPr>
            </w:pPr>
            <w:r w:rsidRPr="001435A7">
              <w:rPr>
                <w:rFonts w:ascii="Cambria" w:hAnsi="Cambria"/>
                <w:sz w:val="24"/>
                <w:szCs w:val="24"/>
              </w:rPr>
              <w:t>0.710</w:t>
            </w:r>
          </w:p>
          <w:p w14:paraId="3BB6F0B3" w14:textId="62DA5BA0" w:rsidR="00A8623B" w:rsidRPr="001435A7" w:rsidRDefault="009F0B3A" w:rsidP="009F0B3A">
            <w:pPr>
              <w:spacing w:line="240" w:lineRule="auto"/>
              <w:jc w:val="both"/>
              <w:rPr>
                <w:rFonts w:ascii="Cambria" w:hAnsi="Cambria"/>
                <w:sz w:val="24"/>
                <w:szCs w:val="24"/>
              </w:rPr>
            </w:pPr>
            <w:r w:rsidRPr="001435A7">
              <w:rPr>
                <w:rFonts w:ascii="Cambria" w:hAnsi="Cambria"/>
                <w:sz w:val="24"/>
                <w:szCs w:val="24"/>
              </w:rPr>
              <w:t>0.804</w:t>
            </w:r>
          </w:p>
        </w:tc>
      </w:tr>
      <w:tr w:rsidR="001435A7" w:rsidRPr="001435A7" w14:paraId="415C6EF5" w14:textId="08C99646" w:rsidTr="004B48B5">
        <w:trPr>
          <w:trHeight w:val="251"/>
        </w:trPr>
        <w:tc>
          <w:tcPr>
            <w:tcW w:w="9054" w:type="dxa"/>
            <w:gridSpan w:val="3"/>
          </w:tcPr>
          <w:p w14:paraId="3896ADA2" w14:textId="522859E5"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Dominance</w:t>
            </w:r>
            <w:r w:rsidRPr="001435A7">
              <w:rPr>
                <w:rFonts w:ascii="Cambria" w:hAnsi="Cambria"/>
                <w:sz w:val="24"/>
                <w:szCs w:val="24"/>
              </w:rPr>
              <w:t xml:space="preserve"> (Russel et al 1981) </w:t>
            </w:r>
            <w:r w:rsidRPr="001435A7">
              <w:rPr>
                <w:rFonts w:ascii="Cambria" w:hAnsi="Cambria" w:cstheme="minorHAnsi"/>
                <w:sz w:val="24"/>
                <w:szCs w:val="24"/>
              </w:rPr>
              <w:t xml:space="preserve">α = </w:t>
            </w:r>
            <w:r w:rsidRPr="001435A7">
              <w:rPr>
                <w:rFonts w:ascii="Cambria" w:hAnsi="Cambria" w:cs="Arial"/>
                <w:sz w:val="24"/>
                <w:szCs w:val="24"/>
              </w:rPr>
              <w:t>.726</w:t>
            </w:r>
            <w:r w:rsidRPr="001435A7">
              <w:rPr>
                <w:rFonts w:ascii="Cambria" w:hAnsi="Cambria" w:cstheme="minorHAnsi"/>
                <w:sz w:val="24"/>
                <w:szCs w:val="24"/>
              </w:rPr>
              <w:t>, CR=.82</w:t>
            </w:r>
          </w:p>
        </w:tc>
      </w:tr>
      <w:tr w:rsidR="001435A7" w:rsidRPr="001435A7" w14:paraId="559AD5E7" w14:textId="7AEA92AE" w:rsidTr="00E85A32">
        <w:trPr>
          <w:trHeight w:val="620"/>
        </w:trPr>
        <w:tc>
          <w:tcPr>
            <w:tcW w:w="7033" w:type="dxa"/>
          </w:tcPr>
          <w:p w14:paraId="1219728A" w14:textId="49C9B7F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Submissive – dominant</w:t>
            </w:r>
          </w:p>
          <w:p w14:paraId="754BE12F" w14:textId="6486050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Influenced – influential</w:t>
            </w:r>
          </w:p>
          <w:p w14:paraId="7B0ACC18" w14:textId="6E2A4FA5"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Controlled –controlling</w:t>
            </w:r>
          </w:p>
          <w:p w14:paraId="6844B704" w14:textId="5FBA3359"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Guided –autonomous</w:t>
            </w:r>
          </w:p>
          <w:p w14:paraId="2F2E0FDD" w14:textId="0D6B2735"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Cared for –in control</w:t>
            </w:r>
          </w:p>
          <w:p w14:paraId="15234AFC" w14:textId="65DF189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6.</w:t>
            </w:r>
            <w:r w:rsidRPr="001435A7">
              <w:rPr>
                <w:rFonts w:ascii="Cambria" w:hAnsi="Cambria"/>
                <w:sz w:val="24"/>
                <w:szCs w:val="24"/>
              </w:rPr>
              <w:t xml:space="preserve"> Awed –important</w:t>
            </w:r>
          </w:p>
        </w:tc>
        <w:tc>
          <w:tcPr>
            <w:tcW w:w="1042" w:type="dxa"/>
          </w:tcPr>
          <w:p w14:paraId="2C0F688E"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.625</w:t>
            </w:r>
          </w:p>
          <w:p w14:paraId="662AC9CE"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.735</w:t>
            </w:r>
          </w:p>
          <w:p w14:paraId="128CC2D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.726</w:t>
            </w:r>
          </w:p>
          <w:p w14:paraId="3D1BBE9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.746</w:t>
            </w:r>
          </w:p>
          <w:p w14:paraId="6C6BBD2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.508</w:t>
            </w:r>
          </w:p>
          <w:p w14:paraId="060053C8" w14:textId="7C44B5F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.570</w:t>
            </w:r>
          </w:p>
        </w:tc>
        <w:tc>
          <w:tcPr>
            <w:tcW w:w="979" w:type="dxa"/>
          </w:tcPr>
          <w:p w14:paraId="559C40DC" w14:textId="77777777" w:rsidR="00A305AD" w:rsidRPr="001435A7" w:rsidRDefault="00A305AD" w:rsidP="00A305AD">
            <w:pPr>
              <w:spacing w:line="240" w:lineRule="auto"/>
              <w:jc w:val="both"/>
              <w:rPr>
                <w:rFonts w:ascii="Cambria" w:hAnsi="Cambria"/>
                <w:sz w:val="24"/>
                <w:szCs w:val="24"/>
              </w:rPr>
            </w:pPr>
            <w:r w:rsidRPr="001435A7">
              <w:rPr>
                <w:rFonts w:ascii="Cambria" w:hAnsi="Cambria"/>
                <w:sz w:val="24"/>
                <w:szCs w:val="24"/>
              </w:rPr>
              <w:t>0.732</w:t>
            </w:r>
          </w:p>
          <w:p w14:paraId="66712025" w14:textId="77777777" w:rsidR="00A305AD" w:rsidRPr="001435A7" w:rsidRDefault="00A305AD" w:rsidP="00A305AD">
            <w:pPr>
              <w:spacing w:line="240" w:lineRule="auto"/>
              <w:jc w:val="both"/>
              <w:rPr>
                <w:rFonts w:ascii="Cambria" w:hAnsi="Cambria"/>
                <w:sz w:val="24"/>
                <w:szCs w:val="24"/>
              </w:rPr>
            </w:pPr>
            <w:r w:rsidRPr="001435A7">
              <w:rPr>
                <w:rFonts w:ascii="Cambria" w:hAnsi="Cambria"/>
                <w:sz w:val="24"/>
                <w:szCs w:val="24"/>
              </w:rPr>
              <w:t>0.600</w:t>
            </w:r>
          </w:p>
          <w:p w14:paraId="1CEB1EAF" w14:textId="77777777" w:rsidR="00A305AD" w:rsidRPr="001435A7" w:rsidRDefault="00A305AD" w:rsidP="00A305AD">
            <w:pPr>
              <w:spacing w:line="240" w:lineRule="auto"/>
              <w:jc w:val="both"/>
              <w:rPr>
                <w:rFonts w:ascii="Cambria" w:hAnsi="Cambria"/>
                <w:sz w:val="24"/>
                <w:szCs w:val="24"/>
              </w:rPr>
            </w:pPr>
            <w:r w:rsidRPr="001435A7">
              <w:rPr>
                <w:rFonts w:ascii="Cambria" w:hAnsi="Cambria"/>
                <w:sz w:val="24"/>
                <w:szCs w:val="24"/>
              </w:rPr>
              <w:t>0.587</w:t>
            </w:r>
          </w:p>
          <w:p w14:paraId="0304E0FE" w14:textId="77777777" w:rsidR="00A305AD" w:rsidRPr="001435A7" w:rsidRDefault="00A305AD" w:rsidP="00A305AD">
            <w:pPr>
              <w:spacing w:line="240" w:lineRule="auto"/>
              <w:jc w:val="both"/>
              <w:rPr>
                <w:rFonts w:ascii="Cambria" w:hAnsi="Cambria"/>
                <w:sz w:val="24"/>
                <w:szCs w:val="24"/>
              </w:rPr>
            </w:pPr>
            <w:r w:rsidRPr="001435A7">
              <w:rPr>
                <w:rFonts w:ascii="Cambria" w:hAnsi="Cambria"/>
                <w:sz w:val="24"/>
                <w:szCs w:val="24"/>
              </w:rPr>
              <w:t>0.380</w:t>
            </w:r>
          </w:p>
          <w:p w14:paraId="6D381356" w14:textId="77777777" w:rsidR="00A305AD" w:rsidRPr="001435A7" w:rsidRDefault="00A305AD" w:rsidP="00A305AD">
            <w:pPr>
              <w:spacing w:line="240" w:lineRule="auto"/>
              <w:jc w:val="both"/>
              <w:rPr>
                <w:rFonts w:ascii="Cambria" w:hAnsi="Cambria"/>
                <w:sz w:val="24"/>
                <w:szCs w:val="24"/>
              </w:rPr>
            </w:pPr>
            <w:r w:rsidRPr="001435A7">
              <w:rPr>
                <w:rFonts w:ascii="Cambria" w:hAnsi="Cambria"/>
                <w:sz w:val="24"/>
                <w:szCs w:val="24"/>
              </w:rPr>
              <w:t>0.108</w:t>
            </w:r>
          </w:p>
          <w:p w14:paraId="140A24D6" w14:textId="1B4ACAC0" w:rsidR="00A8623B" w:rsidRPr="001435A7" w:rsidRDefault="00A305AD" w:rsidP="00A305AD">
            <w:pPr>
              <w:spacing w:line="240" w:lineRule="auto"/>
              <w:jc w:val="both"/>
              <w:rPr>
                <w:rFonts w:ascii="Cambria" w:hAnsi="Cambria"/>
                <w:sz w:val="24"/>
                <w:szCs w:val="24"/>
              </w:rPr>
            </w:pPr>
            <w:r w:rsidRPr="001435A7">
              <w:rPr>
                <w:rFonts w:ascii="Cambria" w:hAnsi="Cambria"/>
                <w:sz w:val="24"/>
                <w:szCs w:val="24"/>
              </w:rPr>
              <w:t>0.808</w:t>
            </w:r>
          </w:p>
        </w:tc>
      </w:tr>
      <w:tr w:rsidR="001435A7" w:rsidRPr="001435A7" w14:paraId="0E3382C5" w14:textId="7AC87686" w:rsidTr="00876D40">
        <w:trPr>
          <w:trHeight w:val="323"/>
        </w:trPr>
        <w:tc>
          <w:tcPr>
            <w:tcW w:w="9054" w:type="dxa"/>
            <w:gridSpan w:val="3"/>
          </w:tcPr>
          <w:p w14:paraId="7777E22C" w14:textId="73265692"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Ad–attitude</w:t>
            </w:r>
            <w:r w:rsidRPr="001435A7">
              <w:rPr>
                <w:rFonts w:ascii="Cambria" w:hAnsi="Cambria"/>
                <w:sz w:val="24"/>
                <w:szCs w:val="24"/>
              </w:rPr>
              <w:t xml:space="preserve"> (Tucker et al 2012) </w:t>
            </w:r>
            <w:r w:rsidRPr="001435A7">
              <w:rPr>
                <w:rFonts w:ascii="Cambria" w:hAnsi="Cambria" w:cstheme="minorHAnsi"/>
                <w:sz w:val="24"/>
                <w:szCs w:val="24"/>
              </w:rPr>
              <w:t xml:space="preserve">α = </w:t>
            </w:r>
            <w:r w:rsidRPr="001435A7">
              <w:rPr>
                <w:rFonts w:ascii="Cambria" w:hAnsi="Cambria" w:cs="Arial"/>
                <w:sz w:val="24"/>
                <w:szCs w:val="24"/>
              </w:rPr>
              <w:t>.949</w:t>
            </w:r>
            <w:r w:rsidRPr="001435A7">
              <w:rPr>
                <w:rFonts w:ascii="Cambria" w:hAnsi="Cambria" w:cstheme="minorHAnsi"/>
                <w:sz w:val="24"/>
                <w:szCs w:val="24"/>
              </w:rPr>
              <w:t>, CR=.96</w:t>
            </w:r>
          </w:p>
        </w:tc>
      </w:tr>
      <w:tr w:rsidR="001435A7" w:rsidRPr="001435A7" w14:paraId="5D346CC6" w14:textId="4A148CAB" w:rsidTr="00E85A32">
        <w:trPr>
          <w:trHeight w:val="260"/>
        </w:trPr>
        <w:tc>
          <w:tcPr>
            <w:tcW w:w="7033" w:type="dxa"/>
          </w:tcPr>
          <w:p w14:paraId="692C7C2E" w14:textId="03917C4B"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Favourable–unfavourable </w:t>
            </w:r>
          </w:p>
          <w:p w14:paraId="6AA4EEE3" w14:textId="30F053D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Good–bad </w:t>
            </w:r>
          </w:p>
          <w:p w14:paraId="546D762C" w14:textId="0ECC7A6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Like–dislike</w:t>
            </w:r>
          </w:p>
          <w:p w14:paraId="065B4B8E" w14:textId="470AF7EA"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Positive–negative</w:t>
            </w:r>
          </w:p>
        </w:tc>
        <w:tc>
          <w:tcPr>
            <w:tcW w:w="1042" w:type="dxa"/>
          </w:tcPr>
          <w:p w14:paraId="4F67DAAA"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.922</w:t>
            </w:r>
          </w:p>
          <w:p w14:paraId="5E3C9CF9"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.955</w:t>
            </w:r>
          </w:p>
          <w:p w14:paraId="565EE7E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.931</w:t>
            </w:r>
          </w:p>
          <w:p w14:paraId="776E4AB1" w14:textId="11F374E5"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.915</w:t>
            </w:r>
          </w:p>
        </w:tc>
        <w:tc>
          <w:tcPr>
            <w:tcW w:w="979" w:type="dxa"/>
          </w:tcPr>
          <w:p w14:paraId="2533B6A4" w14:textId="77777777" w:rsidR="00DA5475" w:rsidRPr="001435A7" w:rsidRDefault="00DA5475" w:rsidP="00DA5475">
            <w:pPr>
              <w:spacing w:line="240" w:lineRule="auto"/>
              <w:jc w:val="both"/>
              <w:rPr>
                <w:rFonts w:ascii="Cambria" w:hAnsi="Cambria"/>
                <w:sz w:val="24"/>
                <w:szCs w:val="24"/>
              </w:rPr>
            </w:pPr>
            <w:r w:rsidRPr="001435A7">
              <w:rPr>
                <w:rFonts w:ascii="Cambria" w:hAnsi="Cambria"/>
                <w:sz w:val="24"/>
                <w:szCs w:val="24"/>
              </w:rPr>
              <w:t>0.922</w:t>
            </w:r>
          </w:p>
          <w:p w14:paraId="4BF272C4" w14:textId="77777777" w:rsidR="00DA5475" w:rsidRPr="001435A7" w:rsidRDefault="00DA5475" w:rsidP="00DA5475">
            <w:pPr>
              <w:spacing w:line="240" w:lineRule="auto"/>
              <w:jc w:val="both"/>
              <w:rPr>
                <w:rFonts w:ascii="Cambria" w:hAnsi="Cambria"/>
                <w:sz w:val="24"/>
                <w:szCs w:val="24"/>
              </w:rPr>
            </w:pPr>
            <w:r w:rsidRPr="001435A7">
              <w:rPr>
                <w:rFonts w:ascii="Cambria" w:hAnsi="Cambria"/>
                <w:sz w:val="24"/>
                <w:szCs w:val="24"/>
              </w:rPr>
              <w:t>0.954</w:t>
            </w:r>
          </w:p>
          <w:p w14:paraId="2F29A418" w14:textId="77777777" w:rsidR="00DA5475" w:rsidRPr="001435A7" w:rsidRDefault="00DA5475" w:rsidP="00DA5475">
            <w:pPr>
              <w:spacing w:line="240" w:lineRule="auto"/>
              <w:jc w:val="both"/>
              <w:rPr>
                <w:rFonts w:ascii="Cambria" w:hAnsi="Cambria"/>
                <w:sz w:val="24"/>
                <w:szCs w:val="24"/>
              </w:rPr>
            </w:pPr>
            <w:r w:rsidRPr="001435A7">
              <w:rPr>
                <w:rFonts w:ascii="Cambria" w:hAnsi="Cambria"/>
                <w:sz w:val="24"/>
                <w:szCs w:val="24"/>
              </w:rPr>
              <w:t>0.933</w:t>
            </w:r>
          </w:p>
          <w:p w14:paraId="116555D0" w14:textId="6B88ECDB" w:rsidR="00A8623B" w:rsidRPr="001435A7" w:rsidRDefault="00DA5475" w:rsidP="00DA5475">
            <w:pPr>
              <w:spacing w:line="240" w:lineRule="auto"/>
              <w:jc w:val="both"/>
              <w:rPr>
                <w:rFonts w:ascii="Cambria" w:hAnsi="Cambria"/>
                <w:sz w:val="24"/>
                <w:szCs w:val="24"/>
              </w:rPr>
            </w:pPr>
            <w:r w:rsidRPr="001435A7">
              <w:rPr>
                <w:rFonts w:ascii="Cambria" w:hAnsi="Cambria"/>
                <w:sz w:val="24"/>
                <w:szCs w:val="24"/>
              </w:rPr>
              <w:t>0.913</w:t>
            </w:r>
          </w:p>
        </w:tc>
      </w:tr>
      <w:tr w:rsidR="001435A7" w:rsidRPr="001435A7" w14:paraId="0428E9AE" w14:textId="33797913" w:rsidTr="00573C2E">
        <w:trPr>
          <w:trHeight w:val="251"/>
        </w:trPr>
        <w:tc>
          <w:tcPr>
            <w:tcW w:w="9054" w:type="dxa"/>
            <w:gridSpan w:val="3"/>
          </w:tcPr>
          <w:p w14:paraId="5626A7AA" w14:textId="5EE9D0D2"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Social media engagement</w:t>
            </w:r>
            <w:r w:rsidRPr="001435A7">
              <w:rPr>
                <w:rFonts w:ascii="Cambria" w:hAnsi="Cambria"/>
                <w:sz w:val="24"/>
                <w:szCs w:val="24"/>
              </w:rPr>
              <w:t xml:space="preserve"> (</w:t>
            </w:r>
            <w:bookmarkStart w:id="85" w:name="_Hlk116178032"/>
            <w:r w:rsidRPr="001435A7">
              <w:rPr>
                <w:rFonts w:ascii="Cambria" w:hAnsi="Cambria"/>
                <w:sz w:val="24"/>
                <w:szCs w:val="24"/>
              </w:rPr>
              <w:t>Schivinski et al., 2016</w:t>
            </w:r>
            <w:bookmarkEnd w:id="85"/>
            <w:r w:rsidRPr="001435A7">
              <w:rPr>
                <w:rFonts w:ascii="Cambria" w:hAnsi="Cambria"/>
                <w:sz w:val="24"/>
                <w:szCs w:val="24"/>
              </w:rPr>
              <w:t xml:space="preserve">) </w:t>
            </w:r>
            <w:r w:rsidRPr="001435A7">
              <w:rPr>
                <w:rFonts w:ascii="Cambria" w:hAnsi="Cambria" w:cstheme="minorHAnsi"/>
                <w:sz w:val="24"/>
                <w:szCs w:val="24"/>
              </w:rPr>
              <w:t xml:space="preserve">α = </w:t>
            </w:r>
            <w:r w:rsidRPr="001435A7">
              <w:rPr>
                <w:rFonts w:ascii="Cambria" w:hAnsi="Cambria" w:cs="Arial"/>
                <w:sz w:val="24"/>
                <w:szCs w:val="24"/>
              </w:rPr>
              <w:t>.756,</w:t>
            </w:r>
            <w:r w:rsidRPr="001435A7">
              <w:rPr>
                <w:rFonts w:ascii="Cambria" w:hAnsi="Cambria" w:cstheme="minorHAnsi"/>
                <w:sz w:val="24"/>
                <w:szCs w:val="24"/>
              </w:rPr>
              <w:t xml:space="preserve"> CR=.85</w:t>
            </w:r>
          </w:p>
        </w:tc>
      </w:tr>
      <w:tr w:rsidR="001435A7" w:rsidRPr="001435A7" w14:paraId="61FD7AC3" w14:textId="5E48A21B" w:rsidTr="00E85A32">
        <w:trPr>
          <w:trHeight w:val="620"/>
        </w:trPr>
        <w:tc>
          <w:tcPr>
            <w:tcW w:w="7033" w:type="dxa"/>
          </w:tcPr>
          <w:p w14:paraId="30997B0C" w14:textId="40AA04C9"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When I saw the advertisement on Facebook, I spend a couple of seconds watching it.</w:t>
            </w:r>
          </w:p>
          <w:p w14:paraId="0B12561A" w14:textId="181292AB"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When I saw the advertisement on Facebook, I wanted to comment on it. </w:t>
            </w:r>
          </w:p>
          <w:p w14:paraId="597DD5A5" w14:textId="420F99B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When I saw the advertisement on Facebook, I wanted to share it with other Facebook friends.</w:t>
            </w:r>
          </w:p>
          <w:p w14:paraId="4B7A0F9B" w14:textId="73B0629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When I saw the advertisement on Facebook, I wanted to ‘Like’ it on Facebook.</w:t>
            </w:r>
          </w:p>
        </w:tc>
        <w:tc>
          <w:tcPr>
            <w:tcW w:w="1042" w:type="dxa"/>
          </w:tcPr>
          <w:p w14:paraId="2A81F561"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.496</w:t>
            </w:r>
          </w:p>
          <w:p w14:paraId="44412459" w14:textId="77777777" w:rsidR="00024379" w:rsidRPr="001435A7" w:rsidRDefault="00024379" w:rsidP="00A8623B">
            <w:pPr>
              <w:spacing w:line="240" w:lineRule="auto"/>
              <w:jc w:val="both"/>
              <w:rPr>
                <w:rFonts w:ascii="Cambria" w:hAnsi="Cambria"/>
                <w:sz w:val="24"/>
                <w:szCs w:val="24"/>
              </w:rPr>
            </w:pPr>
          </w:p>
          <w:p w14:paraId="56AF559D" w14:textId="4810B6C9"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.779</w:t>
            </w:r>
          </w:p>
          <w:p w14:paraId="5E765FED" w14:textId="77777777" w:rsidR="00024379" w:rsidRPr="001435A7" w:rsidRDefault="00024379" w:rsidP="00A8623B">
            <w:pPr>
              <w:spacing w:line="240" w:lineRule="auto"/>
              <w:jc w:val="both"/>
              <w:rPr>
                <w:rFonts w:ascii="Cambria" w:hAnsi="Cambria"/>
                <w:sz w:val="24"/>
                <w:szCs w:val="24"/>
              </w:rPr>
            </w:pPr>
          </w:p>
          <w:p w14:paraId="1F745DE6" w14:textId="121C3051"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.894</w:t>
            </w:r>
          </w:p>
          <w:p w14:paraId="6406B0CF" w14:textId="77777777" w:rsidR="00A8623B" w:rsidRPr="001435A7" w:rsidRDefault="00A8623B" w:rsidP="00A8623B">
            <w:pPr>
              <w:spacing w:line="240" w:lineRule="auto"/>
              <w:jc w:val="both"/>
              <w:rPr>
                <w:rFonts w:ascii="Cambria" w:hAnsi="Cambria"/>
                <w:sz w:val="24"/>
                <w:szCs w:val="24"/>
              </w:rPr>
            </w:pPr>
          </w:p>
          <w:p w14:paraId="24B58008" w14:textId="4E430FAE"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.849</w:t>
            </w:r>
          </w:p>
        </w:tc>
        <w:tc>
          <w:tcPr>
            <w:tcW w:w="979" w:type="dxa"/>
          </w:tcPr>
          <w:p w14:paraId="1059F235" w14:textId="77777777" w:rsidR="00FC7595" w:rsidRPr="001435A7" w:rsidRDefault="00FC7595" w:rsidP="00FC7595">
            <w:pPr>
              <w:spacing w:line="240" w:lineRule="auto"/>
              <w:jc w:val="both"/>
              <w:rPr>
                <w:rFonts w:ascii="Cambria" w:hAnsi="Cambria"/>
                <w:sz w:val="24"/>
                <w:szCs w:val="24"/>
              </w:rPr>
            </w:pPr>
            <w:r w:rsidRPr="001435A7">
              <w:rPr>
                <w:rFonts w:ascii="Cambria" w:hAnsi="Cambria"/>
                <w:sz w:val="24"/>
                <w:szCs w:val="24"/>
              </w:rPr>
              <w:t>0.500</w:t>
            </w:r>
          </w:p>
          <w:p w14:paraId="1C41EABB" w14:textId="77777777" w:rsidR="00024379" w:rsidRPr="001435A7" w:rsidRDefault="00024379" w:rsidP="00FC7595">
            <w:pPr>
              <w:spacing w:line="240" w:lineRule="auto"/>
              <w:jc w:val="both"/>
              <w:rPr>
                <w:rFonts w:ascii="Cambria" w:hAnsi="Cambria"/>
                <w:sz w:val="24"/>
                <w:szCs w:val="24"/>
              </w:rPr>
            </w:pPr>
          </w:p>
          <w:p w14:paraId="65AD9552" w14:textId="7E4AF264" w:rsidR="00FC7595" w:rsidRPr="001435A7" w:rsidRDefault="00FC7595" w:rsidP="00FC7595">
            <w:pPr>
              <w:spacing w:line="240" w:lineRule="auto"/>
              <w:jc w:val="both"/>
              <w:rPr>
                <w:rFonts w:ascii="Cambria" w:hAnsi="Cambria"/>
                <w:sz w:val="24"/>
                <w:szCs w:val="24"/>
              </w:rPr>
            </w:pPr>
            <w:r w:rsidRPr="001435A7">
              <w:rPr>
                <w:rFonts w:ascii="Cambria" w:hAnsi="Cambria"/>
                <w:sz w:val="24"/>
                <w:szCs w:val="24"/>
              </w:rPr>
              <w:t>0.743</w:t>
            </w:r>
          </w:p>
          <w:p w14:paraId="73A6FF66" w14:textId="77777777" w:rsidR="00024379" w:rsidRPr="001435A7" w:rsidRDefault="00024379" w:rsidP="00FC7595">
            <w:pPr>
              <w:spacing w:line="240" w:lineRule="auto"/>
              <w:jc w:val="both"/>
              <w:rPr>
                <w:rFonts w:ascii="Cambria" w:hAnsi="Cambria"/>
                <w:sz w:val="24"/>
                <w:szCs w:val="24"/>
              </w:rPr>
            </w:pPr>
          </w:p>
          <w:p w14:paraId="4F466239" w14:textId="27D6B9EA" w:rsidR="00FC7595" w:rsidRPr="001435A7" w:rsidRDefault="00FC7595" w:rsidP="00FC7595">
            <w:pPr>
              <w:spacing w:line="240" w:lineRule="auto"/>
              <w:jc w:val="both"/>
              <w:rPr>
                <w:rFonts w:ascii="Cambria" w:hAnsi="Cambria"/>
                <w:sz w:val="24"/>
                <w:szCs w:val="24"/>
              </w:rPr>
            </w:pPr>
            <w:r w:rsidRPr="001435A7">
              <w:rPr>
                <w:rFonts w:ascii="Cambria" w:hAnsi="Cambria"/>
                <w:sz w:val="24"/>
                <w:szCs w:val="24"/>
              </w:rPr>
              <w:t>0.892</w:t>
            </w:r>
          </w:p>
          <w:p w14:paraId="015DA8AD" w14:textId="77777777" w:rsidR="00024379" w:rsidRPr="001435A7" w:rsidRDefault="00024379" w:rsidP="00FC7595">
            <w:pPr>
              <w:spacing w:line="240" w:lineRule="auto"/>
              <w:jc w:val="both"/>
              <w:rPr>
                <w:rFonts w:ascii="Cambria" w:hAnsi="Cambria"/>
                <w:sz w:val="24"/>
                <w:szCs w:val="24"/>
              </w:rPr>
            </w:pPr>
          </w:p>
          <w:p w14:paraId="237FDB86" w14:textId="68A0F180" w:rsidR="00A8623B" w:rsidRPr="001435A7" w:rsidRDefault="00FC7595" w:rsidP="00FC7595">
            <w:pPr>
              <w:spacing w:line="240" w:lineRule="auto"/>
              <w:jc w:val="both"/>
              <w:rPr>
                <w:rFonts w:ascii="Cambria" w:hAnsi="Cambria"/>
                <w:sz w:val="24"/>
                <w:szCs w:val="24"/>
              </w:rPr>
            </w:pPr>
            <w:r w:rsidRPr="001435A7">
              <w:rPr>
                <w:rFonts w:ascii="Cambria" w:hAnsi="Cambria"/>
                <w:sz w:val="24"/>
                <w:szCs w:val="24"/>
              </w:rPr>
              <w:t>0.877</w:t>
            </w:r>
          </w:p>
        </w:tc>
      </w:tr>
      <w:tr w:rsidR="001435A7" w:rsidRPr="001435A7" w14:paraId="33F802AB" w14:textId="5E1C3558" w:rsidTr="00A5265C">
        <w:trPr>
          <w:trHeight w:val="242"/>
        </w:trPr>
        <w:tc>
          <w:tcPr>
            <w:tcW w:w="9054" w:type="dxa"/>
            <w:gridSpan w:val="3"/>
          </w:tcPr>
          <w:p w14:paraId="7B37646E" w14:textId="6FD36258"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Informational influence</w:t>
            </w:r>
            <w:r w:rsidRPr="001435A7">
              <w:rPr>
                <w:rFonts w:ascii="Cambria" w:hAnsi="Cambria"/>
                <w:sz w:val="24"/>
                <w:szCs w:val="24"/>
              </w:rPr>
              <w:t xml:space="preserve"> (Li 2013) </w:t>
            </w:r>
            <w:r w:rsidRPr="001435A7">
              <w:rPr>
                <w:rFonts w:ascii="Cambria" w:hAnsi="Cambria" w:cstheme="minorHAnsi"/>
                <w:sz w:val="24"/>
                <w:szCs w:val="24"/>
              </w:rPr>
              <w:t xml:space="preserve">α = </w:t>
            </w:r>
            <w:r w:rsidRPr="001435A7">
              <w:rPr>
                <w:rFonts w:ascii="Cambria" w:hAnsi="Cambria" w:cs="Arial"/>
                <w:sz w:val="24"/>
                <w:szCs w:val="24"/>
              </w:rPr>
              <w:t>.750</w:t>
            </w:r>
            <w:r w:rsidRPr="001435A7">
              <w:rPr>
                <w:rFonts w:ascii="Cambria" w:hAnsi="Cambria" w:cstheme="minorHAnsi"/>
                <w:sz w:val="24"/>
                <w:szCs w:val="24"/>
              </w:rPr>
              <w:t>; CR= .86</w:t>
            </w:r>
          </w:p>
        </w:tc>
      </w:tr>
      <w:tr w:rsidR="001435A7" w:rsidRPr="001435A7" w14:paraId="35910111" w14:textId="35438EFD" w:rsidTr="00213235">
        <w:trPr>
          <w:trHeight w:val="416"/>
        </w:trPr>
        <w:tc>
          <w:tcPr>
            <w:tcW w:w="7033" w:type="dxa"/>
          </w:tcPr>
          <w:p w14:paraId="4C8B2712" w14:textId="4C70E845"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Other people’s reaction on such advertisements on Facebook are useful when choosing between brands of coffee</w:t>
            </w:r>
          </w:p>
          <w:p w14:paraId="1166CC49" w14:textId="1D042F4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When I think of which type of coffee to buy, I will ask my friends for information to make a choice</w:t>
            </w:r>
          </w:p>
          <w:p w14:paraId="2FB7D1D4" w14:textId="3C305E1F"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When I think of purchasing coffee, the information from Facebook connections is helpful.</w:t>
            </w:r>
          </w:p>
        </w:tc>
        <w:tc>
          <w:tcPr>
            <w:tcW w:w="1042" w:type="dxa"/>
          </w:tcPr>
          <w:p w14:paraId="52DF0947" w14:textId="15A0657A"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.814</w:t>
            </w:r>
          </w:p>
          <w:p w14:paraId="4561A754" w14:textId="77777777" w:rsidR="00A8623B" w:rsidRPr="001435A7" w:rsidRDefault="00A8623B" w:rsidP="00A8623B">
            <w:pPr>
              <w:spacing w:line="240" w:lineRule="auto"/>
              <w:jc w:val="both"/>
              <w:rPr>
                <w:rFonts w:ascii="Cambria" w:hAnsi="Cambria"/>
                <w:sz w:val="24"/>
                <w:szCs w:val="24"/>
              </w:rPr>
            </w:pPr>
          </w:p>
          <w:p w14:paraId="5173BC30" w14:textId="4E5D0939"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.806</w:t>
            </w:r>
          </w:p>
          <w:p w14:paraId="6237A307" w14:textId="77777777" w:rsidR="00A8623B" w:rsidRPr="001435A7" w:rsidRDefault="00A8623B" w:rsidP="00A8623B">
            <w:pPr>
              <w:spacing w:line="240" w:lineRule="auto"/>
              <w:jc w:val="both"/>
              <w:rPr>
                <w:rFonts w:ascii="Cambria" w:hAnsi="Cambria"/>
                <w:sz w:val="24"/>
                <w:szCs w:val="24"/>
              </w:rPr>
            </w:pPr>
          </w:p>
          <w:p w14:paraId="39F98C88" w14:textId="60075DA5"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.830</w:t>
            </w:r>
          </w:p>
        </w:tc>
        <w:tc>
          <w:tcPr>
            <w:tcW w:w="979" w:type="dxa"/>
          </w:tcPr>
          <w:p w14:paraId="47CC10D6" w14:textId="77777777" w:rsidR="00344D16" w:rsidRPr="001435A7" w:rsidRDefault="00344D16" w:rsidP="00344D16">
            <w:pPr>
              <w:spacing w:line="240" w:lineRule="auto"/>
              <w:jc w:val="both"/>
              <w:rPr>
                <w:rFonts w:ascii="Cambria" w:hAnsi="Cambria"/>
                <w:sz w:val="24"/>
                <w:szCs w:val="24"/>
              </w:rPr>
            </w:pPr>
            <w:r w:rsidRPr="001435A7">
              <w:rPr>
                <w:rFonts w:ascii="Cambria" w:hAnsi="Cambria"/>
                <w:sz w:val="24"/>
                <w:szCs w:val="24"/>
              </w:rPr>
              <w:t>0.792</w:t>
            </w:r>
          </w:p>
          <w:p w14:paraId="3C32E3AB" w14:textId="77777777" w:rsidR="00344D16" w:rsidRPr="001435A7" w:rsidRDefault="00344D16" w:rsidP="00344D16">
            <w:pPr>
              <w:spacing w:line="240" w:lineRule="auto"/>
              <w:jc w:val="both"/>
              <w:rPr>
                <w:rFonts w:ascii="Cambria" w:hAnsi="Cambria"/>
                <w:sz w:val="24"/>
                <w:szCs w:val="24"/>
              </w:rPr>
            </w:pPr>
          </w:p>
          <w:p w14:paraId="7AAEBDE7" w14:textId="6134A88C" w:rsidR="00344D16" w:rsidRPr="001435A7" w:rsidRDefault="00344D16" w:rsidP="00344D16">
            <w:pPr>
              <w:spacing w:line="240" w:lineRule="auto"/>
              <w:jc w:val="both"/>
              <w:rPr>
                <w:rFonts w:ascii="Cambria" w:hAnsi="Cambria"/>
                <w:sz w:val="24"/>
                <w:szCs w:val="24"/>
              </w:rPr>
            </w:pPr>
            <w:r w:rsidRPr="001435A7">
              <w:rPr>
                <w:rFonts w:ascii="Cambria" w:hAnsi="Cambria"/>
                <w:sz w:val="24"/>
                <w:szCs w:val="24"/>
              </w:rPr>
              <w:t>0.745</w:t>
            </w:r>
          </w:p>
          <w:p w14:paraId="5ED5743F" w14:textId="77777777" w:rsidR="00344D16" w:rsidRPr="001435A7" w:rsidRDefault="00344D16" w:rsidP="00344D16">
            <w:pPr>
              <w:spacing w:line="240" w:lineRule="auto"/>
              <w:jc w:val="both"/>
              <w:rPr>
                <w:rFonts w:ascii="Cambria" w:hAnsi="Cambria"/>
                <w:sz w:val="24"/>
                <w:szCs w:val="24"/>
              </w:rPr>
            </w:pPr>
          </w:p>
          <w:p w14:paraId="7BD162E3" w14:textId="0754E4AD" w:rsidR="00A8623B" w:rsidRPr="001435A7" w:rsidRDefault="00344D16" w:rsidP="00344D16">
            <w:pPr>
              <w:spacing w:line="240" w:lineRule="auto"/>
              <w:jc w:val="both"/>
              <w:rPr>
                <w:rFonts w:ascii="Cambria" w:hAnsi="Cambria"/>
                <w:sz w:val="24"/>
                <w:szCs w:val="24"/>
              </w:rPr>
            </w:pPr>
            <w:r w:rsidRPr="001435A7">
              <w:rPr>
                <w:rFonts w:ascii="Cambria" w:hAnsi="Cambria"/>
                <w:sz w:val="24"/>
                <w:szCs w:val="24"/>
              </w:rPr>
              <w:t>0.891</w:t>
            </w:r>
          </w:p>
        </w:tc>
      </w:tr>
      <w:tr w:rsidR="001435A7" w:rsidRPr="001435A7" w14:paraId="08DC2BD1" w14:textId="5B003516" w:rsidTr="00D0276E">
        <w:trPr>
          <w:trHeight w:val="233"/>
        </w:trPr>
        <w:tc>
          <w:tcPr>
            <w:tcW w:w="9054" w:type="dxa"/>
            <w:gridSpan w:val="3"/>
          </w:tcPr>
          <w:p w14:paraId="32017777" w14:textId="3A9C0954"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Normative influence</w:t>
            </w:r>
            <w:r w:rsidRPr="001435A7">
              <w:rPr>
                <w:rFonts w:ascii="Cambria" w:hAnsi="Cambria"/>
                <w:sz w:val="24"/>
                <w:szCs w:val="24"/>
              </w:rPr>
              <w:t xml:space="preserve"> (Li 2013) </w:t>
            </w:r>
            <w:r w:rsidRPr="001435A7">
              <w:rPr>
                <w:rFonts w:ascii="Cambria" w:hAnsi="Cambria" w:cstheme="minorHAnsi"/>
                <w:sz w:val="24"/>
                <w:szCs w:val="24"/>
              </w:rPr>
              <w:t xml:space="preserve">α = </w:t>
            </w:r>
            <w:r w:rsidRPr="001435A7">
              <w:rPr>
                <w:rFonts w:ascii="Cambria" w:hAnsi="Cambria" w:cs="Arial"/>
                <w:sz w:val="24"/>
                <w:szCs w:val="24"/>
              </w:rPr>
              <w:t>.861; CR=.90</w:t>
            </w:r>
          </w:p>
        </w:tc>
      </w:tr>
      <w:tr w:rsidR="001435A7" w:rsidRPr="001435A7" w14:paraId="146458C8" w14:textId="024732DA" w:rsidTr="00E85A32">
        <w:trPr>
          <w:trHeight w:val="1700"/>
        </w:trPr>
        <w:tc>
          <w:tcPr>
            <w:tcW w:w="7033" w:type="dxa"/>
          </w:tcPr>
          <w:p w14:paraId="01899CEA" w14:textId="65D1408B" w:rsidR="00A8623B" w:rsidRPr="001435A7" w:rsidRDefault="00A8623B" w:rsidP="00A8623B">
            <w:pPr>
              <w:tabs>
                <w:tab w:val="left" w:pos="7066"/>
              </w:tabs>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It is important what others think about the brand of coffee I drink</w:t>
            </w:r>
          </w:p>
          <w:p w14:paraId="17556206" w14:textId="404EBA4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I feel like I am similar to other people who are using the same brand of coffee as me</w:t>
            </w:r>
          </w:p>
          <w:p w14:paraId="419E4FAE" w14:textId="1A070D2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I would like to know whether using the advertised coffee brand makes a good impression on others</w:t>
            </w:r>
          </w:p>
          <w:p w14:paraId="7163A0D6" w14:textId="4D870732"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The brand of coffee I use depends on what others expect me to use</w:t>
            </w:r>
          </w:p>
          <w:p w14:paraId="161E1301" w14:textId="2B913D8F"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I achieve a sense of belongingness by using this brand of coffee</w:t>
            </w:r>
          </w:p>
        </w:tc>
        <w:tc>
          <w:tcPr>
            <w:tcW w:w="1042" w:type="dxa"/>
          </w:tcPr>
          <w:p w14:paraId="355C1A23"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.798</w:t>
            </w:r>
          </w:p>
          <w:p w14:paraId="296386F6"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.771</w:t>
            </w:r>
          </w:p>
          <w:p w14:paraId="17976466" w14:textId="77777777" w:rsidR="00B6375C" w:rsidRPr="001435A7" w:rsidRDefault="00B6375C" w:rsidP="00A8623B">
            <w:pPr>
              <w:spacing w:line="240" w:lineRule="auto"/>
              <w:jc w:val="both"/>
              <w:rPr>
                <w:rFonts w:ascii="Cambria" w:hAnsi="Cambria"/>
                <w:sz w:val="24"/>
                <w:szCs w:val="24"/>
              </w:rPr>
            </w:pPr>
          </w:p>
          <w:p w14:paraId="6A3D4177" w14:textId="22F47774"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.836</w:t>
            </w:r>
          </w:p>
          <w:p w14:paraId="6F9AF6F4" w14:textId="77777777" w:rsidR="00A8623B" w:rsidRPr="001435A7" w:rsidRDefault="00A8623B" w:rsidP="00A8623B">
            <w:pPr>
              <w:spacing w:line="240" w:lineRule="auto"/>
              <w:jc w:val="both"/>
              <w:rPr>
                <w:rFonts w:ascii="Cambria" w:hAnsi="Cambria"/>
                <w:sz w:val="24"/>
                <w:szCs w:val="24"/>
              </w:rPr>
            </w:pPr>
          </w:p>
          <w:p w14:paraId="4B05519D"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.814</w:t>
            </w:r>
          </w:p>
          <w:p w14:paraId="500A78E9" w14:textId="77777777" w:rsidR="00A75560" w:rsidRPr="001435A7" w:rsidRDefault="00A75560" w:rsidP="00A8623B">
            <w:pPr>
              <w:spacing w:line="240" w:lineRule="auto"/>
              <w:jc w:val="both"/>
              <w:rPr>
                <w:rFonts w:ascii="Cambria" w:hAnsi="Cambria"/>
                <w:sz w:val="24"/>
                <w:szCs w:val="24"/>
              </w:rPr>
            </w:pPr>
          </w:p>
          <w:p w14:paraId="1ACBB826" w14:textId="12793C49"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.790</w:t>
            </w:r>
          </w:p>
        </w:tc>
        <w:tc>
          <w:tcPr>
            <w:tcW w:w="979" w:type="dxa"/>
          </w:tcPr>
          <w:p w14:paraId="7EB30767" w14:textId="77777777" w:rsidR="00B6375C" w:rsidRPr="001435A7" w:rsidRDefault="00B6375C" w:rsidP="00B6375C">
            <w:pPr>
              <w:spacing w:line="240" w:lineRule="auto"/>
              <w:jc w:val="both"/>
              <w:rPr>
                <w:rFonts w:ascii="Cambria" w:hAnsi="Cambria"/>
                <w:sz w:val="24"/>
                <w:szCs w:val="24"/>
              </w:rPr>
            </w:pPr>
            <w:r w:rsidRPr="001435A7">
              <w:rPr>
                <w:rFonts w:ascii="Cambria" w:hAnsi="Cambria"/>
                <w:sz w:val="24"/>
                <w:szCs w:val="24"/>
              </w:rPr>
              <w:t>0.787</w:t>
            </w:r>
          </w:p>
          <w:p w14:paraId="352FF574" w14:textId="77777777" w:rsidR="00B6375C" w:rsidRPr="001435A7" w:rsidRDefault="00B6375C" w:rsidP="00B6375C">
            <w:pPr>
              <w:spacing w:line="240" w:lineRule="auto"/>
              <w:jc w:val="both"/>
              <w:rPr>
                <w:rFonts w:ascii="Cambria" w:hAnsi="Cambria"/>
                <w:sz w:val="24"/>
                <w:szCs w:val="24"/>
              </w:rPr>
            </w:pPr>
            <w:r w:rsidRPr="001435A7">
              <w:rPr>
                <w:rFonts w:ascii="Cambria" w:hAnsi="Cambria"/>
                <w:sz w:val="24"/>
                <w:szCs w:val="24"/>
              </w:rPr>
              <w:t>0.761</w:t>
            </w:r>
          </w:p>
          <w:p w14:paraId="2FB1F814" w14:textId="77777777" w:rsidR="00A75560" w:rsidRPr="001435A7" w:rsidRDefault="00A75560" w:rsidP="00B6375C">
            <w:pPr>
              <w:spacing w:line="240" w:lineRule="auto"/>
              <w:jc w:val="both"/>
              <w:rPr>
                <w:rFonts w:ascii="Cambria" w:hAnsi="Cambria"/>
                <w:sz w:val="24"/>
                <w:szCs w:val="24"/>
              </w:rPr>
            </w:pPr>
          </w:p>
          <w:p w14:paraId="0BE82083" w14:textId="3CCD6BEB" w:rsidR="00B6375C" w:rsidRPr="001435A7" w:rsidRDefault="00B6375C" w:rsidP="00B6375C">
            <w:pPr>
              <w:spacing w:line="240" w:lineRule="auto"/>
              <w:jc w:val="both"/>
              <w:rPr>
                <w:rFonts w:ascii="Cambria" w:hAnsi="Cambria"/>
                <w:sz w:val="24"/>
                <w:szCs w:val="24"/>
              </w:rPr>
            </w:pPr>
            <w:r w:rsidRPr="001435A7">
              <w:rPr>
                <w:rFonts w:ascii="Cambria" w:hAnsi="Cambria"/>
                <w:sz w:val="24"/>
                <w:szCs w:val="24"/>
              </w:rPr>
              <w:t>0.828</w:t>
            </w:r>
          </w:p>
          <w:p w14:paraId="280D73CB" w14:textId="77777777" w:rsidR="00A75560" w:rsidRPr="001435A7" w:rsidRDefault="00A75560" w:rsidP="00B6375C">
            <w:pPr>
              <w:spacing w:line="240" w:lineRule="auto"/>
              <w:jc w:val="both"/>
              <w:rPr>
                <w:rFonts w:ascii="Cambria" w:hAnsi="Cambria"/>
                <w:sz w:val="24"/>
                <w:szCs w:val="24"/>
              </w:rPr>
            </w:pPr>
          </w:p>
          <w:p w14:paraId="6333EBFF" w14:textId="5986EBB5" w:rsidR="00B6375C" w:rsidRPr="001435A7" w:rsidRDefault="00B6375C" w:rsidP="00B6375C">
            <w:pPr>
              <w:spacing w:line="240" w:lineRule="auto"/>
              <w:jc w:val="both"/>
              <w:rPr>
                <w:rFonts w:ascii="Cambria" w:hAnsi="Cambria"/>
                <w:sz w:val="24"/>
                <w:szCs w:val="24"/>
              </w:rPr>
            </w:pPr>
            <w:r w:rsidRPr="001435A7">
              <w:rPr>
                <w:rFonts w:ascii="Cambria" w:hAnsi="Cambria"/>
                <w:sz w:val="24"/>
                <w:szCs w:val="24"/>
              </w:rPr>
              <w:t>0.792</w:t>
            </w:r>
          </w:p>
          <w:p w14:paraId="11F77A88" w14:textId="77777777" w:rsidR="00A75560" w:rsidRPr="001435A7" w:rsidRDefault="00A75560" w:rsidP="00B6375C">
            <w:pPr>
              <w:spacing w:line="240" w:lineRule="auto"/>
              <w:jc w:val="both"/>
              <w:rPr>
                <w:rFonts w:ascii="Cambria" w:hAnsi="Cambria"/>
                <w:sz w:val="24"/>
                <w:szCs w:val="24"/>
              </w:rPr>
            </w:pPr>
          </w:p>
          <w:p w14:paraId="00769962" w14:textId="272001F2" w:rsidR="00A8623B" w:rsidRPr="001435A7" w:rsidRDefault="00B6375C" w:rsidP="00B6375C">
            <w:pPr>
              <w:spacing w:line="240" w:lineRule="auto"/>
              <w:jc w:val="both"/>
              <w:rPr>
                <w:rFonts w:ascii="Cambria" w:hAnsi="Cambria"/>
                <w:sz w:val="24"/>
                <w:szCs w:val="24"/>
              </w:rPr>
            </w:pPr>
            <w:r w:rsidRPr="001435A7">
              <w:rPr>
                <w:rFonts w:ascii="Cambria" w:hAnsi="Cambria"/>
                <w:sz w:val="24"/>
                <w:szCs w:val="24"/>
              </w:rPr>
              <w:t>0.832</w:t>
            </w:r>
          </w:p>
        </w:tc>
      </w:tr>
      <w:tr w:rsidR="001435A7" w:rsidRPr="001435A7" w14:paraId="28C1A86C" w14:textId="0BF46302" w:rsidTr="007368F3">
        <w:trPr>
          <w:trHeight w:val="260"/>
        </w:trPr>
        <w:tc>
          <w:tcPr>
            <w:tcW w:w="9054" w:type="dxa"/>
            <w:gridSpan w:val="3"/>
          </w:tcPr>
          <w:p w14:paraId="3986F208" w14:textId="1B16FF27"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Purchase intention</w:t>
            </w:r>
            <w:r w:rsidRPr="001435A7">
              <w:rPr>
                <w:rFonts w:ascii="Cambria" w:hAnsi="Cambria"/>
                <w:sz w:val="24"/>
                <w:szCs w:val="24"/>
              </w:rPr>
              <w:t xml:space="preserve"> (Chandran, and Morwitz 2005 and Manika et al 2017) </w:t>
            </w:r>
            <w:r w:rsidRPr="001435A7">
              <w:rPr>
                <w:rFonts w:ascii="Cambria" w:hAnsi="Cambria" w:cstheme="minorHAnsi"/>
                <w:sz w:val="24"/>
                <w:szCs w:val="24"/>
              </w:rPr>
              <w:t>α =</w:t>
            </w:r>
            <w:r w:rsidRPr="001435A7">
              <w:rPr>
                <w:rFonts w:ascii="Cambria" w:hAnsi="Cambria" w:cs="Arial"/>
                <w:sz w:val="24"/>
                <w:szCs w:val="24"/>
              </w:rPr>
              <w:t>.923</w:t>
            </w:r>
            <w:r w:rsidRPr="001435A7">
              <w:rPr>
                <w:rFonts w:ascii="Cambria" w:hAnsi="Cambria" w:cstheme="minorHAnsi"/>
                <w:sz w:val="24"/>
                <w:szCs w:val="24"/>
              </w:rPr>
              <w:t>; CR= .94</w:t>
            </w:r>
          </w:p>
        </w:tc>
      </w:tr>
      <w:tr w:rsidR="001435A7" w:rsidRPr="001435A7" w14:paraId="0C62DA33" w14:textId="333B11A0" w:rsidTr="00E85A32">
        <w:trPr>
          <w:trHeight w:val="416"/>
        </w:trPr>
        <w:tc>
          <w:tcPr>
            <w:tcW w:w="7033" w:type="dxa"/>
          </w:tcPr>
          <w:p w14:paraId="28670EE7" w14:textId="0B63D768"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Unlikely – Likely</w:t>
            </w:r>
          </w:p>
          <w:p w14:paraId="14B37B54" w14:textId="27D1FFD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Improbable – Probable</w:t>
            </w:r>
          </w:p>
          <w:p w14:paraId="448EFCF6" w14:textId="3BF0293D"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Impossible – Possible</w:t>
            </w:r>
          </w:p>
          <w:p w14:paraId="3C8B5317" w14:textId="504DF551"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Uncertain – Certain</w:t>
            </w:r>
          </w:p>
          <w:p w14:paraId="47FF7E82" w14:textId="07C0827E"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Definitely would –Definitely would NOT</w:t>
            </w:r>
          </w:p>
          <w:p w14:paraId="2FA5234F" w14:textId="4FB6383E"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6.</w:t>
            </w:r>
            <w:r w:rsidRPr="001435A7">
              <w:rPr>
                <w:rFonts w:ascii="Cambria" w:hAnsi="Cambria"/>
                <w:sz w:val="24"/>
                <w:szCs w:val="24"/>
              </w:rPr>
              <w:t xml:space="preserve"> No Chance – Certainly</w:t>
            </w:r>
          </w:p>
        </w:tc>
        <w:tc>
          <w:tcPr>
            <w:tcW w:w="1042" w:type="dxa"/>
          </w:tcPr>
          <w:p w14:paraId="587E1EB5"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.928</w:t>
            </w:r>
          </w:p>
          <w:p w14:paraId="796CDE78"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.937</w:t>
            </w:r>
          </w:p>
          <w:p w14:paraId="609F8C3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.870</w:t>
            </w:r>
          </w:p>
          <w:p w14:paraId="63D3061A"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.753</w:t>
            </w:r>
          </w:p>
          <w:p w14:paraId="319DF168"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.711</w:t>
            </w:r>
          </w:p>
          <w:p w14:paraId="6D485E9F" w14:textId="1342F415"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.897</w:t>
            </w:r>
          </w:p>
        </w:tc>
        <w:tc>
          <w:tcPr>
            <w:tcW w:w="979" w:type="dxa"/>
          </w:tcPr>
          <w:p w14:paraId="08004157" w14:textId="77777777" w:rsidR="006F4BD8" w:rsidRPr="001435A7" w:rsidRDefault="006F4BD8" w:rsidP="006F4BD8">
            <w:pPr>
              <w:spacing w:line="240" w:lineRule="auto"/>
              <w:jc w:val="both"/>
              <w:rPr>
                <w:rFonts w:ascii="Cambria" w:hAnsi="Cambria"/>
                <w:sz w:val="24"/>
                <w:szCs w:val="24"/>
              </w:rPr>
            </w:pPr>
            <w:r w:rsidRPr="001435A7">
              <w:rPr>
                <w:rFonts w:ascii="Cambria" w:hAnsi="Cambria"/>
                <w:sz w:val="24"/>
                <w:szCs w:val="24"/>
              </w:rPr>
              <w:t>0.929</w:t>
            </w:r>
          </w:p>
          <w:p w14:paraId="0CD75F54" w14:textId="77777777" w:rsidR="006F4BD8" w:rsidRPr="001435A7" w:rsidRDefault="006F4BD8" w:rsidP="006F4BD8">
            <w:pPr>
              <w:spacing w:line="240" w:lineRule="auto"/>
              <w:jc w:val="both"/>
              <w:rPr>
                <w:rFonts w:ascii="Cambria" w:hAnsi="Cambria"/>
                <w:sz w:val="24"/>
                <w:szCs w:val="24"/>
              </w:rPr>
            </w:pPr>
            <w:r w:rsidRPr="001435A7">
              <w:rPr>
                <w:rFonts w:ascii="Cambria" w:hAnsi="Cambria"/>
                <w:sz w:val="24"/>
                <w:szCs w:val="24"/>
              </w:rPr>
              <w:t>0.936</w:t>
            </w:r>
          </w:p>
          <w:p w14:paraId="3D70E040" w14:textId="77777777" w:rsidR="006F4BD8" w:rsidRPr="001435A7" w:rsidRDefault="006F4BD8" w:rsidP="006F4BD8">
            <w:pPr>
              <w:spacing w:line="240" w:lineRule="auto"/>
              <w:jc w:val="both"/>
              <w:rPr>
                <w:rFonts w:ascii="Cambria" w:hAnsi="Cambria"/>
                <w:sz w:val="24"/>
                <w:szCs w:val="24"/>
              </w:rPr>
            </w:pPr>
            <w:r w:rsidRPr="001435A7">
              <w:rPr>
                <w:rFonts w:ascii="Cambria" w:hAnsi="Cambria"/>
                <w:sz w:val="24"/>
                <w:szCs w:val="24"/>
              </w:rPr>
              <w:t>0.866</w:t>
            </w:r>
          </w:p>
          <w:p w14:paraId="2E57BCB6" w14:textId="77777777" w:rsidR="006F4BD8" w:rsidRPr="001435A7" w:rsidRDefault="006F4BD8" w:rsidP="006F4BD8">
            <w:pPr>
              <w:spacing w:line="240" w:lineRule="auto"/>
              <w:jc w:val="both"/>
              <w:rPr>
                <w:rFonts w:ascii="Cambria" w:hAnsi="Cambria"/>
                <w:sz w:val="24"/>
                <w:szCs w:val="24"/>
              </w:rPr>
            </w:pPr>
            <w:r w:rsidRPr="001435A7">
              <w:rPr>
                <w:rFonts w:ascii="Cambria" w:hAnsi="Cambria"/>
                <w:sz w:val="24"/>
                <w:szCs w:val="24"/>
              </w:rPr>
              <w:t>0.753</w:t>
            </w:r>
          </w:p>
          <w:p w14:paraId="76EF5433" w14:textId="77777777" w:rsidR="006F4BD8" w:rsidRPr="001435A7" w:rsidRDefault="006F4BD8" w:rsidP="006F4BD8">
            <w:pPr>
              <w:spacing w:line="240" w:lineRule="auto"/>
              <w:jc w:val="both"/>
              <w:rPr>
                <w:rFonts w:ascii="Cambria" w:hAnsi="Cambria"/>
                <w:sz w:val="24"/>
                <w:szCs w:val="24"/>
              </w:rPr>
            </w:pPr>
            <w:r w:rsidRPr="001435A7">
              <w:rPr>
                <w:rFonts w:ascii="Cambria" w:hAnsi="Cambria"/>
                <w:sz w:val="24"/>
                <w:szCs w:val="24"/>
              </w:rPr>
              <w:t>0.719</w:t>
            </w:r>
          </w:p>
          <w:p w14:paraId="7C1FFFB0" w14:textId="567E30AC" w:rsidR="00A8623B" w:rsidRPr="001435A7" w:rsidRDefault="006F4BD8" w:rsidP="006F4BD8">
            <w:pPr>
              <w:spacing w:line="240" w:lineRule="auto"/>
              <w:jc w:val="both"/>
              <w:rPr>
                <w:rFonts w:ascii="Cambria" w:hAnsi="Cambria"/>
                <w:sz w:val="24"/>
                <w:szCs w:val="24"/>
              </w:rPr>
            </w:pPr>
            <w:r w:rsidRPr="001435A7">
              <w:rPr>
                <w:rFonts w:ascii="Cambria" w:hAnsi="Cambria"/>
                <w:sz w:val="24"/>
                <w:szCs w:val="24"/>
              </w:rPr>
              <w:t>0.894</w:t>
            </w:r>
          </w:p>
        </w:tc>
      </w:tr>
      <w:tr w:rsidR="001435A7" w:rsidRPr="001435A7" w14:paraId="79DBA957" w14:textId="6B14C4EC" w:rsidTr="00194BA1">
        <w:trPr>
          <w:trHeight w:val="332"/>
        </w:trPr>
        <w:tc>
          <w:tcPr>
            <w:tcW w:w="9054" w:type="dxa"/>
            <w:gridSpan w:val="3"/>
          </w:tcPr>
          <w:p w14:paraId="16D375D7" w14:textId="55DBB35C"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Sustainable behaviour intention</w:t>
            </w:r>
            <w:r w:rsidRPr="001435A7">
              <w:rPr>
                <w:rFonts w:ascii="Cambria" w:hAnsi="Cambria"/>
                <w:sz w:val="24"/>
                <w:szCs w:val="24"/>
              </w:rPr>
              <w:t xml:space="preserve"> (Chandran, and Morwitz 2005</w:t>
            </w:r>
            <w:r w:rsidR="001D3EF7" w:rsidRPr="001435A7">
              <w:rPr>
                <w:rFonts w:ascii="Cambria" w:hAnsi="Cambria"/>
                <w:sz w:val="24"/>
                <w:szCs w:val="24"/>
              </w:rPr>
              <w:t xml:space="preserve">; </w:t>
            </w:r>
            <w:r w:rsidRPr="001435A7">
              <w:rPr>
                <w:rFonts w:ascii="Cambria" w:hAnsi="Cambria"/>
                <w:sz w:val="24"/>
                <w:szCs w:val="24"/>
              </w:rPr>
              <w:t xml:space="preserve">Manika et al 2017) </w:t>
            </w:r>
            <w:r w:rsidRPr="001435A7">
              <w:rPr>
                <w:rFonts w:ascii="Cambria" w:hAnsi="Cambria" w:cstheme="minorHAnsi"/>
                <w:sz w:val="24"/>
                <w:szCs w:val="24"/>
              </w:rPr>
              <w:t xml:space="preserve">α = </w:t>
            </w:r>
            <w:r w:rsidRPr="001435A7">
              <w:rPr>
                <w:rFonts w:ascii="Cambria" w:hAnsi="Cambria" w:cs="Arial"/>
                <w:sz w:val="24"/>
                <w:szCs w:val="24"/>
              </w:rPr>
              <w:t>.946; CR= .96</w:t>
            </w:r>
          </w:p>
        </w:tc>
      </w:tr>
      <w:tr w:rsidR="001435A7" w:rsidRPr="001435A7" w14:paraId="51AE66EC" w14:textId="46591940" w:rsidTr="00E85A32">
        <w:trPr>
          <w:trHeight w:val="1610"/>
        </w:trPr>
        <w:tc>
          <w:tcPr>
            <w:tcW w:w="7033" w:type="dxa"/>
          </w:tcPr>
          <w:p w14:paraId="7AFC5E18" w14:textId="3B073110"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xml:space="preserve"> Unlikely – Likely</w:t>
            </w:r>
          </w:p>
          <w:p w14:paraId="3EB2C9B6" w14:textId="619B495D"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xml:space="preserve"> Improbable – Probable</w:t>
            </w:r>
          </w:p>
          <w:p w14:paraId="6BF122DB" w14:textId="5522675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Impossible – Possible</w:t>
            </w:r>
          </w:p>
          <w:p w14:paraId="1CD3204D" w14:textId="2009D36B"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xml:space="preserve"> Uncertain – Certain</w:t>
            </w:r>
          </w:p>
          <w:p w14:paraId="6A8ADD72" w14:textId="0E533F31"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Definitely would –Definitely would NOT</w:t>
            </w:r>
          </w:p>
          <w:p w14:paraId="6C5E5672" w14:textId="3CCD86AD"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6.</w:t>
            </w:r>
            <w:r w:rsidRPr="001435A7">
              <w:rPr>
                <w:rFonts w:ascii="Cambria" w:hAnsi="Cambria"/>
                <w:sz w:val="24"/>
                <w:szCs w:val="24"/>
              </w:rPr>
              <w:t xml:space="preserve"> No Chance – Certainly</w:t>
            </w:r>
          </w:p>
        </w:tc>
        <w:tc>
          <w:tcPr>
            <w:tcW w:w="1042" w:type="dxa"/>
          </w:tcPr>
          <w:p w14:paraId="717B179E"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.935</w:t>
            </w:r>
          </w:p>
          <w:p w14:paraId="1A45ED2E"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.932</w:t>
            </w:r>
          </w:p>
          <w:p w14:paraId="07A8BD0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.905</w:t>
            </w:r>
          </w:p>
          <w:p w14:paraId="6F687BAC"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.891</w:t>
            </w:r>
          </w:p>
          <w:p w14:paraId="165D764A"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.740</w:t>
            </w:r>
          </w:p>
          <w:p w14:paraId="7A27532A" w14:textId="1A8FB1A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.917</w:t>
            </w:r>
          </w:p>
        </w:tc>
        <w:tc>
          <w:tcPr>
            <w:tcW w:w="979" w:type="dxa"/>
          </w:tcPr>
          <w:p w14:paraId="27F4B397" w14:textId="77777777" w:rsidR="00374974" w:rsidRPr="001435A7" w:rsidRDefault="00374974" w:rsidP="00374974">
            <w:pPr>
              <w:spacing w:line="240" w:lineRule="auto"/>
              <w:jc w:val="both"/>
              <w:rPr>
                <w:rFonts w:ascii="Cambria" w:hAnsi="Cambria"/>
                <w:sz w:val="24"/>
                <w:szCs w:val="24"/>
              </w:rPr>
            </w:pPr>
            <w:r w:rsidRPr="001435A7">
              <w:rPr>
                <w:rFonts w:ascii="Cambria" w:hAnsi="Cambria"/>
                <w:sz w:val="24"/>
                <w:szCs w:val="24"/>
              </w:rPr>
              <w:t>0.937</w:t>
            </w:r>
          </w:p>
          <w:p w14:paraId="719A65AB" w14:textId="77777777" w:rsidR="00374974" w:rsidRPr="001435A7" w:rsidRDefault="00374974" w:rsidP="00374974">
            <w:pPr>
              <w:spacing w:line="240" w:lineRule="auto"/>
              <w:jc w:val="both"/>
              <w:rPr>
                <w:rFonts w:ascii="Cambria" w:hAnsi="Cambria"/>
                <w:sz w:val="24"/>
                <w:szCs w:val="24"/>
              </w:rPr>
            </w:pPr>
            <w:r w:rsidRPr="001435A7">
              <w:rPr>
                <w:rFonts w:ascii="Cambria" w:hAnsi="Cambria"/>
                <w:sz w:val="24"/>
                <w:szCs w:val="24"/>
              </w:rPr>
              <w:t>0.935</w:t>
            </w:r>
          </w:p>
          <w:p w14:paraId="4B3B4BB4" w14:textId="77777777" w:rsidR="00374974" w:rsidRPr="001435A7" w:rsidRDefault="00374974" w:rsidP="00374974">
            <w:pPr>
              <w:spacing w:line="240" w:lineRule="auto"/>
              <w:jc w:val="both"/>
              <w:rPr>
                <w:rFonts w:ascii="Cambria" w:hAnsi="Cambria"/>
                <w:sz w:val="24"/>
                <w:szCs w:val="24"/>
              </w:rPr>
            </w:pPr>
            <w:r w:rsidRPr="001435A7">
              <w:rPr>
                <w:rFonts w:ascii="Cambria" w:hAnsi="Cambria"/>
                <w:sz w:val="24"/>
                <w:szCs w:val="24"/>
              </w:rPr>
              <w:t>0.906</w:t>
            </w:r>
          </w:p>
          <w:p w14:paraId="3CD41886" w14:textId="77777777" w:rsidR="00374974" w:rsidRPr="001435A7" w:rsidRDefault="00374974" w:rsidP="00374974">
            <w:pPr>
              <w:spacing w:line="240" w:lineRule="auto"/>
              <w:jc w:val="both"/>
              <w:rPr>
                <w:rFonts w:ascii="Cambria" w:hAnsi="Cambria"/>
                <w:sz w:val="24"/>
                <w:szCs w:val="24"/>
              </w:rPr>
            </w:pPr>
            <w:r w:rsidRPr="001435A7">
              <w:rPr>
                <w:rFonts w:ascii="Cambria" w:hAnsi="Cambria"/>
                <w:sz w:val="24"/>
                <w:szCs w:val="24"/>
              </w:rPr>
              <w:t>0.890</w:t>
            </w:r>
          </w:p>
          <w:p w14:paraId="2FBDA83E" w14:textId="77777777" w:rsidR="00374974" w:rsidRPr="001435A7" w:rsidRDefault="00374974" w:rsidP="00374974">
            <w:pPr>
              <w:spacing w:line="240" w:lineRule="auto"/>
              <w:jc w:val="both"/>
              <w:rPr>
                <w:rFonts w:ascii="Cambria" w:hAnsi="Cambria"/>
                <w:sz w:val="24"/>
                <w:szCs w:val="24"/>
              </w:rPr>
            </w:pPr>
            <w:r w:rsidRPr="001435A7">
              <w:rPr>
                <w:rFonts w:ascii="Cambria" w:hAnsi="Cambria"/>
                <w:sz w:val="24"/>
                <w:szCs w:val="24"/>
              </w:rPr>
              <w:t>0.733</w:t>
            </w:r>
          </w:p>
          <w:p w14:paraId="632A8856" w14:textId="19EC2B04" w:rsidR="00A8623B" w:rsidRPr="001435A7" w:rsidRDefault="00374974" w:rsidP="00374974">
            <w:pPr>
              <w:spacing w:line="240" w:lineRule="auto"/>
              <w:jc w:val="both"/>
              <w:rPr>
                <w:rFonts w:ascii="Cambria" w:hAnsi="Cambria"/>
                <w:sz w:val="24"/>
                <w:szCs w:val="24"/>
              </w:rPr>
            </w:pPr>
            <w:r w:rsidRPr="001435A7">
              <w:rPr>
                <w:rFonts w:ascii="Cambria" w:hAnsi="Cambria"/>
                <w:sz w:val="24"/>
                <w:szCs w:val="24"/>
              </w:rPr>
              <w:t>0.918</w:t>
            </w:r>
          </w:p>
        </w:tc>
      </w:tr>
      <w:tr w:rsidR="001435A7" w:rsidRPr="001435A7" w14:paraId="09A1D293" w14:textId="7AAA3834" w:rsidTr="003B16D7">
        <w:trPr>
          <w:trHeight w:val="332"/>
        </w:trPr>
        <w:tc>
          <w:tcPr>
            <w:tcW w:w="9054" w:type="dxa"/>
            <w:gridSpan w:val="3"/>
          </w:tcPr>
          <w:p w14:paraId="6F3B256A" w14:textId="3BCF1D14" w:rsidR="005C64AA" w:rsidRPr="001435A7" w:rsidRDefault="005C64AA" w:rsidP="00A8623B">
            <w:pPr>
              <w:spacing w:line="240" w:lineRule="auto"/>
              <w:jc w:val="both"/>
              <w:rPr>
                <w:rFonts w:ascii="Cambria" w:hAnsi="Cambria"/>
                <w:sz w:val="24"/>
                <w:szCs w:val="24"/>
              </w:rPr>
            </w:pPr>
            <w:r w:rsidRPr="001435A7">
              <w:rPr>
                <w:rFonts w:ascii="Cambria" w:hAnsi="Cambria"/>
                <w:b/>
                <w:bCs/>
                <w:sz w:val="24"/>
                <w:szCs w:val="24"/>
              </w:rPr>
              <w:t>Source expertise</w:t>
            </w:r>
            <w:r w:rsidRPr="001435A7">
              <w:rPr>
                <w:rFonts w:ascii="Cambria" w:hAnsi="Cambria"/>
                <w:sz w:val="24"/>
                <w:szCs w:val="24"/>
              </w:rPr>
              <w:t xml:space="preserve"> (Ohanian 1990) </w:t>
            </w:r>
            <w:r w:rsidRPr="001435A7">
              <w:rPr>
                <w:rFonts w:ascii="Cambria" w:hAnsi="Cambria" w:cstheme="minorHAnsi"/>
                <w:sz w:val="24"/>
                <w:szCs w:val="24"/>
              </w:rPr>
              <w:t>α =</w:t>
            </w:r>
            <w:r w:rsidRPr="001435A7">
              <w:rPr>
                <w:rFonts w:ascii="Cambria" w:hAnsi="Cambria" w:cs="Arial"/>
                <w:sz w:val="24"/>
                <w:szCs w:val="24"/>
              </w:rPr>
              <w:t>.950</w:t>
            </w:r>
            <w:r w:rsidRPr="001435A7">
              <w:rPr>
                <w:rFonts w:ascii="Cambria" w:hAnsi="Cambria" w:cstheme="minorHAnsi"/>
                <w:sz w:val="24"/>
                <w:szCs w:val="24"/>
              </w:rPr>
              <w:t xml:space="preserve"> ; CR=.96</w:t>
            </w:r>
          </w:p>
        </w:tc>
      </w:tr>
      <w:tr w:rsidR="00A8623B" w:rsidRPr="001435A7" w14:paraId="52DE80C4" w14:textId="7F23F462" w:rsidTr="00E85A32">
        <w:trPr>
          <w:trHeight w:val="1430"/>
        </w:trPr>
        <w:tc>
          <w:tcPr>
            <w:tcW w:w="7033" w:type="dxa"/>
          </w:tcPr>
          <w:p w14:paraId="2017FC6A" w14:textId="32C495F1"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1</w:t>
            </w:r>
            <w:r w:rsidRPr="001435A7">
              <w:rPr>
                <w:rFonts w:ascii="Cambria" w:hAnsi="Cambria"/>
                <w:sz w:val="24"/>
                <w:szCs w:val="24"/>
              </w:rPr>
              <w:t>. Expert—Not an expert</w:t>
            </w:r>
          </w:p>
          <w:p w14:paraId="533B2C06" w14:textId="2B64476E"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2</w:t>
            </w:r>
            <w:r w:rsidRPr="001435A7">
              <w:rPr>
                <w:rFonts w:ascii="Cambria" w:hAnsi="Cambria"/>
                <w:sz w:val="24"/>
                <w:szCs w:val="24"/>
              </w:rPr>
              <w:t>. Experienced—Inexperienced</w:t>
            </w:r>
          </w:p>
          <w:p w14:paraId="2014C0E4" w14:textId="76AFDA0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3.</w:t>
            </w:r>
            <w:r w:rsidRPr="001435A7">
              <w:rPr>
                <w:rFonts w:ascii="Cambria" w:hAnsi="Cambria"/>
                <w:sz w:val="24"/>
                <w:szCs w:val="24"/>
              </w:rPr>
              <w:t xml:space="preserve"> Knowledgeable—Unknowledgeable</w:t>
            </w:r>
          </w:p>
          <w:p w14:paraId="5738B515" w14:textId="6BEB5EAC"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4</w:t>
            </w:r>
            <w:r w:rsidRPr="001435A7">
              <w:rPr>
                <w:rFonts w:ascii="Cambria" w:hAnsi="Cambria"/>
                <w:sz w:val="24"/>
                <w:szCs w:val="24"/>
              </w:rPr>
              <w:t>. Qualified—Unqualified</w:t>
            </w:r>
          </w:p>
          <w:p w14:paraId="3587C0B2" w14:textId="1A40BC54" w:rsidR="00A8623B" w:rsidRPr="001435A7" w:rsidRDefault="00A8623B" w:rsidP="00A8623B">
            <w:pPr>
              <w:spacing w:line="240" w:lineRule="auto"/>
              <w:jc w:val="both"/>
              <w:rPr>
                <w:rFonts w:ascii="Cambria" w:hAnsi="Cambria"/>
                <w:sz w:val="24"/>
                <w:szCs w:val="24"/>
              </w:rPr>
            </w:pPr>
            <w:r w:rsidRPr="001435A7">
              <w:rPr>
                <w:rFonts w:ascii="Cambria" w:hAnsi="Cambria"/>
                <w:b/>
                <w:bCs/>
                <w:sz w:val="24"/>
                <w:szCs w:val="24"/>
              </w:rPr>
              <w:t>5.</w:t>
            </w:r>
            <w:r w:rsidRPr="001435A7">
              <w:rPr>
                <w:rFonts w:ascii="Cambria" w:hAnsi="Cambria"/>
                <w:sz w:val="24"/>
                <w:szCs w:val="24"/>
              </w:rPr>
              <w:t xml:space="preserve"> Skilled–Unskilled</w:t>
            </w:r>
          </w:p>
        </w:tc>
        <w:tc>
          <w:tcPr>
            <w:tcW w:w="1042" w:type="dxa"/>
          </w:tcPr>
          <w:p w14:paraId="5C1BED07"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.889</w:t>
            </w:r>
          </w:p>
          <w:p w14:paraId="36611783"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.935</w:t>
            </w:r>
          </w:p>
          <w:p w14:paraId="45CFBAA1"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.908</w:t>
            </w:r>
          </w:p>
          <w:p w14:paraId="4D379B9D" w14:textId="77777777"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.917</w:t>
            </w:r>
          </w:p>
          <w:p w14:paraId="33F82CE1" w14:textId="6959A9CE" w:rsidR="00A8623B" w:rsidRPr="001435A7" w:rsidRDefault="00A8623B" w:rsidP="00A8623B">
            <w:pPr>
              <w:spacing w:line="240" w:lineRule="auto"/>
              <w:jc w:val="both"/>
              <w:rPr>
                <w:rFonts w:ascii="Cambria" w:hAnsi="Cambria"/>
                <w:sz w:val="24"/>
                <w:szCs w:val="24"/>
              </w:rPr>
            </w:pPr>
            <w:r w:rsidRPr="001435A7">
              <w:rPr>
                <w:rFonts w:ascii="Cambria" w:hAnsi="Cambria"/>
                <w:sz w:val="24"/>
                <w:szCs w:val="24"/>
              </w:rPr>
              <w:t>.916</w:t>
            </w:r>
          </w:p>
        </w:tc>
        <w:tc>
          <w:tcPr>
            <w:tcW w:w="979" w:type="dxa"/>
          </w:tcPr>
          <w:p w14:paraId="1427A5B9" w14:textId="77777777" w:rsidR="00755DF9" w:rsidRPr="001435A7" w:rsidRDefault="00755DF9" w:rsidP="00755DF9">
            <w:pPr>
              <w:spacing w:line="240" w:lineRule="auto"/>
              <w:jc w:val="both"/>
              <w:rPr>
                <w:rFonts w:ascii="Cambria" w:hAnsi="Cambria"/>
                <w:sz w:val="24"/>
                <w:szCs w:val="24"/>
              </w:rPr>
            </w:pPr>
            <w:r w:rsidRPr="001435A7">
              <w:rPr>
                <w:rFonts w:ascii="Cambria" w:hAnsi="Cambria"/>
                <w:sz w:val="24"/>
                <w:szCs w:val="24"/>
              </w:rPr>
              <w:t>0.885</w:t>
            </w:r>
          </w:p>
          <w:p w14:paraId="500D695F" w14:textId="77777777" w:rsidR="00755DF9" w:rsidRPr="001435A7" w:rsidRDefault="00755DF9" w:rsidP="00755DF9">
            <w:pPr>
              <w:spacing w:line="240" w:lineRule="auto"/>
              <w:jc w:val="both"/>
              <w:rPr>
                <w:rFonts w:ascii="Cambria" w:hAnsi="Cambria"/>
                <w:sz w:val="24"/>
                <w:szCs w:val="24"/>
              </w:rPr>
            </w:pPr>
            <w:r w:rsidRPr="001435A7">
              <w:rPr>
                <w:rFonts w:ascii="Cambria" w:hAnsi="Cambria"/>
                <w:sz w:val="24"/>
                <w:szCs w:val="24"/>
              </w:rPr>
              <w:t>0.936</w:t>
            </w:r>
          </w:p>
          <w:p w14:paraId="2D904013" w14:textId="77777777" w:rsidR="00755DF9" w:rsidRPr="001435A7" w:rsidRDefault="00755DF9" w:rsidP="00755DF9">
            <w:pPr>
              <w:spacing w:line="240" w:lineRule="auto"/>
              <w:jc w:val="both"/>
              <w:rPr>
                <w:rFonts w:ascii="Cambria" w:hAnsi="Cambria"/>
                <w:sz w:val="24"/>
                <w:szCs w:val="24"/>
              </w:rPr>
            </w:pPr>
            <w:r w:rsidRPr="001435A7">
              <w:rPr>
                <w:rFonts w:ascii="Cambria" w:hAnsi="Cambria"/>
                <w:sz w:val="24"/>
                <w:szCs w:val="24"/>
              </w:rPr>
              <w:t>0.913</w:t>
            </w:r>
          </w:p>
          <w:p w14:paraId="11F6D539" w14:textId="77777777" w:rsidR="00755DF9" w:rsidRPr="001435A7" w:rsidRDefault="00755DF9" w:rsidP="00755DF9">
            <w:pPr>
              <w:spacing w:line="240" w:lineRule="auto"/>
              <w:jc w:val="both"/>
              <w:rPr>
                <w:rFonts w:ascii="Cambria" w:hAnsi="Cambria"/>
                <w:sz w:val="24"/>
                <w:szCs w:val="24"/>
              </w:rPr>
            </w:pPr>
            <w:r w:rsidRPr="001435A7">
              <w:rPr>
                <w:rFonts w:ascii="Cambria" w:hAnsi="Cambria"/>
                <w:sz w:val="24"/>
                <w:szCs w:val="24"/>
              </w:rPr>
              <w:t>0.914</w:t>
            </w:r>
          </w:p>
          <w:p w14:paraId="21635AD9" w14:textId="455EA7A6" w:rsidR="00A8623B" w:rsidRPr="001435A7" w:rsidRDefault="00755DF9" w:rsidP="00755DF9">
            <w:pPr>
              <w:spacing w:line="240" w:lineRule="auto"/>
              <w:jc w:val="both"/>
              <w:rPr>
                <w:rFonts w:ascii="Cambria" w:hAnsi="Cambria"/>
                <w:sz w:val="24"/>
                <w:szCs w:val="24"/>
              </w:rPr>
            </w:pPr>
            <w:r w:rsidRPr="001435A7">
              <w:rPr>
                <w:rFonts w:ascii="Cambria" w:hAnsi="Cambria"/>
                <w:sz w:val="24"/>
                <w:szCs w:val="24"/>
              </w:rPr>
              <w:t>0.917</w:t>
            </w:r>
          </w:p>
        </w:tc>
      </w:tr>
    </w:tbl>
    <w:p w14:paraId="744A6438" w14:textId="77777777" w:rsidR="006C313D" w:rsidRPr="001435A7" w:rsidRDefault="006C313D" w:rsidP="006C313D">
      <w:pPr>
        <w:spacing w:line="360" w:lineRule="auto"/>
        <w:rPr>
          <w:rFonts w:ascii="Cambria" w:hAnsi="Cambria"/>
          <w:sz w:val="24"/>
          <w:szCs w:val="24"/>
        </w:rPr>
      </w:pPr>
    </w:p>
    <w:p w14:paraId="577B9D1E" w14:textId="51428906" w:rsidR="00FC3C5A" w:rsidRPr="001435A7" w:rsidRDefault="004C1D2D" w:rsidP="00ED1894">
      <w:pPr>
        <w:spacing w:line="360" w:lineRule="auto"/>
        <w:jc w:val="both"/>
        <w:rPr>
          <w:rFonts w:ascii="Cambria" w:hAnsi="Cambria"/>
          <w:sz w:val="24"/>
          <w:szCs w:val="24"/>
        </w:rPr>
      </w:pPr>
      <w:r>
        <w:rPr>
          <w:rFonts w:ascii="Cambria" w:hAnsi="Cambria" w:cs="Times New Roman"/>
          <w:sz w:val="24"/>
          <w:szCs w:val="24"/>
        </w:rPr>
        <w:t>S</w:t>
      </w:r>
      <w:r w:rsidR="00000E1A" w:rsidRPr="001435A7">
        <w:rPr>
          <w:rFonts w:ascii="Cambria" w:hAnsi="Cambria" w:cs="Times New Roman"/>
          <w:sz w:val="24"/>
          <w:szCs w:val="24"/>
        </w:rPr>
        <w:t xml:space="preserve">atisfactory </w:t>
      </w:r>
      <w:r w:rsidR="00B54F53" w:rsidRPr="001435A7">
        <w:rPr>
          <w:rFonts w:ascii="Cambria" w:hAnsi="Cambria" w:cstheme="minorHAnsi"/>
          <w:sz w:val="24"/>
          <w:szCs w:val="24"/>
        </w:rPr>
        <w:t>α</w:t>
      </w:r>
      <w:r w:rsidR="00B54F53" w:rsidRPr="001435A7">
        <w:rPr>
          <w:rFonts w:ascii="Cambria" w:hAnsi="Cambria"/>
          <w:sz w:val="24"/>
          <w:szCs w:val="24"/>
        </w:rPr>
        <w:t xml:space="preserve"> and CR</w:t>
      </w:r>
      <w:r w:rsidR="00000E1A" w:rsidRPr="001435A7">
        <w:rPr>
          <w:rFonts w:ascii="Cambria" w:hAnsi="Cambria"/>
          <w:sz w:val="24"/>
          <w:szCs w:val="24"/>
        </w:rPr>
        <w:t xml:space="preserve"> value was also </w:t>
      </w:r>
      <w:r w:rsidR="008A329A" w:rsidRPr="001435A7">
        <w:rPr>
          <w:rFonts w:ascii="Cambria" w:hAnsi="Cambria"/>
          <w:sz w:val="24"/>
          <w:szCs w:val="24"/>
        </w:rPr>
        <w:t>found for</w:t>
      </w:r>
      <w:r w:rsidR="004C1E08" w:rsidRPr="001435A7">
        <w:rPr>
          <w:rFonts w:ascii="Cambria" w:hAnsi="Cambria"/>
          <w:sz w:val="24"/>
          <w:szCs w:val="24"/>
        </w:rPr>
        <w:t xml:space="preserve"> February and April sample</w:t>
      </w:r>
      <w:r w:rsidR="008A329A" w:rsidRPr="001435A7">
        <w:rPr>
          <w:rFonts w:ascii="Cambria" w:hAnsi="Cambria"/>
          <w:sz w:val="24"/>
          <w:szCs w:val="24"/>
        </w:rPr>
        <w:t xml:space="preserve"> showing high </w:t>
      </w:r>
      <w:r w:rsidR="00ED1894" w:rsidRPr="001435A7">
        <w:rPr>
          <w:rFonts w:ascii="Cambria" w:hAnsi="Cambria"/>
          <w:sz w:val="24"/>
          <w:szCs w:val="24"/>
        </w:rPr>
        <w:t xml:space="preserve"> </w:t>
      </w:r>
      <w:r w:rsidR="00C63A11" w:rsidRPr="001435A7">
        <w:rPr>
          <w:rFonts w:ascii="Cambria" w:hAnsi="Cambria" w:cs="Times New Roman"/>
          <w:sz w:val="24"/>
          <w:szCs w:val="24"/>
        </w:rPr>
        <w:t>level of reliability and convergent validity</w:t>
      </w:r>
      <w:r w:rsidR="00C63A11" w:rsidRPr="001435A7">
        <w:rPr>
          <w:rFonts w:ascii="Cambria" w:hAnsi="Cambria"/>
          <w:sz w:val="24"/>
          <w:szCs w:val="24"/>
        </w:rPr>
        <w:t xml:space="preserve"> </w:t>
      </w:r>
      <w:r w:rsidR="00ED1894" w:rsidRPr="001435A7">
        <w:rPr>
          <w:rFonts w:ascii="Cambria" w:hAnsi="Cambria"/>
          <w:sz w:val="24"/>
          <w:szCs w:val="24"/>
        </w:rPr>
        <w:t>(Appendix 3.</w:t>
      </w:r>
      <w:r w:rsidR="00D470E9">
        <w:rPr>
          <w:rFonts w:ascii="Cambria" w:hAnsi="Cambria"/>
          <w:sz w:val="24"/>
          <w:szCs w:val="24"/>
        </w:rPr>
        <w:t>6</w:t>
      </w:r>
      <w:r w:rsidR="00ED1894" w:rsidRPr="001435A7">
        <w:rPr>
          <w:rFonts w:ascii="Cambria" w:hAnsi="Cambria"/>
          <w:sz w:val="24"/>
          <w:szCs w:val="24"/>
        </w:rPr>
        <w:t>)</w:t>
      </w:r>
      <w:r w:rsidR="004C1E08" w:rsidRPr="001435A7">
        <w:rPr>
          <w:rFonts w:ascii="Cambria" w:hAnsi="Cambria"/>
          <w:sz w:val="24"/>
          <w:szCs w:val="24"/>
        </w:rPr>
        <w:t xml:space="preserve">. </w:t>
      </w:r>
      <w:r w:rsidR="00371DE7">
        <w:rPr>
          <w:rFonts w:ascii="Cambria" w:hAnsi="Cambria"/>
          <w:sz w:val="24"/>
          <w:szCs w:val="24"/>
        </w:rPr>
        <w:t xml:space="preserve">This is also true for EFA </w:t>
      </w:r>
      <w:r w:rsidR="00BF74C9">
        <w:rPr>
          <w:rFonts w:ascii="Cambria" w:hAnsi="Cambria"/>
          <w:sz w:val="24"/>
          <w:szCs w:val="24"/>
        </w:rPr>
        <w:t xml:space="preserve">for </w:t>
      </w:r>
      <w:r w:rsidR="00BF74C9" w:rsidRPr="001435A7">
        <w:rPr>
          <w:rFonts w:ascii="Cambria" w:hAnsi="Cambria"/>
          <w:sz w:val="24"/>
          <w:szCs w:val="24"/>
        </w:rPr>
        <w:t>February and April sample</w:t>
      </w:r>
      <w:r w:rsidR="00BF74C9">
        <w:rPr>
          <w:rFonts w:ascii="Cambria" w:hAnsi="Cambria"/>
          <w:sz w:val="24"/>
          <w:szCs w:val="24"/>
        </w:rPr>
        <w:t xml:space="preserve"> (Appendix 3.5) </w:t>
      </w:r>
    </w:p>
    <w:p w14:paraId="5CF66345" w14:textId="26A970C5" w:rsidR="00641912" w:rsidRPr="001435A7" w:rsidRDefault="00923D9C" w:rsidP="00ED1894">
      <w:pPr>
        <w:spacing w:line="360" w:lineRule="auto"/>
        <w:jc w:val="both"/>
        <w:rPr>
          <w:rFonts w:ascii="Cambria" w:hAnsi="Cambria" w:cs="Times New Roman"/>
          <w:sz w:val="24"/>
          <w:szCs w:val="24"/>
        </w:rPr>
      </w:pPr>
      <w:r w:rsidRPr="001435A7">
        <w:rPr>
          <w:rFonts w:ascii="Cambria" w:hAnsi="Cambria" w:cs="Times New Roman"/>
          <w:sz w:val="24"/>
          <w:szCs w:val="24"/>
        </w:rPr>
        <w:t xml:space="preserve">In </w:t>
      </w:r>
      <w:r w:rsidR="00867723" w:rsidRPr="001435A7">
        <w:rPr>
          <w:rFonts w:ascii="Cambria" w:hAnsi="Cambria" w:cs="Times New Roman"/>
          <w:sz w:val="24"/>
          <w:szCs w:val="24"/>
        </w:rPr>
        <w:t>Table 1</w:t>
      </w:r>
      <w:r w:rsidR="00117FE0" w:rsidRPr="001435A7">
        <w:rPr>
          <w:rFonts w:ascii="Cambria" w:hAnsi="Cambria" w:cs="Times New Roman"/>
          <w:sz w:val="24"/>
          <w:szCs w:val="24"/>
        </w:rPr>
        <w:t>6</w:t>
      </w:r>
      <w:r w:rsidRPr="001435A7">
        <w:rPr>
          <w:rFonts w:ascii="Cambria" w:hAnsi="Cambria" w:cs="Times New Roman"/>
          <w:sz w:val="24"/>
          <w:szCs w:val="24"/>
        </w:rPr>
        <w:t>, it can be observed through</w:t>
      </w:r>
      <w:r w:rsidR="00867723" w:rsidRPr="001435A7">
        <w:rPr>
          <w:rFonts w:ascii="Cambria" w:hAnsi="Cambria" w:cs="Times New Roman"/>
          <w:sz w:val="24"/>
          <w:szCs w:val="24"/>
        </w:rPr>
        <w:t xml:space="preserve"> </w:t>
      </w:r>
      <w:r w:rsidR="004D2467" w:rsidRPr="001435A7">
        <w:rPr>
          <w:rFonts w:ascii="Cambria" w:hAnsi="Cambria" w:cs="Times New Roman"/>
          <w:sz w:val="24"/>
          <w:szCs w:val="24"/>
        </w:rPr>
        <w:t xml:space="preserve">satisfied </w:t>
      </w:r>
      <w:r w:rsidRPr="001435A7">
        <w:rPr>
          <w:rFonts w:ascii="Cambria" w:hAnsi="Cambria" w:cs="Times New Roman"/>
          <w:sz w:val="24"/>
          <w:szCs w:val="24"/>
        </w:rPr>
        <w:t>F</w:t>
      </w:r>
      <w:r w:rsidR="00766018" w:rsidRPr="001435A7">
        <w:rPr>
          <w:rFonts w:ascii="Cambria" w:hAnsi="Cambria" w:cs="Times New Roman"/>
          <w:sz w:val="24"/>
          <w:szCs w:val="24"/>
        </w:rPr>
        <w:t>ornell-Larcker criterion</w:t>
      </w:r>
      <w:r w:rsidR="00092D60" w:rsidRPr="001435A7">
        <w:rPr>
          <w:rFonts w:ascii="Cambria" w:hAnsi="Cambria" w:cs="Times New Roman"/>
          <w:sz w:val="24"/>
          <w:szCs w:val="24"/>
        </w:rPr>
        <w:t xml:space="preserve"> and can be stated</w:t>
      </w:r>
      <w:r w:rsidR="00053C2C" w:rsidRPr="001435A7">
        <w:rPr>
          <w:rFonts w:ascii="Cambria" w:hAnsi="Cambria" w:cs="Times New Roman"/>
          <w:sz w:val="24"/>
          <w:szCs w:val="24"/>
        </w:rPr>
        <w:t xml:space="preserve"> </w:t>
      </w:r>
      <w:r w:rsidRPr="001435A7">
        <w:rPr>
          <w:rFonts w:ascii="Cambria" w:hAnsi="Cambria" w:cs="Times New Roman"/>
          <w:sz w:val="24"/>
          <w:szCs w:val="24"/>
        </w:rPr>
        <w:t xml:space="preserve">that all of the </w:t>
      </w:r>
      <w:r w:rsidR="004913F5" w:rsidRPr="001435A7">
        <w:rPr>
          <w:rFonts w:ascii="Cambria" w:hAnsi="Cambria" w:cs="Times New Roman"/>
          <w:sz w:val="24"/>
          <w:szCs w:val="24"/>
        </w:rPr>
        <w:t>constructs are having discriminant validity</w:t>
      </w:r>
      <w:r w:rsidR="00092D60" w:rsidRPr="001435A7">
        <w:rPr>
          <w:rFonts w:ascii="Cambria" w:hAnsi="Cambria" w:cs="Times New Roman"/>
          <w:sz w:val="24"/>
          <w:szCs w:val="24"/>
        </w:rPr>
        <w:t>. Table 1</w:t>
      </w:r>
      <w:r w:rsidR="00117FE0" w:rsidRPr="001435A7">
        <w:rPr>
          <w:rFonts w:ascii="Cambria" w:hAnsi="Cambria" w:cs="Times New Roman"/>
          <w:sz w:val="24"/>
          <w:szCs w:val="24"/>
        </w:rPr>
        <w:t>6</w:t>
      </w:r>
      <w:r w:rsidR="00092D60" w:rsidRPr="001435A7">
        <w:rPr>
          <w:rFonts w:ascii="Cambria" w:hAnsi="Cambria" w:cs="Times New Roman"/>
          <w:sz w:val="24"/>
          <w:szCs w:val="24"/>
        </w:rPr>
        <w:t xml:space="preserve"> shows that the value is highest </w:t>
      </w:r>
      <w:r w:rsidR="00752104" w:rsidRPr="001435A7">
        <w:rPr>
          <w:rFonts w:ascii="Cambria" w:hAnsi="Cambria" w:cs="Times New Roman"/>
          <w:sz w:val="24"/>
          <w:szCs w:val="24"/>
        </w:rPr>
        <w:t xml:space="preserve">in </w:t>
      </w:r>
      <w:r w:rsidR="00C148BC" w:rsidRPr="001435A7">
        <w:rPr>
          <w:rFonts w:ascii="Cambria" w:hAnsi="Cambria" w:cs="Times New Roman"/>
          <w:sz w:val="24"/>
          <w:szCs w:val="24"/>
        </w:rPr>
        <w:t>each corresponding con</w:t>
      </w:r>
      <w:r w:rsidR="00C044AD" w:rsidRPr="001435A7">
        <w:rPr>
          <w:rFonts w:ascii="Cambria" w:hAnsi="Cambria" w:cs="Times New Roman"/>
          <w:sz w:val="24"/>
          <w:szCs w:val="24"/>
        </w:rPr>
        <w:t>s</w:t>
      </w:r>
      <w:r w:rsidR="00C148BC" w:rsidRPr="001435A7">
        <w:rPr>
          <w:rFonts w:ascii="Cambria" w:hAnsi="Cambria" w:cs="Times New Roman"/>
          <w:sz w:val="24"/>
          <w:szCs w:val="24"/>
        </w:rPr>
        <w:t xml:space="preserve">truct </w:t>
      </w:r>
      <w:r w:rsidR="00C044AD" w:rsidRPr="001435A7">
        <w:rPr>
          <w:rFonts w:ascii="Cambria" w:hAnsi="Cambria" w:cs="Times New Roman"/>
          <w:sz w:val="24"/>
          <w:szCs w:val="24"/>
        </w:rPr>
        <w:t xml:space="preserve">compared to other constructs of the </w:t>
      </w:r>
      <w:r w:rsidR="002647F9" w:rsidRPr="001435A7">
        <w:rPr>
          <w:rFonts w:ascii="Cambria" w:hAnsi="Cambria" w:cs="Times New Roman"/>
          <w:sz w:val="24"/>
          <w:szCs w:val="24"/>
        </w:rPr>
        <w:t>row.</w:t>
      </w:r>
      <w:r w:rsidR="00C4136F" w:rsidRPr="001435A7">
        <w:rPr>
          <w:rFonts w:ascii="Cambria" w:hAnsi="Cambria" w:cs="Times New Roman"/>
          <w:sz w:val="24"/>
          <w:szCs w:val="24"/>
        </w:rPr>
        <w:t xml:space="preserve"> </w:t>
      </w:r>
      <w:r w:rsidR="00F70294" w:rsidRPr="001435A7">
        <w:rPr>
          <w:rFonts w:ascii="Cambria" w:hAnsi="Cambria" w:cs="Times New Roman"/>
          <w:sz w:val="24"/>
          <w:szCs w:val="24"/>
        </w:rPr>
        <w:t>Point to be noted</w:t>
      </w:r>
      <w:r w:rsidR="001D652C" w:rsidRPr="001435A7">
        <w:rPr>
          <w:rFonts w:ascii="Cambria" w:hAnsi="Cambria" w:cs="Times New Roman"/>
          <w:sz w:val="24"/>
          <w:szCs w:val="24"/>
        </w:rPr>
        <w:t xml:space="preserve">, </w:t>
      </w:r>
      <w:r w:rsidR="00F8750C" w:rsidRPr="001435A7">
        <w:rPr>
          <w:rFonts w:ascii="Cambria" w:hAnsi="Cambria" w:cs="Times New Roman"/>
          <w:sz w:val="24"/>
          <w:szCs w:val="24"/>
        </w:rPr>
        <w:t xml:space="preserve">discriminant validity has been measured through </w:t>
      </w:r>
      <w:r w:rsidR="00B758E1" w:rsidRPr="001435A7">
        <w:rPr>
          <w:rFonts w:ascii="Cambria" w:hAnsi="Cambria" w:cs="Times New Roman"/>
          <w:sz w:val="24"/>
          <w:szCs w:val="24"/>
        </w:rPr>
        <w:t>SMART-PLS</w:t>
      </w:r>
      <w:r w:rsidR="003217C7" w:rsidRPr="001435A7">
        <w:rPr>
          <w:rFonts w:ascii="Cambria" w:hAnsi="Cambria" w:cs="Times New Roman"/>
          <w:sz w:val="24"/>
          <w:szCs w:val="24"/>
        </w:rPr>
        <w:t xml:space="preserve">. This software requires </w:t>
      </w:r>
      <w:r w:rsidR="000E0E25" w:rsidRPr="001435A7">
        <w:rPr>
          <w:rFonts w:ascii="Cambria" w:hAnsi="Cambria" w:cs="Times New Roman"/>
          <w:sz w:val="24"/>
          <w:szCs w:val="24"/>
        </w:rPr>
        <w:t xml:space="preserve">a second order construct SCV, </w:t>
      </w:r>
      <w:r w:rsidR="00B758E1" w:rsidRPr="001435A7">
        <w:rPr>
          <w:rFonts w:ascii="Cambria" w:hAnsi="Cambria" w:cs="Times New Roman"/>
          <w:sz w:val="24"/>
          <w:szCs w:val="24"/>
        </w:rPr>
        <w:t xml:space="preserve">to </w:t>
      </w:r>
      <w:r w:rsidR="0032466E" w:rsidRPr="001435A7">
        <w:rPr>
          <w:rFonts w:ascii="Cambria" w:hAnsi="Cambria" w:cs="Times New Roman"/>
          <w:sz w:val="24"/>
          <w:szCs w:val="24"/>
        </w:rPr>
        <w:t xml:space="preserve">attach the items of </w:t>
      </w:r>
      <w:r w:rsidR="00F4058A" w:rsidRPr="001435A7">
        <w:rPr>
          <w:rFonts w:ascii="Cambria" w:hAnsi="Cambria" w:cs="Times New Roman"/>
          <w:sz w:val="24"/>
          <w:szCs w:val="24"/>
        </w:rPr>
        <w:t xml:space="preserve">it’s </w:t>
      </w:r>
      <w:r w:rsidR="0032466E" w:rsidRPr="001435A7">
        <w:rPr>
          <w:rFonts w:ascii="Cambria" w:hAnsi="Cambria" w:cs="Times New Roman"/>
          <w:sz w:val="24"/>
          <w:szCs w:val="24"/>
        </w:rPr>
        <w:t xml:space="preserve">all </w:t>
      </w:r>
      <w:r w:rsidR="00142EF0" w:rsidRPr="001435A7">
        <w:rPr>
          <w:rFonts w:ascii="Cambria" w:hAnsi="Cambria" w:cs="Times New Roman"/>
          <w:sz w:val="24"/>
          <w:szCs w:val="24"/>
        </w:rPr>
        <w:t xml:space="preserve">sub-constructs (Image </w:t>
      </w:r>
      <w:r w:rsidR="00A71F82" w:rsidRPr="001435A7">
        <w:rPr>
          <w:rFonts w:ascii="Cambria" w:hAnsi="Cambria" w:cs="Times New Roman"/>
          <w:sz w:val="24"/>
          <w:szCs w:val="24"/>
        </w:rPr>
        <w:t xml:space="preserve">quality, engrossment, </w:t>
      </w:r>
      <w:r w:rsidR="00BB5549" w:rsidRPr="001435A7">
        <w:rPr>
          <w:rFonts w:ascii="Cambria" w:hAnsi="Cambria" w:cs="Times New Roman"/>
          <w:sz w:val="24"/>
          <w:szCs w:val="24"/>
        </w:rPr>
        <w:t>Self-projection</w:t>
      </w:r>
      <w:r w:rsidR="00D63EB4" w:rsidRPr="001435A7">
        <w:rPr>
          <w:rFonts w:ascii="Cambria" w:hAnsi="Cambria" w:cs="Times New Roman"/>
          <w:sz w:val="24"/>
          <w:szCs w:val="24"/>
        </w:rPr>
        <w:t xml:space="preserve"> and</w:t>
      </w:r>
      <w:r w:rsidR="00BB5549" w:rsidRPr="001435A7">
        <w:rPr>
          <w:rFonts w:ascii="Cambria" w:hAnsi="Cambria" w:cs="Times New Roman"/>
          <w:sz w:val="24"/>
          <w:szCs w:val="24"/>
        </w:rPr>
        <w:t xml:space="preserve"> </w:t>
      </w:r>
      <w:r w:rsidR="001E7A82" w:rsidRPr="001435A7">
        <w:rPr>
          <w:rFonts w:ascii="Cambria" w:hAnsi="Cambria" w:cs="Times New Roman"/>
          <w:sz w:val="24"/>
          <w:szCs w:val="24"/>
        </w:rPr>
        <w:t xml:space="preserve">Mental </w:t>
      </w:r>
      <w:r w:rsidR="00F66392" w:rsidRPr="001435A7">
        <w:rPr>
          <w:rFonts w:ascii="Cambria" w:hAnsi="Cambria" w:cs="Times New Roman"/>
          <w:sz w:val="24"/>
          <w:szCs w:val="24"/>
        </w:rPr>
        <w:t>f</w:t>
      </w:r>
      <w:r w:rsidR="00BB5549" w:rsidRPr="001435A7">
        <w:rPr>
          <w:rFonts w:ascii="Cambria" w:hAnsi="Cambria" w:cs="Times New Roman"/>
          <w:sz w:val="24"/>
          <w:szCs w:val="24"/>
        </w:rPr>
        <w:t>luency</w:t>
      </w:r>
      <w:r w:rsidR="00142EF0" w:rsidRPr="001435A7">
        <w:rPr>
          <w:rFonts w:ascii="Cambria" w:hAnsi="Cambria" w:cs="Times New Roman"/>
          <w:sz w:val="24"/>
          <w:szCs w:val="24"/>
        </w:rPr>
        <w:t>)</w:t>
      </w:r>
      <w:r w:rsidR="007A5445" w:rsidRPr="001435A7">
        <w:rPr>
          <w:rFonts w:ascii="Cambria" w:hAnsi="Cambria" w:cs="Times New Roman"/>
          <w:sz w:val="24"/>
          <w:szCs w:val="24"/>
        </w:rPr>
        <w:t xml:space="preserve"> </w:t>
      </w:r>
      <w:r w:rsidR="005502C6" w:rsidRPr="001435A7">
        <w:rPr>
          <w:rFonts w:ascii="Cambria" w:hAnsi="Cambria" w:cs="Times New Roman"/>
          <w:sz w:val="24"/>
          <w:szCs w:val="24"/>
        </w:rPr>
        <w:t>with it</w:t>
      </w:r>
      <w:r w:rsidR="003217C7" w:rsidRPr="001435A7">
        <w:rPr>
          <w:rFonts w:ascii="Cambria" w:hAnsi="Cambria" w:cs="Times New Roman"/>
          <w:sz w:val="24"/>
          <w:szCs w:val="24"/>
        </w:rPr>
        <w:t xml:space="preserve">. </w:t>
      </w:r>
      <w:r w:rsidR="005502C6" w:rsidRPr="001435A7">
        <w:rPr>
          <w:rFonts w:ascii="Cambria" w:hAnsi="Cambria" w:cs="Times New Roman"/>
          <w:sz w:val="24"/>
          <w:szCs w:val="24"/>
        </w:rPr>
        <w:t>That is the reason table 1</w:t>
      </w:r>
      <w:r w:rsidR="004E6B57">
        <w:rPr>
          <w:rFonts w:ascii="Cambria" w:hAnsi="Cambria" w:cs="Times New Roman"/>
          <w:sz w:val="24"/>
          <w:szCs w:val="24"/>
        </w:rPr>
        <w:t>6</w:t>
      </w:r>
      <w:r w:rsidR="005502C6" w:rsidRPr="001435A7">
        <w:rPr>
          <w:rFonts w:ascii="Cambria" w:hAnsi="Cambria" w:cs="Times New Roman"/>
          <w:sz w:val="24"/>
          <w:szCs w:val="24"/>
        </w:rPr>
        <w:t xml:space="preserve"> is also showing the </w:t>
      </w:r>
      <w:r w:rsidR="00B21039" w:rsidRPr="001435A7">
        <w:rPr>
          <w:rFonts w:ascii="Cambria" w:hAnsi="Cambria" w:cs="Times New Roman"/>
          <w:sz w:val="24"/>
          <w:szCs w:val="24"/>
        </w:rPr>
        <w:t xml:space="preserve">discriminant </w:t>
      </w:r>
      <w:r w:rsidR="0007321A" w:rsidRPr="001435A7">
        <w:rPr>
          <w:rFonts w:ascii="Cambria" w:hAnsi="Cambria" w:cs="Times New Roman"/>
          <w:sz w:val="24"/>
          <w:szCs w:val="24"/>
        </w:rPr>
        <w:t xml:space="preserve">value of SCV along with separate </w:t>
      </w:r>
      <w:r w:rsidR="00B21039" w:rsidRPr="001435A7">
        <w:rPr>
          <w:rFonts w:ascii="Cambria" w:hAnsi="Cambria" w:cs="Times New Roman"/>
          <w:sz w:val="24"/>
          <w:szCs w:val="24"/>
        </w:rPr>
        <w:t xml:space="preserve">discriminant </w:t>
      </w:r>
      <w:r w:rsidR="0007321A" w:rsidRPr="001435A7">
        <w:rPr>
          <w:rFonts w:ascii="Cambria" w:hAnsi="Cambria" w:cs="Times New Roman"/>
          <w:sz w:val="24"/>
          <w:szCs w:val="24"/>
        </w:rPr>
        <w:t xml:space="preserve">values of </w:t>
      </w:r>
      <w:r w:rsidR="00B21039" w:rsidRPr="001435A7">
        <w:rPr>
          <w:rFonts w:ascii="Cambria" w:hAnsi="Cambria" w:cs="Times New Roman"/>
          <w:sz w:val="24"/>
          <w:szCs w:val="24"/>
        </w:rPr>
        <w:t>Image quality, engrossment, Self-projection and Fluency.</w:t>
      </w:r>
    </w:p>
    <w:p w14:paraId="0C99E516" w14:textId="091452B1" w:rsidR="00EC076C" w:rsidRPr="001435A7" w:rsidRDefault="00D604FB" w:rsidP="005A26F9">
      <w:pPr>
        <w:spacing w:line="360" w:lineRule="auto"/>
        <w:jc w:val="both"/>
        <w:rPr>
          <w:rFonts w:ascii="Cambria" w:hAnsi="Cambria" w:cs="Times New Roman"/>
          <w:sz w:val="24"/>
          <w:szCs w:val="24"/>
        </w:rPr>
      </w:pPr>
      <w:r w:rsidRPr="001435A7">
        <w:rPr>
          <w:rFonts w:ascii="Cambria" w:hAnsi="Cambria" w:cs="Times New Roman"/>
          <w:sz w:val="24"/>
          <w:szCs w:val="24"/>
        </w:rPr>
        <w:t xml:space="preserve">Since the </w:t>
      </w:r>
      <w:r w:rsidR="00091052" w:rsidRPr="001435A7">
        <w:rPr>
          <w:rFonts w:ascii="Cambria" w:hAnsi="Cambria" w:cs="Times New Roman"/>
          <w:sz w:val="24"/>
          <w:szCs w:val="24"/>
        </w:rPr>
        <w:t xml:space="preserve">scale of social media engagement has been deviated from the original scale quite substantially, </w:t>
      </w:r>
      <w:r w:rsidR="00482DFD" w:rsidRPr="001435A7">
        <w:rPr>
          <w:rFonts w:ascii="Cambria" w:hAnsi="Cambria" w:cs="Times New Roman"/>
          <w:sz w:val="24"/>
          <w:szCs w:val="24"/>
        </w:rPr>
        <w:t xml:space="preserve">the new scale has followed </w:t>
      </w:r>
      <w:r w:rsidR="00FC0EE8" w:rsidRPr="001435A7">
        <w:rPr>
          <w:rFonts w:ascii="Cambria" w:hAnsi="Cambria" w:cs="Times New Roman"/>
          <w:sz w:val="24"/>
          <w:szCs w:val="24"/>
        </w:rPr>
        <w:t>Churchill (1979) procedure</w:t>
      </w:r>
      <w:r w:rsidR="009769D6" w:rsidRPr="001435A7">
        <w:rPr>
          <w:rFonts w:ascii="Cambria" w:hAnsi="Cambria" w:cs="Times New Roman"/>
          <w:sz w:val="24"/>
          <w:szCs w:val="24"/>
        </w:rPr>
        <w:t xml:space="preserve"> for developing measures</w:t>
      </w:r>
      <w:r w:rsidR="005A26F9" w:rsidRPr="001435A7">
        <w:rPr>
          <w:rFonts w:ascii="Cambria" w:hAnsi="Cambria" w:cs="Times New Roman"/>
          <w:sz w:val="24"/>
          <w:szCs w:val="24"/>
        </w:rPr>
        <w:t>. The first</w:t>
      </w:r>
      <w:r w:rsidR="0069510F" w:rsidRPr="001435A7">
        <w:rPr>
          <w:rFonts w:ascii="Cambria" w:hAnsi="Cambria" w:cs="Times New Roman"/>
          <w:sz w:val="24"/>
          <w:szCs w:val="24"/>
        </w:rPr>
        <w:t xml:space="preserve"> step</w:t>
      </w:r>
      <w:r w:rsidR="00771179" w:rsidRPr="001435A7">
        <w:rPr>
          <w:rFonts w:ascii="Cambria" w:hAnsi="Cambria" w:cs="Times New Roman"/>
          <w:sz w:val="24"/>
          <w:szCs w:val="24"/>
        </w:rPr>
        <w:t xml:space="preserve"> to</w:t>
      </w:r>
      <w:r w:rsidR="005A26F9" w:rsidRPr="001435A7">
        <w:rPr>
          <w:rFonts w:ascii="Cambria" w:hAnsi="Cambria" w:cs="Times New Roman"/>
          <w:sz w:val="24"/>
          <w:szCs w:val="24"/>
        </w:rPr>
        <w:t xml:space="preserve"> </w:t>
      </w:r>
      <w:r w:rsidR="0069510F" w:rsidRPr="001435A7">
        <w:rPr>
          <w:rFonts w:ascii="Cambria" w:hAnsi="Cambria" w:cs="Times New Roman"/>
          <w:sz w:val="24"/>
          <w:szCs w:val="24"/>
        </w:rPr>
        <w:t>‘</w:t>
      </w:r>
      <w:r w:rsidR="00511169" w:rsidRPr="001435A7">
        <w:rPr>
          <w:rFonts w:ascii="Cambria" w:hAnsi="Cambria" w:cs="Times New Roman"/>
          <w:sz w:val="24"/>
          <w:szCs w:val="24"/>
        </w:rPr>
        <w:t>s</w:t>
      </w:r>
      <w:r w:rsidR="005A26F9" w:rsidRPr="001435A7">
        <w:rPr>
          <w:rFonts w:ascii="Cambria" w:hAnsi="Cambria" w:cs="Times New Roman"/>
          <w:sz w:val="24"/>
          <w:szCs w:val="24"/>
        </w:rPr>
        <w:t>pecify domain of construct</w:t>
      </w:r>
      <w:r w:rsidR="0069510F" w:rsidRPr="001435A7">
        <w:rPr>
          <w:rFonts w:ascii="Cambria" w:hAnsi="Cambria" w:cs="Times New Roman"/>
          <w:sz w:val="24"/>
          <w:szCs w:val="24"/>
        </w:rPr>
        <w:t>’</w:t>
      </w:r>
      <w:r w:rsidR="005A26F9" w:rsidRPr="001435A7">
        <w:rPr>
          <w:rFonts w:ascii="Cambria" w:hAnsi="Cambria" w:cs="Times New Roman"/>
          <w:sz w:val="24"/>
          <w:szCs w:val="24"/>
        </w:rPr>
        <w:t xml:space="preserve"> </w:t>
      </w:r>
      <w:r w:rsidR="00511169" w:rsidRPr="001435A7">
        <w:rPr>
          <w:rFonts w:ascii="Cambria" w:hAnsi="Cambria" w:cs="Times New Roman"/>
          <w:sz w:val="24"/>
          <w:szCs w:val="24"/>
        </w:rPr>
        <w:t>was s</w:t>
      </w:r>
      <w:r w:rsidR="005A26F9" w:rsidRPr="001435A7">
        <w:rPr>
          <w:rFonts w:ascii="Cambria" w:hAnsi="Cambria" w:cs="Times New Roman"/>
          <w:sz w:val="24"/>
          <w:szCs w:val="24"/>
        </w:rPr>
        <w:t xml:space="preserve">atisfied </w:t>
      </w:r>
      <w:r w:rsidR="00511169" w:rsidRPr="001435A7">
        <w:rPr>
          <w:rFonts w:ascii="Cambria" w:hAnsi="Cambria" w:cs="Times New Roman"/>
          <w:sz w:val="24"/>
          <w:szCs w:val="24"/>
        </w:rPr>
        <w:t>through</w:t>
      </w:r>
      <w:r w:rsidR="005A26F9" w:rsidRPr="001435A7">
        <w:rPr>
          <w:rFonts w:ascii="Cambria" w:hAnsi="Cambria" w:cs="Times New Roman"/>
          <w:sz w:val="24"/>
          <w:szCs w:val="24"/>
        </w:rPr>
        <w:t xml:space="preserve"> extensive literature review</w:t>
      </w:r>
      <w:r w:rsidR="00511169" w:rsidRPr="001435A7">
        <w:rPr>
          <w:rFonts w:ascii="Cambria" w:hAnsi="Cambria" w:cs="Times New Roman"/>
          <w:sz w:val="24"/>
          <w:szCs w:val="24"/>
        </w:rPr>
        <w:t xml:space="preserve">. </w:t>
      </w:r>
      <w:r w:rsidR="0069510F" w:rsidRPr="001435A7">
        <w:rPr>
          <w:rFonts w:ascii="Cambria" w:hAnsi="Cambria" w:cs="Times New Roman"/>
          <w:sz w:val="24"/>
          <w:szCs w:val="24"/>
        </w:rPr>
        <w:t xml:space="preserve"> </w:t>
      </w:r>
      <w:r w:rsidR="00DF67E6" w:rsidRPr="001435A7">
        <w:rPr>
          <w:rFonts w:ascii="Cambria" w:hAnsi="Cambria" w:cs="Times New Roman"/>
          <w:sz w:val="24"/>
          <w:szCs w:val="24"/>
        </w:rPr>
        <w:t>For the</w:t>
      </w:r>
      <w:r w:rsidR="0069510F" w:rsidRPr="001435A7">
        <w:rPr>
          <w:rFonts w:ascii="Cambria" w:hAnsi="Cambria" w:cs="Times New Roman"/>
          <w:sz w:val="24"/>
          <w:szCs w:val="24"/>
        </w:rPr>
        <w:t xml:space="preserve"> second step to ‘</w:t>
      </w:r>
      <w:r w:rsidR="005A26F9" w:rsidRPr="001435A7">
        <w:rPr>
          <w:rFonts w:ascii="Cambria" w:hAnsi="Cambria" w:cs="Times New Roman"/>
          <w:sz w:val="24"/>
          <w:szCs w:val="24"/>
        </w:rPr>
        <w:t>Generate sample of the items</w:t>
      </w:r>
      <w:r w:rsidR="0069510F" w:rsidRPr="001435A7">
        <w:rPr>
          <w:rFonts w:ascii="Cambria" w:hAnsi="Cambria" w:cs="Times New Roman"/>
          <w:sz w:val="24"/>
          <w:szCs w:val="24"/>
        </w:rPr>
        <w:t>’</w:t>
      </w:r>
      <w:r w:rsidR="00DF67E6" w:rsidRPr="001435A7">
        <w:rPr>
          <w:rFonts w:ascii="Cambria" w:hAnsi="Cambria" w:cs="Times New Roman"/>
          <w:sz w:val="24"/>
          <w:szCs w:val="24"/>
        </w:rPr>
        <w:t xml:space="preserve">, </w:t>
      </w:r>
      <w:r w:rsidR="005A26F9" w:rsidRPr="001435A7">
        <w:rPr>
          <w:rFonts w:ascii="Cambria" w:hAnsi="Cambria" w:cs="Times New Roman"/>
          <w:sz w:val="24"/>
          <w:szCs w:val="24"/>
        </w:rPr>
        <w:t>initial items were generated through previous literature</w:t>
      </w:r>
      <w:r w:rsidR="00DF67E6" w:rsidRPr="001435A7">
        <w:rPr>
          <w:rFonts w:ascii="Cambria" w:hAnsi="Cambria" w:cs="Times New Roman"/>
          <w:sz w:val="24"/>
          <w:szCs w:val="24"/>
        </w:rPr>
        <w:t xml:space="preserve"> of Schivinski et al,</w:t>
      </w:r>
      <w:r w:rsidR="00C55A18" w:rsidRPr="001435A7">
        <w:rPr>
          <w:rFonts w:ascii="Cambria" w:hAnsi="Cambria" w:cs="Times New Roman"/>
          <w:sz w:val="24"/>
          <w:szCs w:val="24"/>
        </w:rPr>
        <w:t xml:space="preserve"> (</w:t>
      </w:r>
      <w:r w:rsidR="00DF67E6" w:rsidRPr="001435A7">
        <w:rPr>
          <w:rFonts w:ascii="Cambria" w:hAnsi="Cambria" w:cs="Times New Roman"/>
          <w:sz w:val="24"/>
          <w:szCs w:val="24"/>
        </w:rPr>
        <w:t>2016</w:t>
      </w:r>
      <w:r w:rsidR="00C55A18" w:rsidRPr="001435A7">
        <w:rPr>
          <w:rFonts w:ascii="Cambria" w:hAnsi="Cambria" w:cs="Times New Roman"/>
          <w:sz w:val="24"/>
          <w:szCs w:val="24"/>
        </w:rPr>
        <w:t>)</w:t>
      </w:r>
      <w:r w:rsidR="00DF67E6" w:rsidRPr="001435A7">
        <w:rPr>
          <w:rFonts w:ascii="Cambria" w:hAnsi="Cambria" w:cs="Times New Roman"/>
          <w:sz w:val="24"/>
          <w:szCs w:val="24"/>
        </w:rPr>
        <w:t xml:space="preserve">. </w:t>
      </w:r>
      <w:r w:rsidR="009E2E2E" w:rsidRPr="001435A7">
        <w:rPr>
          <w:rFonts w:ascii="Cambria" w:hAnsi="Cambria" w:cs="Times New Roman"/>
          <w:sz w:val="24"/>
          <w:szCs w:val="24"/>
        </w:rPr>
        <w:t xml:space="preserve"> Third step of ‘collecting data’ was fulfilled</w:t>
      </w:r>
      <w:r w:rsidR="00BA3FC3" w:rsidRPr="001435A7">
        <w:rPr>
          <w:rFonts w:ascii="Cambria" w:hAnsi="Cambria" w:cs="Times New Roman"/>
          <w:sz w:val="24"/>
          <w:szCs w:val="24"/>
        </w:rPr>
        <w:t xml:space="preserve"> by the </w:t>
      </w:r>
      <w:r w:rsidR="004F6C7C" w:rsidRPr="001435A7">
        <w:rPr>
          <w:rFonts w:ascii="Cambria" w:hAnsi="Cambria" w:cs="Times New Roman"/>
          <w:sz w:val="24"/>
          <w:szCs w:val="24"/>
        </w:rPr>
        <w:t xml:space="preserve">means of </w:t>
      </w:r>
      <w:r w:rsidR="00BA3FC3" w:rsidRPr="001435A7">
        <w:rPr>
          <w:rFonts w:ascii="Cambria" w:hAnsi="Cambria" w:cs="Times New Roman"/>
          <w:sz w:val="24"/>
          <w:szCs w:val="24"/>
        </w:rPr>
        <w:t>pre</w:t>
      </w:r>
      <w:r w:rsidR="00E87CFC" w:rsidRPr="001435A7">
        <w:rPr>
          <w:rFonts w:ascii="Cambria" w:hAnsi="Cambria" w:cs="Times New Roman"/>
          <w:sz w:val="24"/>
          <w:szCs w:val="24"/>
        </w:rPr>
        <w:t>-</w:t>
      </w:r>
      <w:r w:rsidR="00BA3FC3" w:rsidRPr="001435A7">
        <w:rPr>
          <w:rFonts w:ascii="Cambria" w:hAnsi="Cambria" w:cs="Times New Roman"/>
          <w:sz w:val="24"/>
          <w:szCs w:val="24"/>
        </w:rPr>
        <w:t>test</w:t>
      </w:r>
      <w:r w:rsidR="004F6C7C" w:rsidRPr="001435A7">
        <w:rPr>
          <w:rFonts w:ascii="Cambria" w:hAnsi="Cambria" w:cs="Times New Roman"/>
          <w:sz w:val="24"/>
          <w:szCs w:val="24"/>
        </w:rPr>
        <w:t xml:space="preserve">. </w:t>
      </w:r>
      <w:r w:rsidR="00B7322E" w:rsidRPr="001435A7">
        <w:rPr>
          <w:rFonts w:ascii="Cambria" w:hAnsi="Cambria" w:cs="Times New Roman"/>
          <w:sz w:val="24"/>
          <w:szCs w:val="24"/>
        </w:rPr>
        <w:t>In the fourth step,</w:t>
      </w:r>
      <w:r w:rsidR="00BA3FC3" w:rsidRPr="001435A7">
        <w:rPr>
          <w:rFonts w:ascii="Cambria" w:hAnsi="Cambria" w:cs="Times New Roman"/>
          <w:sz w:val="24"/>
          <w:szCs w:val="24"/>
        </w:rPr>
        <w:t xml:space="preserve"> </w:t>
      </w:r>
      <w:r w:rsidR="000811EF" w:rsidRPr="001435A7">
        <w:rPr>
          <w:rFonts w:ascii="Cambria" w:hAnsi="Cambria" w:cs="Times New Roman"/>
          <w:sz w:val="24"/>
          <w:szCs w:val="24"/>
        </w:rPr>
        <w:t>measure</w:t>
      </w:r>
      <w:r w:rsidR="00E93FBF" w:rsidRPr="001435A7">
        <w:rPr>
          <w:rFonts w:ascii="Cambria" w:hAnsi="Cambria" w:cs="Times New Roman"/>
          <w:sz w:val="24"/>
          <w:szCs w:val="24"/>
        </w:rPr>
        <w:t>s</w:t>
      </w:r>
      <w:r w:rsidR="000811EF" w:rsidRPr="001435A7">
        <w:rPr>
          <w:rFonts w:ascii="Cambria" w:hAnsi="Cambria" w:cs="Times New Roman"/>
          <w:sz w:val="24"/>
          <w:szCs w:val="24"/>
        </w:rPr>
        <w:t xml:space="preserve"> were purified according to the feedback of the respondents</w:t>
      </w:r>
      <w:r w:rsidR="00E87CFC" w:rsidRPr="001435A7">
        <w:rPr>
          <w:rFonts w:ascii="Cambria" w:hAnsi="Cambria" w:cs="Times New Roman"/>
          <w:sz w:val="24"/>
          <w:szCs w:val="24"/>
        </w:rPr>
        <w:t xml:space="preserve">’ comment </w:t>
      </w:r>
      <w:r w:rsidR="007351FA" w:rsidRPr="001435A7">
        <w:rPr>
          <w:rFonts w:ascii="Cambria" w:hAnsi="Cambria" w:cs="Times New Roman"/>
          <w:sz w:val="24"/>
          <w:szCs w:val="24"/>
        </w:rPr>
        <w:t xml:space="preserve">in the pre-test. In the fifth step, </w:t>
      </w:r>
      <w:r w:rsidR="00B44281" w:rsidRPr="001435A7">
        <w:rPr>
          <w:rFonts w:ascii="Cambria" w:hAnsi="Cambria" w:cs="Times New Roman"/>
          <w:sz w:val="24"/>
          <w:szCs w:val="24"/>
        </w:rPr>
        <w:t>‘</w:t>
      </w:r>
      <w:r w:rsidR="004F425E" w:rsidRPr="001435A7">
        <w:rPr>
          <w:rFonts w:ascii="Cambria" w:hAnsi="Cambria" w:cs="Times New Roman"/>
          <w:sz w:val="24"/>
          <w:szCs w:val="24"/>
        </w:rPr>
        <w:t>reliability</w:t>
      </w:r>
      <w:r w:rsidR="00B44281" w:rsidRPr="001435A7">
        <w:rPr>
          <w:rFonts w:ascii="Cambria" w:hAnsi="Cambria" w:cs="Times New Roman"/>
          <w:sz w:val="24"/>
          <w:szCs w:val="24"/>
        </w:rPr>
        <w:t xml:space="preserve"> was assessed’ through </w:t>
      </w:r>
      <w:r w:rsidR="005A26F9" w:rsidRPr="001435A7">
        <w:rPr>
          <w:rFonts w:ascii="Cambria" w:hAnsi="Cambria" w:cs="Times New Roman"/>
          <w:sz w:val="24"/>
          <w:szCs w:val="24"/>
        </w:rPr>
        <w:t>Cronbach Alpha</w:t>
      </w:r>
      <w:r w:rsidR="00B44281" w:rsidRPr="001435A7">
        <w:rPr>
          <w:rFonts w:ascii="Cambria" w:hAnsi="Cambria" w:cs="Times New Roman"/>
          <w:sz w:val="24"/>
          <w:szCs w:val="24"/>
        </w:rPr>
        <w:t xml:space="preserve">, which shows </w:t>
      </w:r>
      <w:r w:rsidR="005A26F9" w:rsidRPr="001435A7">
        <w:rPr>
          <w:rFonts w:ascii="Cambria" w:hAnsi="Cambria" w:cs="Times New Roman"/>
          <w:sz w:val="24"/>
          <w:szCs w:val="24"/>
        </w:rPr>
        <w:t>satisfied score of .756</w:t>
      </w:r>
      <w:r w:rsidR="00062BF3" w:rsidRPr="001435A7">
        <w:rPr>
          <w:rFonts w:ascii="Cambria" w:hAnsi="Cambria" w:cs="Times New Roman"/>
          <w:sz w:val="24"/>
          <w:szCs w:val="24"/>
        </w:rPr>
        <w:t>. In the step to ‘</w:t>
      </w:r>
      <w:r w:rsidR="005A26F9" w:rsidRPr="001435A7">
        <w:rPr>
          <w:rFonts w:ascii="Cambria" w:hAnsi="Cambria" w:cs="Times New Roman"/>
          <w:sz w:val="24"/>
          <w:szCs w:val="24"/>
        </w:rPr>
        <w:t>Assess validity</w:t>
      </w:r>
      <w:r w:rsidR="00025578" w:rsidRPr="001435A7">
        <w:rPr>
          <w:rFonts w:ascii="Cambria" w:hAnsi="Cambria" w:cs="Times New Roman"/>
          <w:sz w:val="24"/>
          <w:szCs w:val="24"/>
        </w:rPr>
        <w:t xml:space="preserve">’, </w:t>
      </w:r>
      <w:r w:rsidR="005A26F9" w:rsidRPr="001435A7">
        <w:rPr>
          <w:rFonts w:ascii="Cambria" w:hAnsi="Cambria" w:cs="Times New Roman"/>
          <w:sz w:val="24"/>
          <w:szCs w:val="24"/>
        </w:rPr>
        <w:t xml:space="preserve">CR </w:t>
      </w:r>
      <w:r w:rsidR="00025578" w:rsidRPr="001435A7">
        <w:rPr>
          <w:rFonts w:ascii="Cambria" w:hAnsi="Cambria" w:cs="Times New Roman"/>
          <w:sz w:val="24"/>
          <w:szCs w:val="24"/>
        </w:rPr>
        <w:t xml:space="preserve">was measured, which shows </w:t>
      </w:r>
      <w:r w:rsidR="005A26F9" w:rsidRPr="001435A7">
        <w:rPr>
          <w:rFonts w:ascii="Cambria" w:hAnsi="Cambria" w:cs="Times New Roman"/>
          <w:sz w:val="24"/>
          <w:szCs w:val="24"/>
        </w:rPr>
        <w:t>satisfied score of .85</w:t>
      </w:r>
      <w:r w:rsidR="00025578" w:rsidRPr="001435A7">
        <w:rPr>
          <w:rFonts w:ascii="Cambria" w:hAnsi="Cambria" w:cs="Times New Roman"/>
          <w:sz w:val="24"/>
          <w:szCs w:val="24"/>
        </w:rPr>
        <w:t xml:space="preserve">. Lastly, </w:t>
      </w:r>
      <w:r w:rsidR="00255C65" w:rsidRPr="001435A7">
        <w:rPr>
          <w:rFonts w:ascii="Cambria" w:hAnsi="Cambria" w:cs="Times New Roman"/>
          <w:sz w:val="24"/>
          <w:szCs w:val="24"/>
        </w:rPr>
        <w:t>as the step to ‘</w:t>
      </w:r>
      <w:r w:rsidR="005A26F9" w:rsidRPr="001435A7">
        <w:rPr>
          <w:rFonts w:ascii="Cambria" w:hAnsi="Cambria" w:cs="Times New Roman"/>
          <w:sz w:val="24"/>
          <w:szCs w:val="24"/>
        </w:rPr>
        <w:t>Develop norms</w:t>
      </w:r>
      <w:r w:rsidR="00255C65" w:rsidRPr="001435A7">
        <w:rPr>
          <w:rFonts w:ascii="Cambria" w:hAnsi="Cambria" w:cs="Times New Roman"/>
          <w:sz w:val="24"/>
          <w:szCs w:val="24"/>
        </w:rPr>
        <w:t>’, this scale was adopted.</w:t>
      </w:r>
    </w:p>
    <w:p w14:paraId="4B7DBCA9" w14:textId="77777777" w:rsidR="00FC3C5A" w:rsidRDefault="00FC3C5A">
      <w:pPr>
        <w:spacing w:line="259" w:lineRule="auto"/>
        <w:rPr>
          <w:rFonts w:ascii="Cambria" w:hAnsi="Cambria" w:cs="Times New Roman"/>
          <w:color w:val="538135" w:themeColor="accent6" w:themeShade="BF"/>
          <w:sz w:val="24"/>
          <w:szCs w:val="24"/>
        </w:rPr>
      </w:pPr>
      <w:r>
        <w:rPr>
          <w:rFonts w:ascii="Cambria" w:hAnsi="Cambria" w:cs="Times New Roman"/>
          <w:color w:val="538135" w:themeColor="accent6" w:themeShade="BF"/>
          <w:sz w:val="24"/>
          <w:szCs w:val="24"/>
        </w:rPr>
        <w:br w:type="page"/>
      </w:r>
    </w:p>
    <w:p w14:paraId="12B27787" w14:textId="77777777" w:rsidR="00014FB2" w:rsidRDefault="00014FB2" w:rsidP="00ED1894">
      <w:pPr>
        <w:spacing w:line="360" w:lineRule="auto"/>
        <w:jc w:val="both"/>
        <w:rPr>
          <w:rFonts w:ascii="Cambria" w:hAnsi="Cambria" w:cs="Times New Roman"/>
          <w:color w:val="538135" w:themeColor="accent6" w:themeShade="BF"/>
          <w:sz w:val="24"/>
          <w:szCs w:val="24"/>
        </w:rPr>
        <w:sectPr w:rsidR="00014FB2" w:rsidSect="00014FB2">
          <w:pgSz w:w="11906" w:h="16838"/>
          <w:pgMar w:top="1440" w:right="1440" w:bottom="1440" w:left="1440" w:header="708" w:footer="708" w:gutter="0"/>
          <w:cols w:space="708"/>
          <w:docGrid w:linePitch="360"/>
        </w:sectPr>
      </w:pPr>
    </w:p>
    <w:p w14:paraId="6BA7ABB4" w14:textId="65C9A043" w:rsidR="00957B0A" w:rsidRPr="00F53220" w:rsidRDefault="007A53D8" w:rsidP="008D56AE">
      <w:pPr>
        <w:spacing w:line="360" w:lineRule="auto"/>
        <w:jc w:val="both"/>
        <w:rPr>
          <w:rFonts w:ascii="Cambria" w:hAnsi="Cambria" w:cs="Times New Roman"/>
          <w:sz w:val="24"/>
          <w:szCs w:val="24"/>
        </w:rPr>
      </w:pPr>
      <w:r w:rsidRPr="00F53220">
        <w:rPr>
          <w:rFonts w:ascii="Cambria" w:hAnsi="Cambria" w:cs="Times New Roman"/>
          <w:sz w:val="24"/>
          <w:szCs w:val="24"/>
        </w:rPr>
        <w:t>Table 1</w:t>
      </w:r>
      <w:r w:rsidR="00C45B02" w:rsidRPr="00F53220">
        <w:rPr>
          <w:rFonts w:ascii="Cambria" w:hAnsi="Cambria" w:cs="Times New Roman"/>
          <w:sz w:val="24"/>
          <w:szCs w:val="24"/>
        </w:rPr>
        <w:t>6</w:t>
      </w:r>
      <w:r w:rsidRPr="00F53220">
        <w:rPr>
          <w:rFonts w:ascii="Cambria" w:hAnsi="Cambria" w:cs="Times New Roman"/>
          <w:sz w:val="24"/>
          <w:szCs w:val="24"/>
        </w:rPr>
        <w:t xml:space="preserve">: </w:t>
      </w:r>
      <w:r w:rsidR="008D56AE" w:rsidRPr="00F53220">
        <w:rPr>
          <w:rFonts w:ascii="Cambria" w:hAnsi="Cambria" w:cs="Times New Roman"/>
          <w:sz w:val="24"/>
          <w:szCs w:val="24"/>
        </w:rPr>
        <w:t>Discriminant validity</w:t>
      </w:r>
      <w:r w:rsidR="00EA41D7" w:rsidRPr="00F53220">
        <w:rPr>
          <w:rFonts w:ascii="Cambria" w:hAnsi="Cambria" w:cs="Times New Roman"/>
          <w:sz w:val="24"/>
          <w:szCs w:val="24"/>
        </w:rPr>
        <w:t xml:space="preserve">: </w:t>
      </w:r>
      <w:r w:rsidR="008D56AE" w:rsidRPr="00F53220">
        <w:rPr>
          <w:rFonts w:ascii="Cambria" w:hAnsi="Cambria" w:cs="Times New Roman"/>
          <w:sz w:val="24"/>
          <w:szCs w:val="24"/>
        </w:rPr>
        <w:t>Fornell-Larcker criterion</w:t>
      </w:r>
    </w:p>
    <w:tbl>
      <w:tblPr>
        <w:tblW w:w="18100" w:type="dxa"/>
        <w:tblLook w:val="04A0" w:firstRow="1" w:lastRow="0" w:firstColumn="1" w:lastColumn="0" w:noHBand="0" w:noVBand="1"/>
      </w:tblPr>
      <w:tblGrid>
        <w:gridCol w:w="1278"/>
        <w:gridCol w:w="423"/>
        <w:gridCol w:w="325"/>
        <w:gridCol w:w="146"/>
        <w:gridCol w:w="947"/>
        <w:gridCol w:w="95"/>
        <w:gridCol w:w="958"/>
        <w:gridCol w:w="869"/>
        <w:gridCol w:w="188"/>
        <w:gridCol w:w="935"/>
        <w:gridCol w:w="819"/>
        <w:gridCol w:w="850"/>
        <w:gridCol w:w="744"/>
        <w:gridCol w:w="808"/>
        <w:gridCol w:w="598"/>
        <w:gridCol w:w="114"/>
        <w:gridCol w:w="713"/>
        <w:gridCol w:w="672"/>
        <w:gridCol w:w="672"/>
        <w:gridCol w:w="128"/>
        <w:gridCol w:w="489"/>
        <w:gridCol w:w="236"/>
        <w:gridCol w:w="62"/>
        <w:gridCol w:w="754"/>
        <w:gridCol w:w="236"/>
        <w:gridCol w:w="62"/>
        <w:gridCol w:w="898"/>
        <w:gridCol w:w="960"/>
        <w:gridCol w:w="985"/>
        <w:gridCol w:w="1136"/>
      </w:tblGrid>
      <w:tr w:rsidR="00205187" w:rsidRPr="00014FB2" w14:paraId="04F3D646" w14:textId="77777777" w:rsidTr="00205187">
        <w:trPr>
          <w:gridAfter w:val="4"/>
          <w:wAfter w:w="3979" w:type="dxa"/>
          <w:trHeight w:val="345"/>
        </w:trPr>
        <w:tc>
          <w:tcPr>
            <w:tcW w:w="1278" w:type="dxa"/>
            <w:tcBorders>
              <w:top w:val="nil"/>
              <w:left w:val="nil"/>
              <w:bottom w:val="nil"/>
              <w:right w:val="nil"/>
            </w:tcBorders>
            <w:shd w:val="clear" w:color="auto" w:fill="auto"/>
            <w:noWrap/>
            <w:vAlign w:val="bottom"/>
          </w:tcPr>
          <w:p w14:paraId="786981B0" w14:textId="4C9FE717" w:rsidR="00205187" w:rsidRPr="00FC3C5A" w:rsidRDefault="00205187" w:rsidP="00FC3C5A">
            <w:pPr>
              <w:spacing w:after="0" w:line="240" w:lineRule="auto"/>
              <w:rPr>
                <w:rFonts w:ascii="Calibri" w:eastAsia="Times New Roman" w:hAnsi="Calibri" w:cs="Calibri"/>
                <w:color w:val="000000"/>
                <w:sz w:val="20"/>
                <w:szCs w:val="20"/>
                <w:u w:val="single"/>
                <w:lang w:eastAsia="en-GB"/>
              </w:rPr>
            </w:pPr>
          </w:p>
        </w:tc>
        <w:tc>
          <w:tcPr>
            <w:tcW w:w="894" w:type="dxa"/>
            <w:gridSpan w:val="3"/>
            <w:tcBorders>
              <w:top w:val="nil"/>
              <w:left w:val="nil"/>
              <w:bottom w:val="nil"/>
              <w:right w:val="nil"/>
            </w:tcBorders>
            <w:shd w:val="clear" w:color="auto" w:fill="auto"/>
            <w:noWrap/>
            <w:vAlign w:val="bottom"/>
            <w:hideMark/>
          </w:tcPr>
          <w:p w14:paraId="02A1392C" w14:textId="77777777" w:rsidR="00205187" w:rsidRPr="00FC3C5A" w:rsidRDefault="00205187" w:rsidP="00FC3C5A">
            <w:pPr>
              <w:spacing w:after="0" w:line="240" w:lineRule="auto"/>
              <w:rPr>
                <w:rFonts w:ascii="Calibri" w:eastAsia="Times New Roman" w:hAnsi="Calibri" w:cs="Calibri"/>
                <w:color w:val="000000"/>
                <w:sz w:val="20"/>
                <w:szCs w:val="20"/>
                <w:u w:val="single"/>
                <w:lang w:eastAsia="en-GB"/>
              </w:rPr>
            </w:pPr>
          </w:p>
        </w:tc>
        <w:tc>
          <w:tcPr>
            <w:tcW w:w="1042" w:type="dxa"/>
            <w:gridSpan w:val="2"/>
            <w:tcBorders>
              <w:top w:val="nil"/>
              <w:left w:val="nil"/>
              <w:bottom w:val="nil"/>
              <w:right w:val="nil"/>
            </w:tcBorders>
            <w:shd w:val="clear" w:color="auto" w:fill="auto"/>
            <w:noWrap/>
            <w:vAlign w:val="bottom"/>
            <w:hideMark/>
          </w:tcPr>
          <w:p w14:paraId="7E1B06C0"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958" w:type="dxa"/>
            <w:tcBorders>
              <w:top w:val="nil"/>
              <w:left w:val="nil"/>
              <w:bottom w:val="nil"/>
              <w:right w:val="nil"/>
            </w:tcBorders>
            <w:shd w:val="clear" w:color="auto" w:fill="auto"/>
            <w:noWrap/>
            <w:vAlign w:val="bottom"/>
            <w:hideMark/>
          </w:tcPr>
          <w:p w14:paraId="6DDEF5AD"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69" w:type="dxa"/>
            <w:tcBorders>
              <w:top w:val="nil"/>
              <w:left w:val="nil"/>
              <w:bottom w:val="nil"/>
              <w:right w:val="nil"/>
            </w:tcBorders>
            <w:shd w:val="clear" w:color="auto" w:fill="auto"/>
            <w:noWrap/>
            <w:vAlign w:val="bottom"/>
            <w:hideMark/>
          </w:tcPr>
          <w:p w14:paraId="66D2172D"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1123" w:type="dxa"/>
            <w:gridSpan w:val="2"/>
            <w:tcBorders>
              <w:top w:val="nil"/>
              <w:left w:val="nil"/>
              <w:bottom w:val="nil"/>
              <w:right w:val="nil"/>
            </w:tcBorders>
            <w:shd w:val="clear" w:color="auto" w:fill="auto"/>
            <w:noWrap/>
            <w:vAlign w:val="bottom"/>
            <w:hideMark/>
          </w:tcPr>
          <w:p w14:paraId="24D01A3A"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19" w:type="dxa"/>
            <w:tcBorders>
              <w:top w:val="nil"/>
              <w:left w:val="nil"/>
              <w:bottom w:val="nil"/>
              <w:right w:val="nil"/>
            </w:tcBorders>
            <w:shd w:val="clear" w:color="auto" w:fill="auto"/>
            <w:noWrap/>
            <w:vAlign w:val="bottom"/>
            <w:hideMark/>
          </w:tcPr>
          <w:p w14:paraId="5E8AE6BB"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11C26E9A"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744" w:type="dxa"/>
            <w:tcBorders>
              <w:top w:val="nil"/>
              <w:left w:val="nil"/>
              <w:bottom w:val="nil"/>
              <w:right w:val="nil"/>
            </w:tcBorders>
            <w:shd w:val="clear" w:color="auto" w:fill="auto"/>
            <w:noWrap/>
            <w:vAlign w:val="bottom"/>
            <w:hideMark/>
          </w:tcPr>
          <w:p w14:paraId="6B19B52D"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08" w:type="dxa"/>
            <w:tcBorders>
              <w:top w:val="nil"/>
              <w:left w:val="nil"/>
              <w:bottom w:val="nil"/>
              <w:right w:val="nil"/>
            </w:tcBorders>
            <w:shd w:val="clear" w:color="auto" w:fill="auto"/>
            <w:noWrap/>
            <w:vAlign w:val="bottom"/>
            <w:hideMark/>
          </w:tcPr>
          <w:p w14:paraId="54487822"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712" w:type="dxa"/>
            <w:gridSpan w:val="2"/>
            <w:tcBorders>
              <w:top w:val="nil"/>
              <w:left w:val="nil"/>
              <w:bottom w:val="nil"/>
              <w:right w:val="nil"/>
            </w:tcBorders>
            <w:shd w:val="clear" w:color="auto" w:fill="auto"/>
            <w:noWrap/>
            <w:vAlign w:val="bottom"/>
            <w:hideMark/>
          </w:tcPr>
          <w:p w14:paraId="7B3582B2"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713" w:type="dxa"/>
            <w:tcBorders>
              <w:top w:val="nil"/>
              <w:left w:val="nil"/>
              <w:bottom w:val="nil"/>
              <w:right w:val="nil"/>
            </w:tcBorders>
            <w:shd w:val="clear" w:color="auto" w:fill="auto"/>
            <w:noWrap/>
            <w:vAlign w:val="bottom"/>
            <w:hideMark/>
          </w:tcPr>
          <w:p w14:paraId="4EE3D868"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672" w:type="dxa"/>
            <w:tcBorders>
              <w:top w:val="nil"/>
              <w:left w:val="nil"/>
              <w:bottom w:val="nil"/>
              <w:right w:val="nil"/>
            </w:tcBorders>
            <w:shd w:val="clear" w:color="auto" w:fill="auto"/>
            <w:noWrap/>
            <w:vAlign w:val="bottom"/>
            <w:hideMark/>
          </w:tcPr>
          <w:p w14:paraId="15F1DD6F"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672" w:type="dxa"/>
            <w:tcBorders>
              <w:top w:val="nil"/>
              <w:left w:val="nil"/>
              <w:bottom w:val="nil"/>
              <w:right w:val="nil"/>
            </w:tcBorders>
            <w:shd w:val="clear" w:color="auto" w:fill="auto"/>
            <w:noWrap/>
            <w:vAlign w:val="bottom"/>
            <w:hideMark/>
          </w:tcPr>
          <w:p w14:paraId="7AC8A205"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915" w:type="dxa"/>
            <w:gridSpan w:val="4"/>
            <w:tcBorders>
              <w:top w:val="nil"/>
              <w:left w:val="nil"/>
              <w:bottom w:val="nil"/>
              <w:right w:val="nil"/>
            </w:tcBorders>
            <w:shd w:val="clear" w:color="auto" w:fill="auto"/>
            <w:noWrap/>
            <w:vAlign w:val="bottom"/>
            <w:hideMark/>
          </w:tcPr>
          <w:p w14:paraId="7DFC8A94"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1052" w:type="dxa"/>
            <w:gridSpan w:val="3"/>
            <w:tcBorders>
              <w:top w:val="nil"/>
              <w:left w:val="nil"/>
              <w:bottom w:val="nil"/>
              <w:right w:val="nil"/>
            </w:tcBorders>
            <w:shd w:val="clear" w:color="auto" w:fill="auto"/>
            <w:noWrap/>
            <w:vAlign w:val="bottom"/>
            <w:hideMark/>
          </w:tcPr>
          <w:p w14:paraId="5C5D5E34"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r>
      <w:tr w:rsidR="00205187" w:rsidRPr="00014FB2" w14:paraId="428C245B" w14:textId="77777777" w:rsidTr="00205187">
        <w:trPr>
          <w:trHeight w:val="80"/>
        </w:trPr>
        <w:tc>
          <w:tcPr>
            <w:tcW w:w="1278" w:type="dxa"/>
            <w:tcBorders>
              <w:top w:val="nil"/>
              <w:left w:val="nil"/>
              <w:bottom w:val="nil"/>
              <w:right w:val="nil"/>
            </w:tcBorders>
            <w:shd w:val="clear" w:color="auto" w:fill="auto"/>
            <w:noWrap/>
            <w:vAlign w:val="bottom"/>
          </w:tcPr>
          <w:p w14:paraId="196FE5B1" w14:textId="2D713ACB" w:rsidR="00205187" w:rsidRPr="00FC3C5A" w:rsidRDefault="00205187" w:rsidP="00FC3C5A">
            <w:pPr>
              <w:spacing w:after="0" w:line="240" w:lineRule="auto"/>
              <w:rPr>
                <w:rFonts w:ascii="Calibri" w:eastAsia="Times New Roman" w:hAnsi="Calibri" w:cs="Calibri"/>
                <w:color w:val="000000"/>
                <w:sz w:val="20"/>
                <w:szCs w:val="20"/>
                <w:u w:val="single"/>
                <w:lang w:eastAsia="en-GB"/>
              </w:rPr>
            </w:pPr>
          </w:p>
        </w:tc>
        <w:tc>
          <w:tcPr>
            <w:tcW w:w="423" w:type="dxa"/>
            <w:tcBorders>
              <w:top w:val="nil"/>
              <w:left w:val="nil"/>
              <w:bottom w:val="nil"/>
              <w:right w:val="nil"/>
            </w:tcBorders>
            <w:shd w:val="clear" w:color="auto" w:fill="auto"/>
            <w:noWrap/>
            <w:vAlign w:val="bottom"/>
            <w:hideMark/>
          </w:tcPr>
          <w:p w14:paraId="74CB7BDB" w14:textId="77777777" w:rsidR="00205187" w:rsidRPr="00FC3C5A" w:rsidRDefault="00205187" w:rsidP="00FC3C5A">
            <w:pPr>
              <w:spacing w:after="0" w:line="240" w:lineRule="auto"/>
              <w:rPr>
                <w:rFonts w:ascii="Calibri" w:eastAsia="Times New Roman" w:hAnsi="Calibri" w:cs="Calibri"/>
                <w:color w:val="000000"/>
                <w:sz w:val="20"/>
                <w:szCs w:val="20"/>
                <w:u w:val="single"/>
                <w:lang w:eastAsia="en-GB"/>
              </w:rPr>
            </w:pPr>
          </w:p>
        </w:tc>
        <w:tc>
          <w:tcPr>
            <w:tcW w:w="325" w:type="dxa"/>
            <w:tcBorders>
              <w:top w:val="nil"/>
              <w:left w:val="nil"/>
              <w:bottom w:val="nil"/>
              <w:right w:val="nil"/>
            </w:tcBorders>
            <w:shd w:val="clear" w:color="auto" w:fill="auto"/>
            <w:noWrap/>
            <w:vAlign w:val="bottom"/>
            <w:hideMark/>
          </w:tcPr>
          <w:p w14:paraId="3D5B887B"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1093" w:type="dxa"/>
            <w:gridSpan w:val="2"/>
            <w:tcBorders>
              <w:top w:val="nil"/>
              <w:left w:val="nil"/>
              <w:bottom w:val="nil"/>
              <w:right w:val="nil"/>
            </w:tcBorders>
            <w:shd w:val="clear" w:color="auto" w:fill="auto"/>
            <w:noWrap/>
            <w:vAlign w:val="bottom"/>
            <w:hideMark/>
          </w:tcPr>
          <w:p w14:paraId="7B8F9D56"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2110" w:type="dxa"/>
            <w:gridSpan w:val="4"/>
            <w:tcBorders>
              <w:top w:val="nil"/>
              <w:left w:val="nil"/>
              <w:bottom w:val="nil"/>
              <w:right w:val="nil"/>
            </w:tcBorders>
            <w:shd w:val="clear" w:color="auto" w:fill="auto"/>
            <w:noWrap/>
            <w:vAlign w:val="bottom"/>
            <w:hideMark/>
          </w:tcPr>
          <w:p w14:paraId="7C0BEA0C"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4754" w:type="dxa"/>
            <w:gridSpan w:val="6"/>
            <w:tcBorders>
              <w:top w:val="nil"/>
              <w:left w:val="nil"/>
              <w:bottom w:val="nil"/>
              <w:right w:val="nil"/>
            </w:tcBorders>
            <w:shd w:val="clear" w:color="auto" w:fill="auto"/>
            <w:noWrap/>
            <w:vAlign w:val="bottom"/>
            <w:hideMark/>
          </w:tcPr>
          <w:p w14:paraId="701ECB90"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2299" w:type="dxa"/>
            <w:gridSpan w:val="5"/>
            <w:tcBorders>
              <w:top w:val="nil"/>
              <w:left w:val="nil"/>
              <w:bottom w:val="nil"/>
              <w:right w:val="nil"/>
            </w:tcBorders>
            <w:shd w:val="clear" w:color="auto" w:fill="auto"/>
            <w:noWrap/>
            <w:vAlign w:val="bottom"/>
            <w:hideMark/>
          </w:tcPr>
          <w:p w14:paraId="6874413B"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489" w:type="dxa"/>
            <w:tcBorders>
              <w:top w:val="nil"/>
              <w:left w:val="nil"/>
              <w:bottom w:val="nil"/>
              <w:right w:val="nil"/>
            </w:tcBorders>
            <w:shd w:val="clear" w:color="auto" w:fill="auto"/>
            <w:noWrap/>
            <w:vAlign w:val="bottom"/>
            <w:hideMark/>
          </w:tcPr>
          <w:p w14:paraId="4EF76041"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3348611"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16" w:type="dxa"/>
            <w:gridSpan w:val="2"/>
            <w:tcBorders>
              <w:top w:val="nil"/>
              <w:left w:val="nil"/>
              <w:bottom w:val="nil"/>
              <w:right w:val="nil"/>
            </w:tcBorders>
            <w:shd w:val="clear" w:color="auto" w:fill="auto"/>
            <w:noWrap/>
            <w:vAlign w:val="bottom"/>
            <w:hideMark/>
          </w:tcPr>
          <w:p w14:paraId="1107F599"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965A3A1"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4B435F68"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2B005CD"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985" w:type="dxa"/>
            <w:tcBorders>
              <w:top w:val="nil"/>
              <w:left w:val="nil"/>
              <w:bottom w:val="nil"/>
              <w:right w:val="nil"/>
            </w:tcBorders>
            <w:shd w:val="clear" w:color="auto" w:fill="auto"/>
            <w:noWrap/>
            <w:vAlign w:val="bottom"/>
            <w:hideMark/>
          </w:tcPr>
          <w:p w14:paraId="65DB6E53"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1136" w:type="dxa"/>
            <w:tcBorders>
              <w:top w:val="nil"/>
              <w:left w:val="nil"/>
              <w:bottom w:val="nil"/>
              <w:right w:val="nil"/>
            </w:tcBorders>
            <w:shd w:val="clear" w:color="auto" w:fill="auto"/>
            <w:noWrap/>
            <w:vAlign w:val="bottom"/>
            <w:hideMark/>
          </w:tcPr>
          <w:p w14:paraId="2E2452E0"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r>
      <w:tr w:rsidR="00205187" w:rsidRPr="00014FB2" w14:paraId="7C3765B0" w14:textId="77777777" w:rsidTr="00205187">
        <w:trPr>
          <w:gridAfter w:val="4"/>
          <w:wAfter w:w="3979" w:type="dxa"/>
          <w:trHeight w:val="300"/>
        </w:trPr>
        <w:tc>
          <w:tcPr>
            <w:tcW w:w="1278" w:type="dxa"/>
            <w:tcBorders>
              <w:top w:val="nil"/>
              <w:left w:val="nil"/>
              <w:bottom w:val="nil"/>
              <w:right w:val="nil"/>
            </w:tcBorders>
            <w:shd w:val="clear" w:color="auto" w:fill="auto"/>
            <w:noWrap/>
            <w:vAlign w:val="bottom"/>
            <w:hideMark/>
          </w:tcPr>
          <w:p w14:paraId="155B8DC1" w14:textId="77777777" w:rsidR="00205187" w:rsidRPr="00FC3C5A" w:rsidRDefault="00205187" w:rsidP="00FC3C5A">
            <w:pPr>
              <w:spacing w:after="0" w:line="240" w:lineRule="auto"/>
              <w:rPr>
                <w:rFonts w:ascii="Times New Roman" w:eastAsia="Times New Roman" w:hAnsi="Times New Roman" w:cs="Times New Roman"/>
                <w:sz w:val="20"/>
                <w:szCs w:val="20"/>
                <w:lang w:eastAsia="en-GB"/>
              </w:rPr>
            </w:pPr>
          </w:p>
        </w:tc>
        <w:tc>
          <w:tcPr>
            <w:tcW w:w="894" w:type="dxa"/>
            <w:gridSpan w:val="3"/>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7459DEA8"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Arousal</w:t>
            </w:r>
          </w:p>
        </w:tc>
        <w:tc>
          <w:tcPr>
            <w:tcW w:w="1042" w:type="dxa"/>
            <w:gridSpan w:val="2"/>
            <w:tcBorders>
              <w:top w:val="single" w:sz="4" w:space="0" w:color="auto"/>
              <w:left w:val="nil"/>
              <w:bottom w:val="single" w:sz="4" w:space="0" w:color="auto"/>
              <w:right w:val="single" w:sz="4" w:space="0" w:color="auto"/>
            </w:tcBorders>
            <w:shd w:val="clear" w:color="000000" w:fill="555555"/>
            <w:noWrap/>
            <w:vAlign w:val="bottom"/>
            <w:hideMark/>
          </w:tcPr>
          <w:p w14:paraId="36BFC00E"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Behaviour</w:t>
            </w:r>
          </w:p>
        </w:tc>
        <w:tc>
          <w:tcPr>
            <w:tcW w:w="958" w:type="dxa"/>
            <w:tcBorders>
              <w:top w:val="single" w:sz="4" w:space="0" w:color="auto"/>
              <w:left w:val="nil"/>
              <w:bottom w:val="single" w:sz="4" w:space="0" w:color="auto"/>
              <w:right w:val="single" w:sz="4" w:space="0" w:color="auto"/>
            </w:tcBorders>
            <w:shd w:val="clear" w:color="000000" w:fill="555555"/>
            <w:noWrap/>
            <w:vAlign w:val="bottom"/>
            <w:hideMark/>
          </w:tcPr>
          <w:p w14:paraId="753797A6"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Purchase</w:t>
            </w:r>
          </w:p>
        </w:tc>
        <w:tc>
          <w:tcPr>
            <w:tcW w:w="869" w:type="dxa"/>
            <w:tcBorders>
              <w:top w:val="single" w:sz="4" w:space="0" w:color="auto"/>
              <w:left w:val="nil"/>
              <w:bottom w:val="single" w:sz="4" w:space="0" w:color="auto"/>
              <w:right w:val="single" w:sz="4" w:space="0" w:color="auto"/>
            </w:tcBorders>
            <w:shd w:val="clear" w:color="000000" w:fill="555555"/>
            <w:noWrap/>
            <w:vAlign w:val="bottom"/>
            <w:hideMark/>
          </w:tcPr>
          <w:p w14:paraId="515D71E7"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attitude</w:t>
            </w:r>
          </w:p>
        </w:tc>
        <w:tc>
          <w:tcPr>
            <w:tcW w:w="1123" w:type="dxa"/>
            <w:gridSpan w:val="2"/>
            <w:tcBorders>
              <w:top w:val="single" w:sz="4" w:space="0" w:color="auto"/>
              <w:left w:val="nil"/>
              <w:bottom w:val="single" w:sz="4" w:space="0" w:color="auto"/>
              <w:right w:val="single" w:sz="4" w:space="0" w:color="auto"/>
            </w:tcBorders>
            <w:shd w:val="clear" w:color="000000" w:fill="555555"/>
            <w:noWrap/>
            <w:vAlign w:val="bottom"/>
            <w:hideMark/>
          </w:tcPr>
          <w:p w14:paraId="08E7983E"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dominance</w:t>
            </w:r>
          </w:p>
        </w:tc>
        <w:tc>
          <w:tcPr>
            <w:tcW w:w="819" w:type="dxa"/>
            <w:tcBorders>
              <w:top w:val="single" w:sz="4" w:space="0" w:color="auto"/>
              <w:left w:val="nil"/>
              <w:bottom w:val="single" w:sz="4" w:space="0" w:color="auto"/>
              <w:right w:val="single" w:sz="4" w:space="0" w:color="auto"/>
            </w:tcBorders>
            <w:shd w:val="clear" w:color="000000" w:fill="555555"/>
            <w:noWrap/>
            <w:vAlign w:val="bottom"/>
            <w:hideMark/>
          </w:tcPr>
          <w:p w14:paraId="37C83686" w14:textId="17607ABE"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engage</w:t>
            </w:r>
          </w:p>
        </w:tc>
        <w:tc>
          <w:tcPr>
            <w:tcW w:w="850" w:type="dxa"/>
            <w:tcBorders>
              <w:top w:val="single" w:sz="4" w:space="0" w:color="auto"/>
              <w:left w:val="nil"/>
              <w:bottom w:val="single" w:sz="4" w:space="0" w:color="auto"/>
              <w:right w:val="single" w:sz="4" w:space="0" w:color="auto"/>
            </w:tcBorders>
            <w:shd w:val="clear" w:color="000000" w:fill="555555"/>
            <w:noWrap/>
            <w:vAlign w:val="bottom"/>
            <w:hideMark/>
          </w:tcPr>
          <w:p w14:paraId="16E08EC5" w14:textId="1F8002F1"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engross</w:t>
            </w:r>
          </w:p>
        </w:tc>
        <w:tc>
          <w:tcPr>
            <w:tcW w:w="744" w:type="dxa"/>
            <w:tcBorders>
              <w:top w:val="single" w:sz="4" w:space="0" w:color="auto"/>
              <w:left w:val="nil"/>
              <w:bottom w:val="single" w:sz="4" w:space="0" w:color="auto"/>
              <w:right w:val="single" w:sz="4" w:space="0" w:color="auto"/>
            </w:tcBorders>
            <w:shd w:val="clear" w:color="000000" w:fill="555555"/>
            <w:noWrap/>
            <w:vAlign w:val="bottom"/>
            <w:hideMark/>
          </w:tcPr>
          <w:p w14:paraId="3FD1D81C" w14:textId="62D22709"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expert</w:t>
            </w:r>
          </w:p>
        </w:tc>
        <w:tc>
          <w:tcPr>
            <w:tcW w:w="808" w:type="dxa"/>
            <w:tcBorders>
              <w:top w:val="single" w:sz="4" w:space="0" w:color="auto"/>
              <w:left w:val="nil"/>
              <w:bottom w:val="single" w:sz="4" w:space="0" w:color="auto"/>
              <w:right w:val="single" w:sz="4" w:space="0" w:color="auto"/>
            </w:tcBorders>
            <w:shd w:val="clear" w:color="000000" w:fill="555555"/>
            <w:noWrap/>
            <w:vAlign w:val="bottom"/>
            <w:hideMark/>
          </w:tcPr>
          <w:p w14:paraId="705C7B04"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fluency</w:t>
            </w:r>
          </w:p>
        </w:tc>
        <w:tc>
          <w:tcPr>
            <w:tcW w:w="712" w:type="dxa"/>
            <w:gridSpan w:val="2"/>
            <w:tcBorders>
              <w:top w:val="single" w:sz="4" w:space="0" w:color="auto"/>
              <w:left w:val="nil"/>
              <w:bottom w:val="single" w:sz="4" w:space="0" w:color="auto"/>
              <w:right w:val="single" w:sz="4" w:space="0" w:color="auto"/>
            </w:tcBorders>
            <w:shd w:val="clear" w:color="000000" w:fill="555555"/>
            <w:noWrap/>
            <w:vAlign w:val="bottom"/>
            <w:hideMark/>
          </w:tcPr>
          <w:p w14:paraId="26E84848"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image</w:t>
            </w:r>
          </w:p>
        </w:tc>
        <w:tc>
          <w:tcPr>
            <w:tcW w:w="713" w:type="dxa"/>
            <w:tcBorders>
              <w:top w:val="single" w:sz="4" w:space="0" w:color="auto"/>
              <w:left w:val="nil"/>
              <w:bottom w:val="single" w:sz="4" w:space="0" w:color="auto"/>
              <w:right w:val="single" w:sz="4" w:space="0" w:color="auto"/>
            </w:tcBorders>
            <w:shd w:val="clear" w:color="000000" w:fill="555555"/>
            <w:noWrap/>
            <w:vAlign w:val="bottom"/>
            <w:hideMark/>
          </w:tcPr>
          <w:p w14:paraId="3829C780"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info</w:t>
            </w:r>
          </w:p>
        </w:tc>
        <w:tc>
          <w:tcPr>
            <w:tcW w:w="672" w:type="dxa"/>
            <w:tcBorders>
              <w:top w:val="single" w:sz="4" w:space="0" w:color="auto"/>
              <w:left w:val="nil"/>
              <w:bottom w:val="single" w:sz="4" w:space="0" w:color="auto"/>
              <w:right w:val="single" w:sz="4" w:space="0" w:color="auto"/>
            </w:tcBorders>
            <w:shd w:val="clear" w:color="000000" w:fill="555555"/>
            <w:noWrap/>
            <w:vAlign w:val="bottom"/>
            <w:hideMark/>
          </w:tcPr>
          <w:p w14:paraId="35D74F12"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invlv</w:t>
            </w:r>
          </w:p>
        </w:tc>
        <w:tc>
          <w:tcPr>
            <w:tcW w:w="672" w:type="dxa"/>
            <w:tcBorders>
              <w:top w:val="single" w:sz="4" w:space="0" w:color="auto"/>
              <w:left w:val="nil"/>
              <w:bottom w:val="single" w:sz="4" w:space="0" w:color="auto"/>
              <w:right w:val="single" w:sz="4" w:space="0" w:color="auto"/>
            </w:tcBorders>
            <w:shd w:val="clear" w:color="000000" w:fill="555555"/>
            <w:noWrap/>
            <w:vAlign w:val="bottom"/>
            <w:hideMark/>
          </w:tcPr>
          <w:p w14:paraId="200129A7"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norm</w:t>
            </w:r>
          </w:p>
        </w:tc>
        <w:tc>
          <w:tcPr>
            <w:tcW w:w="915" w:type="dxa"/>
            <w:gridSpan w:val="4"/>
            <w:tcBorders>
              <w:top w:val="single" w:sz="4" w:space="0" w:color="auto"/>
              <w:left w:val="nil"/>
              <w:bottom w:val="single" w:sz="4" w:space="0" w:color="auto"/>
              <w:right w:val="single" w:sz="4" w:space="0" w:color="auto"/>
            </w:tcBorders>
            <w:shd w:val="clear" w:color="000000" w:fill="555555"/>
            <w:noWrap/>
            <w:vAlign w:val="bottom"/>
            <w:hideMark/>
          </w:tcPr>
          <w:p w14:paraId="67A7A36A"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pleasure</w:t>
            </w:r>
          </w:p>
        </w:tc>
        <w:tc>
          <w:tcPr>
            <w:tcW w:w="1052" w:type="dxa"/>
            <w:gridSpan w:val="3"/>
            <w:tcBorders>
              <w:top w:val="single" w:sz="4" w:space="0" w:color="auto"/>
              <w:left w:val="nil"/>
              <w:bottom w:val="single" w:sz="4" w:space="0" w:color="auto"/>
              <w:right w:val="single" w:sz="4" w:space="0" w:color="auto"/>
            </w:tcBorders>
            <w:shd w:val="clear" w:color="000000" w:fill="555555"/>
            <w:noWrap/>
            <w:vAlign w:val="bottom"/>
            <w:hideMark/>
          </w:tcPr>
          <w:p w14:paraId="2534F8BE" w14:textId="77777777" w:rsidR="00205187" w:rsidRPr="00FC3C5A" w:rsidRDefault="00205187" w:rsidP="00FC3C5A">
            <w:pPr>
              <w:spacing w:after="0" w:line="240" w:lineRule="auto"/>
              <w:jc w:val="right"/>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projection</w:t>
            </w:r>
          </w:p>
        </w:tc>
      </w:tr>
      <w:tr w:rsidR="00205187" w:rsidRPr="00014FB2" w14:paraId="44D98BFD" w14:textId="77777777" w:rsidTr="00205187">
        <w:trPr>
          <w:gridAfter w:val="4"/>
          <w:wAfter w:w="3979" w:type="dxa"/>
          <w:trHeight w:val="300"/>
        </w:trPr>
        <w:tc>
          <w:tcPr>
            <w:tcW w:w="1278"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74451AE1"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Arousal</w:t>
            </w:r>
          </w:p>
        </w:tc>
        <w:tc>
          <w:tcPr>
            <w:tcW w:w="894" w:type="dxa"/>
            <w:gridSpan w:val="3"/>
            <w:tcBorders>
              <w:top w:val="nil"/>
              <w:left w:val="nil"/>
              <w:bottom w:val="single" w:sz="4" w:space="0" w:color="auto"/>
              <w:right w:val="single" w:sz="4" w:space="0" w:color="auto"/>
            </w:tcBorders>
            <w:shd w:val="clear" w:color="000000" w:fill="FFFF00"/>
            <w:noWrap/>
            <w:vAlign w:val="bottom"/>
            <w:hideMark/>
          </w:tcPr>
          <w:p w14:paraId="1A25130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0.748</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1B573BE0"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7CA0B56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69" w:type="dxa"/>
            <w:tcBorders>
              <w:top w:val="nil"/>
              <w:left w:val="nil"/>
              <w:bottom w:val="single" w:sz="4" w:space="0" w:color="auto"/>
              <w:right w:val="single" w:sz="4" w:space="0" w:color="auto"/>
            </w:tcBorders>
            <w:shd w:val="clear" w:color="auto" w:fill="auto"/>
            <w:noWrap/>
            <w:vAlign w:val="bottom"/>
            <w:hideMark/>
          </w:tcPr>
          <w:p w14:paraId="523664D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0BC682FD"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vAlign w:val="bottom"/>
            <w:hideMark/>
          </w:tcPr>
          <w:p w14:paraId="599BEE50"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E125B10"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313C532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724EA694"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4E596A6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5755091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744B100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7EB381E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478AC01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30F868C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573EF9FD"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68DC4AFD"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Behaviour</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6635C33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0.221</w:t>
            </w:r>
          </w:p>
        </w:tc>
        <w:tc>
          <w:tcPr>
            <w:tcW w:w="1042" w:type="dxa"/>
            <w:gridSpan w:val="2"/>
            <w:tcBorders>
              <w:top w:val="nil"/>
              <w:left w:val="nil"/>
              <w:bottom w:val="single" w:sz="4" w:space="0" w:color="auto"/>
              <w:right w:val="single" w:sz="4" w:space="0" w:color="auto"/>
            </w:tcBorders>
            <w:shd w:val="clear" w:color="000000" w:fill="FFFF00"/>
            <w:noWrap/>
            <w:vAlign w:val="bottom"/>
            <w:hideMark/>
          </w:tcPr>
          <w:p w14:paraId="378E359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0.889</w:t>
            </w:r>
          </w:p>
        </w:tc>
        <w:tc>
          <w:tcPr>
            <w:tcW w:w="958" w:type="dxa"/>
            <w:tcBorders>
              <w:top w:val="nil"/>
              <w:left w:val="nil"/>
              <w:bottom w:val="single" w:sz="4" w:space="0" w:color="auto"/>
              <w:right w:val="single" w:sz="4" w:space="0" w:color="auto"/>
            </w:tcBorders>
            <w:shd w:val="clear" w:color="auto" w:fill="auto"/>
            <w:noWrap/>
            <w:vAlign w:val="bottom"/>
            <w:hideMark/>
          </w:tcPr>
          <w:p w14:paraId="65AAFFA7"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69" w:type="dxa"/>
            <w:tcBorders>
              <w:top w:val="nil"/>
              <w:left w:val="nil"/>
              <w:bottom w:val="single" w:sz="4" w:space="0" w:color="auto"/>
              <w:right w:val="single" w:sz="4" w:space="0" w:color="auto"/>
            </w:tcBorders>
            <w:shd w:val="clear" w:color="auto" w:fill="auto"/>
            <w:noWrap/>
            <w:vAlign w:val="bottom"/>
            <w:hideMark/>
          </w:tcPr>
          <w:p w14:paraId="6CBB807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703C1DF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vAlign w:val="bottom"/>
            <w:hideMark/>
          </w:tcPr>
          <w:p w14:paraId="4D5734C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5905CE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E48127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1DF9E45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16BA519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04D8381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75EB987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6A4551E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006476D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2930FBF7"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570BEB52"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26093D2C"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Purchase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4B7C87CB"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0.499</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0372432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0.337</w:t>
            </w:r>
          </w:p>
        </w:tc>
        <w:tc>
          <w:tcPr>
            <w:tcW w:w="958" w:type="dxa"/>
            <w:tcBorders>
              <w:top w:val="nil"/>
              <w:left w:val="nil"/>
              <w:bottom w:val="single" w:sz="4" w:space="0" w:color="auto"/>
              <w:right w:val="single" w:sz="4" w:space="0" w:color="auto"/>
            </w:tcBorders>
            <w:shd w:val="clear" w:color="000000" w:fill="FFFF00"/>
            <w:noWrap/>
            <w:vAlign w:val="bottom"/>
            <w:hideMark/>
          </w:tcPr>
          <w:p w14:paraId="5187D350"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0.854</w:t>
            </w:r>
          </w:p>
        </w:tc>
        <w:tc>
          <w:tcPr>
            <w:tcW w:w="869" w:type="dxa"/>
            <w:tcBorders>
              <w:top w:val="nil"/>
              <w:left w:val="nil"/>
              <w:bottom w:val="single" w:sz="4" w:space="0" w:color="auto"/>
              <w:right w:val="single" w:sz="4" w:space="0" w:color="auto"/>
            </w:tcBorders>
            <w:shd w:val="clear" w:color="auto" w:fill="auto"/>
            <w:noWrap/>
            <w:vAlign w:val="bottom"/>
            <w:hideMark/>
          </w:tcPr>
          <w:p w14:paraId="5BA3EA3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3A5DDC1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vAlign w:val="bottom"/>
            <w:hideMark/>
          </w:tcPr>
          <w:p w14:paraId="3DD1EF9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39E26B3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3E392A7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321F54F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770AC4D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732D7E4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33519F64"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5D5C8B14"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4250709B"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22FCCB3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41859DDB"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388BDAAE"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attitude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6851248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0.440</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0BF2DDF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0.338</w:t>
            </w:r>
          </w:p>
        </w:tc>
        <w:tc>
          <w:tcPr>
            <w:tcW w:w="958" w:type="dxa"/>
            <w:tcBorders>
              <w:top w:val="nil"/>
              <w:left w:val="nil"/>
              <w:bottom w:val="single" w:sz="4" w:space="0" w:color="auto"/>
              <w:right w:val="single" w:sz="4" w:space="0" w:color="auto"/>
            </w:tcBorders>
            <w:shd w:val="clear" w:color="auto" w:fill="auto"/>
            <w:noWrap/>
            <w:vAlign w:val="bottom"/>
            <w:hideMark/>
          </w:tcPr>
          <w:p w14:paraId="7F39B91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0.555</w:t>
            </w:r>
          </w:p>
        </w:tc>
        <w:tc>
          <w:tcPr>
            <w:tcW w:w="869" w:type="dxa"/>
            <w:tcBorders>
              <w:top w:val="nil"/>
              <w:left w:val="nil"/>
              <w:bottom w:val="single" w:sz="4" w:space="0" w:color="auto"/>
              <w:right w:val="single" w:sz="4" w:space="0" w:color="auto"/>
            </w:tcBorders>
            <w:shd w:val="clear" w:color="000000" w:fill="FFFF00"/>
            <w:noWrap/>
            <w:vAlign w:val="bottom"/>
            <w:hideMark/>
          </w:tcPr>
          <w:p w14:paraId="720A4D5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0.931</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10453415"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vAlign w:val="bottom"/>
            <w:hideMark/>
          </w:tcPr>
          <w:p w14:paraId="49EBD5AE"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7715C0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52E5A23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4E8CC7B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09D65FA5"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001FFE35"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6667F2B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3CD86BC5"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55AB396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24C5561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497B70DF"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3E05B60C"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dominance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7C25BBE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0.311</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EA5988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0.156</w:t>
            </w:r>
          </w:p>
        </w:tc>
        <w:tc>
          <w:tcPr>
            <w:tcW w:w="958" w:type="dxa"/>
            <w:tcBorders>
              <w:top w:val="nil"/>
              <w:left w:val="nil"/>
              <w:bottom w:val="single" w:sz="4" w:space="0" w:color="auto"/>
              <w:right w:val="single" w:sz="4" w:space="0" w:color="auto"/>
            </w:tcBorders>
            <w:shd w:val="clear" w:color="auto" w:fill="auto"/>
            <w:noWrap/>
            <w:vAlign w:val="bottom"/>
            <w:hideMark/>
          </w:tcPr>
          <w:p w14:paraId="41DA562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0.340</w:t>
            </w:r>
          </w:p>
        </w:tc>
        <w:tc>
          <w:tcPr>
            <w:tcW w:w="869" w:type="dxa"/>
            <w:tcBorders>
              <w:top w:val="nil"/>
              <w:left w:val="nil"/>
              <w:bottom w:val="single" w:sz="4" w:space="0" w:color="auto"/>
              <w:right w:val="single" w:sz="4" w:space="0" w:color="auto"/>
            </w:tcBorders>
            <w:shd w:val="clear" w:color="auto" w:fill="auto"/>
            <w:noWrap/>
            <w:vAlign w:val="bottom"/>
            <w:hideMark/>
          </w:tcPr>
          <w:p w14:paraId="2383094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0.422</w:t>
            </w:r>
          </w:p>
        </w:tc>
        <w:tc>
          <w:tcPr>
            <w:tcW w:w="1123" w:type="dxa"/>
            <w:gridSpan w:val="2"/>
            <w:tcBorders>
              <w:top w:val="nil"/>
              <w:left w:val="nil"/>
              <w:bottom w:val="single" w:sz="4" w:space="0" w:color="auto"/>
              <w:right w:val="single" w:sz="4" w:space="0" w:color="auto"/>
            </w:tcBorders>
            <w:shd w:val="clear" w:color="000000" w:fill="FFFF00"/>
            <w:noWrap/>
            <w:vAlign w:val="bottom"/>
            <w:hideMark/>
          </w:tcPr>
          <w:p w14:paraId="750759E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0.584</w:t>
            </w:r>
          </w:p>
        </w:tc>
        <w:tc>
          <w:tcPr>
            <w:tcW w:w="819" w:type="dxa"/>
            <w:tcBorders>
              <w:top w:val="nil"/>
              <w:left w:val="nil"/>
              <w:bottom w:val="single" w:sz="4" w:space="0" w:color="auto"/>
              <w:right w:val="single" w:sz="4" w:space="0" w:color="auto"/>
            </w:tcBorders>
            <w:shd w:val="clear" w:color="auto" w:fill="auto"/>
            <w:noWrap/>
            <w:vAlign w:val="bottom"/>
            <w:hideMark/>
          </w:tcPr>
          <w:p w14:paraId="3610075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1FF5B4ED"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302A9D4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6DE1451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7624BDC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7A91522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3408D04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512AD2E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72E936E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77EC90C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081DEA5E"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1FA5EC9C"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engagement</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3B72EF18"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0.488</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34B3E1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0.283</w:t>
            </w:r>
          </w:p>
        </w:tc>
        <w:tc>
          <w:tcPr>
            <w:tcW w:w="958" w:type="dxa"/>
            <w:tcBorders>
              <w:top w:val="nil"/>
              <w:left w:val="nil"/>
              <w:bottom w:val="single" w:sz="4" w:space="0" w:color="auto"/>
              <w:right w:val="single" w:sz="4" w:space="0" w:color="auto"/>
            </w:tcBorders>
            <w:shd w:val="clear" w:color="auto" w:fill="auto"/>
            <w:noWrap/>
            <w:vAlign w:val="bottom"/>
            <w:hideMark/>
          </w:tcPr>
          <w:p w14:paraId="3898DD8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0.577</w:t>
            </w:r>
          </w:p>
        </w:tc>
        <w:tc>
          <w:tcPr>
            <w:tcW w:w="869" w:type="dxa"/>
            <w:tcBorders>
              <w:top w:val="nil"/>
              <w:left w:val="nil"/>
              <w:bottom w:val="single" w:sz="4" w:space="0" w:color="auto"/>
              <w:right w:val="single" w:sz="4" w:space="0" w:color="auto"/>
            </w:tcBorders>
            <w:shd w:val="clear" w:color="auto" w:fill="auto"/>
            <w:noWrap/>
            <w:vAlign w:val="bottom"/>
            <w:hideMark/>
          </w:tcPr>
          <w:p w14:paraId="340AFB1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0.531</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2450808C"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0.359</w:t>
            </w:r>
          </w:p>
        </w:tc>
        <w:tc>
          <w:tcPr>
            <w:tcW w:w="819" w:type="dxa"/>
            <w:tcBorders>
              <w:top w:val="nil"/>
              <w:left w:val="nil"/>
              <w:bottom w:val="single" w:sz="4" w:space="0" w:color="auto"/>
              <w:right w:val="single" w:sz="4" w:space="0" w:color="auto"/>
            </w:tcBorders>
            <w:shd w:val="clear" w:color="000000" w:fill="FFFF00"/>
            <w:noWrap/>
            <w:vAlign w:val="bottom"/>
            <w:hideMark/>
          </w:tcPr>
          <w:p w14:paraId="3F603BB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0.769</w:t>
            </w:r>
          </w:p>
        </w:tc>
        <w:tc>
          <w:tcPr>
            <w:tcW w:w="850" w:type="dxa"/>
            <w:tcBorders>
              <w:top w:val="nil"/>
              <w:left w:val="nil"/>
              <w:bottom w:val="single" w:sz="4" w:space="0" w:color="auto"/>
              <w:right w:val="single" w:sz="4" w:space="0" w:color="auto"/>
            </w:tcBorders>
            <w:shd w:val="clear" w:color="auto" w:fill="auto"/>
            <w:noWrap/>
            <w:vAlign w:val="bottom"/>
            <w:hideMark/>
          </w:tcPr>
          <w:p w14:paraId="69E0F3C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F476D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3E7F679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38B5540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1F65AAB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1A54342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2B62BDE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061BFDB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7AE040AB"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2192A9D3"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7EB4D091"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engrossment</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79B2424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0.237</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6A4DA48"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0.002</w:t>
            </w:r>
          </w:p>
        </w:tc>
        <w:tc>
          <w:tcPr>
            <w:tcW w:w="958" w:type="dxa"/>
            <w:tcBorders>
              <w:top w:val="nil"/>
              <w:left w:val="nil"/>
              <w:bottom w:val="single" w:sz="4" w:space="0" w:color="auto"/>
              <w:right w:val="single" w:sz="4" w:space="0" w:color="auto"/>
            </w:tcBorders>
            <w:shd w:val="clear" w:color="auto" w:fill="auto"/>
            <w:noWrap/>
            <w:vAlign w:val="bottom"/>
            <w:hideMark/>
          </w:tcPr>
          <w:p w14:paraId="3D56E32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0.142</w:t>
            </w:r>
          </w:p>
        </w:tc>
        <w:tc>
          <w:tcPr>
            <w:tcW w:w="869" w:type="dxa"/>
            <w:tcBorders>
              <w:top w:val="nil"/>
              <w:left w:val="nil"/>
              <w:bottom w:val="single" w:sz="4" w:space="0" w:color="auto"/>
              <w:right w:val="single" w:sz="4" w:space="0" w:color="auto"/>
            </w:tcBorders>
            <w:shd w:val="clear" w:color="auto" w:fill="auto"/>
            <w:noWrap/>
            <w:vAlign w:val="bottom"/>
            <w:hideMark/>
          </w:tcPr>
          <w:p w14:paraId="0FA9A1D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0.093</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79B2C54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0.039</w:t>
            </w:r>
          </w:p>
        </w:tc>
        <w:tc>
          <w:tcPr>
            <w:tcW w:w="819" w:type="dxa"/>
            <w:tcBorders>
              <w:top w:val="nil"/>
              <w:left w:val="nil"/>
              <w:bottom w:val="single" w:sz="4" w:space="0" w:color="auto"/>
              <w:right w:val="single" w:sz="4" w:space="0" w:color="auto"/>
            </w:tcBorders>
            <w:shd w:val="clear" w:color="auto" w:fill="auto"/>
            <w:noWrap/>
            <w:vAlign w:val="bottom"/>
            <w:hideMark/>
          </w:tcPr>
          <w:p w14:paraId="5A46ADD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0.248</w:t>
            </w:r>
          </w:p>
        </w:tc>
        <w:tc>
          <w:tcPr>
            <w:tcW w:w="850" w:type="dxa"/>
            <w:tcBorders>
              <w:top w:val="nil"/>
              <w:left w:val="nil"/>
              <w:bottom w:val="single" w:sz="4" w:space="0" w:color="auto"/>
              <w:right w:val="single" w:sz="4" w:space="0" w:color="auto"/>
            </w:tcBorders>
            <w:shd w:val="clear" w:color="000000" w:fill="FFFF00"/>
            <w:noWrap/>
            <w:vAlign w:val="bottom"/>
            <w:hideMark/>
          </w:tcPr>
          <w:p w14:paraId="648755A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0.814</w:t>
            </w:r>
          </w:p>
        </w:tc>
        <w:tc>
          <w:tcPr>
            <w:tcW w:w="744" w:type="dxa"/>
            <w:tcBorders>
              <w:top w:val="nil"/>
              <w:left w:val="nil"/>
              <w:bottom w:val="single" w:sz="4" w:space="0" w:color="auto"/>
              <w:right w:val="single" w:sz="4" w:space="0" w:color="auto"/>
            </w:tcBorders>
            <w:shd w:val="clear" w:color="auto" w:fill="auto"/>
            <w:noWrap/>
            <w:vAlign w:val="bottom"/>
            <w:hideMark/>
          </w:tcPr>
          <w:p w14:paraId="36EF1934"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808" w:type="dxa"/>
            <w:tcBorders>
              <w:top w:val="nil"/>
              <w:left w:val="nil"/>
              <w:bottom w:val="single" w:sz="4" w:space="0" w:color="auto"/>
              <w:right w:val="single" w:sz="4" w:space="0" w:color="auto"/>
            </w:tcBorders>
            <w:shd w:val="clear" w:color="auto" w:fill="auto"/>
            <w:noWrap/>
            <w:vAlign w:val="bottom"/>
            <w:hideMark/>
          </w:tcPr>
          <w:p w14:paraId="0DA6B8AF"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5007CE6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5686A53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067D916B"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1A406634"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339D9270"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3F079958"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5296263E"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1289C9DD"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expertise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4B11DE5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0.327</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078B1B7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0.159</w:t>
            </w:r>
          </w:p>
        </w:tc>
        <w:tc>
          <w:tcPr>
            <w:tcW w:w="958" w:type="dxa"/>
            <w:tcBorders>
              <w:top w:val="nil"/>
              <w:left w:val="nil"/>
              <w:bottom w:val="single" w:sz="4" w:space="0" w:color="auto"/>
              <w:right w:val="single" w:sz="4" w:space="0" w:color="auto"/>
            </w:tcBorders>
            <w:shd w:val="clear" w:color="auto" w:fill="auto"/>
            <w:noWrap/>
            <w:vAlign w:val="bottom"/>
            <w:hideMark/>
          </w:tcPr>
          <w:p w14:paraId="7EA8E9E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0.407</w:t>
            </w:r>
          </w:p>
        </w:tc>
        <w:tc>
          <w:tcPr>
            <w:tcW w:w="869" w:type="dxa"/>
            <w:tcBorders>
              <w:top w:val="nil"/>
              <w:left w:val="nil"/>
              <w:bottom w:val="single" w:sz="4" w:space="0" w:color="auto"/>
              <w:right w:val="single" w:sz="4" w:space="0" w:color="auto"/>
            </w:tcBorders>
            <w:shd w:val="clear" w:color="auto" w:fill="auto"/>
            <w:noWrap/>
            <w:vAlign w:val="bottom"/>
            <w:hideMark/>
          </w:tcPr>
          <w:p w14:paraId="36A2113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0.412</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027C40F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0.226</w:t>
            </w:r>
          </w:p>
        </w:tc>
        <w:tc>
          <w:tcPr>
            <w:tcW w:w="819" w:type="dxa"/>
            <w:tcBorders>
              <w:top w:val="nil"/>
              <w:left w:val="nil"/>
              <w:bottom w:val="single" w:sz="4" w:space="0" w:color="auto"/>
              <w:right w:val="single" w:sz="4" w:space="0" w:color="auto"/>
            </w:tcBorders>
            <w:shd w:val="clear" w:color="auto" w:fill="auto"/>
            <w:noWrap/>
            <w:vAlign w:val="bottom"/>
            <w:hideMark/>
          </w:tcPr>
          <w:p w14:paraId="73D4AAC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0.459</w:t>
            </w:r>
          </w:p>
        </w:tc>
        <w:tc>
          <w:tcPr>
            <w:tcW w:w="850" w:type="dxa"/>
            <w:tcBorders>
              <w:top w:val="nil"/>
              <w:left w:val="nil"/>
              <w:bottom w:val="single" w:sz="4" w:space="0" w:color="auto"/>
              <w:right w:val="single" w:sz="4" w:space="0" w:color="auto"/>
            </w:tcBorders>
            <w:shd w:val="clear" w:color="auto" w:fill="auto"/>
            <w:noWrap/>
            <w:vAlign w:val="bottom"/>
            <w:hideMark/>
          </w:tcPr>
          <w:p w14:paraId="40A881D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0.165</w:t>
            </w:r>
          </w:p>
        </w:tc>
        <w:tc>
          <w:tcPr>
            <w:tcW w:w="744" w:type="dxa"/>
            <w:tcBorders>
              <w:top w:val="nil"/>
              <w:left w:val="nil"/>
              <w:bottom w:val="single" w:sz="4" w:space="0" w:color="auto"/>
              <w:right w:val="single" w:sz="4" w:space="0" w:color="auto"/>
            </w:tcBorders>
            <w:shd w:val="clear" w:color="000000" w:fill="FFFF00"/>
            <w:noWrap/>
            <w:vAlign w:val="bottom"/>
            <w:hideMark/>
          </w:tcPr>
          <w:p w14:paraId="1B89F51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0.913</w:t>
            </w:r>
          </w:p>
        </w:tc>
        <w:tc>
          <w:tcPr>
            <w:tcW w:w="808" w:type="dxa"/>
            <w:tcBorders>
              <w:top w:val="nil"/>
              <w:left w:val="nil"/>
              <w:bottom w:val="single" w:sz="4" w:space="0" w:color="auto"/>
              <w:right w:val="single" w:sz="4" w:space="0" w:color="auto"/>
            </w:tcBorders>
            <w:shd w:val="clear" w:color="auto" w:fill="auto"/>
            <w:noWrap/>
            <w:vAlign w:val="bottom"/>
            <w:hideMark/>
          </w:tcPr>
          <w:p w14:paraId="168C40F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1DA5BDEB"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7A73A6F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41D8BC87"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32C5517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56D26A6A"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614942D7"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5C731D8E"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65460731"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fluency</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4A8EC78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0.402</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62887E7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0.252</w:t>
            </w:r>
          </w:p>
        </w:tc>
        <w:tc>
          <w:tcPr>
            <w:tcW w:w="958" w:type="dxa"/>
            <w:tcBorders>
              <w:top w:val="nil"/>
              <w:left w:val="nil"/>
              <w:bottom w:val="single" w:sz="4" w:space="0" w:color="auto"/>
              <w:right w:val="single" w:sz="4" w:space="0" w:color="auto"/>
            </w:tcBorders>
            <w:shd w:val="clear" w:color="auto" w:fill="auto"/>
            <w:noWrap/>
            <w:vAlign w:val="bottom"/>
            <w:hideMark/>
          </w:tcPr>
          <w:p w14:paraId="2969B7CA"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0.474</w:t>
            </w:r>
          </w:p>
        </w:tc>
        <w:tc>
          <w:tcPr>
            <w:tcW w:w="869" w:type="dxa"/>
            <w:tcBorders>
              <w:top w:val="nil"/>
              <w:left w:val="nil"/>
              <w:bottom w:val="single" w:sz="4" w:space="0" w:color="auto"/>
              <w:right w:val="single" w:sz="4" w:space="0" w:color="auto"/>
            </w:tcBorders>
            <w:shd w:val="clear" w:color="auto" w:fill="auto"/>
            <w:noWrap/>
            <w:vAlign w:val="bottom"/>
            <w:hideMark/>
          </w:tcPr>
          <w:p w14:paraId="745C491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0.491</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136CEE4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0.314</w:t>
            </w:r>
          </w:p>
        </w:tc>
        <w:tc>
          <w:tcPr>
            <w:tcW w:w="819" w:type="dxa"/>
            <w:tcBorders>
              <w:top w:val="nil"/>
              <w:left w:val="nil"/>
              <w:bottom w:val="single" w:sz="4" w:space="0" w:color="auto"/>
              <w:right w:val="single" w:sz="4" w:space="0" w:color="auto"/>
            </w:tcBorders>
            <w:shd w:val="clear" w:color="auto" w:fill="auto"/>
            <w:noWrap/>
            <w:vAlign w:val="bottom"/>
            <w:hideMark/>
          </w:tcPr>
          <w:p w14:paraId="54FD8ABB"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0.455</w:t>
            </w:r>
          </w:p>
        </w:tc>
        <w:tc>
          <w:tcPr>
            <w:tcW w:w="850" w:type="dxa"/>
            <w:tcBorders>
              <w:top w:val="nil"/>
              <w:left w:val="nil"/>
              <w:bottom w:val="single" w:sz="4" w:space="0" w:color="auto"/>
              <w:right w:val="single" w:sz="4" w:space="0" w:color="auto"/>
            </w:tcBorders>
            <w:shd w:val="clear" w:color="auto" w:fill="auto"/>
            <w:noWrap/>
            <w:vAlign w:val="bottom"/>
            <w:hideMark/>
          </w:tcPr>
          <w:p w14:paraId="1DC0149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0.205</w:t>
            </w:r>
          </w:p>
        </w:tc>
        <w:tc>
          <w:tcPr>
            <w:tcW w:w="744" w:type="dxa"/>
            <w:tcBorders>
              <w:top w:val="nil"/>
              <w:left w:val="nil"/>
              <w:bottom w:val="single" w:sz="4" w:space="0" w:color="auto"/>
              <w:right w:val="single" w:sz="4" w:space="0" w:color="auto"/>
            </w:tcBorders>
            <w:shd w:val="clear" w:color="auto" w:fill="auto"/>
            <w:noWrap/>
            <w:vAlign w:val="bottom"/>
            <w:hideMark/>
          </w:tcPr>
          <w:p w14:paraId="6CE25A2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0.328</w:t>
            </w:r>
          </w:p>
        </w:tc>
        <w:tc>
          <w:tcPr>
            <w:tcW w:w="808" w:type="dxa"/>
            <w:tcBorders>
              <w:top w:val="nil"/>
              <w:left w:val="nil"/>
              <w:bottom w:val="single" w:sz="4" w:space="0" w:color="auto"/>
              <w:right w:val="single" w:sz="4" w:space="0" w:color="auto"/>
            </w:tcBorders>
            <w:shd w:val="clear" w:color="000000" w:fill="FFFF00"/>
            <w:noWrap/>
            <w:vAlign w:val="bottom"/>
            <w:hideMark/>
          </w:tcPr>
          <w:p w14:paraId="42A8F1E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1.000</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6654975C"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713" w:type="dxa"/>
            <w:tcBorders>
              <w:top w:val="nil"/>
              <w:left w:val="nil"/>
              <w:bottom w:val="single" w:sz="4" w:space="0" w:color="auto"/>
              <w:right w:val="single" w:sz="4" w:space="0" w:color="auto"/>
            </w:tcBorders>
            <w:shd w:val="clear" w:color="auto" w:fill="auto"/>
            <w:noWrap/>
            <w:vAlign w:val="bottom"/>
            <w:hideMark/>
          </w:tcPr>
          <w:p w14:paraId="563F94F7"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60429AD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763A7B5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3C9AF85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20364148"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1E5EA00C"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4741A57B"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image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3C7631C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0.417</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1D6188A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0.231</w:t>
            </w:r>
          </w:p>
        </w:tc>
        <w:tc>
          <w:tcPr>
            <w:tcW w:w="958" w:type="dxa"/>
            <w:tcBorders>
              <w:top w:val="nil"/>
              <w:left w:val="nil"/>
              <w:bottom w:val="single" w:sz="4" w:space="0" w:color="auto"/>
              <w:right w:val="single" w:sz="4" w:space="0" w:color="auto"/>
            </w:tcBorders>
            <w:shd w:val="clear" w:color="auto" w:fill="auto"/>
            <w:noWrap/>
            <w:vAlign w:val="bottom"/>
            <w:hideMark/>
          </w:tcPr>
          <w:p w14:paraId="41C50A5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0.538</w:t>
            </w:r>
          </w:p>
        </w:tc>
        <w:tc>
          <w:tcPr>
            <w:tcW w:w="869" w:type="dxa"/>
            <w:tcBorders>
              <w:top w:val="nil"/>
              <w:left w:val="nil"/>
              <w:bottom w:val="single" w:sz="4" w:space="0" w:color="auto"/>
              <w:right w:val="single" w:sz="4" w:space="0" w:color="auto"/>
            </w:tcBorders>
            <w:shd w:val="clear" w:color="auto" w:fill="auto"/>
            <w:noWrap/>
            <w:vAlign w:val="bottom"/>
            <w:hideMark/>
          </w:tcPr>
          <w:p w14:paraId="6707881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0.498</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26FCB2B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0.358</w:t>
            </w:r>
          </w:p>
        </w:tc>
        <w:tc>
          <w:tcPr>
            <w:tcW w:w="819" w:type="dxa"/>
            <w:tcBorders>
              <w:top w:val="nil"/>
              <w:left w:val="nil"/>
              <w:bottom w:val="single" w:sz="4" w:space="0" w:color="auto"/>
              <w:right w:val="single" w:sz="4" w:space="0" w:color="auto"/>
            </w:tcBorders>
            <w:shd w:val="clear" w:color="auto" w:fill="auto"/>
            <w:noWrap/>
            <w:vAlign w:val="bottom"/>
            <w:hideMark/>
          </w:tcPr>
          <w:p w14:paraId="4760366C"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0.436</w:t>
            </w:r>
          </w:p>
        </w:tc>
        <w:tc>
          <w:tcPr>
            <w:tcW w:w="850" w:type="dxa"/>
            <w:tcBorders>
              <w:top w:val="nil"/>
              <w:left w:val="nil"/>
              <w:bottom w:val="single" w:sz="4" w:space="0" w:color="auto"/>
              <w:right w:val="single" w:sz="4" w:space="0" w:color="auto"/>
            </w:tcBorders>
            <w:shd w:val="clear" w:color="auto" w:fill="auto"/>
            <w:noWrap/>
            <w:vAlign w:val="bottom"/>
            <w:hideMark/>
          </w:tcPr>
          <w:p w14:paraId="5114AC5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0.222</w:t>
            </w:r>
          </w:p>
        </w:tc>
        <w:tc>
          <w:tcPr>
            <w:tcW w:w="744" w:type="dxa"/>
            <w:tcBorders>
              <w:top w:val="nil"/>
              <w:left w:val="nil"/>
              <w:bottom w:val="single" w:sz="4" w:space="0" w:color="auto"/>
              <w:right w:val="single" w:sz="4" w:space="0" w:color="auto"/>
            </w:tcBorders>
            <w:shd w:val="clear" w:color="auto" w:fill="auto"/>
            <w:noWrap/>
            <w:vAlign w:val="bottom"/>
            <w:hideMark/>
          </w:tcPr>
          <w:p w14:paraId="21238C8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0.392</w:t>
            </w:r>
          </w:p>
        </w:tc>
        <w:tc>
          <w:tcPr>
            <w:tcW w:w="808" w:type="dxa"/>
            <w:tcBorders>
              <w:top w:val="nil"/>
              <w:left w:val="nil"/>
              <w:bottom w:val="single" w:sz="4" w:space="0" w:color="auto"/>
              <w:right w:val="single" w:sz="4" w:space="0" w:color="auto"/>
            </w:tcBorders>
            <w:shd w:val="clear" w:color="auto" w:fill="auto"/>
            <w:noWrap/>
            <w:vAlign w:val="bottom"/>
            <w:hideMark/>
          </w:tcPr>
          <w:p w14:paraId="6BD2B62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0.448</w:t>
            </w:r>
          </w:p>
        </w:tc>
        <w:tc>
          <w:tcPr>
            <w:tcW w:w="712" w:type="dxa"/>
            <w:gridSpan w:val="2"/>
            <w:tcBorders>
              <w:top w:val="nil"/>
              <w:left w:val="nil"/>
              <w:bottom w:val="single" w:sz="4" w:space="0" w:color="auto"/>
              <w:right w:val="single" w:sz="4" w:space="0" w:color="auto"/>
            </w:tcBorders>
            <w:shd w:val="clear" w:color="000000" w:fill="FFFF00"/>
            <w:noWrap/>
            <w:vAlign w:val="bottom"/>
            <w:hideMark/>
          </w:tcPr>
          <w:p w14:paraId="0DA2452B"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0.900</w:t>
            </w:r>
          </w:p>
        </w:tc>
        <w:tc>
          <w:tcPr>
            <w:tcW w:w="713" w:type="dxa"/>
            <w:tcBorders>
              <w:top w:val="nil"/>
              <w:left w:val="nil"/>
              <w:bottom w:val="single" w:sz="4" w:space="0" w:color="auto"/>
              <w:right w:val="single" w:sz="4" w:space="0" w:color="auto"/>
            </w:tcBorders>
            <w:shd w:val="clear" w:color="auto" w:fill="auto"/>
            <w:noWrap/>
            <w:vAlign w:val="bottom"/>
            <w:hideMark/>
          </w:tcPr>
          <w:p w14:paraId="25443E3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4612A0C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53AF27B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0192A7FE"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724363F5"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60EB2ACE"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2F2EBCE9"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info</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2F11F43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0.299</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ED3877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0.253</w:t>
            </w:r>
          </w:p>
        </w:tc>
        <w:tc>
          <w:tcPr>
            <w:tcW w:w="958" w:type="dxa"/>
            <w:tcBorders>
              <w:top w:val="nil"/>
              <w:left w:val="nil"/>
              <w:bottom w:val="single" w:sz="4" w:space="0" w:color="auto"/>
              <w:right w:val="single" w:sz="4" w:space="0" w:color="auto"/>
            </w:tcBorders>
            <w:shd w:val="clear" w:color="auto" w:fill="auto"/>
            <w:noWrap/>
            <w:vAlign w:val="bottom"/>
            <w:hideMark/>
          </w:tcPr>
          <w:p w14:paraId="7401197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0.423</w:t>
            </w:r>
          </w:p>
        </w:tc>
        <w:tc>
          <w:tcPr>
            <w:tcW w:w="869" w:type="dxa"/>
            <w:tcBorders>
              <w:top w:val="nil"/>
              <w:left w:val="nil"/>
              <w:bottom w:val="single" w:sz="4" w:space="0" w:color="auto"/>
              <w:right w:val="single" w:sz="4" w:space="0" w:color="auto"/>
            </w:tcBorders>
            <w:shd w:val="clear" w:color="auto" w:fill="auto"/>
            <w:noWrap/>
            <w:vAlign w:val="bottom"/>
            <w:hideMark/>
          </w:tcPr>
          <w:p w14:paraId="7D587DE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0.330</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46E29FF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0.317</w:t>
            </w:r>
          </w:p>
        </w:tc>
        <w:tc>
          <w:tcPr>
            <w:tcW w:w="819" w:type="dxa"/>
            <w:tcBorders>
              <w:top w:val="nil"/>
              <w:left w:val="nil"/>
              <w:bottom w:val="single" w:sz="4" w:space="0" w:color="auto"/>
              <w:right w:val="single" w:sz="4" w:space="0" w:color="auto"/>
            </w:tcBorders>
            <w:shd w:val="clear" w:color="auto" w:fill="auto"/>
            <w:noWrap/>
            <w:vAlign w:val="bottom"/>
            <w:hideMark/>
          </w:tcPr>
          <w:p w14:paraId="7F1ED42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0.481</w:t>
            </w:r>
          </w:p>
        </w:tc>
        <w:tc>
          <w:tcPr>
            <w:tcW w:w="850" w:type="dxa"/>
            <w:tcBorders>
              <w:top w:val="nil"/>
              <w:left w:val="nil"/>
              <w:bottom w:val="single" w:sz="4" w:space="0" w:color="auto"/>
              <w:right w:val="single" w:sz="4" w:space="0" w:color="auto"/>
            </w:tcBorders>
            <w:shd w:val="clear" w:color="auto" w:fill="auto"/>
            <w:noWrap/>
            <w:vAlign w:val="bottom"/>
            <w:hideMark/>
          </w:tcPr>
          <w:p w14:paraId="5CBE338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0.127</w:t>
            </w:r>
          </w:p>
        </w:tc>
        <w:tc>
          <w:tcPr>
            <w:tcW w:w="744" w:type="dxa"/>
            <w:tcBorders>
              <w:top w:val="nil"/>
              <w:left w:val="nil"/>
              <w:bottom w:val="single" w:sz="4" w:space="0" w:color="auto"/>
              <w:right w:val="single" w:sz="4" w:space="0" w:color="auto"/>
            </w:tcBorders>
            <w:shd w:val="clear" w:color="auto" w:fill="auto"/>
            <w:noWrap/>
            <w:vAlign w:val="bottom"/>
            <w:hideMark/>
          </w:tcPr>
          <w:p w14:paraId="07CB03E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0.276</w:t>
            </w:r>
          </w:p>
        </w:tc>
        <w:tc>
          <w:tcPr>
            <w:tcW w:w="808" w:type="dxa"/>
            <w:tcBorders>
              <w:top w:val="nil"/>
              <w:left w:val="nil"/>
              <w:bottom w:val="single" w:sz="4" w:space="0" w:color="auto"/>
              <w:right w:val="single" w:sz="4" w:space="0" w:color="auto"/>
            </w:tcBorders>
            <w:shd w:val="clear" w:color="auto" w:fill="auto"/>
            <w:noWrap/>
            <w:vAlign w:val="bottom"/>
            <w:hideMark/>
          </w:tcPr>
          <w:p w14:paraId="1262850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0.326</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6896F10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0.290</w:t>
            </w:r>
          </w:p>
        </w:tc>
        <w:tc>
          <w:tcPr>
            <w:tcW w:w="713" w:type="dxa"/>
            <w:tcBorders>
              <w:top w:val="nil"/>
              <w:left w:val="nil"/>
              <w:bottom w:val="single" w:sz="4" w:space="0" w:color="auto"/>
              <w:right w:val="single" w:sz="4" w:space="0" w:color="auto"/>
            </w:tcBorders>
            <w:shd w:val="clear" w:color="000000" w:fill="FFFF00"/>
            <w:noWrap/>
            <w:vAlign w:val="bottom"/>
            <w:hideMark/>
          </w:tcPr>
          <w:p w14:paraId="01AA7BC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0.811</w:t>
            </w:r>
          </w:p>
        </w:tc>
        <w:tc>
          <w:tcPr>
            <w:tcW w:w="672" w:type="dxa"/>
            <w:tcBorders>
              <w:top w:val="nil"/>
              <w:left w:val="nil"/>
              <w:bottom w:val="single" w:sz="4" w:space="0" w:color="auto"/>
              <w:right w:val="single" w:sz="4" w:space="0" w:color="auto"/>
            </w:tcBorders>
            <w:shd w:val="clear" w:color="auto" w:fill="auto"/>
            <w:noWrap/>
            <w:vAlign w:val="bottom"/>
            <w:hideMark/>
          </w:tcPr>
          <w:p w14:paraId="045C5FE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672" w:type="dxa"/>
            <w:tcBorders>
              <w:top w:val="nil"/>
              <w:left w:val="nil"/>
              <w:bottom w:val="single" w:sz="4" w:space="0" w:color="auto"/>
              <w:right w:val="single" w:sz="4" w:space="0" w:color="auto"/>
            </w:tcBorders>
            <w:shd w:val="clear" w:color="auto" w:fill="auto"/>
            <w:noWrap/>
            <w:vAlign w:val="bottom"/>
            <w:hideMark/>
          </w:tcPr>
          <w:p w14:paraId="66D736F8"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6964BF11"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5902F12D"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62236892"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38D60A69" w14:textId="7BEBB7E4"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inv</w:t>
            </w:r>
            <w:r>
              <w:rPr>
                <w:rFonts w:ascii="Calibri" w:eastAsia="Times New Roman" w:hAnsi="Calibri" w:cs="Calibri"/>
                <w:color w:val="FFFFFF"/>
                <w:sz w:val="20"/>
                <w:szCs w:val="20"/>
                <w:lang w:eastAsia="en-GB"/>
              </w:rPr>
              <w:t>olvement</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065A355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0.604</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DBDF4B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0.335</w:t>
            </w:r>
          </w:p>
        </w:tc>
        <w:tc>
          <w:tcPr>
            <w:tcW w:w="958" w:type="dxa"/>
            <w:tcBorders>
              <w:top w:val="nil"/>
              <w:left w:val="nil"/>
              <w:bottom w:val="single" w:sz="4" w:space="0" w:color="auto"/>
              <w:right w:val="single" w:sz="4" w:space="0" w:color="auto"/>
            </w:tcBorders>
            <w:shd w:val="clear" w:color="auto" w:fill="auto"/>
            <w:noWrap/>
            <w:vAlign w:val="bottom"/>
            <w:hideMark/>
          </w:tcPr>
          <w:p w14:paraId="0B631390"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0.641</w:t>
            </w:r>
          </w:p>
        </w:tc>
        <w:tc>
          <w:tcPr>
            <w:tcW w:w="869" w:type="dxa"/>
            <w:tcBorders>
              <w:top w:val="nil"/>
              <w:left w:val="nil"/>
              <w:bottom w:val="single" w:sz="4" w:space="0" w:color="auto"/>
              <w:right w:val="single" w:sz="4" w:space="0" w:color="auto"/>
            </w:tcBorders>
            <w:shd w:val="clear" w:color="auto" w:fill="auto"/>
            <w:noWrap/>
            <w:vAlign w:val="bottom"/>
            <w:hideMark/>
          </w:tcPr>
          <w:p w14:paraId="5204F58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0.701</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234BB39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0.334</w:t>
            </w:r>
          </w:p>
        </w:tc>
        <w:tc>
          <w:tcPr>
            <w:tcW w:w="819" w:type="dxa"/>
            <w:tcBorders>
              <w:top w:val="nil"/>
              <w:left w:val="nil"/>
              <w:bottom w:val="single" w:sz="4" w:space="0" w:color="auto"/>
              <w:right w:val="single" w:sz="4" w:space="0" w:color="auto"/>
            </w:tcBorders>
            <w:shd w:val="clear" w:color="auto" w:fill="auto"/>
            <w:noWrap/>
            <w:vAlign w:val="bottom"/>
            <w:hideMark/>
          </w:tcPr>
          <w:p w14:paraId="2A34FA7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0.594</w:t>
            </w:r>
          </w:p>
        </w:tc>
        <w:tc>
          <w:tcPr>
            <w:tcW w:w="850" w:type="dxa"/>
            <w:tcBorders>
              <w:top w:val="nil"/>
              <w:left w:val="nil"/>
              <w:bottom w:val="single" w:sz="4" w:space="0" w:color="auto"/>
              <w:right w:val="single" w:sz="4" w:space="0" w:color="auto"/>
            </w:tcBorders>
            <w:shd w:val="clear" w:color="auto" w:fill="auto"/>
            <w:noWrap/>
            <w:vAlign w:val="bottom"/>
            <w:hideMark/>
          </w:tcPr>
          <w:p w14:paraId="4D78E4C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0.240</w:t>
            </w:r>
          </w:p>
        </w:tc>
        <w:tc>
          <w:tcPr>
            <w:tcW w:w="744" w:type="dxa"/>
            <w:tcBorders>
              <w:top w:val="nil"/>
              <w:left w:val="nil"/>
              <w:bottom w:val="single" w:sz="4" w:space="0" w:color="auto"/>
              <w:right w:val="single" w:sz="4" w:space="0" w:color="auto"/>
            </w:tcBorders>
            <w:shd w:val="clear" w:color="auto" w:fill="auto"/>
            <w:noWrap/>
            <w:vAlign w:val="bottom"/>
            <w:hideMark/>
          </w:tcPr>
          <w:p w14:paraId="31ED2EFC"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0.420</w:t>
            </w:r>
          </w:p>
        </w:tc>
        <w:tc>
          <w:tcPr>
            <w:tcW w:w="808" w:type="dxa"/>
            <w:tcBorders>
              <w:top w:val="nil"/>
              <w:left w:val="nil"/>
              <w:bottom w:val="single" w:sz="4" w:space="0" w:color="auto"/>
              <w:right w:val="single" w:sz="4" w:space="0" w:color="auto"/>
            </w:tcBorders>
            <w:shd w:val="clear" w:color="auto" w:fill="auto"/>
            <w:noWrap/>
            <w:vAlign w:val="bottom"/>
            <w:hideMark/>
          </w:tcPr>
          <w:p w14:paraId="7330561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0.467</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206349FC"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0.622</w:t>
            </w:r>
          </w:p>
        </w:tc>
        <w:tc>
          <w:tcPr>
            <w:tcW w:w="713" w:type="dxa"/>
            <w:tcBorders>
              <w:top w:val="nil"/>
              <w:left w:val="nil"/>
              <w:bottom w:val="single" w:sz="4" w:space="0" w:color="auto"/>
              <w:right w:val="single" w:sz="4" w:space="0" w:color="auto"/>
            </w:tcBorders>
            <w:shd w:val="clear" w:color="auto" w:fill="auto"/>
            <w:noWrap/>
            <w:vAlign w:val="bottom"/>
            <w:hideMark/>
          </w:tcPr>
          <w:p w14:paraId="1C1A00D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0.402</w:t>
            </w:r>
          </w:p>
        </w:tc>
        <w:tc>
          <w:tcPr>
            <w:tcW w:w="672" w:type="dxa"/>
            <w:tcBorders>
              <w:top w:val="nil"/>
              <w:left w:val="nil"/>
              <w:bottom w:val="single" w:sz="4" w:space="0" w:color="auto"/>
              <w:right w:val="single" w:sz="4" w:space="0" w:color="auto"/>
            </w:tcBorders>
            <w:shd w:val="clear" w:color="000000" w:fill="FFFF00"/>
            <w:noWrap/>
            <w:vAlign w:val="bottom"/>
            <w:hideMark/>
          </w:tcPr>
          <w:p w14:paraId="2C9E3B9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0.816</w:t>
            </w:r>
          </w:p>
        </w:tc>
        <w:tc>
          <w:tcPr>
            <w:tcW w:w="672" w:type="dxa"/>
            <w:tcBorders>
              <w:top w:val="nil"/>
              <w:left w:val="nil"/>
              <w:bottom w:val="single" w:sz="4" w:space="0" w:color="auto"/>
              <w:right w:val="single" w:sz="4" w:space="0" w:color="auto"/>
            </w:tcBorders>
            <w:shd w:val="clear" w:color="auto" w:fill="auto"/>
            <w:noWrap/>
            <w:vAlign w:val="bottom"/>
            <w:hideMark/>
          </w:tcPr>
          <w:p w14:paraId="4D60549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0399E4B3"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41E75136"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258DE3F0"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036F8EB9"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norm</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69C2EEF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0.398</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7656C74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0.069</w:t>
            </w:r>
          </w:p>
        </w:tc>
        <w:tc>
          <w:tcPr>
            <w:tcW w:w="958" w:type="dxa"/>
            <w:tcBorders>
              <w:top w:val="nil"/>
              <w:left w:val="nil"/>
              <w:bottom w:val="single" w:sz="4" w:space="0" w:color="auto"/>
              <w:right w:val="single" w:sz="4" w:space="0" w:color="auto"/>
            </w:tcBorders>
            <w:shd w:val="clear" w:color="auto" w:fill="auto"/>
            <w:noWrap/>
            <w:vAlign w:val="bottom"/>
            <w:hideMark/>
          </w:tcPr>
          <w:p w14:paraId="7A27120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0.331</w:t>
            </w:r>
          </w:p>
        </w:tc>
        <w:tc>
          <w:tcPr>
            <w:tcW w:w="869" w:type="dxa"/>
            <w:tcBorders>
              <w:top w:val="nil"/>
              <w:left w:val="nil"/>
              <w:bottom w:val="single" w:sz="4" w:space="0" w:color="auto"/>
              <w:right w:val="single" w:sz="4" w:space="0" w:color="auto"/>
            </w:tcBorders>
            <w:shd w:val="clear" w:color="auto" w:fill="auto"/>
            <w:noWrap/>
            <w:vAlign w:val="bottom"/>
            <w:hideMark/>
          </w:tcPr>
          <w:p w14:paraId="34C6665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0.172</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3A50EC4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0.198</w:t>
            </w:r>
          </w:p>
        </w:tc>
        <w:tc>
          <w:tcPr>
            <w:tcW w:w="819" w:type="dxa"/>
            <w:tcBorders>
              <w:top w:val="nil"/>
              <w:left w:val="nil"/>
              <w:bottom w:val="single" w:sz="4" w:space="0" w:color="auto"/>
              <w:right w:val="single" w:sz="4" w:space="0" w:color="auto"/>
            </w:tcBorders>
            <w:shd w:val="clear" w:color="auto" w:fill="auto"/>
            <w:noWrap/>
            <w:vAlign w:val="bottom"/>
            <w:hideMark/>
          </w:tcPr>
          <w:p w14:paraId="4D851D0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0.389</w:t>
            </w:r>
          </w:p>
        </w:tc>
        <w:tc>
          <w:tcPr>
            <w:tcW w:w="850" w:type="dxa"/>
            <w:tcBorders>
              <w:top w:val="nil"/>
              <w:left w:val="nil"/>
              <w:bottom w:val="single" w:sz="4" w:space="0" w:color="auto"/>
              <w:right w:val="single" w:sz="4" w:space="0" w:color="auto"/>
            </w:tcBorders>
            <w:shd w:val="clear" w:color="auto" w:fill="auto"/>
            <w:noWrap/>
            <w:vAlign w:val="bottom"/>
            <w:hideMark/>
          </w:tcPr>
          <w:p w14:paraId="06B6BEE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0.315</w:t>
            </w:r>
          </w:p>
        </w:tc>
        <w:tc>
          <w:tcPr>
            <w:tcW w:w="744" w:type="dxa"/>
            <w:tcBorders>
              <w:top w:val="nil"/>
              <w:left w:val="nil"/>
              <w:bottom w:val="single" w:sz="4" w:space="0" w:color="auto"/>
              <w:right w:val="single" w:sz="4" w:space="0" w:color="auto"/>
            </w:tcBorders>
            <w:shd w:val="clear" w:color="auto" w:fill="auto"/>
            <w:noWrap/>
            <w:vAlign w:val="bottom"/>
            <w:hideMark/>
          </w:tcPr>
          <w:p w14:paraId="2BC764D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0.273</w:t>
            </w:r>
          </w:p>
        </w:tc>
        <w:tc>
          <w:tcPr>
            <w:tcW w:w="808" w:type="dxa"/>
            <w:tcBorders>
              <w:top w:val="nil"/>
              <w:left w:val="nil"/>
              <w:bottom w:val="single" w:sz="4" w:space="0" w:color="auto"/>
              <w:right w:val="single" w:sz="4" w:space="0" w:color="auto"/>
            </w:tcBorders>
            <w:shd w:val="clear" w:color="auto" w:fill="auto"/>
            <w:noWrap/>
            <w:vAlign w:val="bottom"/>
            <w:hideMark/>
          </w:tcPr>
          <w:p w14:paraId="1B743E4F"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0.359</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55872B00"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0.240</w:t>
            </w:r>
          </w:p>
        </w:tc>
        <w:tc>
          <w:tcPr>
            <w:tcW w:w="713" w:type="dxa"/>
            <w:tcBorders>
              <w:top w:val="nil"/>
              <w:left w:val="nil"/>
              <w:bottom w:val="single" w:sz="4" w:space="0" w:color="auto"/>
              <w:right w:val="single" w:sz="4" w:space="0" w:color="auto"/>
            </w:tcBorders>
            <w:shd w:val="clear" w:color="auto" w:fill="auto"/>
            <w:noWrap/>
            <w:vAlign w:val="bottom"/>
            <w:hideMark/>
          </w:tcPr>
          <w:p w14:paraId="3D8971B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0.542</w:t>
            </w:r>
          </w:p>
        </w:tc>
        <w:tc>
          <w:tcPr>
            <w:tcW w:w="672" w:type="dxa"/>
            <w:tcBorders>
              <w:top w:val="nil"/>
              <w:left w:val="nil"/>
              <w:bottom w:val="single" w:sz="4" w:space="0" w:color="auto"/>
              <w:right w:val="single" w:sz="4" w:space="0" w:color="auto"/>
            </w:tcBorders>
            <w:shd w:val="clear" w:color="auto" w:fill="auto"/>
            <w:noWrap/>
            <w:vAlign w:val="bottom"/>
            <w:hideMark/>
          </w:tcPr>
          <w:p w14:paraId="5CDC8E10"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0.329</w:t>
            </w:r>
          </w:p>
        </w:tc>
        <w:tc>
          <w:tcPr>
            <w:tcW w:w="672" w:type="dxa"/>
            <w:tcBorders>
              <w:top w:val="nil"/>
              <w:left w:val="nil"/>
              <w:bottom w:val="single" w:sz="4" w:space="0" w:color="auto"/>
              <w:right w:val="single" w:sz="4" w:space="0" w:color="auto"/>
            </w:tcBorders>
            <w:shd w:val="clear" w:color="000000" w:fill="FFFF00"/>
            <w:noWrap/>
            <w:vAlign w:val="bottom"/>
            <w:hideMark/>
          </w:tcPr>
          <w:p w14:paraId="1442DD1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0.800</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6427CC89"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65DE8B2B"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7C142BB0"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4F6E3691"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pleasure</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5230445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0.557</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0BAE4D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0.386</w:t>
            </w:r>
          </w:p>
        </w:tc>
        <w:tc>
          <w:tcPr>
            <w:tcW w:w="958" w:type="dxa"/>
            <w:tcBorders>
              <w:top w:val="nil"/>
              <w:left w:val="nil"/>
              <w:bottom w:val="single" w:sz="4" w:space="0" w:color="auto"/>
              <w:right w:val="single" w:sz="4" w:space="0" w:color="auto"/>
            </w:tcBorders>
            <w:shd w:val="clear" w:color="auto" w:fill="auto"/>
            <w:noWrap/>
            <w:vAlign w:val="bottom"/>
            <w:hideMark/>
          </w:tcPr>
          <w:p w14:paraId="3CEA1C7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0.612</w:t>
            </w:r>
          </w:p>
        </w:tc>
        <w:tc>
          <w:tcPr>
            <w:tcW w:w="869" w:type="dxa"/>
            <w:tcBorders>
              <w:top w:val="nil"/>
              <w:left w:val="nil"/>
              <w:bottom w:val="single" w:sz="4" w:space="0" w:color="auto"/>
              <w:right w:val="single" w:sz="4" w:space="0" w:color="auto"/>
            </w:tcBorders>
            <w:shd w:val="clear" w:color="auto" w:fill="auto"/>
            <w:noWrap/>
            <w:vAlign w:val="bottom"/>
            <w:hideMark/>
          </w:tcPr>
          <w:p w14:paraId="3A08E24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0.759</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01DDDD0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0.382</w:t>
            </w:r>
          </w:p>
        </w:tc>
        <w:tc>
          <w:tcPr>
            <w:tcW w:w="819" w:type="dxa"/>
            <w:tcBorders>
              <w:top w:val="nil"/>
              <w:left w:val="nil"/>
              <w:bottom w:val="single" w:sz="4" w:space="0" w:color="auto"/>
              <w:right w:val="single" w:sz="4" w:space="0" w:color="auto"/>
            </w:tcBorders>
            <w:shd w:val="clear" w:color="auto" w:fill="auto"/>
            <w:noWrap/>
            <w:vAlign w:val="bottom"/>
            <w:hideMark/>
          </w:tcPr>
          <w:p w14:paraId="3774BBC5"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0.652</w:t>
            </w:r>
          </w:p>
        </w:tc>
        <w:tc>
          <w:tcPr>
            <w:tcW w:w="850" w:type="dxa"/>
            <w:tcBorders>
              <w:top w:val="nil"/>
              <w:left w:val="nil"/>
              <w:bottom w:val="single" w:sz="4" w:space="0" w:color="auto"/>
              <w:right w:val="single" w:sz="4" w:space="0" w:color="auto"/>
            </w:tcBorders>
            <w:shd w:val="clear" w:color="auto" w:fill="auto"/>
            <w:noWrap/>
            <w:vAlign w:val="bottom"/>
            <w:hideMark/>
          </w:tcPr>
          <w:p w14:paraId="14543BD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0.170</w:t>
            </w:r>
          </w:p>
        </w:tc>
        <w:tc>
          <w:tcPr>
            <w:tcW w:w="744" w:type="dxa"/>
            <w:tcBorders>
              <w:top w:val="nil"/>
              <w:left w:val="nil"/>
              <w:bottom w:val="single" w:sz="4" w:space="0" w:color="auto"/>
              <w:right w:val="single" w:sz="4" w:space="0" w:color="auto"/>
            </w:tcBorders>
            <w:shd w:val="clear" w:color="auto" w:fill="auto"/>
            <w:noWrap/>
            <w:vAlign w:val="bottom"/>
            <w:hideMark/>
          </w:tcPr>
          <w:p w14:paraId="7E87F48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0.427</w:t>
            </w:r>
          </w:p>
        </w:tc>
        <w:tc>
          <w:tcPr>
            <w:tcW w:w="808" w:type="dxa"/>
            <w:tcBorders>
              <w:top w:val="nil"/>
              <w:left w:val="nil"/>
              <w:bottom w:val="single" w:sz="4" w:space="0" w:color="auto"/>
              <w:right w:val="single" w:sz="4" w:space="0" w:color="auto"/>
            </w:tcBorders>
            <w:shd w:val="clear" w:color="auto" w:fill="auto"/>
            <w:noWrap/>
            <w:vAlign w:val="bottom"/>
            <w:hideMark/>
          </w:tcPr>
          <w:p w14:paraId="40BCC7F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0.553</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254F4DC8"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0.569</w:t>
            </w:r>
          </w:p>
        </w:tc>
        <w:tc>
          <w:tcPr>
            <w:tcW w:w="713" w:type="dxa"/>
            <w:tcBorders>
              <w:top w:val="nil"/>
              <w:left w:val="nil"/>
              <w:bottom w:val="single" w:sz="4" w:space="0" w:color="auto"/>
              <w:right w:val="single" w:sz="4" w:space="0" w:color="auto"/>
            </w:tcBorders>
            <w:shd w:val="clear" w:color="auto" w:fill="auto"/>
            <w:noWrap/>
            <w:vAlign w:val="bottom"/>
            <w:hideMark/>
          </w:tcPr>
          <w:p w14:paraId="6E67B45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0.373</w:t>
            </w:r>
          </w:p>
        </w:tc>
        <w:tc>
          <w:tcPr>
            <w:tcW w:w="672" w:type="dxa"/>
            <w:tcBorders>
              <w:top w:val="nil"/>
              <w:left w:val="nil"/>
              <w:bottom w:val="single" w:sz="4" w:space="0" w:color="auto"/>
              <w:right w:val="single" w:sz="4" w:space="0" w:color="auto"/>
            </w:tcBorders>
            <w:shd w:val="clear" w:color="auto" w:fill="auto"/>
            <w:noWrap/>
            <w:vAlign w:val="bottom"/>
            <w:hideMark/>
          </w:tcPr>
          <w:p w14:paraId="1B7E60C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0.747</w:t>
            </w:r>
          </w:p>
        </w:tc>
        <w:tc>
          <w:tcPr>
            <w:tcW w:w="672" w:type="dxa"/>
            <w:tcBorders>
              <w:top w:val="nil"/>
              <w:left w:val="nil"/>
              <w:bottom w:val="single" w:sz="4" w:space="0" w:color="auto"/>
              <w:right w:val="single" w:sz="4" w:space="0" w:color="auto"/>
            </w:tcBorders>
            <w:shd w:val="clear" w:color="auto" w:fill="auto"/>
            <w:noWrap/>
            <w:vAlign w:val="bottom"/>
            <w:hideMark/>
          </w:tcPr>
          <w:p w14:paraId="5A53467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0.241</w:t>
            </w:r>
          </w:p>
        </w:tc>
        <w:tc>
          <w:tcPr>
            <w:tcW w:w="915" w:type="dxa"/>
            <w:gridSpan w:val="4"/>
            <w:tcBorders>
              <w:top w:val="nil"/>
              <w:left w:val="nil"/>
              <w:bottom w:val="single" w:sz="4" w:space="0" w:color="auto"/>
              <w:right w:val="single" w:sz="4" w:space="0" w:color="auto"/>
            </w:tcBorders>
            <w:shd w:val="clear" w:color="000000" w:fill="FFFF00"/>
            <w:noWrap/>
            <w:vAlign w:val="bottom"/>
            <w:hideMark/>
          </w:tcPr>
          <w:p w14:paraId="47C27E4C"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0.857</w:t>
            </w:r>
          </w:p>
        </w:tc>
        <w:tc>
          <w:tcPr>
            <w:tcW w:w="1052" w:type="dxa"/>
            <w:gridSpan w:val="3"/>
            <w:tcBorders>
              <w:top w:val="nil"/>
              <w:left w:val="nil"/>
              <w:bottom w:val="single" w:sz="4" w:space="0" w:color="auto"/>
              <w:right w:val="single" w:sz="4" w:space="0" w:color="auto"/>
            </w:tcBorders>
            <w:shd w:val="clear" w:color="auto" w:fill="auto"/>
            <w:noWrap/>
            <w:vAlign w:val="bottom"/>
            <w:hideMark/>
          </w:tcPr>
          <w:p w14:paraId="0B73FF42" w14:textId="77777777" w:rsidR="00205187" w:rsidRPr="00FC3C5A" w:rsidRDefault="00205187" w:rsidP="00FC3C5A">
            <w:pPr>
              <w:spacing w:after="0" w:line="240" w:lineRule="auto"/>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 </w:t>
            </w:r>
          </w:p>
        </w:tc>
      </w:tr>
      <w:tr w:rsidR="00205187" w:rsidRPr="00014FB2" w14:paraId="10DE0C69" w14:textId="77777777" w:rsidTr="00205187">
        <w:trPr>
          <w:gridAfter w:val="4"/>
          <w:wAfter w:w="3979" w:type="dxa"/>
          <w:trHeight w:val="300"/>
        </w:trPr>
        <w:tc>
          <w:tcPr>
            <w:tcW w:w="1278" w:type="dxa"/>
            <w:tcBorders>
              <w:top w:val="nil"/>
              <w:left w:val="single" w:sz="4" w:space="0" w:color="auto"/>
              <w:bottom w:val="single" w:sz="4" w:space="0" w:color="auto"/>
              <w:right w:val="single" w:sz="4" w:space="0" w:color="auto"/>
            </w:tcBorders>
            <w:shd w:val="clear" w:color="000000" w:fill="555555"/>
            <w:noWrap/>
            <w:vAlign w:val="bottom"/>
            <w:hideMark/>
          </w:tcPr>
          <w:p w14:paraId="2CDCFF4B" w14:textId="77777777" w:rsidR="00205187" w:rsidRPr="00FC3C5A" w:rsidRDefault="00205187" w:rsidP="00FC3C5A">
            <w:pPr>
              <w:spacing w:after="0" w:line="240" w:lineRule="auto"/>
              <w:rPr>
                <w:rFonts w:ascii="Calibri" w:eastAsia="Times New Roman" w:hAnsi="Calibri" w:cs="Calibri"/>
                <w:color w:val="FFFFFF"/>
                <w:sz w:val="20"/>
                <w:szCs w:val="20"/>
                <w:lang w:eastAsia="en-GB"/>
              </w:rPr>
            </w:pPr>
            <w:r w:rsidRPr="00FC3C5A">
              <w:rPr>
                <w:rFonts w:ascii="Calibri" w:eastAsia="Times New Roman" w:hAnsi="Calibri" w:cs="Calibri"/>
                <w:color w:val="FFFFFF"/>
                <w:sz w:val="20"/>
                <w:szCs w:val="20"/>
                <w:lang w:eastAsia="en-GB"/>
              </w:rPr>
              <w:t>projection</w:t>
            </w:r>
          </w:p>
        </w:tc>
        <w:tc>
          <w:tcPr>
            <w:tcW w:w="894" w:type="dxa"/>
            <w:gridSpan w:val="3"/>
            <w:tcBorders>
              <w:top w:val="nil"/>
              <w:left w:val="nil"/>
              <w:bottom w:val="single" w:sz="4" w:space="0" w:color="auto"/>
              <w:right w:val="single" w:sz="4" w:space="0" w:color="auto"/>
            </w:tcBorders>
            <w:shd w:val="clear" w:color="auto" w:fill="auto"/>
            <w:noWrap/>
            <w:vAlign w:val="bottom"/>
            <w:hideMark/>
          </w:tcPr>
          <w:p w14:paraId="353A9991"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0.470</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42227CB"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0.243</w:t>
            </w:r>
          </w:p>
        </w:tc>
        <w:tc>
          <w:tcPr>
            <w:tcW w:w="958" w:type="dxa"/>
            <w:tcBorders>
              <w:top w:val="nil"/>
              <w:left w:val="nil"/>
              <w:bottom w:val="single" w:sz="4" w:space="0" w:color="auto"/>
              <w:right w:val="single" w:sz="4" w:space="0" w:color="auto"/>
            </w:tcBorders>
            <w:shd w:val="clear" w:color="auto" w:fill="auto"/>
            <w:noWrap/>
            <w:vAlign w:val="bottom"/>
            <w:hideMark/>
          </w:tcPr>
          <w:p w14:paraId="4D5D6199"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0.532</w:t>
            </w:r>
          </w:p>
        </w:tc>
        <w:tc>
          <w:tcPr>
            <w:tcW w:w="869" w:type="dxa"/>
            <w:tcBorders>
              <w:top w:val="nil"/>
              <w:left w:val="nil"/>
              <w:bottom w:val="single" w:sz="4" w:space="0" w:color="auto"/>
              <w:right w:val="single" w:sz="4" w:space="0" w:color="auto"/>
            </w:tcBorders>
            <w:shd w:val="clear" w:color="auto" w:fill="auto"/>
            <w:noWrap/>
            <w:vAlign w:val="bottom"/>
            <w:hideMark/>
          </w:tcPr>
          <w:p w14:paraId="5737F68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0.454</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18F8F5FB"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0.340</w:t>
            </w:r>
          </w:p>
        </w:tc>
        <w:tc>
          <w:tcPr>
            <w:tcW w:w="819" w:type="dxa"/>
            <w:tcBorders>
              <w:top w:val="nil"/>
              <w:left w:val="nil"/>
              <w:bottom w:val="single" w:sz="4" w:space="0" w:color="auto"/>
              <w:right w:val="single" w:sz="4" w:space="0" w:color="auto"/>
            </w:tcBorders>
            <w:shd w:val="clear" w:color="auto" w:fill="auto"/>
            <w:noWrap/>
            <w:vAlign w:val="bottom"/>
            <w:hideMark/>
          </w:tcPr>
          <w:p w14:paraId="2201515D"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0.543</w:t>
            </w:r>
          </w:p>
        </w:tc>
        <w:tc>
          <w:tcPr>
            <w:tcW w:w="850" w:type="dxa"/>
            <w:tcBorders>
              <w:top w:val="nil"/>
              <w:left w:val="nil"/>
              <w:bottom w:val="single" w:sz="4" w:space="0" w:color="auto"/>
              <w:right w:val="single" w:sz="4" w:space="0" w:color="auto"/>
            </w:tcBorders>
            <w:shd w:val="clear" w:color="auto" w:fill="auto"/>
            <w:noWrap/>
            <w:vAlign w:val="bottom"/>
            <w:hideMark/>
          </w:tcPr>
          <w:p w14:paraId="279B1296"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0.392</w:t>
            </w:r>
          </w:p>
        </w:tc>
        <w:tc>
          <w:tcPr>
            <w:tcW w:w="744" w:type="dxa"/>
            <w:tcBorders>
              <w:top w:val="nil"/>
              <w:left w:val="nil"/>
              <w:bottom w:val="single" w:sz="4" w:space="0" w:color="auto"/>
              <w:right w:val="single" w:sz="4" w:space="0" w:color="auto"/>
            </w:tcBorders>
            <w:shd w:val="clear" w:color="auto" w:fill="auto"/>
            <w:noWrap/>
            <w:vAlign w:val="bottom"/>
            <w:hideMark/>
          </w:tcPr>
          <w:p w14:paraId="0324C802"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0.391</w:t>
            </w:r>
          </w:p>
        </w:tc>
        <w:tc>
          <w:tcPr>
            <w:tcW w:w="808" w:type="dxa"/>
            <w:tcBorders>
              <w:top w:val="nil"/>
              <w:left w:val="nil"/>
              <w:bottom w:val="single" w:sz="4" w:space="0" w:color="auto"/>
              <w:right w:val="single" w:sz="4" w:space="0" w:color="auto"/>
            </w:tcBorders>
            <w:shd w:val="clear" w:color="auto" w:fill="auto"/>
            <w:noWrap/>
            <w:vAlign w:val="bottom"/>
            <w:hideMark/>
          </w:tcPr>
          <w:p w14:paraId="35199B1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0.696</w:t>
            </w:r>
          </w:p>
        </w:tc>
        <w:tc>
          <w:tcPr>
            <w:tcW w:w="712" w:type="dxa"/>
            <w:gridSpan w:val="2"/>
            <w:tcBorders>
              <w:top w:val="nil"/>
              <w:left w:val="nil"/>
              <w:bottom w:val="single" w:sz="4" w:space="0" w:color="auto"/>
              <w:right w:val="single" w:sz="4" w:space="0" w:color="auto"/>
            </w:tcBorders>
            <w:shd w:val="clear" w:color="auto" w:fill="auto"/>
            <w:noWrap/>
            <w:vAlign w:val="bottom"/>
            <w:hideMark/>
          </w:tcPr>
          <w:p w14:paraId="325F9B3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0.527</w:t>
            </w:r>
          </w:p>
        </w:tc>
        <w:tc>
          <w:tcPr>
            <w:tcW w:w="713" w:type="dxa"/>
            <w:tcBorders>
              <w:top w:val="nil"/>
              <w:left w:val="nil"/>
              <w:bottom w:val="single" w:sz="4" w:space="0" w:color="auto"/>
              <w:right w:val="single" w:sz="4" w:space="0" w:color="auto"/>
            </w:tcBorders>
            <w:shd w:val="clear" w:color="auto" w:fill="auto"/>
            <w:noWrap/>
            <w:vAlign w:val="bottom"/>
            <w:hideMark/>
          </w:tcPr>
          <w:p w14:paraId="18D1B5D7"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0.384</w:t>
            </w:r>
          </w:p>
        </w:tc>
        <w:tc>
          <w:tcPr>
            <w:tcW w:w="672" w:type="dxa"/>
            <w:tcBorders>
              <w:top w:val="nil"/>
              <w:left w:val="nil"/>
              <w:bottom w:val="single" w:sz="4" w:space="0" w:color="auto"/>
              <w:right w:val="single" w:sz="4" w:space="0" w:color="auto"/>
            </w:tcBorders>
            <w:shd w:val="clear" w:color="auto" w:fill="auto"/>
            <w:noWrap/>
            <w:vAlign w:val="bottom"/>
            <w:hideMark/>
          </w:tcPr>
          <w:p w14:paraId="4039C96E"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0.539</w:t>
            </w:r>
          </w:p>
        </w:tc>
        <w:tc>
          <w:tcPr>
            <w:tcW w:w="672" w:type="dxa"/>
            <w:tcBorders>
              <w:top w:val="nil"/>
              <w:left w:val="nil"/>
              <w:bottom w:val="single" w:sz="4" w:space="0" w:color="auto"/>
              <w:right w:val="single" w:sz="4" w:space="0" w:color="auto"/>
            </w:tcBorders>
            <w:shd w:val="clear" w:color="auto" w:fill="auto"/>
            <w:noWrap/>
            <w:vAlign w:val="bottom"/>
            <w:hideMark/>
          </w:tcPr>
          <w:p w14:paraId="03F1500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0.440</w:t>
            </w:r>
          </w:p>
        </w:tc>
        <w:tc>
          <w:tcPr>
            <w:tcW w:w="915" w:type="dxa"/>
            <w:gridSpan w:val="4"/>
            <w:tcBorders>
              <w:top w:val="nil"/>
              <w:left w:val="nil"/>
              <w:bottom w:val="single" w:sz="4" w:space="0" w:color="auto"/>
              <w:right w:val="single" w:sz="4" w:space="0" w:color="auto"/>
            </w:tcBorders>
            <w:shd w:val="clear" w:color="auto" w:fill="auto"/>
            <w:noWrap/>
            <w:vAlign w:val="bottom"/>
            <w:hideMark/>
          </w:tcPr>
          <w:p w14:paraId="5B974EC4"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0.511</w:t>
            </w:r>
          </w:p>
        </w:tc>
        <w:tc>
          <w:tcPr>
            <w:tcW w:w="1052" w:type="dxa"/>
            <w:gridSpan w:val="3"/>
            <w:tcBorders>
              <w:top w:val="nil"/>
              <w:left w:val="nil"/>
              <w:bottom w:val="single" w:sz="4" w:space="0" w:color="auto"/>
              <w:right w:val="single" w:sz="4" w:space="0" w:color="auto"/>
            </w:tcBorders>
            <w:shd w:val="clear" w:color="000000" w:fill="FFFF00"/>
            <w:noWrap/>
            <w:vAlign w:val="bottom"/>
            <w:hideMark/>
          </w:tcPr>
          <w:p w14:paraId="56B5A093" w14:textId="77777777" w:rsidR="00205187" w:rsidRPr="00FC3C5A" w:rsidRDefault="00205187" w:rsidP="00FC3C5A">
            <w:pPr>
              <w:spacing w:after="0" w:line="240" w:lineRule="auto"/>
              <w:jc w:val="right"/>
              <w:rPr>
                <w:rFonts w:ascii="Calibri" w:eastAsia="Times New Roman" w:hAnsi="Calibri" w:cs="Calibri"/>
                <w:color w:val="000000"/>
                <w:sz w:val="20"/>
                <w:szCs w:val="20"/>
                <w:lang w:eastAsia="en-GB"/>
              </w:rPr>
            </w:pPr>
            <w:r w:rsidRPr="00FC3C5A">
              <w:rPr>
                <w:rFonts w:ascii="Calibri" w:eastAsia="Times New Roman" w:hAnsi="Calibri" w:cs="Calibri"/>
                <w:color w:val="000000"/>
                <w:sz w:val="20"/>
                <w:szCs w:val="20"/>
                <w:lang w:eastAsia="en-GB"/>
              </w:rPr>
              <w:t>0.832</w:t>
            </w:r>
          </w:p>
        </w:tc>
      </w:tr>
    </w:tbl>
    <w:p w14:paraId="68B9223F" w14:textId="4B03FC36" w:rsidR="00FC3C5A" w:rsidRDefault="00FC3C5A" w:rsidP="00ED1894">
      <w:pPr>
        <w:spacing w:line="360" w:lineRule="auto"/>
        <w:jc w:val="both"/>
        <w:rPr>
          <w:rFonts w:ascii="Cambria" w:hAnsi="Cambria"/>
          <w:color w:val="538135" w:themeColor="accent6" w:themeShade="BF"/>
          <w:sz w:val="24"/>
          <w:szCs w:val="24"/>
        </w:rPr>
      </w:pPr>
    </w:p>
    <w:p w14:paraId="63A02BFD" w14:textId="77777777" w:rsidR="00014FB2" w:rsidRDefault="00014FB2">
      <w:pPr>
        <w:spacing w:line="259" w:lineRule="auto"/>
        <w:rPr>
          <w:rFonts w:ascii="Cambria" w:hAnsi="Cambria"/>
          <w:color w:val="538135" w:themeColor="accent6" w:themeShade="BF"/>
          <w:sz w:val="24"/>
          <w:szCs w:val="24"/>
        </w:rPr>
        <w:sectPr w:rsidR="00014FB2" w:rsidSect="00014FB2">
          <w:pgSz w:w="16838" w:h="11906" w:orient="landscape"/>
          <w:pgMar w:top="1440" w:right="1440" w:bottom="1440" w:left="1440" w:header="709" w:footer="709" w:gutter="0"/>
          <w:cols w:space="708"/>
          <w:docGrid w:linePitch="360"/>
        </w:sectPr>
      </w:pPr>
    </w:p>
    <w:p w14:paraId="3CFEAE8D" w14:textId="1EC71BA0" w:rsidR="00C7217E" w:rsidRPr="00530906" w:rsidRDefault="00A718F2" w:rsidP="008756B1">
      <w:pPr>
        <w:pStyle w:val="Heading3"/>
        <w:jc w:val="both"/>
        <w:rPr>
          <w:rFonts w:ascii="Cambria" w:hAnsi="Cambria"/>
        </w:rPr>
      </w:pPr>
      <w:bookmarkStart w:id="86" w:name="_Toc115726261"/>
      <w:r w:rsidRPr="00530906">
        <w:rPr>
          <w:rFonts w:ascii="Cambria" w:hAnsi="Cambria"/>
        </w:rPr>
        <w:t>4.3.</w:t>
      </w:r>
      <w:r w:rsidR="00D82BEC">
        <w:rPr>
          <w:rFonts w:ascii="Cambria" w:hAnsi="Cambria"/>
        </w:rPr>
        <w:t>8</w:t>
      </w:r>
      <w:r w:rsidR="00C7217E" w:rsidRPr="00530906">
        <w:rPr>
          <w:rFonts w:ascii="Cambria" w:hAnsi="Cambria"/>
        </w:rPr>
        <w:t xml:space="preserve"> Common method bias (CMB) –</w:t>
      </w:r>
      <w:bookmarkEnd w:id="86"/>
    </w:p>
    <w:p w14:paraId="117B3EC7" w14:textId="1C4A6A34"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In order to minimise common method bias, respondents were assured about the confidentiality of the data. Moreover, the importance of the survey was conveyed extensively to motivate the respondents for taking the survey. Questionnaire was designed using simple and straightforward language, as well as all the constructs were presented in the different screen to facilitate their understanding. In addition to that, the capability to answer the question were also ensured by taking student sample for the study of social media context (see </w:t>
      </w:r>
      <w:r w:rsidRPr="00530906">
        <w:rPr>
          <w:rFonts w:ascii="Cambria" w:hAnsi="Cambria"/>
          <w:sz w:val="24"/>
          <w:szCs w:val="24"/>
          <w:lang w:val="en-US"/>
        </w:rPr>
        <w:t>MacKenzie and Podsakoff 2012)</w:t>
      </w:r>
      <w:r w:rsidRPr="00530906">
        <w:rPr>
          <w:rFonts w:ascii="Cambria" w:hAnsi="Cambria"/>
          <w:sz w:val="24"/>
          <w:szCs w:val="24"/>
        </w:rPr>
        <w:t xml:space="preserve">. In order to assess potential influence of CMB, a marker question – “I prefer warm colours (i.e., containing yellow and red) over cold colours” has been added in the questionnaire with 7 </w:t>
      </w:r>
      <w:r w:rsidR="00AC4C1A" w:rsidRPr="00530906">
        <w:rPr>
          <w:rFonts w:ascii="Cambria" w:hAnsi="Cambria"/>
          <w:sz w:val="24"/>
          <w:szCs w:val="24"/>
        </w:rPr>
        <w:t>Likert</w:t>
      </w:r>
      <w:r w:rsidRPr="00530906">
        <w:rPr>
          <w:rFonts w:ascii="Cambria" w:hAnsi="Cambria"/>
          <w:sz w:val="24"/>
          <w:szCs w:val="24"/>
        </w:rPr>
        <w:t xml:space="preserve"> scale to identify common method bias. But Appendix </w:t>
      </w:r>
      <w:r w:rsidR="00604737">
        <w:rPr>
          <w:rFonts w:ascii="Cambria" w:hAnsi="Cambria"/>
          <w:sz w:val="24"/>
          <w:szCs w:val="24"/>
        </w:rPr>
        <w:t>3</w:t>
      </w:r>
      <w:r w:rsidRPr="00530906">
        <w:rPr>
          <w:rFonts w:ascii="Cambria" w:hAnsi="Cambria"/>
          <w:sz w:val="24"/>
          <w:szCs w:val="24"/>
        </w:rPr>
        <w:t xml:space="preserve">.4 shows that there is significant relationship between the marker variable and other 4 constructs SCV_self_projection, SCV_mental_fluency, </w:t>
      </w:r>
      <w:r w:rsidR="00BB44C0" w:rsidRPr="00530906">
        <w:rPr>
          <w:rFonts w:ascii="Cambria" w:hAnsi="Cambria"/>
          <w:sz w:val="24"/>
          <w:szCs w:val="24"/>
        </w:rPr>
        <w:t>Pleasure,</w:t>
      </w:r>
      <w:r w:rsidRPr="00530906">
        <w:rPr>
          <w:rFonts w:ascii="Cambria" w:hAnsi="Cambria"/>
          <w:sz w:val="24"/>
          <w:szCs w:val="24"/>
        </w:rPr>
        <w:t xml:space="preserve"> and </w:t>
      </w:r>
      <w:r w:rsidR="00BB44C0">
        <w:rPr>
          <w:rFonts w:ascii="Cambria" w:hAnsi="Cambria"/>
          <w:sz w:val="24"/>
          <w:szCs w:val="24"/>
        </w:rPr>
        <w:t>N</w:t>
      </w:r>
      <w:r w:rsidRPr="00530906">
        <w:rPr>
          <w:rFonts w:ascii="Cambria" w:hAnsi="Cambria"/>
          <w:sz w:val="24"/>
          <w:szCs w:val="24"/>
        </w:rPr>
        <w:t>orm. This indicates the marker variable did not work (See Podsakoff et al 2003).</w:t>
      </w:r>
      <w:r w:rsidR="00B25224" w:rsidRPr="00530906">
        <w:rPr>
          <w:rFonts w:ascii="Cambria" w:hAnsi="Cambria"/>
          <w:sz w:val="24"/>
          <w:szCs w:val="24"/>
        </w:rPr>
        <w:t xml:space="preserve"> Though CMB does pose a significant threat to the validity of the research findings (Fuller et al 2016), Single factor test has also been conducted to be sure. </w:t>
      </w:r>
      <w:r w:rsidRPr="00530906">
        <w:rPr>
          <w:rFonts w:ascii="Cambria" w:hAnsi="Cambria"/>
          <w:sz w:val="24"/>
          <w:szCs w:val="24"/>
          <w:lang w:val="en-US"/>
        </w:rPr>
        <w:t xml:space="preserve">Harman’s single–factor test shows that single factor accounts for </w:t>
      </w:r>
      <w:r w:rsidRPr="00530906">
        <w:rPr>
          <w:rFonts w:ascii="Cambria" w:hAnsi="Cambria"/>
          <w:sz w:val="24"/>
          <w:szCs w:val="24"/>
        </w:rPr>
        <w:t xml:space="preserve">42.79% of variance when all the constructs are loaded into one factor and run exploratory factor analysis. This represents the absence of common method bias since it is less than 50% (see </w:t>
      </w:r>
      <w:r w:rsidRPr="00530906">
        <w:rPr>
          <w:rFonts w:ascii="Cambria" w:hAnsi="Cambria" w:cs="Times New Roman"/>
          <w:sz w:val="24"/>
          <w:szCs w:val="24"/>
          <w:lang w:val="en-US"/>
        </w:rPr>
        <w:t xml:space="preserve">Podsakoff et al 2003; </w:t>
      </w:r>
      <w:r w:rsidRPr="00530906">
        <w:rPr>
          <w:rFonts w:ascii="Cambria" w:hAnsi="Cambria"/>
          <w:sz w:val="24"/>
          <w:szCs w:val="24"/>
        </w:rPr>
        <w:t>Tehseen et al 2017).</w:t>
      </w:r>
    </w:p>
    <w:p w14:paraId="40240CD1" w14:textId="002411EB" w:rsidR="00C7217E" w:rsidRPr="00530906" w:rsidRDefault="00A718F2" w:rsidP="008756B1">
      <w:pPr>
        <w:pStyle w:val="Heading2"/>
        <w:jc w:val="both"/>
        <w:rPr>
          <w:rFonts w:ascii="Cambria" w:hAnsi="Cambria"/>
        </w:rPr>
      </w:pPr>
      <w:bookmarkStart w:id="87" w:name="_Toc115726262"/>
      <w:r w:rsidRPr="00530906">
        <w:rPr>
          <w:rFonts w:ascii="Cambria" w:hAnsi="Cambria"/>
        </w:rPr>
        <w:t>4.4.</w:t>
      </w:r>
      <w:r w:rsidR="00C7217E" w:rsidRPr="00530906">
        <w:rPr>
          <w:rFonts w:ascii="Cambria" w:hAnsi="Cambria"/>
        </w:rPr>
        <w:t xml:space="preserve"> Ethics.</w:t>
      </w:r>
      <w:bookmarkEnd w:id="87"/>
      <w:r w:rsidR="00C7217E" w:rsidRPr="00530906">
        <w:rPr>
          <w:rFonts w:ascii="Cambria" w:hAnsi="Cambria"/>
        </w:rPr>
        <w:t xml:space="preserve"> </w:t>
      </w:r>
    </w:p>
    <w:p w14:paraId="420C946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Ethical procedure has been followed and the respondents are notified about the purpose, scope of the study, people who will have access to the data, sponsor of the study and the information of the contact persons if there is any complain at the beginning of the survey and in the debriefing. Moreover, due to COVID–19 pandemic, this research has changed the data collection method to online experiment, where the respondents required to come to the lab to the online experiment, where the questionnaire link was sent to the consented respondents by mail. In both instances, this project has maintained the legal and local standards of regulation and have been approved by the university. </w:t>
      </w:r>
    </w:p>
    <w:p w14:paraId="77A70604" w14:textId="43668B89" w:rsidR="00C7217E" w:rsidRPr="00530906" w:rsidRDefault="00A718F2" w:rsidP="008756B1">
      <w:pPr>
        <w:pStyle w:val="Heading2"/>
        <w:jc w:val="both"/>
        <w:rPr>
          <w:rFonts w:ascii="Cambria" w:hAnsi="Cambria"/>
          <w:lang w:val="en-US"/>
        </w:rPr>
      </w:pPr>
      <w:bookmarkStart w:id="88" w:name="_Toc115726263"/>
      <w:r w:rsidRPr="00530906">
        <w:rPr>
          <w:rFonts w:ascii="Cambria" w:hAnsi="Cambria"/>
          <w:lang w:val="en-US"/>
        </w:rPr>
        <w:t>4.5</w:t>
      </w:r>
      <w:r w:rsidR="00C7217E" w:rsidRPr="00530906">
        <w:rPr>
          <w:rFonts w:ascii="Cambria" w:hAnsi="Cambria"/>
          <w:lang w:val="en-US"/>
        </w:rPr>
        <w:t>. Limitation:</w:t>
      </w:r>
      <w:bookmarkEnd w:id="88"/>
      <w:r w:rsidR="00C7217E" w:rsidRPr="00530906">
        <w:rPr>
          <w:rFonts w:ascii="Cambria" w:hAnsi="Cambria"/>
          <w:lang w:val="en-US"/>
        </w:rPr>
        <w:t xml:space="preserve"> </w:t>
      </w:r>
    </w:p>
    <w:p w14:paraId="5D9EC149" w14:textId="45292BB7" w:rsidR="00C7217E" w:rsidRPr="00530906" w:rsidRDefault="00C7217E">
      <w:pPr>
        <w:spacing w:line="360" w:lineRule="auto"/>
        <w:jc w:val="both"/>
        <w:rPr>
          <w:rFonts w:ascii="Cambria" w:hAnsi="Cambria"/>
          <w:sz w:val="24"/>
          <w:szCs w:val="24"/>
          <w:lang w:val="en-US"/>
        </w:rPr>
      </w:pPr>
      <w:r w:rsidRPr="00530906">
        <w:rPr>
          <w:rFonts w:ascii="Cambria" w:hAnsi="Cambria"/>
          <w:sz w:val="24"/>
          <w:szCs w:val="24"/>
          <w:lang w:val="en-US"/>
        </w:rPr>
        <w:t>Although the experiment was conducted in two batches, data collection was interrupted due to covid–19 lockdown. First one was held in February and the second one was in April. Though these two groups proved to be similar</w:t>
      </w:r>
      <w:r w:rsidR="008A352B">
        <w:rPr>
          <w:rFonts w:ascii="Cambria" w:hAnsi="Cambria"/>
          <w:sz w:val="24"/>
          <w:szCs w:val="24"/>
          <w:lang w:val="en-US"/>
        </w:rPr>
        <w:t xml:space="preserve"> while comparing them in by t-test</w:t>
      </w:r>
      <w:r w:rsidR="007C236F">
        <w:rPr>
          <w:rFonts w:ascii="Cambria" w:hAnsi="Cambria"/>
          <w:sz w:val="24"/>
          <w:szCs w:val="24"/>
          <w:lang w:val="en-US"/>
        </w:rPr>
        <w:t xml:space="preserve"> (Appendix 3.7)</w:t>
      </w:r>
      <w:r w:rsidRPr="00530906">
        <w:rPr>
          <w:rFonts w:ascii="Cambria" w:hAnsi="Cambria"/>
          <w:sz w:val="24"/>
          <w:szCs w:val="24"/>
          <w:lang w:val="en-US"/>
        </w:rPr>
        <w:t>, but the requirement for uniform environment for all experiment subjects was not met due to unavoidable situation.</w:t>
      </w:r>
    </w:p>
    <w:p w14:paraId="2E69F4D9" w14:textId="5684A605" w:rsidR="00C7217E" w:rsidRPr="001435A7" w:rsidRDefault="00C7217E">
      <w:pPr>
        <w:spacing w:line="360" w:lineRule="auto"/>
        <w:jc w:val="both"/>
        <w:rPr>
          <w:rFonts w:ascii="Cambria" w:hAnsi="Cambria"/>
          <w:sz w:val="24"/>
          <w:szCs w:val="24"/>
          <w:lang w:val="en-US"/>
        </w:rPr>
      </w:pPr>
      <w:r w:rsidRPr="00530906">
        <w:rPr>
          <w:rFonts w:ascii="Cambria" w:hAnsi="Cambria"/>
          <w:sz w:val="24"/>
          <w:szCs w:val="24"/>
          <w:lang w:val="en-US"/>
        </w:rPr>
        <w:t>In add</w:t>
      </w:r>
      <w:r w:rsidRPr="001435A7">
        <w:rPr>
          <w:rFonts w:ascii="Cambria" w:hAnsi="Cambria"/>
          <w:sz w:val="24"/>
          <w:szCs w:val="24"/>
          <w:lang w:val="en-US"/>
        </w:rPr>
        <w:t>ition to that, the items of sub–construct ‘Mental fluency’ of SCV scale was not reliable. Hence only one item has been retained which fits with the definition of SCV. Since, SCV emphasis on self</w:t>
      </w:r>
      <w:r w:rsidR="004179CD" w:rsidRPr="001435A7">
        <w:rPr>
          <w:rFonts w:ascii="Cambria" w:hAnsi="Cambria"/>
          <w:sz w:val="24"/>
          <w:szCs w:val="24"/>
          <w:lang w:val="en-US"/>
        </w:rPr>
        <w:t>–</w:t>
      </w:r>
      <w:r w:rsidRPr="001435A7">
        <w:rPr>
          <w:rFonts w:ascii="Cambria" w:hAnsi="Cambria"/>
          <w:sz w:val="24"/>
          <w:szCs w:val="24"/>
          <w:lang w:val="en-US"/>
        </w:rPr>
        <w:t xml:space="preserve">inclusion in the consumption situation (Yim et al 2018), among the 3 items, the item which measures the easiness of the respondents to visualise themselves in the advertised situation, was selected. </w:t>
      </w:r>
      <w:r w:rsidR="003D36D9" w:rsidRPr="001435A7">
        <w:rPr>
          <w:rFonts w:ascii="Cambria" w:hAnsi="Cambria"/>
          <w:sz w:val="24"/>
          <w:szCs w:val="24"/>
          <w:lang w:val="en-US"/>
        </w:rPr>
        <w:t>According to Hair</w:t>
      </w:r>
      <w:r w:rsidR="00CD48A9" w:rsidRPr="001435A7">
        <w:rPr>
          <w:rFonts w:ascii="Cambria" w:hAnsi="Cambria"/>
          <w:sz w:val="24"/>
          <w:szCs w:val="24"/>
          <w:lang w:val="en-US"/>
        </w:rPr>
        <w:t xml:space="preserve"> et al (2017)</w:t>
      </w:r>
      <w:r w:rsidR="00AC610F" w:rsidRPr="001435A7">
        <w:rPr>
          <w:rFonts w:ascii="Cambria" w:hAnsi="Cambria"/>
          <w:sz w:val="24"/>
          <w:szCs w:val="24"/>
          <w:lang w:val="en-US"/>
        </w:rPr>
        <w:t>,</w:t>
      </w:r>
      <w:r w:rsidR="003D36D9" w:rsidRPr="001435A7">
        <w:rPr>
          <w:rFonts w:ascii="Cambria" w:hAnsi="Cambria"/>
          <w:sz w:val="24"/>
          <w:szCs w:val="24"/>
          <w:lang w:val="en-US"/>
        </w:rPr>
        <w:t xml:space="preserve"> </w:t>
      </w:r>
      <w:r w:rsidR="001F1D48" w:rsidRPr="001435A7">
        <w:rPr>
          <w:rFonts w:ascii="Cambria" w:hAnsi="Cambria"/>
          <w:sz w:val="24"/>
          <w:szCs w:val="24"/>
          <w:lang w:val="en-US"/>
        </w:rPr>
        <w:t>i</w:t>
      </w:r>
      <w:r w:rsidR="00011DDB" w:rsidRPr="001435A7">
        <w:rPr>
          <w:rFonts w:ascii="Cambria" w:hAnsi="Cambria"/>
          <w:sz w:val="24"/>
          <w:szCs w:val="24"/>
          <w:lang w:val="en-US"/>
        </w:rPr>
        <w:t xml:space="preserve">nterchangeable items </w:t>
      </w:r>
      <w:r w:rsidR="009A4636" w:rsidRPr="001435A7">
        <w:rPr>
          <w:rFonts w:ascii="Cambria" w:hAnsi="Cambria"/>
          <w:sz w:val="24"/>
          <w:szCs w:val="24"/>
          <w:lang w:val="en-US"/>
        </w:rPr>
        <w:t>can be left out if the meaning of the construct is not change</w:t>
      </w:r>
      <w:r w:rsidR="00460CEE" w:rsidRPr="001435A7">
        <w:rPr>
          <w:rFonts w:ascii="Cambria" w:hAnsi="Cambria"/>
          <w:sz w:val="24"/>
          <w:szCs w:val="24"/>
          <w:lang w:val="en-US"/>
        </w:rPr>
        <w:t>d</w:t>
      </w:r>
      <w:r w:rsidR="00E121B6" w:rsidRPr="001435A7">
        <w:rPr>
          <w:rFonts w:ascii="Cambria" w:hAnsi="Cambria"/>
          <w:sz w:val="24"/>
          <w:szCs w:val="24"/>
          <w:lang w:val="en-US"/>
        </w:rPr>
        <w:t xml:space="preserve">, especially when the items are semantically redundant. </w:t>
      </w:r>
    </w:p>
    <w:p w14:paraId="31E2EED1" w14:textId="77777777" w:rsidR="00C7217E" w:rsidRPr="00530906" w:rsidRDefault="00C7217E">
      <w:pPr>
        <w:spacing w:line="360" w:lineRule="auto"/>
        <w:jc w:val="both"/>
        <w:rPr>
          <w:rFonts w:ascii="Cambria" w:hAnsi="Cambria"/>
          <w:sz w:val="24"/>
          <w:szCs w:val="24"/>
          <w:lang w:val="en-US"/>
        </w:rPr>
      </w:pPr>
      <w:r w:rsidRPr="001435A7">
        <w:rPr>
          <w:rFonts w:ascii="Cambria" w:hAnsi="Cambria"/>
          <w:sz w:val="24"/>
          <w:szCs w:val="24"/>
          <w:lang w:val="en-US"/>
        </w:rPr>
        <w:t xml:space="preserve">Though there is an argument that small sample size and use of student sample in experiments undermine external validity or generalisability of the research (Nan and Hao 2007). </w:t>
      </w:r>
      <w:r w:rsidRPr="00530906">
        <w:rPr>
          <w:rFonts w:ascii="Cambria" w:hAnsi="Cambria"/>
          <w:sz w:val="24"/>
          <w:szCs w:val="24"/>
          <w:lang w:val="en-US"/>
        </w:rPr>
        <w:t xml:space="preserve">Nevertheless, the use of student sample, whose social media engagement </w:t>
      </w:r>
      <w:r w:rsidRPr="00530906">
        <w:rPr>
          <w:rFonts w:ascii="Cambria" w:hAnsi="Cambria"/>
          <w:sz w:val="24"/>
          <w:szCs w:val="24"/>
        </w:rPr>
        <w:t>behaviour</w:t>
      </w:r>
      <w:r w:rsidRPr="00530906">
        <w:rPr>
          <w:rFonts w:ascii="Cambria" w:hAnsi="Cambria"/>
          <w:sz w:val="24"/>
          <w:szCs w:val="24"/>
          <w:lang w:val="en-US"/>
        </w:rPr>
        <w:t xml:space="preserve"> is similar to the social media engagement behaviour of general population, ensures external validity (Shan and King 2015; Lee et al 2011)</w:t>
      </w:r>
    </w:p>
    <w:p w14:paraId="4D7B04E5" w14:textId="7E471FDD" w:rsidR="00C7217E" w:rsidRPr="00530906" w:rsidRDefault="00C7217E">
      <w:pPr>
        <w:spacing w:line="360" w:lineRule="auto"/>
        <w:jc w:val="both"/>
        <w:rPr>
          <w:rFonts w:ascii="Cambria" w:hAnsi="Cambria"/>
          <w:sz w:val="24"/>
          <w:szCs w:val="24"/>
          <w:lang w:val="en-US"/>
        </w:rPr>
      </w:pPr>
      <w:r w:rsidRPr="00530906">
        <w:rPr>
          <w:rFonts w:ascii="Cambria" w:hAnsi="Cambria"/>
          <w:sz w:val="24"/>
          <w:szCs w:val="24"/>
          <w:lang w:val="en-US"/>
        </w:rPr>
        <w:t>Overall, the data are free from common method bias, multicollinearity, and outliers. The scales have proved to be reliable in table 1</w:t>
      </w:r>
      <w:r w:rsidR="00474A82">
        <w:rPr>
          <w:rFonts w:ascii="Cambria" w:hAnsi="Cambria"/>
          <w:sz w:val="24"/>
          <w:szCs w:val="24"/>
          <w:lang w:val="en-US"/>
        </w:rPr>
        <w:t>5</w:t>
      </w:r>
      <w:r w:rsidRPr="00530906">
        <w:rPr>
          <w:rFonts w:ascii="Cambria" w:hAnsi="Cambria"/>
          <w:sz w:val="24"/>
          <w:szCs w:val="24"/>
          <w:lang w:val="en-US"/>
        </w:rPr>
        <w:t xml:space="preserve">. The demographics of the respondents are adequately homogeneous. </w:t>
      </w:r>
    </w:p>
    <w:p w14:paraId="40C1AA0B" w14:textId="77777777" w:rsidR="00EE655C" w:rsidRPr="00530906" w:rsidRDefault="00EE655C" w:rsidP="008756B1">
      <w:pPr>
        <w:spacing w:line="259" w:lineRule="auto"/>
        <w:jc w:val="both"/>
        <w:rPr>
          <w:rFonts w:ascii="Cambria" w:hAnsi="Cambria"/>
          <w:sz w:val="24"/>
          <w:szCs w:val="24"/>
        </w:rPr>
      </w:pPr>
    </w:p>
    <w:p w14:paraId="4017B230" w14:textId="77777777" w:rsidR="00EE655C" w:rsidRPr="00530906" w:rsidRDefault="00EE655C" w:rsidP="008756B1">
      <w:pPr>
        <w:spacing w:line="259" w:lineRule="auto"/>
        <w:jc w:val="both"/>
        <w:rPr>
          <w:rFonts w:ascii="Cambria" w:hAnsi="Cambria"/>
          <w:sz w:val="24"/>
          <w:szCs w:val="24"/>
        </w:rPr>
      </w:pPr>
    </w:p>
    <w:p w14:paraId="0B032B16" w14:textId="77777777" w:rsidR="00EE655C" w:rsidRPr="00530906" w:rsidRDefault="00EE655C" w:rsidP="008756B1">
      <w:pPr>
        <w:spacing w:line="259" w:lineRule="auto"/>
        <w:jc w:val="both"/>
        <w:rPr>
          <w:rFonts w:ascii="Cambria" w:hAnsi="Cambria"/>
          <w:sz w:val="24"/>
          <w:szCs w:val="24"/>
        </w:rPr>
      </w:pPr>
    </w:p>
    <w:p w14:paraId="6417CFD4" w14:textId="19F6B94B" w:rsidR="00EE655C" w:rsidRPr="00530906" w:rsidRDefault="008A352B">
      <w:pPr>
        <w:spacing w:line="259" w:lineRule="auto"/>
        <w:rPr>
          <w:rFonts w:ascii="Cambria" w:hAnsi="Cambria"/>
          <w:sz w:val="24"/>
          <w:szCs w:val="24"/>
        </w:rPr>
      </w:pPr>
      <w:r>
        <w:rPr>
          <w:rFonts w:ascii="Cambria" w:hAnsi="Cambria"/>
          <w:sz w:val="24"/>
          <w:szCs w:val="24"/>
        </w:rPr>
        <w:br w:type="page"/>
      </w:r>
    </w:p>
    <w:p w14:paraId="292F237A" w14:textId="77777777" w:rsidR="00EE655C" w:rsidRPr="00530906" w:rsidRDefault="00EE655C" w:rsidP="008756B1">
      <w:pPr>
        <w:spacing w:line="259" w:lineRule="auto"/>
        <w:jc w:val="both"/>
        <w:rPr>
          <w:rFonts w:ascii="Cambria" w:hAnsi="Cambria"/>
          <w:sz w:val="24"/>
          <w:szCs w:val="24"/>
        </w:rPr>
      </w:pPr>
    </w:p>
    <w:p w14:paraId="388BEB81" w14:textId="77777777" w:rsidR="00EE655C" w:rsidRPr="00530906" w:rsidRDefault="00EE655C" w:rsidP="008756B1">
      <w:pPr>
        <w:spacing w:line="259" w:lineRule="auto"/>
        <w:jc w:val="both"/>
        <w:rPr>
          <w:rFonts w:ascii="Cambria" w:hAnsi="Cambria"/>
          <w:sz w:val="24"/>
          <w:szCs w:val="24"/>
        </w:rPr>
      </w:pPr>
    </w:p>
    <w:p w14:paraId="410A71ED" w14:textId="77777777" w:rsidR="00EE655C" w:rsidRPr="00530906" w:rsidRDefault="00EE655C" w:rsidP="008756B1">
      <w:pPr>
        <w:spacing w:line="259" w:lineRule="auto"/>
        <w:jc w:val="both"/>
        <w:rPr>
          <w:rFonts w:ascii="Cambria" w:hAnsi="Cambria"/>
          <w:sz w:val="24"/>
          <w:szCs w:val="24"/>
        </w:rPr>
      </w:pPr>
    </w:p>
    <w:p w14:paraId="413B7353" w14:textId="77777777" w:rsidR="00EE655C" w:rsidRPr="00530906" w:rsidRDefault="00EE655C" w:rsidP="008756B1">
      <w:pPr>
        <w:spacing w:line="259" w:lineRule="auto"/>
        <w:jc w:val="both"/>
        <w:rPr>
          <w:rFonts w:ascii="Cambria" w:hAnsi="Cambria"/>
          <w:sz w:val="24"/>
          <w:szCs w:val="24"/>
        </w:rPr>
      </w:pPr>
    </w:p>
    <w:p w14:paraId="4534BD7E" w14:textId="53A91F79" w:rsidR="00C7217E" w:rsidRPr="00530906" w:rsidRDefault="00C7217E" w:rsidP="008756B1">
      <w:pPr>
        <w:spacing w:line="259" w:lineRule="auto"/>
        <w:jc w:val="both"/>
        <w:rPr>
          <w:rFonts w:ascii="Cambria" w:hAnsi="Cambria"/>
          <w:sz w:val="24"/>
          <w:szCs w:val="24"/>
        </w:rPr>
      </w:pPr>
    </w:p>
    <w:p w14:paraId="649C49CA" w14:textId="5AC7C62A" w:rsidR="00EE655C" w:rsidRPr="00530906" w:rsidRDefault="00EE655C" w:rsidP="008756B1">
      <w:pPr>
        <w:spacing w:line="259" w:lineRule="auto"/>
        <w:jc w:val="both"/>
        <w:rPr>
          <w:rFonts w:ascii="Cambria" w:hAnsi="Cambria"/>
          <w:sz w:val="24"/>
          <w:szCs w:val="24"/>
        </w:rPr>
      </w:pPr>
    </w:p>
    <w:p w14:paraId="3D0A15CB" w14:textId="46A16A63" w:rsidR="00EE655C" w:rsidRPr="00530906" w:rsidRDefault="00EE655C" w:rsidP="008756B1">
      <w:pPr>
        <w:spacing w:line="259" w:lineRule="auto"/>
        <w:jc w:val="both"/>
        <w:rPr>
          <w:rFonts w:ascii="Cambria" w:hAnsi="Cambria"/>
          <w:sz w:val="24"/>
          <w:szCs w:val="24"/>
        </w:rPr>
      </w:pPr>
    </w:p>
    <w:p w14:paraId="397B3E64" w14:textId="135CC6B1" w:rsidR="00EE655C" w:rsidRPr="00530906" w:rsidRDefault="00EE655C" w:rsidP="008756B1">
      <w:pPr>
        <w:spacing w:line="259" w:lineRule="auto"/>
        <w:jc w:val="both"/>
        <w:rPr>
          <w:rFonts w:ascii="Cambria" w:hAnsi="Cambria"/>
          <w:sz w:val="24"/>
          <w:szCs w:val="24"/>
        </w:rPr>
      </w:pPr>
    </w:p>
    <w:p w14:paraId="693F2FDE" w14:textId="3CB35063" w:rsidR="00EE655C" w:rsidRPr="00530906" w:rsidRDefault="00EE655C" w:rsidP="008756B1">
      <w:pPr>
        <w:spacing w:line="259" w:lineRule="auto"/>
        <w:jc w:val="both"/>
        <w:rPr>
          <w:rFonts w:ascii="Cambria" w:hAnsi="Cambria"/>
          <w:sz w:val="24"/>
          <w:szCs w:val="24"/>
        </w:rPr>
      </w:pPr>
    </w:p>
    <w:p w14:paraId="461FB504" w14:textId="6681CD6C" w:rsidR="00EE655C" w:rsidRPr="00530906" w:rsidRDefault="00EE655C" w:rsidP="008756B1">
      <w:pPr>
        <w:spacing w:line="259" w:lineRule="auto"/>
        <w:jc w:val="both"/>
        <w:rPr>
          <w:rFonts w:ascii="Cambria" w:hAnsi="Cambria"/>
          <w:sz w:val="24"/>
          <w:szCs w:val="24"/>
        </w:rPr>
      </w:pPr>
    </w:p>
    <w:p w14:paraId="1CB2A2BF" w14:textId="12EA3661" w:rsidR="00EE655C" w:rsidRPr="00530906" w:rsidRDefault="00EE655C" w:rsidP="008756B1">
      <w:pPr>
        <w:spacing w:line="259" w:lineRule="auto"/>
        <w:jc w:val="both"/>
        <w:rPr>
          <w:rFonts w:ascii="Cambria" w:hAnsi="Cambria"/>
          <w:sz w:val="24"/>
          <w:szCs w:val="24"/>
        </w:rPr>
      </w:pPr>
    </w:p>
    <w:p w14:paraId="3E34F218" w14:textId="35EB3870" w:rsidR="00EE655C" w:rsidRPr="00530906" w:rsidRDefault="00EE655C" w:rsidP="008756B1">
      <w:pPr>
        <w:spacing w:line="259" w:lineRule="auto"/>
        <w:jc w:val="both"/>
        <w:rPr>
          <w:rFonts w:ascii="Cambria" w:hAnsi="Cambria"/>
          <w:sz w:val="24"/>
          <w:szCs w:val="24"/>
        </w:rPr>
      </w:pPr>
    </w:p>
    <w:p w14:paraId="1BE0FA3B" w14:textId="695F576C" w:rsidR="00EE655C" w:rsidRPr="00530906" w:rsidRDefault="00EE655C" w:rsidP="008756B1">
      <w:pPr>
        <w:spacing w:line="259" w:lineRule="auto"/>
        <w:jc w:val="both"/>
        <w:rPr>
          <w:rFonts w:ascii="Cambria" w:hAnsi="Cambria"/>
          <w:sz w:val="24"/>
          <w:szCs w:val="24"/>
        </w:rPr>
      </w:pPr>
    </w:p>
    <w:p w14:paraId="09A9CA71" w14:textId="46F5AFCA" w:rsidR="00EE655C" w:rsidRPr="00530906" w:rsidRDefault="00EE655C" w:rsidP="008756B1">
      <w:pPr>
        <w:spacing w:line="259" w:lineRule="auto"/>
        <w:jc w:val="both"/>
        <w:rPr>
          <w:rFonts w:ascii="Cambria" w:hAnsi="Cambria"/>
          <w:sz w:val="24"/>
          <w:szCs w:val="24"/>
        </w:rPr>
      </w:pPr>
    </w:p>
    <w:p w14:paraId="5A65A423" w14:textId="6725C399" w:rsidR="00EE655C" w:rsidRPr="00530906" w:rsidRDefault="00EE655C" w:rsidP="008756B1">
      <w:pPr>
        <w:spacing w:line="259" w:lineRule="auto"/>
        <w:jc w:val="both"/>
        <w:rPr>
          <w:rFonts w:ascii="Cambria" w:hAnsi="Cambria"/>
          <w:sz w:val="24"/>
          <w:szCs w:val="24"/>
        </w:rPr>
      </w:pPr>
    </w:p>
    <w:p w14:paraId="58B84B20" w14:textId="44DF6A80" w:rsidR="00C7217E" w:rsidRPr="00530906" w:rsidRDefault="004E6135" w:rsidP="008756B1">
      <w:pPr>
        <w:pStyle w:val="Heading1"/>
        <w:jc w:val="both"/>
        <w:rPr>
          <w:rFonts w:ascii="Cambria" w:hAnsi="Cambria"/>
        </w:rPr>
      </w:pPr>
      <w:bookmarkStart w:id="89" w:name="_Toc115726264"/>
      <w:r w:rsidRPr="00530906">
        <w:rPr>
          <w:rFonts w:ascii="Cambria" w:hAnsi="Cambria"/>
        </w:rPr>
        <w:t>5</w:t>
      </w:r>
      <w:r w:rsidR="00C7217E" w:rsidRPr="00530906">
        <w:rPr>
          <w:rFonts w:ascii="Cambria" w:hAnsi="Cambria"/>
        </w:rPr>
        <w:t>. Result</w:t>
      </w:r>
      <w:bookmarkEnd w:id="89"/>
    </w:p>
    <w:p w14:paraId="2AFE4F42" w14:textId="77777777" w:rsidR="00EE655C" w:rsidRPr="00530906" w:rsidRDefault="00EE655C" w:rsidP="008756B1">
      <w:pPr>
        <w:spacing w:line="259" w:lineRule="auto"/>
        <w:jc w:val="both"/>
        <w:rPr>
          <w:rFonts w:ascii="Cambria" w:hAnsi="Cambria"/>
          <w:color w:val="000000" w:themeColor="text1"/>
          <w:sz w:val="24"/>
          <w:szCs w:val="24"/>
        </w:rPr>
      </w:pPr>
      <w:r w:rsidRPr="00530906">
        <w:rPr>
          <w:rFonts w:ascii="Cambria" w:hAnsi="Cambria"/>
          <w:color w:val="000000" w:themeColor="text1"/>
          <w:sz w:val="24"/>
          <w:szCs w:val="24"/>
        </w:rPr>
        <w:br w:type="page"/>
      </w:r>
    </w:p>
    <w:p w14:paraId="64100A80" w14:textId="52D8673F" w:rsidR="00BA033C" w:rsidRPr="003F0920" w:rsidRDefault="00BA033C" w:rsidP="003F0920">
      <w:pPr>
        <w:pStyle w:val="Heading2"/>
        <w:jc w:val="both"/>
        <w:rPr>
          <w:rFonts w:ascii="Cambria" w:hAnsi="Cambria"/>
          <w:lang w:val="en-US"/>
        </w:rPr>
      </w:pPr>
      <w:bookmarkStart w:id="90" w:name="_Toc115726265"/>
      <w:r w:rsidRPr="003F0920">
        <w:rPr>
          <w:rFonts w:ascii="Cambria" w:hAnsi="Cambria"/>
          <w:lang w:val="en-US"/>
        </w:rPr>
        <w:t>5.1</w:t>
      </w:r>
      <w:r w:rsidR="003F0920" w:rsidRPr="003F0920">
        <w:rPr>
          <w:rFonts w:ascii="Cambria" w:hAnsi="Cambria"/>
          <w:lang w:val="en-US"/>
        </w:rPr>
        <w:t>. Hypothesis testing</w:t>
      </w:r>
      <w:bookmarkEnd w:id="90"/>
      <w:r w:rsidR="003F0920" w:rsidRPr="003F0920">
        <w:rPr>
          <w:rFonts w:ascii="Cambria" w:hAnsi="Cambria"/>
          <w:lang w:val="en-US"/>
        </w:rPr>
        <w:t xml:space="preserve"> </w:t>
      </w:r>
    </w:p>
    <w:p w14:paraId="52FDBE57" w14:textId="4EB28606" w:rsidR="00D461CE" w:rsidRPr="00D461CE" w:rsidRDefault="00D461CE" w:rsidP="00D461CE">
      <w:pPr>
        <w:pStyle w:val="Heading3"/>
        <w:rPr>
          <w:lang w:val="en-US"/>
        </w:rPr>
      </w:pPr>
      <w:bookmarkStart w:id="91" w:name="_Toc115726266"/>
      <w:r>
        <w:rPr>
          <w:lang w:val="en-US"/>
        </w:rPr>
        <w:t>5.1.1</w:t>
      </w:r>
      <w:r w:rsidR="004B4652">
        <w:rPr>
          <w:lang w:val="en-US"/>
        </w:rPr>
        <w:t xml:space="preserve"> </w:t>
      </w:r>
      <w:r w:rsidR="00AC6709">
        <w:rPr>
          <w:lang w:val="en-US"/>
        </w:rPr>
        <w:t xml:space="preserve">Impact of </w:t>
      </w:r>
      <w:r w:rsidR="00A93E27">
        <w:rPr>
          <w:lang w:val="en-US"/>
        </w:rPr>
        <w:t xml:space="preserve">different </w:t>
      </w:r>
      <w:r w:rsidR="00EF565D">
        <w:rPr>
          <w:lang w:val="en-US"/>
        </w:rPr>
        <w:t xml:space="preserve">types of </w:t>
      </w:r>
      <w:r w:rsidR="00BB44C0">
        <w:rPr>
          <w:lang w:val="en-US"/>
        </w:rPr>
        <w:t>Captions</w:t>
      </w:r>
      <w:r w:rsidR="00AC6709">
        <w:rPr>
          <w:lang w:val="en-US"/>
        </w:rPr>
        <w:t xml:space="preserve"> and source expertise</w:t>
      </w:r>
      <w:bookmarkEnd w:id="91"/>
    </w:p>
    <w:p w14:paraId="3126E092" w14:textId="5278537C"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H</w:t>
      </w:r>
      <w:r w:rsidRPr="00530906">
        <w:rPr>
          <w:rFonts w:ascii="Cambria" w:hAnsi="Cambria"/>
          <w:color w:val="000000" w:themeColor="text1"/>
          <w:sz w:val="24"/>
          <w:szCs w:val="24"/>
          <w:vertAlign w:val="subscript"/>
        </w:rPr>
        <w:t>1</w:t>
      </w:r>
      <w:r w:rsidRPr="00530906">
        <w:rPr>
          <w:rFonts w:ascii="Cambria" w:hAnsi="Cambria"/>
          <w:color w:val="000000" w:themeColor="text1"/>
          <w:sz w:val="24"/>
          <w:szCs w:val="24"/>
        </w:rPr>
        <w:t xml:space="preserve"> was tested using ANOVA to compare the effect of positive and negative caption of social media engagement and for H</w:t>
      </w:r>
      <w:r w:rsidRPr="00530906">
        <w:rPr>
          <w:rFonts w:ascii="Cambria" w:hAnsi="Cambria"/>
          <w:color w:val="000000" w:themeColor="text1"/>
          <w:sz w:val="24"/>
          <w:szCs w:val="24"/>
          <w:vertAlign w:val="subscript"/>
        </w:rPr>
        <w:t>2</w:t>
      </w:r>
      <w:r w:rsidRPr="00530906">
        <w:rPr>
          <w:rFonts w:ascii="Cambria" w:hAnsi="Cambria"/>
          <w:color w:val="000000" w:themeColor="text1"/>
          <w:sz w:val="24"/>
          <w:szCs w:val="24"/>
        </w:rPr>
        <w:t>, two–way ANOVA was used to test the interaction between the types of captions and the level of source expertise on social media engagement. One way ANOVA was conducted to compare the score on social media engagement on positive caption (M = 3.71, SD = 1.3) and negative caption (M = 3.56, SD = 1.36) which was not significant (F (1, 277) = 0.87, p = .351). In other words, there is no significant difference between positive caption and negative caption in terms of social media engagement. H</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was not confirmed, but H</w:t>
      </w:r>
      <w:r w:rsidRPr="00530906">
        <w:rPr>
          <w:rFonts w:ascii="Cambria" w:hAnsi="Cambria"/>
          <w:color w:val="000000" w:themeColor="text1"/>
          <w:sz w:val="24"/>
          <w:szCs w:val="24"/>
          <w:vertAlign w:val="subscript"/>
        </w:rPr>
        <w:t>2</w:t>
      </w:r>
      <w:r w:rsidRPr="00530906">
        <w:rPr>
          <w:rFonts w:ascii="Cambria" w:hAnsi="Cambria"/>
          <w:color w:val="000000" w:themeColor="text1"/>
          <w:sz w:val="24"/>
          <w:szCs w:val="24"/>
        </w:rPr>
        <w:t xml:space="preserve"> was confirmed by two–way ANOVA, which shows significant interaction effect of types of </w:t>
      </w:r>
      <w:r w:rsidR="00BB44C0" w:rsidRPr="00530906">
        <w:rPr>
          <w:rFonts w:ascii="Cambria" w:hAnsi="Cambria"/>
          <w:color w:val="000000" w:themeColor="text1"/>
          <w:sz w:val="24"/>
          <w:szCs w:val="24"/>
        </w:rPr>
        <w:t>captions</w:t>
      </w:r>
      <w:r w:rsidRPr="00530906">
        <w:rPr>
          <w:rFonts w:ascii="Cambria" w:hAnsi="Cambria"/>
          <w:color w:val="000000" w:themeColor="text1"/>
          <w:sz w:val="24"/>
          <w:szCs w:val="24"/>
        </w:rPr>
        <w:t xml:space="preserve"> and level of source expertise (F (1, 274) = 7.55, p = .006). But the main effect for types of </w:t>
      </w:r>
      <w:r w:rsidR="00BB44C0" w:rsidRPr="00530906">
        <w:rPr>
          <w:rFonts w:ascii="Cambria" w:hAnsi="Cambria"/>
          <w:color w:val="000000" w:themeColor="text1"/>
          <w:sz w:val="24"/>
          <w:szCs w:val="24"/>
        </w:rPr>
        <w:t>captions</w:t>
      </w:r>
      <w:r w:rsidRPr="00530906">
        <w:rPr>
          <w:rFonts w:ascii="Cambria" w:hAnsi="Cambria"/>
          <w:color w:val="000000" w:themeColor="text1"/>
          <w:sz w:val="24"/>
          <w:szCs w:val="24"/>
        </w:rPr>
        <w:t xml:space="preserve"> (F (1, 274) = 1.153, p = .284) and source expertise (F (1, 274) = 1.3, p = .255) both were not significant. This represents, though there is no significant difference on ‘social media engagement’ for ‘types of </w:t>
      </w:r>
      <w:r w:rsidR="00BB44C0" w:rsidRPr="00530906">
        <w:rPr>
          <w:rFonts w:ascii="Cambria" w:hAnsi="Cambria"/>
          <w:color w:val="000000" w:themeColor="text1"/>
          <w:sz w:val="24"/>
          <w:szCs w:val="24"/>
        </w:rPr>
        <w:t>caption</w:t>
      </w:r>
      <w:r w:rsidRPr="00530906">
        <w:rPr>
          <w:rFonts w:ascii="Cambria" w:hAnsi="Cambria"/>
          <w:color w:val="000000" w:themeColor="text1"/>
          <w:sz w:val="24"/>
          <w:szCs w:val="24"/>
        </w:rPr>
        <w:t xml:space="preserve">’ or the ‘level of source expertise’, but when ‘types of caption’ and the ‘level of source expertise’ are considered together there is a significant difference in terms of ‘social media engagement’. Figure </w:t>
      </w:r>
      <w:r w:rsidR="00E70B9F">
        <w:rPr>
          <w:rFonts w:ascii="Cambria" w:hAnsi="Cambria"/>
          <w:color w:val="000000" w:themeColor="text1"/>
          <w:sz w:val="24"/>
          <w:szCs w:val="24"/>
        </w:rPr>
        <w:t>20</w:t>
      </w:r>
      <w:r w:rsidRPr="00530906">
        <w:rPr>
          <w:rFonts w:ascii="Cambria" w:hAnsi="Cambria"/>
          <w:color w:val="000000" w:themeColor="text1"/>
          <w:sz w:val="24"/>
          <w:szCs w:val="24"/>
        </w:rPr>
        <w:t xml:space="preserve"> shows that, when the source expertise is high, users engage in social media more for negative caption than the positive one, but when the source expertise is low, this effect is opposite.</w:t>
      </w:r>
    </w:p>
    <w:p w14:paraId="3B8201A1" w14:textId="77777777" w:rsidR="00C7217E" w:rsidRPr="00530906" w:rsidRDefault="00C7217E">
      <w:pPr>
        <w:autoSpaceDE w:val="0"/>
        <w:autoSpaceDN w:val="0"/>
        <w:adjustRightInd w:val="0"/>
        <w:spacing w:after="0" w:line="360" w:lineRule="auto"/>
        <w:jc w:val="both"/>
        <w:rPr>
          <w:rFonts w:ascii="Cambria" w:hAnsi="Cambria"/>
          <w:color w:val="000000" w:themeColor="text1"/>
          <w:sz w:val="16"/>
          <w:szCs w:val="16"/>
        </w:rPr>
      </w:pPr>
    </w:p>
    <w:p w14:paraId="058546FF" w14:textId="5D86FD4F" w:rsidR="00C7217E" w:rsidRPr="00530906" w:rsidRDefault="00C7217E">
      <w:pPr>
        <w:autoSpaceDE w:val="0"/>
        <w:autoSpaceDN w:val="0"/>
        <w:adjustRightInd w:val="0"/>
        <w:spacing w:after="0" w:line="360" w:lineRule="auto"/>
        <w:jc w:val="both"/>
        <w:rPr>
          <w:rFonts w:ascii="Cambria" w:hAnsi="Cambria" w:cs="Times New Roman"/>
          <w:color w:val="000000" w:themeColor="text1"/>
          <w:sz w:val="24"/>
          <w:szCs w:val="24"/>
        </w:rPr>
      </w:pPr>
      <w:r w:rsidRPr="00530906">
        <w:rPr>
          <w:rFonts w:ascii="Cambria" w:hAnsi="Cambria" w:cs="Times New Roman"/>
          <w:noProof/>
          <w:color w:val="000000" w:themeColor="text1"/>
          <w:sz w:val="24"/>
          <w:szCs w:val="24"/>
        </w:rPr>
        <w:drawing>
          <wp:anchor distT="0" distB="0" distL="114300" distR="114300" simplePos="0" relativeHeight="251657279" behindDoc="0" locked="0" layoutInCell="1" allowOverlap="1" wp14:anchorId="401DF749" wp14:editId="066893C6">
            <wp:simplePos x="0" y="0"/>
            <wp:positionH relativeFrom="column">
              <wp:posOffset>0</wp:posOffset>
            </wp:positionH>
            <wp:positionV relativeFrom="paragraph">
              <wp:posOffset>245745</wp:posOffset>
            </wp:positionV>
            <wp:extent cx="5943600" cy="3495675"/>
            <wp:effectExtent l="0" t="0" r="0" b="9525"/>
            <wp:wrapSquare wrapText="bothSides"/>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30906">
        <w:rPr>
          <w:rFonts w:ascii="Cambria" w:hAnsi="Cambria"/>
          <w:color w:val="000000" w:themeColor="text1"/>
        </w:rPr>
        <w:t xml:space="preserve"> </w:t>
      </w:r>
      <w:r w:rsidRPr="00530906">
        <w:rPr>
          <w:rFonts w:ascii="Cambria" w:hAnsi="Cambria" w:cs="Times New Roman"/>
          <w:color w:val="000000" w:themeColor="text1"/>
          <w:sz w:val="24"/>
          <w:szCs w:val="24"/>
        </w:rPr>
        <w:t xml:space="preserve">Fig </w:t>
      </w:r>
      <w:r w:rsidR="000871FA">
        <w:rPr>
          <w:rFonts w:ascii="Cambria" w:hAnsi="Cambria" w:cs="Times New Roman"/>
          <w:color w:val="000000" w:themeColor="text1"/>
          <w:sz w:val="24"/>
          <w:szCs w:val="24"/>
        </w:rPr>
        <w:t>20</w:t>
      </w:r>
      <w:r w:rsidRPr="00530906">
        <w:rPr>
          <w:rFonts w:ascii="Cambria" w:hAnsi="Cambria" w:cs="Times New Roman"/>
          <w:color w:val="000000" w:themeColor="text1"/>
          <w:sz w:val="24"/>
          <w:szCs w:val="24"/>
        </w:rPr>
        <w:t xml:space="preserve">: Interaction between types of caption and level of expertise. </w:t>
      </w:r>
    </w:p>
    <w:p w14:paraId="65015F61"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00B4F5AB" w14:textId="77777777" w:rsidR="00C7217E" w:rsidRPr="00530906" w:rsidRDefault="00C7217E" w:rsidP="008756B1">
      <w:pPr>
        <w:autoSpaceDE w:val="0"/>
        <w:autoSpaceDN w:val="0"/>
        <w:adjustRightInd w:val="0"/>
        <w:spacing w:after="0" w:line="240" w:lineRule="auto"/>
        <w:jc w:val="both"/>
        <w:rPr>
          <w:rFonts w:ascii="Cambria" w:hAnsi="Cambria" w:cs="Times New Roman"/>
          <w:color w:val="000000" w:themeColor="text1"/>
          <w:sz w:val="24"/>
          <w:szCs w:val="24"/>
        </w:rPr>
      </w:pPr>
    </w:p>
    <w:p w14:paraId="3941440A" w14:textId="6E24D642" w:rsidR="00C7217E" w:rsidRPr="00530906" w:rsidRDefault="00C7217E">
      <w:pPr>
        <w:autoSpaceDE w:val="0"/>
        <w:autoSpaceDN w:val="0"/>
        <w:adjustRightInd w:val="0"/>
        <w:spacing w:after="0" w:line="360" w:lineRule="auto"/>
        <w:jc w:val="both"/>
        <w:rPr>
          <w:rFonts w:ascii="Cambria" w:hAnsi="Cambria"/>
          <w:sz w:val="24"/>
          <w:szCs w:val="24"/>
        </w:rPr>
      </w:pPr>
      <w:r w:rsidRPr="00530906">
        <w:rPr>
          <w:rFonts w:ascii="Cambria" w:hAnsi="Cambria"/>
          <w:color w:val="000000" w:themeColor="text1"/>
          <w:sz w:val="24"/>
          <w:szCs w:val="24"/>
        </w:rPr>
        <w:t>MANOVA analysis was employed in order to test whether the positive caption with sustainability ad generates more SCV than the one with the negative one (H</w:t>
      </w:r>
      <w:r w:rsidRPr="00530906">
        <w:rPr>
          <w:rFonts w:ascii="Cambria" w:hAnsi="Cambria"/>
          <w:color w:val="000000" w:themeColor="text1"/>
          <w:sz w:val="24"/>
          <w:szCs w:val="24"/>
          <w:vertAlign w:val="subscript"/>
        </w:rPr>
        <w:t>3</w:t>
      </w:r>
      <w:r w:rsidRPr="00530906">
        <w:rPr>
          <w:rFonts w:ascii="Cambria" w:hAnsi="Cambria"/>
          <w:color w:val="000000" w:themeColor="text1"/>
          <w:sz w:val="24"/>
          <w:szCs w:val="24"/>
        </w:rPr>
        <w:t xml:space="preserve">). This was conducted by taking positive and negative caption as </w:t>
      </w:r>
      <w:r w:rsidR="00502ACB" w:rsidRPr="00530906">
        <w:rPr>
          <w:rFonts w:ascii="Cambria" w:hAnsi="Cambria"/>
          <w:color w:val="000000" w:themeColor="text1"/>
          <w:sz w:val="24"/>
          <w:szCs w:val="24"/>
        </w:rPr>
        <w:t>independent</w:t>
      </w:r>
      <w:r w:rsidRPr="00530906">
        <w:rPr>
          <w:rFonts w:ascii="Cambria" w:hAnsi="Cambria"/>
          <w:color w:val="000000" w:themeColor="text1"/>
          <w:sz w:val="24"/>
          <w:szCs w:val="24"/>
        </w:rPr>
        <w:t xml:space="preserve"> variable (IV) and 4 dimensions of SCV (image quality, engrossment, self–projection and mental fluency) as dependent variable (DV). These 4 dimensions </w:t>
      </w:r>
      <w:r w:rsidRPr="00530906">
        <w:rPr>
          <w:rFonts w:ascii="Cambria" w:hAnsi="Cambria"/>
          <w:sz w:val="24"/>
          <w:szCs w:val="24"/>
        </w:rPr>
        <w:t>make SCV a second order formative construct.  MANOVA is undertaken when difference in groups to be identified in terms of multiple, but related variables (</w:t>
      </w:r>
      <w:r w:rsidR="00A7286E">
        <w:rPr>
          <w:rFonts w:ascii="Cambria" w:hAnsi="Cambria"/>
          <w:sz w:val="24"/>
          <w:szCs w:val="24"/>
        </w:rPr>
        <w:t>Pallant</w:t>
      </w:r>
      <w:r w:rsidRPr="00530906">
        <w:rPr>
          <w:rFonts w:ascii="Cambria" w:hAnsi="Cambria"/>
          <w:sz w:val="24"/>
          <w:szCs w:val="24"/>
        </w:rPr>
        <w:t xml:space="preserve"> 2010). Table 1</w:t>
      </w:r>
      <w:r w:rsidR="007F199B">
        <w:rPr>
          <w:rFonts w:ascii="Cambria" w:hAnsi="Cambria"/>
          <w:sz w:val="24"/>
          <w:szCs w:val="24"/>
        </w:rPr>
        <w:t>7</w:t>
      </w:r>
      <w:r w:rsidRPr="00530906">
        <w:rPr>
          <w:rFonts w:ascii="Cambria" w:hAnsi="Cambria"/>
          <w:sz w:val="24"/>
          <w:szCs w:val="24"/>
        </w:rPr>
        <w:t xml:space="preserve"> shows that, all the SCV dimensions are moderate to highly correlated.</w:t>
      </w:r>
    </w:p>
    <w:p w14:paraId="17DBFFD7" w14:textId="77777777" w:rsidR="00C7217E" w:rsidRPr="00530906" w:rsidRDefault="00C7217E">
      <w:pPr>
        <w:autoSpaceDE w:val="0"/>
        <w:autoSpaceDN w:val="0"/>
        <w:adjustRightInd w:val="0"/>
        <w:spacing w:after="0" w:line="360" w:lineRule="auto"/>
        <w:jc w:val="both"/>
        <w:rPr>
          <w:rFonts w:ascii="Cambria" w:hAnsi="Cambria"/>
        </w:rPr>
      </w:pPr>
    </w:p>
    <w:p w14:paraId="6DF28FA1" w14:textId="0224A25B" w:rsidR="00C7217E" w:rsidRPr="00530906" w:rsidRDefault="00C7217E">
      <w:pPr>
        <w:autoSpaceDE w:val="0"/>
        <w:autoSpaceDN w:val="0"/>
        <w:adjustRightInd w:val="0"/>
        <w:spacing w:after="0" w:line="360" w:lineRule="auto"/>
        <w:jc w:val="both"/>
        <w:rPr>
          <w:rFonts w:ascii="Cambria" w:hAnsi="Cambria"/>
        </w:rPr>
      </w:pPr>
      <w:r w:rsidRPr="00530906">
        <w:rPr>
          <w:rFonts w:ascii="Cambria" w:hAnsi="Cambria"/>
        </w:rPr>
        <w:t>Table 1</w:t>
      </w:r>
      <w:r w:rsidR="00754D4F">
        <w:rPr>
          <w:rFonts w:ascii="Cambria" w:hAnsi="Cambria"/>
        </w:rPr>
        <w:t>7</w:t>
      </w:r>
      <w:r w:rsidRPr="00530906">
        <w:rPr>
          <w:rFonts w:ascii="Cambria" w:hAnsi="Cambria"/>
        </w:rPr>
        <w:t xml:space="preserve">. Correlation table </w:t>
      </w:r>
    </w:p>
    <w:tbl>
      <w:tblPr>
        <w:tblW w:w="0" w:type="auto"/>
        <w:tblCellMar>
          <w:left w:w="0" w:type="dxa"/>
          <w:right w:w="0" w:type="dxa"/>
        </w:tblCellMar>
        <w:tblLook w:val="04A0" w:firstRow="1" w:lastRow="0" w:firstColumn="1" w:lastColumn="0" w:noHBand="0" w:noVBand="1"/>
      </w:tblPr>
      <w:tblGrid>
        <w:gridCol w:w="670"/>
        <w:gridCol w:w="670"/>
        <w:gridCol w:w="495"/>
        <w:gridCol w:w="500"/>
        <w:gridCol w:w="536"/>
        <w:gridCol w:w="500"/>
        <w:gridCol w:w="500"/>
        <w:gridCol w:w="500"/>
        <w:gridCol w:w="500"/>
        <w:gridCol w:w="500"/>
        <w:gridCol w:w="500"/>
        <w:gridCol w:w="500"/>
        <w:gridCol w:w="500"/>
        <w:gridCol w:w="500"/>
        <w:gridCol w:w="500"/>
        <w:gridCol w:w="500"/>
        <w:gridCol w:w="205"/>
      </w:tblGrid>
      <w:tr w:rsidR="00C7217E" w:rsidRPr="00530906" w14:paraId="21A05EFD" w14:textId="77777777" w:rsidTr="00C7217E">
        <w:trPr>
          <w:trHeight w:val="283"/>
        </w:trPr>
        <w:tc>
          <w:tcPr>
            <w:tcW w:w="0" w:type="auto"/>
            <w:tcBorders>
              <w:top w:val="nil"/>
              <w:left w:val="nil"/>
              <w:bottom w:val="single" w:sz="4" w:space="0" w:color="993366"/>
              <w:right w:val="nil"/>
            </w:tcBorders>
            <w:shd w:val="clear" w:color="auto" w:fill="CCCCFF"/>
            <w:vAlign w:val="bottom"/>
            <w:hideMark/>
          </w:tcPr>
          <w:p w14:paraId="0D7CF9F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993366"/>
              <w:right w:val="nil"/>
            </w:tcBorders>
            <w:shd w:val="clear" w:color="auto" w:fill="CCCCFF"/>
            <w:vAlign w:val="bottom"/>
            <w:hideMark/>
          </w:tcPr>
          <w:p w14:paraId="0E8F4B5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993366"/>
              <w:right w:val="single" w:sz="4" w:space="0" w:color="333333"/>
            </w:tcBorders>
            <w:shd w:val="clear" w:color="auto" w:fill="CCCCFF"/>
            <w:hideMark/>
          </w:tcPr>
          <w:p w14:paraId="2A49CF5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993366"/>
              <w:right w:val="single" w:sz="4" w:space="0" w:color="333333"/>
            </w:tcBorders>
            <w:shd w:val="clear" w:color="auto" w:fill="CCCCFF"/>
            <w:hideMark/>
          </w:tcPr>
          <w:p w14:paraId="6CA4708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w:t>
            </w:r>
          </w:p>
        </w:tc>
        <w:tc>
          <w:tcPr>
            <w:tcW w:w="0" w:type="auto"/>
            <w:tcBorders>
              <w:top w:val="nil"/>
              <w:left w:val="nil"/>
              <w:bottom w:val="single" w:sz="4" w:space="0" w:color="993366"/>
              <w:right w:val="single" w:sz="4" w:space="0" w:color="333333"/>
            </w:tcBorders>
            <w:shd w:val="clear" w:color="auto" w:fill="CCCCFF"/>
            <w:hideMark/>
          </w:tcPr>
          <w:p w14:paraId="7B7D09A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w:t>
            </w:r>
          </w:p>
        </w:tc>
        <w:tc>
          <w:tcPr>
            <w:tcW w:w="0" w:type="auto"/>
            <w:tcBorders>
              <w:top w:val="nil"/>
              <w:left w:val="nil"/>
              <w:bottom w:val="single" w:sz="4" w:space="0" w:color="993366"/>
              <w:right w:val="single" w:sz="4" w:space="0" w:color="333333"/>
            </w:tcBorders>
            <w:shd w:val="clear" w:color="auto" w:fill="CCCCFF"/>
            <w:hideMark/>
          </w:tcPr>
          <w:p w14:paraId="06E786F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w:t>
            </w:r>
          </w:p>
        </w:tc>
        <w:tc>
          <w:tcPr>
            <w:tcW w:w="0" w:type="auto"/>
            <w:tcBorders>
              <w:top w:val="nil"/>
              <w:left w:val="nil"/>
              <w:bottom w:val="single" w:sz="4" w:space="0" w:color="993366"/>
              <w:right w:val="single" w:sz="4" w:space="0" w:color="333333"/>
            </w:tcBorders>
            <w:shd w:val="clear" w:color="auto" w:fill="CCCCFF"/>
            <w:hideMark/>
          </w:tcPr>
          <w:p w14:paraId="7B314FA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w:t>
            </w:r>
          </w:p>
        </w:tc>
        <w:tc>
          <w:tcPr>
            <w:tcW w:w="0" w:type="auto"/>
            <w:tcBorders>
              <w:top w:val="nil"/>
              <w:left w:val="nil"/>
              <w:bottom w:val="single" w:sz="4" w:space="0" w:color="993366"/>
              <w:right w:val="single" w:sz="4" w:space="0" w:color="333333"/>
            </w:tcBorders>
            <w:shd w:val="clear" w:color="auto" w:fill="CCCCFF"/>
            <w:hideMark/>
          </w:tcPr>
          <w:p w14:paraId="2DC8992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w:t>
            </w:r>
          </w:p>
        </w:tc>
        <w:tc>
          <w:tcPr>
            <w:tcW w:w="0" w:type="auto"/>
            <w:tcBorders>
              <w:top w:val="nil"/>
              <w:left w:val="nil"/>
              <w:bottom w:val="single" w:sz="4" w:space="0" w:color="993366"/>
              <w:right w:val="single" w:sz="4" w:space="0" w:color="333333"/>
            </w:tcBorders>
            <w:shd w:val="clear" w:color="auto" w:fill="CCCCFF"/>
            <w:hideMark/>
          </w:tcPr>
          <w:p w14:paraId="03A9042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7</w:t>
            </w:r>
          </w:p>
        </w:tc>
        <w:tc>
          <w:tcPr>
            <w:tcW w:w="0" w:type="auto"/>
            <w:tcBorders>
              <w:top w:val="nil"/>
              <w:left w:val="nil"/>
              <w:bottom w:val="single" w:sz="4" w:space="0" w:color="993366"/>
              <w:right w:val="single" w:sz="4" w:space="0" w:color="333333"/>
            </w:tcBorders>
            <w:shd w:val="clear" w:color="auto" w:fill="CCCCFF"/>
            <w:hideMark/>
          </w:tcPr>
          <w:p w14:paraId="061022F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8</w:t>
            </w:r>
          </w:p>
        </w:tc>
        <w:tc>
          <w:tcPr>
            <w:tcW w:w="0" w:type="auto"/>
            <w:tcBorders>
              <w:top w:val="nil"/>
              <w:left w:val="nil"/>
              <w:bottom w:val="single" w:sz="4" w:space="0" w:color="993366"/>
              <w:right w:val="single" w:sz="4" w:space="0" w:color="333333"/>
            </w:tcBorders>
            <w:shd w:val="clear" w:color="auto" w:fill="CCCCFF"/>
            <w:hideMark/>
          </w:tcPr>
          <w:p w14:paraId="341ACB7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9</w:t>
            </w:r>
          </w:p>
        </w:tc>
        <w:tc>
          <w:tcPr>
            <w:tcW w:w="0" w:type="auto"/>
            <w:tcBorders>
              <w:top w:val="nil"/>
              <w:left w:val="nil"/>
              <w:bottom w:val="single" w:sz="4" w:space="0" w:color="993366"/>
              <w:right w:val="single" w:sz="4" w:space="0" w:color="333333"/>
            </w:tcBorders>
            <w:shd w:val="clear" w:color="auto" w:fill="CCCCFF"/>
            <w:hideMark/>
          </w:tcPr>
          <w:p w14:paraId="02FCEE6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10</w:t>
            </w:r>
          </w:p>
        </w:tc>
        <w:tc>
          <w:tcPr>
            <w:tcW w:w="0" w:type="auto"/>
            <w:tcBorders>
              <w:top w:val="nil"/>
              <w:left w:val="nil"/>
              <w:bottom w:val="single" w:sz="4" w:space="0" w:color="993366"/>
              <w:right w:val="single" w:sz="4" w:space="0" w:color="333333"/>
            </w:tcBorders>
            <w:shd w:val="clear" w:color="auto" w:fill="CCCCFF"/>
            <w:hideMark/>
          </w:tcPr>
          <w:p w14:paraId="3C537CA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11</w:t>
            </w:r>
          </w:p>
        </w:tc>
        <w:tc>
          <w:tcPr>
            <w:tcW w:w="0" w:type="auto"/>
            <w:tcBorders>
              <w:top w:val="nil"/>
              <w:left w:val="nil"/>
              <w:bottom w:val="single" w:sz="4" w:space="0" w:color="993366"/>
              <w:right w:val="single" w:sz="4" w:space="0" w:color="333333"/>
            </w:tcBorders>
            <w:shd w:val="clear" w:color="auto" w:fill="CCCCFF"/>
            <w:hideMark/>
          </w:tcPr>
          <w:p w14:paraId="69E2D1B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12</w:t>
            </w:r>
          </w:p>
        </w:tc>
        <w:tc>
          <w:tcPr>
            <w:tcW w:w="0" w:type="auto"/>
            <w:tcBorders>
              <w:top w:val="nil"/>
              <w:left w:val="nil"/>
              <w:bottom w:val="single" w:sz="4" w:space="0" w:color="993366"/>
              <w:right w:val="single" w:sz="4" w:space="0" w:color="333333"/>
            </w:tcBorders>
            <w:shd w:val="clear" w:color="auto" w:fill="CCCCFF"/>
            <w:hideMark/>
          </w:tcPr>
          <w:p w14:paraId="3D94344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13</w:t>
            </w:r>
          </w:p>
        </w:tc>
        <w:tc>
          <w:tcPr>
            <w:tcW w:w="0" w:type="auto"/>
            <w:tcBorders>
              <w:top w:val="nil"/>
              <w:left w:val="nil"/>
              <w:bottom w:val="single" w:sz="4" w:space="0" w:color="993366"/>
              <w:right w:val="single" w:sz="4" w:space="0" w:color="333333"/>
            </w:tcBorders>
            <w:shd w:val="clear" w:color="auto" w:fill="CCCCFF"/>
            <w:hideMark/>
          </w:tcPr>
          <w:p w14:paraId="79A700C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14</w:t>
            </w:r>
          </w:p>
        </w:tc>
        <w:tc>
          <w:tcPr>
            <w:tcW w:w="0" w:type="auto"/>
            <w:tcBorders>
              <w:top w:val="nil"/>
              <w:left w:val="nil"/>
              <w:bottom w:val="single" w:sz="4" w:space="0" w:color="993366"/>
              <w:right w:val="nil"/>
            </w:tcBorders>
            <w:shd w:val="clear" w:color="auto" w:fill="CCCCFF"/>
            <w:hideMark/>
          </w:tcPr>
          <w:p w14:paraId="16D5C2D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w:t>
            </w:r>
          </w:p>
        </w:tc>
      </w:tr>
      <w:tr w:rsidR="00C7217E" w:rsidRPr="00530906" w14:paraId="05BEAA21" w14:textId="77777777" w:rsidTr="00C7217E">
        <w:trPr>
          <w:trHeight w:val="283"/>
        </w:trPr>
        <w:tc>
          <w:tcPr>
            <w:tcW w:w="0" w:type="auto"/>
            <w:gridSpan w:val="2"/>
            <w:tcBorders>
              <w:top w:val="single" w:sz="4" w:space="0" w:color="993366"/>
              <w:left w:val="nil"/>
              <w:bottom w:val="single" w:sz="4" w:space="0" w:color="C0C0C0"/>
              <w:right w:val="nil"/>
            </w:tcBorders>
            <w:shd w:val="clear" w:color="000000" w:fill="CCCCFF"/>
            <w:noWrap/>
            <w:hideMark/>
          </w:tcPr>
          <w:p w14:paraId="2068E22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 Involvement</w:t>
            </w:r>
          </w:p>
        </w:tc>
        <w:tc>
          <w:tcPr>
            <w:tcW w:w="0" w:type="auto"/>
            <w:tcBorders>
              <w:top w:val="nil"/>
              <w:left w:val="nil"/>
              <w:bottom w:val="single" w:sz="4" w:space="0" w:color="C0C0C0"/>
              <w:right w:val="single" w:sz="4" w:space="0" w:color="333333"/>
            </w:tcBorders>
            <w:shd w:val="clear" w:color="auto" w:fill="auto"/>
            <w:noWrap/>
            <w:hideMark/>
          </w:tcPr>
          <w:p w14:paraId="72B9E97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613F0DA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AFC27D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6926C2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A4CF63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58E0C6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57E60E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C591CA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1ADAB4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E90B6D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0C3D74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425E7C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D3A81B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88FD01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102F683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21BE9012"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7E916FC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 Image quality</w:t>
            </w:r>
          </w:p>
        </w:tc>
        <w:tc>
          <w:tcPr>
            <w:tcW w:w="0" w:type="auto"/>
            <w:tcBorders>
              <w:top w:val="nil"/>
              <w:left w:val="nil"/>
              <w:bottom w:val="single" w:sz="4" w:space="0" w:color="C0C0C0"/>
              <w:right w:val="single" w:sz="4" w:space="0" w:color="333333"/>
            </w:tcBorders>
            <w:shd w:val="clear" w:color="auto" w:fill="auto"/>
            <w:noWrap/>
            <w:hideMark/>
          </w:tcPr>
          <w:p w14:paraId="2C7A238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.620**</w:t>
            </w:r>
          </w:p>
        </w:tc>
        <w:tc>
          <w:tcPr>
            <w:tcW w:w="0" w:type="auto"/>
            <w:tcBorders>
              <w:top w:val="nil"/>
              <w:left w:val="nil"/>
              <w:bottom w:val="single" w:sz="4" w:space="0" w:color="C0C0C0"/>
              <w:right w:val="single" w:sz="4" w:space="0" w:color="333333"/>
            </w:tcBorders>
            <w:shd w:val="clear" w:color="auto" w:fill="auto"/>
            <w:noWrap/>
            <w:hideMark/>
          </w:tcPr>
          <w:p w14:paraId="64B28E3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3107DF4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60E73B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37974F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589FB6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97DA08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384A1F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246D77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2C52D1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160FB3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093527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ECF6A0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622B33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1C41C21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036A668B"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26A9B51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 Engrossment</w:t>
            </w:r>
          </w:p>
        </w:tc>
        <w:tc>
          <w:tcPr>
            <w:tcW w:w="0" w:type="auto"/>
            <w:tcBorders>
              <w:top w:val="nil"/>
              <w:left w:val="nil"/>
              <w:bottom w:val="single" w:sz="4" w:space="0" w:color="C0C0C0"/>
              <w:right w:val="single" w:sz="4" w:space="0" w:color="333333"/>
            </w:tcBorders>
            <w:shd w:val="clear" w:color="auto" w:fill="auto"/>
            <w:noWrap/>
            <w:hideMark/>
          </w:tcPr>
          <w:p w14:paraId="57960AA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.214**</w:t>
            </w:r>
          </w:p>
        </w:tc>
        <w:tc>
          <w:tcPr>
            <w:tcW w:w="0" w:type="auto"/>
            <w:tcBorders>
              <w:top w:val="nil"/>
              <w:left w:val="nil"/>
              <w:bottom w:val="single" w:sz="4" w:space="0" w:color="C0C0C0"/>
              <w:right w:val="single" w:sz="4" w:space="0" w:color="333333"/>
            </w:tcBorders>
            <w:shd w:val="clear" w:color="auto" w:fill="auto"/>
            <w:noWrap/>
            <w:hideMark/>
          </w:tcPr>
          <w:p w14:paraId="3224735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.202**</w:t>
            </w:r>
          </w:p>
        </w:tc>
        <w:tc>
          <w:tcPr>
            <w:tcW w:w="0" w:type="auto"/>
            <w:tcBorders>
              <w:top w:val="nil"/>
              <w:left w:val="nil"/>
              <w:bottom w:val="single" w:sz="4" w:space="0" w:color="C0C0C0"/>
              <w:right w:val="single" w:sz="4" w:space="0" w:color="333333"/>
            </w:tcBorders>
            <w:shd w:val="clear" w:color="auto" w:fill="auto"/>
            <w:noWrap/>
            <w:hideMark/>
          </w:tcPr>
          <w:p w14:paraId="3B69273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4C136B8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01143D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1640CC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64B3CA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F62D75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DECFEE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7FC926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F895E1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3ECA9E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93E9FD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286D94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5A4AD21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51C827A7"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23ECA01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 Self–projection</w:t>
            </w:r>
          </w:p>
        </w:tc>
        <w:tc>
          <w:tcPr>
            <w:tcW w:w="0" w:type="auto"/>
            <w:tcBorders>
              <w:top w:val="nil"/>
              <w:left w:val="nil"/>
              <w:bottom w:val="single" w:sz="4" w:space="0" w:color="C0C0C0"/>
              <w:right w:val="single" w:sz="4" w:space="0" w:color="333333"/>
            </w:tcBorders>
            <w:shd w:val="clear" w:color="auto" w:fill="auto"/>
            <w:noWrap/>
            <w:hideMark/>
          </w:tcPr>
          <w:p w14:paraId="47C651A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.538**</w:t>
            </w:r>
          </w:p>
        </w:tc>
        <w:tc>
          <w:tcPr>
            <w:tcW w:w="0" w:type="auto"/>
            <w:tcBorders>
              <w:top w:val="nil"/>
              <w:left w:val="nil"/>
              <w:bottom w:val="single" w:sz="4" w:space="0" w:color="C0C0C0"/>
              <w:right w:val="single" w:sz="4" w:space="0" w:color="333333"/>
            </w:tcBorders>
            <w:shd w:val="clear" w:color="auto" w:fill="auto"/>
            <w:noWrap/>
            <w:hideMark/>
          </w:tcPr>
          <w:p w14:paraId="1E37F99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.529**</w:t>
            </w:r>
          </w:p>
        </w:tc>
        <w:tc>
          <w:tcPr>
            <w:tcW w:w="0" w:type="auto"/>
            <w:tcBorders>
              <w:top w:val="nil"/>
              <w:left w:val="nil"/>
              <w:bottom w:val="single" w:sz="4" w:space="0" w:color="C0C0C0"/>
              <w:right w:val="single" w:sz="4" w:space="0" w:color="333333"/>
            </w:tcBorders>
            <w:shd w:val="clear" w:color="auto" w:fill="auto"/>
            <w:noWrap/>
            <w:hideMark/>
          </w:tcPr>
          <w:p w14:paraId="646FFCD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.369**</w:t>
            </w:r>
          </w:p>
        </w:tc>
        <w:tc>
          <w:tcPr>
            <w:tcW w:w="0" w:type="auto"/>
            <w:tcBorders>
              <w:top w:val="nil"/>
              <w:left w:val="nil"/>
              <w:bottom w:val="single" w:sz="4" w:space="0" w:color="C0C0C0"/>
              <w:right w:val="single" w:sz="4" w:space="0" w:color="333333"/>
            </w:tcBorders>
            <w:shd w:val="clear" w:color="auto" w:fill="auto"/>
            <w:noWrap/>
            <w:hideMark/>
          </w:tcPr>
          <w:p w14:paraId="374380C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33B0F0E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616526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164827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7ED5CB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80B3B6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1F418C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C680D2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ECE1A4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3D26F0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AFB498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454060A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3375B2FD" w14:textId="77777777" w:rsidTr="00C7217E">
        <w:trPr>
          <w:trHeight w:val="283"/>
        </w:trPr>
        <w:tc>
          <w:tcPr>
            <w:tcW w:w="0" w:type="auto"/>
            <w:gridSpan w:val="2"/>
            <w:tcBorders>
              <w:top w:val="single" w:sz="4" w:space="0" w:color="C0C0C0"/>
              <w:left w:val="nil"/>
              <w:bottom w:val="single" w:sz="4" w:space="0" w:color="C0C0C0"/>
              <w:right w:val="nil"/>
            </w:tcBorders>
            <w:shd w:val="clear" w:color="auto" w:fill="CCCCFF"/>
            <w:noWrap/>
            <w:hideMark/>
          </w:tcPr>
          <w:p w14:paraId="06A614B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 Mental fluency</w:t>
            </w:r>
          </w:p>
        </w:tc>
        <w:tc>
          <w:tcPr>
            <w:tcW w:w="0" w:type="auto"/>
            <w:tcBorders>
              <w:top w:val="nil"/>
              <w:left w:val="nil"/>
              <w:bottom w:val="single" w:sz="4" w:space="0" w:color="C0C0C0"/>
              <w:right w:val="single" w:sz="4" w:space="0" w:color="333333"/>
            </w:tcBorders>
            <w:shd w:val="clear" w:color="auto" w:fill="auto"/>
            <w:noWrap/>
            <w:hideMark/>
          </w:tcPr>
          <w:p w14:paraId="2C75DBF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.466**</w:t>
            </w:r>
          </w:p>
        </w:tc>
        <w:tc>
          <w:tcPr>
            <w:tcW w:w="0" w:type="auto"/>
            <w:tcBorders>
              <w:top w:val="nil"/>
              <w:left w:val="nil"/>
              <w:bottom w:val="single" w:sz="4" w:space="0" w:color="C0C0C0"/>
              <w:right w:val="single" w:sz="4" w:space="0" w:color="333333"/>
            </w:tcBorders>
            <w:shd w:val="clear" w:color="auto" w:fill="auto"/>
            <w:noWrap/>
            <w:hideMark/>
          </w:tcPr>
          <w:p w14:paraId="4085707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.449**</w:t>
            </w:r>
          </w:p>
        </w:tc>
        <w:tc>
          <w:tcPr>
            <w:tcW w:w="0" w:type="auto"/>
            <w:tcBorders>
              <w:top w:val="nil"/>
              <w:left w:val="nil"/>
              <w:bottom w:val="single" w:sz="4" w:space="0" w:color="C0C0C0"/>
              <w:right w:val="single" w:sz="4" w:space="0" w:color="333333"/>
            </w:tcBorders>
            <w:shd w:val="clear" w:color="auto" w:fill="auto"/>
            <w:noWrap/>
            <w:hideMark/>
          </w:tcPr>
          <w:p w14:paraId="5A398E1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.199**</w:t>
            </w:r>
          </w:p>
        </w:tc>
        <w:tc>
          <w:tcPr>
            <w:tcW w:w="0" w:type="auto"/>
            <w:tcBorders>
              <w:top w:val="nil"/>
              <w:left w:val="nil"/>
              <w:bottom w:val="single" w:sz="4" w:space="0" w:color="C0C0C0"/>
              <w:right w:val="single" w:sz="4" w:space="0" w:color="333333"/>
            </w:tcBorders>
            <w:shd w:val="clear" w:color="auto" w:fill="auto"/>
            <w:noWrap/>
            <w:hideMark/>
          </w:tcPr>
          <w:p w14:paraId="6D0C7C3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.696**</w:t>
            </w:r>
          </w:p>
        </w:tc>
        <w:tc>
          <w:tcPr>
            <w:tcW w:w="0" w:type="auto"/>
            <w:tcBorders>
              <w:top w:val="nil"/>
              <w:left w:val="nil"/>
              <w:bottom w:val="single" w:sz="4" w:space="0" w:color="C0C0C0"/>
              <w:right w:val="single" w:sz="4" w:space="0" w:color="333333"/>
            </w:tcBorders>
            <w:shd w:val="clear" w:color="auto" w:fill="auto"/>
            <w:noWrap/>
            <w:hideMark/>
          </w:tcPr>
          <w:p w14:paraId="130639D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70E61B0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6A7327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748843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404B1D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327044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ADC181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894432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AE210F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DB23BC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09AC564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7AD80BE1"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4560504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 Pleasure</w:t>
            </w:r>
          </w:p>
        </w:tc>
        <w:tc>
          <w:tcPr>
            <w:tcW w:w="0" w:type="auto"/>
            <w:tcBorders>
              <w:top w:val="nil"/>
              <w:left w:val="nil"/>
              <w:bottom w:val="single" w:sz="4" w:space="0" w:color="C0C0C0"/>
              <w:right w:val="single" w:sz="4" w:space="0" w:color="333333"/>
            </w:tcBorders>
            <w:shd w:val="clear" w:color="auto" w:fill="auto"/>
            <w:noWrap/>
            <w:hideMark/>
          </w:tcPr>
          <w:p w14:paraId="1AF5834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.745**</w:t>
            </w:r>
          </w:p>
        </w:tc>
        <w:tc>
          <w:tcPr>
            <w:tcW w:w="0" w:type="auto"/>
            <w:tcBorders>
              <w:top w:val="nil"/>
              <w:left w:val="nil"/>
              <w:bottom w:val="single" w:sz="4" w:space="0" w:color="C0C0C0"/>
              <w:right w:val="single" w:sz="4" w:space="0" w:color="333333"/>
            </w:tcBorders>
            <w:shd w:val="clear" w:color="auto" w:fill="auto"/>
            <w:noWrap/>
            <w:hideMark/>
          </w:tcPr>
          <w:p w14:paraId="57B8E99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.570**</w:t>
            </w:r>
          </w:p>
        </w:tc>
        <w:tc>
          <w:tcPr>
            <w:tcW w:w="0" w:type="auto"/>
            <w:tcBorders>
              <w:top w:val="nil"/>
              <w:left w:val="nil"/>
              <w:bottom w:val="single" w:sz="4" w:space="0" w:color="C0C0C0"/>
              <w:right w:val="single" w:sz="4" w:space="0" w:color="333333"/>
            </w:tcBorders>
            <w:shd w:val="clear" w:color="auto" w:fill="auto"/>
            <w:noWrap/>
            <w:hideMark/>
          </w:tcPr>
          <w:p w14:paraId="6BE640A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.156**</w:t>
            </w:r>
          </w:p>
        </w:tc>
        <w:tc>
          <w:tcPr>
            <w:tcW w:w="0" w:type="auto"/>
            <w:tcBorders>
              <w:top w:val="nil"/>
              <w:left w:val="nil"/>
              <w:bottom w:val="single" w:sz="4" w:space="0" w:color="C0C0C0"/>
              <w:right w:val="single" w:sz="4" w:space="0" w:color="333333"/>
            </w:tcBorders>
            <w:shd w:val="clear" w:color="auto" w:fill="auto"/>
            <w:noWrap/>
            <w:hideMark/>
          </w:tcPr>
          <w:p w14:paraId="7B4B886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.513**</w:t>
            </w:r>
          </w:p>
        </w:tc>
        <w:tc>
          <w:tcPr>
            <w:tcW w:w="0" w:type="auto"/>
            <w:tcBorders>
              <w:top w:val="nil"/>
              <w:left w:val="nil"/>
              <w:bottom w:val="single" w:sz="4" w:space="0" w:color="C0C0C0"/>
              <w:right w:val="single" w:sz="4" w:space="0" w:color="333333"/>
            </w:tcBorders>
            <w:shd w:val="clear" w:color="auto" w:fill="auto"/>
            <w:noWrap/>
            <w:hideMark/>
          </w:tcPr>
          <w:p w14:paraId="1BBDD9A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.553**</w:t>
            </w:r>
          </w:p>
        </w:tc>
        <w:tc>
          <w:tcPr>
            <w:tcW w:w="0" w:type="auto"/>
            <w:tcBorders>
              <w:top w:val="nil"/>
              <w:left w:val="nil"/>
              <w:bottom w:val="single" w:sz="4" w:space="0" w:color="C0C0C0"/>
              <w:right w:val="single" w:sz="4" w:space="0" w:color="333333"/>
            </w:tcBorders>
            <w:shd w:val="clear" w:color="auto" w:fill="auto"/>
            <w:noWrap/>
            <w:hideMark/>
          </w:tcPr>
          <w:p w14:paraId="5D54831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0E36AB0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24C0DE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ABF038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CF7485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59F9DA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76F09C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9D6B41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CC6C06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2FD0DDC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3462B131"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4D4C9D9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7. Arousal</w:t>
            </w:r>
          </w:p>
        </w:tc>
        <w:tc>
          <w:tcPr>
            <w:tcW w:w="0" w:type="auto"/>
            <w:tcBorders>
              <w:top w:val="nil"/>
              <w:left w:val="nil"/>
              <w:bottom w:val="single" w:sz="4" w:space="0" w:color="C0C0C0"/>
              <w:right w:val="single" w:sz="4" w:space="0" w:color="333333"/>
            </w:tcBorders>
            <w:shd w:val="clear" w:color="auto" w:fill="auto"/>
            <w:noWrap/>
            <w:hideMark/>
          </w:tcPr>
          <w:p w14:paraId="0F47790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.587**</w:t>
            </w:r>
          </w:p>
        </w:tc>
        <w:tc>
          <w:tcPr>
            <w:tcW w:w="0" w:type="auto"/>
            <w:tcBorders>
              <w:top w:val="nil"/>
              <w:left w:val="nil"/>
              <w:bottom w:val="single" w:sz="4" w:space="0" w:color="C0C0C0"/>
              <w:right w:val="single" w:sz="4" w:space="0" w:color="333333"/>
            </w:tcBorders>
            <w:shd w:val="clear" w:color="auto" w:fill="auto"/>
            <w:noWrap/>
            <w:hideMark/>
          </w:tcPr>
          <w:p w14:paraId="43FA2DE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.393**</w:t>
            </w:r>
          </w:p>
        </w:tc>
        <w:tc>
          <w:tcPr>
            <w:tcW w:w="0" w:type="auto"/>
            <w:tcBorders>
              <w:top w:val="nil"/>
              <w:left w:val="nil"/>
              <w:bottom w:val="single" w:sz="4" w:space="0" w:color="C0C0C0"/>
              <w:right w:val="single" w:sz="4" w:space="0" w:color="333333"/>
            </w:tcBorders>
            <w:shd w:val="clear" w:color="auto" w:fill="auto"/>
            <w:noWrap/>
            <w:hideMark/>
          </w:tcPr>
          <w:p w14:paraId="6FC09BA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.217**</w:t>
            </w:r>
          </w:p>
        </w:tc>
        <w:tc>
          <w:tcPr>
            <w:tcW w:w="0" w:type="auto"/>
            <w:tcBorders>
              <w:top w:val="nil"/>
              <w:left w:val="nil"/>
              <w:bottom w:val="single" w:sz="4" w:space="0" w:color="C0C0C0"/>
              <w:right w:val="single" w:sz="4" w:space="0" w:color="333333"/>
            </w:tcBorders>
            <w:shd w:val="clear" w:color="auto" w:fill="auto"/>
            <w:noWrap/>
            <w:hideMark/>
          </w:tcPr>
          <w:p w14:paraId="4B2095E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.462**</w:t>
            </w:r>
          </w:p>
        </w:tc>
        <w:tc>
          <w:tcPr>
            <w:tcW w:w="0" w:type="auto"/>
            <w:tcBorders>
              <w:top w:val="nil"/>
              <w:left w:val="nil"/>
              <w:bottom w:val="single" w:sz="4" w:space="0" w:color="C0C0C0"/>
              <w:right w:val="single" w:sz="4" w:space="0" w:color="333333"/>
            </w:tcBorders>
            <w:shd w:val="clear" w:color="auto" w:fill="auto"/>
            <w:noWrap/>
            <w:hideMark/>
          </w:tcPr>
          <w:p w14:paraId="3C24CF4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.387**</w:t>
            </w:r>
          </w:p>
        </w:tc>
        <w:tc>
          <w:tcPr>
            <w:tcW w:w="0" w:type="auto"/>
            <w:tcBorders>
              <w:top w:val="nil"/>
              <w:left w:val="nil"/>
              <w:bottom w:val="single" w:sz="4" w:space="0" w:color="C0C0C0"/>
              <w:right w:val="single" w:sz="4" w:space="0" w:color="333333"/>
            </w:tcBorders>
            <w:shd w:val="clear" w:color="auto" w:fill="auto"/>
            <w:noWrap/>
            <w:hideMark/>
          </w:tcPr>
          <w:p w14:paraId="6B30043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.529**</w:t>
            </w:r>
          </w:p>
        </w:tc>
        <w:tc>
          <w:tcPr>
            <w:tcW w:w="0" w:type="auto"/>
            <w:tcBorders>
              <w:top w:val="nil"/>
              <w:left w:val="nil"/>
              <w:bottom w:val="single" w:sz="4" w:space="0" w:color="C0C0C0"/>
              <w:right w:val="single" w:sz="4" w:space="0" w:color="333333"/>
            </w:tcBorders>
            <w:shd w:val="clear" w:color="auto" w:fill="auto"/>
            <w:noWrap/>
            <w:hideMark/>
          </w:tcPr>
          <w:p w14:paraId="2C1ED21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356F0FB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0BB3C1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29FC4EC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F67637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C5FA78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CAADFB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255BBD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7E12DAD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513E39AC"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4934701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8. Dominance</w:t>
            </w:r>
          </w:p>
        </w:tc>
        <w:tc>
          <w:tcPr>
            <w:tcW w:w="0" w:type="auto"/>
            <w:tcBorders>
              <w:top w:val="nil"/>
              <w:left w:val="nil"/>
              <w:bottom w:val="single" w:sz="4" w:space="0" w:color="C0C0C0"/>
              <w:right w:val="single" w:sz="4" w:space="0" w:color="333333"/>
            </w:tcBorders>
            <w:shd w:val="clear" w:color="auto" w:fill="auto"/>
            <w:noWrap/>
            <w:hideMark/>
          </w:tcPr>
          <w:p w14:paraId="7BBD845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.164**</w:t>
            </w:r>
          </w:p>
        </w:tc>
        <w:tc>
          <w:tcPr>
            <w:tcW w:w="0" w:type="auto"/>
            <w:tcBorders>
              <w:top w:val="nil"/>
              <w:left w:val="nil"/>
              <w:bottom w:val="single" w:sz="4" w:space="0" w:color="C0C0C0"/>
              <w:right w:val="single" w:sz="4" w:space="0" w:color="333333"/>
            </w:tcBorders>
            <w:shd w:val="clear" w:color="auto" w:fill="auto"/>
            <w:noWrap/>
            <w:hideMark/>
          </w:tcPr>
          <w:p w14:paraId="308AD0D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.226**</w:t>
            </w:r>
          </w:p>
        </w:tc>
        <w:tc>
          <w:tcPr>
            <w:tcW w:w="0" w:type="auto"/>
            <w:tcBorders>
              <w:top w:val="nil"/>
              <w:left w:val="nil"/>
              <w:bottom w:val="single" w:sz="4" w:space="0" w:color="C0C0C0"/>
              <w:right w:val="single" w:sz="4" w:space="0" w:color="333333"/>
            </w:tcBorders>
            <w:shd w:val="clear" w:color="auto" w:fill="auto"/>
            <w:noWrap/>
            <w:hideMark/>
          </w:tcPr>
          <w:p w14:paraId="587B0D8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–0.013</w:t>
            </w:r>
          </w:p>
        </w:tc>
        <w:tc>
          <w:tcPr>
            <w:tcW w:w="0" w:type="auto"/>
            <w:tcBorders>
              <w:top w:val="nil"/>
              <w:left w:val="nil"/>
              <w:bottom w:val="single" w:sz="4" w:space="0" w:color="C0C0C0"/>
              <w:right w:val="single" w:sz="4" w:space="0" w:color="333333"/>
            </w:tcBorders>
            <w:shd w:val="clear" w:color="auto" w:fill="auto"/>
            <w:noWrap/>
            <w:hideMark/>
          </w:tcPr>
          <w:p w14:paraId="03C358E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.199**</w:t>
            </w:r>
          </w:p>
        </w:tc>
        <w:tc>
          <w:tcPr>
            <w:tcW w:w="0" w:type="auto"/>
            <w:tcBorders>
              <w:top w:val="nil"/>
              <w:left w:val="nil"/>
              <w:bottom w:val="single" w:sz="4" w:space="0" w:color="C0C0C0"/>
              <w:right w:val="single" w:sz="4" w:space="0" w:color="333333"/>
            </w:tcBorders>
            <w:shd w:val="clear" w:color="auto" w:fill="auto"/>
            <w:noWrap/>
            <w:hideMark/>
          </w:tcPr>
          <w:p w14:paraId="783558D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.162**</w:t>
            </w:r>
          </w:p>
        </w:tc>
        <w:tc>
          <w:tcPr>
            <w:tcW w:w="0" w:type="auto"/>
            <w:tcBorders>
              <w:top w:val="nil"/>
              <w:left w:val="nil"/>
              <w:bottom w:val="single" w:sz="4" w:space="0" w:color="C0C0C0"/>
              <w:right w:val="single" w:sz="4" w:space="0" w:color="333333"/>
            </w:tcBorders>
            <w:shd w:val="clear" w:color="auto" w:fill="auto"/>
            <w:noWrap/>
            <w:hideMark/>
          </w:tcPr>
          <w:p w14:paraId="319F588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.180**</w:t>
            </w:r>
          </w:p>
        </w:tc>
        <w:tc>
          <w:tcPr>
            <w:tcW w:w="0" w:type="auto"/>
            <w:tcBorders>
              <w:top w:val="nil"/>
              <w:left w:val="nil"/>
              <w:bottom w:val="single" w:sz="4" w:space="0" w:color="C0C0C0"/>
              <w:right w:val="single" w:sz="4" w:space="0" w:color="333333"/>
            </w:tcBorders>
            <w:shd w:val="clear" w:color="auto" w:fill="auto"/>
            <w:noWrap/>
            <w:hideMark/>
          </w:tcPr>
          <w:p w14:paraId="4912F92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.226**</w:t>
            </w:r>
          </w:p>
        </w:tc>
        <w:tc>
          <w:tcPr>
            <w:tcW w:w="0" w:type="auto"/>
            <w:tcBorders>
              <w:top w:val="nil"/>
              <w:left w:val="nil"/>
              <w:bottom w:val="single" w:sz="4" w:space="0" w:color="C0C0C0"/>
              <w:right w:val="single" w:sz="4" w:space="0" w:color="333333"/>
            </w:tcBorders>
            <w:shd w:val="clear" w:color="auto" w:fill="auto"/>
            <w:noWrap/>
            <w:hideMark/>
          </w:tcPr>
          <w:p w14:paraId="77ECE7B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568156A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AE721E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500CB32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2427C6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BAC021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0DA0C4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3816797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0D62467D"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5B374FD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9. Attitude</w:t>
            </w:r>
          </w:p>
        </w:tc>
        <w:tc>
          <w:tcPr>
            <w:tcW w:w="0" w:type="auto"/>
            <w:tcBorders>
              <w:top w:val="nil"/>
              <w:left w:val="nil"/>
              <w:bottom w:val="single" w:sz="4" w:space="0" w:color="C0C0C0"/>
              <w:right w:val="single" w:sz="4" w:space="0" w:color="333333"/>
            </w:tcBorders>
            <w:shd w:val="clear" w:color="auto" w:fill="auto"/>
            <w:noWrap/>
            <w:hideMark/>
          </w:tcPr>
          <w:p w14:paraId="73FF4C4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.700**</w:t>
            </w:r>
          </w:p>
        </w:tc>
        <w:tc>
          <w:tcPr>
            <w:tcW w:w="0" w:type="auto"/>
            <w:tcBorders>
              <w:top w:val="nil"/>
              <w:left w:val="nil"/>
              <w:bottom w:val="single" w:sz="4" w:space="0" w:color="C0C0C0"/>
              <w:right w:val="single" w:sz="4" w:space="0" w:color="333333"/>
            </w:tcBorders>
            <w:shd w:val="clear" w:color="auto" w:fill="auto"/>
            <w:noWrap/>
            <w:hideMark/>
          </w:tcPr>
          <w:p w14:paraId="241DA00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.498**</w:t>
            </w:r>
          </w:p>
        </w:tc>
        <w:tc>
          <w:tcPr>
            <w:tcW w:w="0" w:type="auto"/>
            <w:tcBorders>
              <w:top w:val="nil"/>
              <w:left w:val="nil"/>
              <w:bottom w:val="single" w:sz="4" w:space="0" w:color="C0C0C0"/>
              <w:right w:val="single" w:sz="4" w:space="0" w:color="333333"/>
            </w:tcBorders>
            <w:shd w:val="clear" w:color="auto" w:fill="auto"/>
            <w:noWrap/>
            <w:hideMark/>
          </w:tcPr>
          <w:p w14:paraId="1F90DF6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0.081</w:t>
            </w:r>
          </w:p>
        </w:tc>
        <w:tc>
          <w:tcPr>
            <w:tcW w:w="0" w:type="auto"/>
            <w:tcBorders>
              <w:top w:val="nil"/>
              <w:left w:val="nil"/>
              <w:bottom w:val="single" w:sz="4" w:space="0" w:color="C0C0C0"/>
              <w:right w:val="single" w:sz="4" w:space="0" w:color="333333"/>
            </w:tcBorders>
            <w:shd w:val="clear" w:color="auto" w:fill="auto"/>
            <w:noWrap/>
            <w:hideMark/>
          </w:tcPr>
          <w:p w14:paraId="13D7F28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.455**</w:t>
            </w:r>
          </w:p>
        </w:tc>
        <w:tc>
          <w:tcPr>
            <w:tcW w:w="0" w:type="auto"/>
            <w:tcBorders>
              <w:top w:val="nil"/>
              <w:left w:val="nil"/>
              <w:bottom w:val="single" w:sz="4" w:space="0" w:color="C0C0C0"/>
              <w:right w:val="single" w:sz="4" w:space="0" w:color="333333"/>
            </w:tcBorders>
            <w:shd w:val="clear" w:color="auto" w:fill="auto"/>
            <w:noWrap/>
            <w:hideMark/>
          </w:tcPr>
          <w:p w14:paraId="5E7FD2A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.491**</w:t>
            </w:r>
          </w:p>
        </w:tc>
        <w:tc>
          <w:tcPr>
            <w:tcW w:w="0" w:type="auto"/>
            <w:tcBorders>
              <w:top w:val="nil"/>
              <w:left w:val="nil"/>
              <w:bottom w:val="single" w:sz="4" w:space="0" w:color="C0C0C0"/>
              <w:right w:val="single" w:sz="4" w:space="0" w:color="333333"/>
            </w:tcBorders>
            <w:shd w:val="clear" w:color="auto" w:fill="auto"/>
            <w:noWrap/>
            <w:hideMark/>
          </w:tcPr>
          <w:p w14:paraId="68C2021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.757**</w:t>
            </w:r>
          </w:p>
        </w:tc>
        <w:tc>
          <w:tcPr>
            <w:tcW w:w="0" w:type="auto"/>
            <w:tcBorders>
              <w:top w:val="nil"/>
              <w:left w:val="nil"/>
              <w:bottom w:val="single" w:sz="4" w:space="0" w:color="C0C0C0"/>
              <w:right w:val="single" w:sz="4" w:space="0" w:color="333333"/>
            </w:tcBorders>
            <w:shd w:val="clear" w:color="auto" w:fill="auto"/>
            <w:noWrap/>
            <w:hideMark/>
          </w:tcPr>
          <w:p w14:paraId="75D67AD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.420**</w:t>
            </w:r>
          </w:p>
        </w:tc>
        <w:tc>
          <w:tcPr>
            <w:tcW w:w="0" w:type="auto"/>
            <w:tcBorders>
              <w:top w:val="nil"/>
              <w:left w:val="nil"/>
              <w:bottom w:val="single" w:sz="4" w:space="0" w:color="C0C0C0"/>
              <w:right w:val="single" w:sz="4" w:space="0" w:color="333333"/>
            </w:tcBorders>
            <w:shd w:val="clear" w:color="auto" w:fill="auto"/>
            <w:noWrap/>
            <w:hideMark/>
          </w:tcPr>
          <w:p w14:paraId="4032EE6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.164**</w:t>
            </w:r>
          </w:p>
        </w:tc>
        <w:tc>
          <w:tcPr>
            <w:tcW w:w="0" w:type="auto"/>
            <w:tcBorders>
              <w:top w:val="nil"/>
              <w:left w:val="nil"/>
              <w:bottom w:val="single" w:sz="4" w:space="0" w:color="C0C0C0"/>
              <w:right w:val="single" w:sz="4" w:space="0" w:color="333333"/>
            </w:tcBorders>
            <w:shd w:val="clear" w:color="auto" w:fill="auto"/>
            <w:noWrap/>
            <w:hideMark/>
          </w:tcPr>
          <w:p w14:paraId="7CEFF7A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1CFC712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B8E851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4595AB7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19DFA65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3FDDEC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2D5768F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02DE444C"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0E36E7D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10. Engagement</w:t>
            </w:r>
          </w:p>
        </w:tc>
        <w:tc>
          <w:tcPr>
            <w:tcW w:w="0" w:type="auto"/>
            <w:tcBorders>
              <w:top w:val="nil"/>
              <w:left w:val="nil"/>
              <w:bottom w:val="single" w:sz="4" w:space="0" w:color="C0C0C0"/>
              <w:right w:val="single" w:sz="4" w:space="0" w:color="333333"/>
            </w:tcBorders>
            <w:shd w:val="clear" w:color="auto" w:fill="auto"/>
            <w:noWrap/>
            <w:hideMark/>
          </w:tcPr>
          <w:p w14:paraId="6B686F4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.589**</w:t>
            </w:r>
          </w:p>
        </w:tc>
        <w:tc>
          <w:tcPr>
            <w:tcW w:w="0" w:type="auto"/>
            <w:tcBorders>
              <w:top w:val="nil"/>
              <w:left w:val="nil"/>
              <w:bottom w:val="single" w:sz="4" w:space="0" w:color="C0C0C0"/>
              <w:right w:val="single" w:sz="4" w:space="0" w:color="333333"/>
            </w:tcBorders>
            <w:shd w:val="clear" w:color="auto" w:fill="auto"/>
            <w:noWrap/>
            <w:hideMark/>
          </w:tcPr>
          <w:p w14:paraId="2080F62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.438**</w:t>
            </w:r>
          </w:p>
        </w:tc>
        <w:tc>
          <w:tcPr>
            <w:tcW w:w="0" w:type="auto"/>
            <w:tcBorders>
              <w:top w:val="nil"/>
              <w:left w:val="nil"/>
              <w:bottom w:val="single" w:sz="4" w:space="0" w:color="C0C0C0"/>
              <w:right w:val="single" w:sz="4" w:space="0" w:color="333333"/>
            </w:tcBorders>
            <w:shd w:val="clear" w:color="auto" w:fill="auto"/>
            <w:noWrap/>
            <w:hideMark/>
          </w:tcPr>
          <w:p w14:paraId="0E6FA1B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.226**</w:t>
            </w:r>
          </w:p>
        </w:tc>
        <w:tc>
          <w:tcPr>
            <w:tcW w:w="0" w:type="auto"/>
            <w:tcBorders>
              <w:top w:val="nil"/>
              <w:left w:val="nil"/>
              <w:bottom w:val="single" w:sz="4" w:space="0" w:color="C0C0C0"/>
              <w:right w:val="single" w:sz="4" w:space="0" w:color="333333"/>
            </w:tcBorders>
            <w:shd w:val="clear" w:color="auto" w:fill="auto"/>
            <w:noWrap/>
            <w:hideMark/>
          </w:tcPr>
          <w:p w14:paraId="6B9BACC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.543**</w:t>
            </w:r>
          </w:p>
        </w:tc>
        <w:tc>
          <w:tcPr>
            <w:tcW w:w="0" w:type="auto"/>
            <w:tcBorders>
              <w:top w:val="nil"/>
              <w:left w:val="nil"/>
              <w:bottom w:val="single" w:sz="4" w:space="0" w:color="C0C0C0"/>
              <w:right w:val="single" w:sz="4" w:space="0" w:color="333333"/>
            </w:tcBorders>
            <w:shd w:val="clear" w:color="auto" w:fill="auto"/>
            <w:noWrap/>
            <w:hideMark/>
          </w:tcPr>
          <w:p w14:paraId="4E3FB96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.456**</w:t>
            </w:r>
          </w:p>
        </w:tc>
        <w:tc>
          <w:tcPr>
            <w:tcW w:w="0" w:type="auto"/>
            <w:tcBorders>
              <w:top w:val="nil"/>
              <w:left w:val="nil"/>
              <w:bottom w:val="single" w:sz="4" w:space="0" w:color="C0C0C0"/>
              <w:right w:val="single" w:sz="4" w:space="0" w:color="333333"/>
            </w:tcBorders>
            <w:shd w:val="clear" w:color="auto" w:fill="auto"/>
            <w:noWrap/>
            <w:hideMark/>
          </w:tcPr>
          <w:p w14:paraId="7DB7F13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.652**</w:t>
            </w:r>
          </w:p>
        </w:tc>
        <w:tc>
          <w:tcPr>
            <w:tcW w:w="0" w:type="auto"/>
            <w:tcBorders>
              <w:top w:val="nil"/>
              <w:left w:val="nil"/>
              <w:bottom w:val="single" w:sz="4" w:space="0" w:color="C0C0C0"/>
              <w:right w:val="single" w:sz="4" w:space="0" w:color="333333"/>
            </w:tcBorders>
            <w:shd w:val="clear" w:color="auto" w:fill="auto"/>
            <w:noWrap/>
            <w:hideMark/>
          </w:tcPr>
          <w:p w14:paraId="14AEAF0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.476**</w:t>
            </w:r>
          </w:p>
        </w:tc>
        <w:tc>
          <w:tcPr>
            <w:tcW w:w="0" w:type="auto"/>
            <w:tcBorders>
              <w:top w:val="nil"/>
              <w:left w:val="nil"/>
              <w:bottom w:val="single" w:sz="4" w:space="0" w:color="C0C0C0"/>
              <w:right w:val="single" w:sz="4" w:space="0" w:color="333333"/>
            </w:tcBorders>
            <w:shd w:val="clear" w:color="auto" w:fill="auto"/>
            <w:noWrap/>
            <w:hideMark/>
          </w:tcPr>
          <w:p w14:paraId="0C7DF27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.172**</w:t>
            </w:r>
          </w:p>
        </w:tc>
        <w:tc>
          <w:tcPr>
            <w:tcW w:w="0" w:type="auto"/>
            <w:tcBorders>
              <w:top w:val="nil"/>
              <w:left w:val="nil"/>
              <w:bottom w:val="single" w:sz="4" w:space="0" w:color="C0C0C0"/>
              <w:right w:val="single" w:sz="4" w:space="0" w:color="333333"/>
            </w:tcBorders>
            <w:shd w:val="clear" w:color="auto" w:fill="auto"/>
            <w:noWrap/>
            <w:hideMark/>
          </w:tcPr>
          <w:p w14:paraId="56CBA54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.538**</w:t>
            </w:r>
          </w:p>
        </w:tc>
        <w:tc>
          <w:tcPr>
            <w:tcW w:w="0" w:type="auto"/>
            <w:tcBorders>
              <w:top w:val="nil"/>
              <w:left w:val="nil"/>
              <w:bottom w:val="single" w:sz="4" w:space="0" w:color="C0C0C0"/>
              <w:right w:val="single" w:sz="4" w:space="0" w:color="333333"/>
            </w:tcBorders>
            <w:shd w:val="clear" w:color="auto" w:fill="auto"/>
            <w:noWrap/>
            <w:hideMark/>
          </w:tcPr>
          <w:p w14:paraId="5D90A42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10F5723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332A5A0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ACBA58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719A7C6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4EA3F44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2A0CFEC8"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23EED38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11. Purchase</w:t>
            </w:r>
          </w:p>
        </w:tc>
        <w:tc>
          <w:tcPr>
            <w:tcW w:w="0" w:type="auto"/>
            <w:tcBorders>
              <w:top w:val="nil"/>
              <w:left w:val="nil"/>
              <w:bottom w:val="single" w:sz="4" w:space="0" w:color="C0C0C0"/>
              <w:right w:val="single" w:sz="4" w:space="0" w:color="333333"/>
            </w:tcBorders>
            <w:shd w:val="clear" w:color="auto" w:fill="auto"/>
            <w:noWrap/>
            <w:hideMark/>
          </w:tcPr>
          <w:p w14:paraId="1C36AE0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.641**</w:t>
            </w:r>
          </w:p>
        </w:tc>
        <w:tc>
          <w:tcPr>
            <w:tcW w:w="0" w:type="auto"/>
            <w:tcBorders>
              <w:top w:val="nil"/>
              <w:left w:val="nil"/>
              <w:bottom w:val="single" w:sz="4" w:space="0" w:color="C0C0C0"/>
              <w:right w:val="single" w:sz="4" w:space="0" w:color="333333"/>
            </w:tcBorders>
            <w:shd w:val="clear" w:color="auto" w:fill="auto"/>
            <w:noWrap/>
            <w:hideMark/>
          </w:tcPr>
          <w:p w14:paraId="78C013C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.539**</w:t>
            </w:r>
          </w:p>
        </w:tc>
        <w:tc>
          <w:tcPr>
            <w:tcW w:w="0" w:type="auto"/>
            <w:tcBorders>
              <w:top w:val="nil"/>
              <w:left w:val="nil"/>
              <w:bottom w:val="single" w:sz="4" w:space="0" w:color="C0C0C0"/>
              <w:right w:val="single" w:sz="4" w:space="0" w:color="333333"/>
            </w:tcBorders>
            <w:shd w:val="clear" w:color="auto" w:fill="auto"/>
            <w:noWrap/>
            <w:hideMark/>
          </w:tcPr>
          <w:p w14:paraId="7BC4423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0.116</w:t>
            </w:r>
          </w:p>
        </w:tc>
        <w:tc>
          <w:tcPr>
            <w:tcW w:w="0" w:type="auto"/>
            <w:tcBorders>
              <w:top w:val="nil"/>
              <w:left w:val="nil"/>
              <w:bottom w:val="single" w:sz="4" w:space="0" w:color="C0C0C0"/>
              <w:right w:val="single" w:sz="4" w:space="0" w:color="333333"/>
            </w:tcBorders>
            <w:shd w:val="clear" w:color="auto" w:fill="auto"/>
            <w:noWrap/>
            <w:hideMark/>
          </w:tcPr>
          <w:p w14:paraId="332E02C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.535**</w:t>
            </w:r>
          </w:p>
        </w:tc>
        <w:tc>
          <w:tcPr>
            <w:tcW w:w="0" w:type="auto"/>
            <w:tcBorders>
              <w:top w:val="nil"/>
              <w:left w:val="nil"/>
              <w:bottom w:val="single" w:sz="4" w:space="0" w:color="C0C0C0"/>
              <w:right w:val="single" w:sz="4" w:space="0" w:color="333333"/>
            </w:tcBorders>
            <w:shd w:val="clear" w:color="auto" w:fill="auto"/>
            <w:noWrap/>
            <w:hideMark/>
          </w:tcPr>
          <w:p w14:paraId="072DD72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.475**</w:t>
            </w:r>
          </w:p>
        </w:tc>
        <w:tc>
          <w:tcPr>
            <w:tcW w:w="0" w:type="auto"/>
            <w:tcBorders>
              <w:top w:val="nil"/>
              <w:left w:val="nil"/>
              <w:bottom w:val="single" w:sz="4" w:space="0" w:color="C0C0C0"/>
              <w:right w:val="single" w:sz="4" w:space="0" w:color="333333"/>
            </w:tcBorders>
            <w:shd w:val="clear" w:color="auto" w:fill="auto"/>
            <w:noWrap/>
            <w:hideMark/>
          </w:tcPr>
          <w:p w14:paraId="04A2B50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.613**</w:t>
            </w:r>
          </w:p>
        </w:tc>
        <w:tc>
          <w:tcPr>
            <w:tcW w:w="0" w:type="auto"/>
            <w:tcBorders>
              <w:top w:val="nil"/>
              <w:left w:val="nil"/>
              <w:bottom w:val="single" w:sz="4" w:space="0" w:color="C0C0C0"/>
              <w:right w:val="single" w:sz="4" w:space="0" w:color="333333"/>
            </w:tcBorders>
            <w:shd w:val="clear" w:color="auto" w:fill="auto"/>
            <w:noWrap/>
            <w:hideMark/>
          </w:tcPr>
          <w:p w14:paraId="71069AB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.488**</w:t>
            </w:r>
          </w:p>
        </w:tc>
        <w:tc>
          <w:tcPr>
            <w:tcW w:w="0" w:type="auto"/>
            <w:tcBorders>
              <w:top w:val="nil"/>
              <w:left w:val="nil"/>
              <w:bottom w:val="single" w:sz="4" w:space="0" w:color="C0C0C0"/>
              <w:right w:val="single" w:sz="4" w:space="0" w:color="333333"/>
            </w:tcBorders>
            <w:shd w:val="clear" w:color="auto" w:fill="auto"/>
            <w:noWrap/>
            <w:hideMark/>
          </w:tcPr>
          <w:p w14:paraId="25693C0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.192**</w:t>
            </w:r>
          </w:p>
        </w:tc>
        <w:tc>
          <w:tcPr>
            <w:tcW w:w="0" w:type="auto"/>
            <w:tcBorders>
              <w:top w:val="nil"/>
              <w:left w:val="nil"/>
              <w:bottom w:val="single" w:sz="4" w:space="0" w:color="C0C0C0"/>
              <w:right w:val="single" w:sz="4" w:space="0" w:color="333333"/>
            </w:tcBorders>
            <w:shd w:val="clear" w:color="auto" w:fill="auto"/>
            <w:noWrap/>
            <w:hideMark/>
          </w:tcPr>
          <w:p w14:paraId="513106E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.555**</w:t>
            </w:r>
          </w:p>
        </w:tc>
        <w:tc>
          <w:tcPr>
            <w:tcW w:w="0" w:type="auto"/>
            <w:tcBorders>
              <w:top w:val="nil"/>
              <w:left w:val="nil"/>
              <w:bottom w:val="single" w:sz="4" w:space="0" w:color="C0C0C0"/>
              <w:right w:val="single" w:sz="4" w:space="0" w:color="333333"/>
            </w:tcBorders>
            <w:shd w:val="clear" w:color="auto" w:fill="auto"/>
            <w:noWrap/>
            <w:hideMark/>
          </w:tcPr>
          <w:p w14:paraId="60E2996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.571**</w:t>
            </w:r>
          </w:p>
        </w:tc>
        <w:tc>
          <w:tcPr>
            <w:tcW w:w="0" w:type="auto"/>
            <w:tcBorders>
              <w:top w:val="nil"/>
              <w:left w:val="nil"/>
              <w:bottom w:val="single" w:sz="4" w:space="0" w:color="C0C0C0"/>
              <w:right w:val="single" w:sz="4" w:space="0" w:color="333333"/>
            </w:tcBorders>
            <w:shd w:val="clear" w:color="auto" w:fill="auto"/>
            <w:noWrap/>
            <w:hideMark/>
          </w:tcPr>
          <w:p w14:paraId="70238A7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1E84AC3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2D056E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6DA3E03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42DCC20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72D49413"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4F970FE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12. Behaviour</w:t>
            </w:r>
          </w:p>
        </w:tc>
        <w:tc>
          <w:tcPr>
            <w:tcW w:w="0" w:type="auto"/>
            <w:tcBorders>
              <w:top w:val="nil"/>
              <w:left w:val="nil"/>
              <w:bottom w:val="single" w:sz="4" w:space="0" w:color="C0C0C0"/>
              <w:right w:val="single" w:sz="4" w:space="0" w:color="333333"/>
            </w:tcBorders>
            <w:shd w:val="clear" w:color="auto" w:fill="auto"/>
            <w:noWrap/>
            <w:hideMark/>
          </w:tcPr>
          <w:p w14:paraId="714900A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.333**</w:t>
            </w:r>
          </w:p>
        </w:tc>
        <w:tc>
          <w:tcPr>
            <w:tcW w:w="0" w:type="auto"/>
            <w:tcBorders>
              <w:top w:val="nil"/>
              <w:left w:val="nil"/>
              <w:bottom w:val="single" w:sz="4" w:space="0" w:color="C0C0C0"/>
              <w:right w:val="single" w:sz="4" w:space="0" w:color="333333"/>
            </w:tcBorders>
            <w:shd w:val="clear" w:color="auto" w:fill="auto"/>
            <w:noWrap/>
            <w:hideMark/>
          </w:tcPr>
          <w:p w14:paraId="18ABFA2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.232**</w:t>
            </w:r>
          </w:p>
        </w:tc>
        <w:tc>
          <w:tcPr>
            <w:tcW w:w="0" w:type="auto"/>
            <w:tcBorders>
              <w:top w:val="nil"/>
              <w:left w:val="nil"/>
              <w:bottom w:val="single" w:sz="4" w:space="0" w:color="C0C0C0"/>
              <w:right w:val="single" w:sz="4" w:space="0" w:color="333333"/>
            </w:tcBorders>
            <w:shd w:val="clear" w:color="auto" w:fill="auto"/>
            <w:noWrap/>
            <w:hideMark/>
          </w:tcPr>
          <w:p w14:paraId="18A8E6E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–0.004</w:t>
            </w:r>
          </w:p>
        </w:tc>
        <w:tc>
          <w:tcPr>
            <w:tcW w:w="0" w:type="auto"/>
            <w:tcBorders>
              <w:top w:val="nil"/>
              <w:left w:val="nil"/>
              <w:bottom w:val="single" w:sz="4" w:space="0" w:color="C0C0C0"/>
              <w:right w:val="single" w:sz="4" w:space="0" w:color="333333"/>
            </w:tcBorders>
            <w:shd w:val="clear" w:color="auto" w:fill="auto"/>
            <w:noWrap/>
            <w:hideMark/>
          </w:tcPr>
          <w:p w14:paraId="22AF67B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.244**</w:t>
            </w:r>
          </w:p>
        </w:tc>
        <w:tc>
          <w:tcPr>
            <w:tcW w:w="0" w:type="auto"/>
            <w:tcBorders>
              <w:top w:val="nil"/>
              <w:left w:val="nil"/>
              <w:bottom w:val="single" w:sz="4" w:space="0" w:color="C0C0C0"/>
              <w:right w:val="single" w:sz="4" w:space="0" w:color="333333"/>
            </w:tcBorders>
            <w:shd w:val="clear" w:color="auto" w:fill="auto"/>
            <w:noWrap/>
            <w:hideMark/>
          </w:tcPr>
          <w:p w14:paraId="3E29AC1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.251**</w:t>
            </w:r>
          </w:p>
        </w:tc>
        <w:tc>
          <w:tcPr>
            <w:tcW w:w="0" w:type="auto"/>
            <w:tcBorders>
              <w:top w:val="nil"/>
              <w:left w:val="nil"/>
              <w:bottom w:val="single" w:sz="4" w:space="0" w:color="C0C0C0"/>
              <w:right w:val="single" w:sz="4" w:space="0" w:color="333333"/>
            </w:tcBorders>
            <w:shd w:val="clear" w:color="auto" w:fill="auto"/>
            <w:noWrap/>
            <w:hideMark/>
          </w:tcPr>
          <w:p w14:paraId="5FBCEB4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.381**</w:t>
            </w:r>
          </w:p>
        </w:tc>
        <w:tc>
          <w:tcPr>
            <w:tcW w:w="0" w:type="auto"/>
            <w:tcBorders>
              <w:top w:val="nil"/>
              <w:left w:val="nil"/>
              <w:bottom w:val="single" w:sz="4" w:space="0" w:color="C0C0C0"/>
              <w:right w:val="single" w:sz="4" w:space="0" w:color="333333"/>
            </w:tcBorders>
            <w:shd w:val="clear" w:color="auto" w:fill="auto"/>
            <w:noWrap/>
            <w:hideMark/>
          </w:tcPr>
          <w:p w14:paraId="6D9B616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.214**</w:t>
            </w:r>
          </w:p>
        </w:tc>
        <w:tc>
          <w:tcPr>
            <w:tcW w:w="0" w:type="auto"/>
            <w:tcBorders>
              <w:top w:val="nil"/>
              <w:left w:val="nil"/>
              <w:bottom w:val="single" w:sz="4" w:space="0" w:color="C0C0C0"/>
              <w:right w:val="single" w:sz="4" w:space="0" w:color="333333"/>
            </w:tcBorders>
            <w:shd w:val="clear" w:color="auto" w:fill="auto"/>
            <w:noWrap/>
            <w:hideMark/>
          </w:tcPr>
          <w:p w14:paraId="7CF49F5B"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.163**</w:t>
            </w:r>
          </w:p>
        </w:tc>
        <w:tc>
          <w:tcPr>
            <w:tcW w:w="0" w:type="auto"/>
            <w:tcBorders>
              <w:top w:val="nil"/>
              <w:left w:val="nil"/>
              <w:bottom w:val="single" w:sz="4" w:space="0" w:color="C0C0C0"/>
              <w:right w:val="single" w:sz="4" w:space="0" w:color="333333"/>
            </w:tcBorders>
            <w:shd w:val="clear" w:color="auto" w:fill="auto"/>
            <w:noWrap/>
            <w:hideMark/>
          </w:tcPr>
          <w:p w14:paraId="4F92587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.338**</w:t>
            </w:r>
          </w:p>
        </w:tc>
        <w:tc>
          <w:tcPr>
            <w:tcW w:w="0" w:type="auto"/>
            <w:tcBorders>
              <w:top w:val="nil"/>
              <w:left w:val="nil"/>
              <w:bottom w:val="single" w:sz="4" w:space="0" w:color="C0C0C0"/>
              <w:right w:val="single" w:sz="4" w:space="0" w:color="333333"/>
            </w:tcBorders>
            <w:shd w:val="clear" w:color="auto" w:fill="auto"/>
            <w:noWrap/>
            <w:hideMark/>
          </w:tcPr>
          <w:p w14:paraId="3C5901E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.282**</w:t>
            </w:r>
          </w:p>
        </w:tc>
        <w:tc>
          <w:tcPr>
            <w:tcW w:w="0" w:type="auto"/>
            <w:tcBorders>
              <w:top w:val="nil"/>
              <w:left w:val="nil"/>
              <w:bottom w:val="single" w:sz="4" w:space="0" w:color="C0C0C0"/>
              <w:right w:val="single" w:sz="4" w:space="0" w:color="333333"/>
            </w:tcBorders>
            <w:shd w:val="clear" w:color="auto" w:fill="auto"/>
            <w:noWrap/>
            <w:hideMark/>
          </w:tcPr>
          <w:p w14:paraId="3DAA127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.337**</w:t>
            </w:r>
          </w:p>
        </w:tc>
        <w:tc>
          <w:tcPr>
            <w:tcW w:w="0" w:type="auto"/>
            <w:tcBorders>
              <w:top w:val="nil"/>
              <w:left w:val="nil"/>
              <w:bottom w:val="single" w:sz="4" w:space="0" w:color="C0C0C0"/>
              <w:right w:val="single" w:sz="4" w:space="0" w:color="333333"/>
            </w:tcBorders>
            <w:shd w:val="clear" w:color="auto" w:fill="auto"/>
            <w:noWrap/>
            <w:hideMark/>
          </w:tcPr>
          <w:p w14:paraId="4093577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6F9044B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single" w:sz="4" w:space="0" w:color="333333"/>
            </w:tcBorders>
            <w:shd w:val="clear" w:color="auto" w:fill="auto"/>
            <w:noWrap/>
            <w:hideMark/>
          </w:tcPr>
          <w:p w14:paraId="0CA8959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3A809B5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539D2ECF"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6041889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13. information</w:t>
            </w:r>
          </w:p>
        </w:tc>
        <w:tc>
          <w:tcPr>
            <w:tcW w:w="0" w:type="auto"/>
            <w:tcBorders>
              <w:top w:val="nil"/>
              <w:left w:val="nil"/>
              <w:bottom w:val="single" w:sz="4" w:space="0" w:color="C0C0C0"/>
              <w:right w:val="single" w:sz="4" w:space="0" w:color="333333"/>
            </w:tcBorders>
            <w:shd w:val="clear" w:color="auto" w:fill="auto"/>
            <w:noWrap/>
            <w:hideMark/>
          </w:tcPr>
          <w:p w14:paraId="4D2149F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.380**</w:t>
            </w:r>
          </w:p>
        </w:tc>
        <w:tc>
          <w:tcPr>
            <w:tcW w:w="0" w:type="auto"/>
            <w:tcBorders>
              <w:top w:val="nil"/>
              <w:left w:val="nil"/>
              <w:bottom w:val="single" w:sz="4" w:space="0" w:color="C0C0C0"/>
              <w:right w:val="single" w:sz="4" w:space="0" w:color="333333"/>
            </w:tcBorders>
            <w:shd w:val="clear" w:color="auto" w:fill="auto"/>
            <w:noWrap/>
            <w:hideMark/>
          </w:tcPr>
          <w:p w14:paraId="11205FE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.252**</w:t>
            </w:r>
          </w:p>
        </w:tc>
        <w:tc>
          <w:tcPr>
            <w:tcW w:w="0" w:type="auto"/>
            <w:tcBorders>
              <w:top w:val="nil"/>
              <w:left w:val="nil"/>
              <w:bottom w:val="single" w:sz="4" w:space="0" w:color="C0C0C0"/>
              <w:right w:val="single" w:sz="4" w:space="0" w:color="333333"/>
            </w:tcBorders>
            <w:shd w:val="clear" w:color="auto" w:fill="auto"/>
            <w:noWrap/>
            <w:hideMark/>
          </w:tcPr>
          <w:p w14:paraId="220BF77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.125*</w:t>
            </w:r>
          </w:p>
        </w:tc>
        <w:tc>
          <w:tcPr>
            <w:tcW w:w="0" w:type="auto"/>
            <w:tcBorders>
              <w:top w:val="nil"/>
              <w:left w:val="nil"/>
              <w:bottom w:val="single" w:sz="4" w:space="0" w:color="C0C0C0"/>
              <w:right w:val="single" w:sz="4" w:space="0" w:color="333333"/>
            </w:tcBorders>
            <w:shd w:val="clear" w:color="auto" w:fill="auto"/>
            <w:noWrap/>
            <w:hideMark/>
          </w:tcPr>
          <w:p w14:paraId="40213BD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.361**</w:t>
            </w:r>
          </w:p>
        </w:tc>
        <w:tc>
          <w:tcPr>
            <w:tcW w:w="0" w:type="auto"/>
            <w:tcBorders>
              <w:top w:val="nil"/>
              <w:left w:val="nil"/>
              <w:bottom w:val="single" w:sz="4" w:space="0" w:color="C0C0C0"/>
              <w:right w:val="single" w:sz="4" w:space="0" w:color="333333"/>
            </w:tcBorders>
            <w:shd w:val="clear" w:color="auto" w:fill="auto"/>
            <w:noWrap/>
            <w:hideMark/>
          </w:tcPr>
          <w:p w14:paraId="5601760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.309**</w:t>
            </w:r>
          </w:p>
        </w:tc>
        <w:tc>
          <w:tcPr>
            <w:tcW w:w="0" w:type="auto"/>
            <w:tcBorders>
              <w:top w:val="nil"/>
              <w:left w:val="nil"/>
              <w:bottom w:val="single" w:sz="4" w:space="0" w:color="C0C0C0"/>
              <w:right w:val="single" w:sz="4" w:space="0" w:color="333333"/>
            </w:tcBorders>
            <w:shd w:val="clear" w:color="auto" w:fill="auto"/>
            <w:noWrap/>
            <w:hideMark/>
          </w:tcPr>
          <w:p w14:paraId="1118E87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.348**</w:t>
            </w:r>
          </w:p>
        </w:tc>
        <w:tc>
          <w:tcPr>
            <w:tcW w:w="0" w:type="auto"/>
            <w:tcBorders>
              <w:top w:val="nil"/>
              <w:left w:val="nil"/>
              <w:bottom w:val="single" w:sz="4" w:space="0" w:color="C0C0C0"/>
              <w:right w:val="single" w:sz="4" w:space="0" w:color="333333"/>
            </w:tcBorders>
            <w:shd w:val="clear" w:color="auto" w:fill="auto"/>
            <w:noWrap/>
            <w:hideMark/>
          </w:tcPr>
          <w:p w14:paraId="039B10D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.270**</w:t>
            </w:r>
          </w:p>
        </w:tc>
        <w:tc>
          <w:tcPr>
            <w:tcW w:w="0" w:type="auto"/>
            <w:tcBorders>
              <w:top w:val="nil"/>
              <w:left w:val="nil"/>
              <w:bottom w:val="single" w:sz="4" w:space="0" w:color="C0C0C0"/>
              <w:right w:val="single" w:sz="4" w:space="0" w:color="333333"/>
            </w:tcBorders>
            <w:shd w:val="clear" w:color="auto" w:fill="auto"/>
            <w:noWrap/>
            <w:hideMark/>
          </w:tcPr>
          <w:p w14:paraId="6EE212B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.150*</w:t>
            </w:r>
          </w:p>
        </w:tc>
        <w:tc>
          <w:tcPr>
            <w:tcW w:w="0" w:type="auto"/>
            <w:tcBorders>
              <w:top w:val="nil"/>
              <w:left w:val="nil"/>
              <w:bottom w:val="single" w:sz="4" w:space="0" w:color="C0C0C0"/>
              <w:right w:val="single" w:sz="4" w:space="0" w:color="333333"/>
            </w:tcBorders>
            <w:shd w:val="clear" w:color="auto" w:fill="auto"/>
            <w:noWrap/>
            <w:hideMark/>
          </w:tcPr>
          <w:p w14:paraId="71F51E6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.310**</w:t>
            </w:r>
          </w:p>
        </w:tc>
        <w:tc>
          <w:tcPr>
            <w:tcW w:w="0" w:type="auto"/>
            <w:tcBorders>
              <w:top w:val="nil"/>
              <w:left w:val="nil"/>
              <w:bottom w:val="single" w:sz="4" w:space="0" w:color="C0C0C0"/>
              <w:right w:val="single" w:sz="4" w:space="0" w:color="333333"/>
            </w:tcBorders>
            <w:shd w:val="clear" w:color="auto" w:fill="auto"/>
            <w:noWrap/>
            <w:hideMark/>
          </w:tcPr>
          <w:p w14:paraId="639BE4C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.449**</w:t>
            </w:r>
          </w:p>
        </w:tc>
        <w:tc>
          <w:tcPr>
            <w:tcW w:w="0" w:type="auto"/>
            <w:tcBorders>
              <w:top w:val="nil"/>
              <w:left w:val="nil"/>
              <w:bottom w:val="single" w:sz="4" w:space="0" w:color="C0C0C0"/>
              <w:right w:val="single" w:sz="4" w:space="0" w:color="333333"/>
            </w:tcBorders>
            <w:shd w:val="clear" w:color="auto" w:fill="auto"/>
            <w:noWrap/>
            <w:hideMark/>
          </w:tcPr>
          <w:p w14:paraId="6EA4894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.391**</w:t>
            </w:r>
          </w:p>
        </w:tc>
        <w:tc>
          <w:tcPr>
            <w:tcW w:w="0" w:type="auto"/>
            <w:tcBorders>
              <w:top w:val="nil"/>
              <w:left w:val="nil"/>
              <w:bottom w:val="single" w:sz="4" w:space="0" w:color="C0C0C0"/>
              <w:right w:val="single" w:sz="4" w:space="0" w:color="333333"/>
            </w:tcBorders>
            <w:shd w:val="clear" w:color="auto" w:fill="auto"/>
            <w:noWrap/>
            <w:hideMark/>
          </w:tcPr>
          <w:p w14:paraId="39331A3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.258**</w:t>
            </w:r>
          </w:p>
        </w:tc>
        <w:tc>
          <w:tcPr>
            <w:tcW w:w="0" w:type="auto"/>
            <w:tcBorders>
              <w:top w:val="nil"/>
              <w:left w:val="nil"/>
              <w:bottom w:val="single" w:sz="4" w:space="0" w:color="C0C0C0"/>
              <w:right w:val="single" w:sz="4" w:space="0" w:color="333333"/>
            </w:tcBorders>
            <w:shd w:val="clear" w:color="auto" w:fill="auto"/>
            <w:noWrap/>
            <w:hideMark/>
          </w:tcPr>
          <w:p w14:paraId="7882B83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single" w:sz="4" w:space="0" w:color="333333"/>
            </w:tcBorders>
            <w:shd w:val="clear" w:color="auto" w:fill="auto"/>
            <w:noWrap/>
            <w:hideMark/>
          </w:tcPr>
          <w:p w14:paraId="49E2850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c>
          <w:tcPr>
            <w:tcW w:w="0" w:type="auto"/>
            <w:tcBorders>
              <w:top w:val="nil"/>
              <w:left w:val="nil"/>
              <w:bottom w:val="single" w:sz="4" w:space="0" w:color="C0C0C0"/>
              <w:right w:val="nil"/>
            </w:tcBorders>
            <w:shd w:val="clear" w:color="auto" w:fill="auto"/>
            <w:noWrap/>
            <w:hideMark/>
          </w:tcPr>
          <w:p w14:paraId="12153BA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5ADCC0E0" w14:textId="77777777" w:rsidTr="00C7217E">
        <w:trPr>
          <w:trHeight w:val="283"/>
        </w:trPr>
        <w:tc>
          <w:tcPr>
            <w:tcW w:w="0" w:type="auto"/>
            <w:gridSpan w:val="2"/>
            <w:tcBorders>
              <w:top w:val="single" w:sz="4" w:space="0" w:color="C0C0C0"/>
              <w:left w:val="nil"/>
              <w:bottom w:val="single" w:sz="4" w:space="0" w:color="C0C0C0"/>
              <w:right w:val="nil"/>
            </w:tcBorders>
            <w:shd w:val="clear" w:color="000000" w:fill="CCCCFF"/>
            <w:noWrap/>
            <w:hideMark/>
          </w:tcPr>
          <w:p w14:paraId="5019923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14. Norm</w:t>
            </w:r>
          </w:p>
        </w:tc>
        <w:tc>
          <w:tcPr>
            <w:tcW w:w="0" w:type="auto"/>
            <w:tcBorders>
              <w:top w:val="nil"/>
              <w:left w:val="nil"/>
              <w:bottom w:val="single" w:sz="4" w:space="0" w:color="C0C0C0"/>
              <w:right w:val="single" w:sz="4" w:space="0" w:color="333333"/>
            </w:tcBorders>
            <w:shd w:val="clear" w:color="auto" w:fill="auto"/>
            <w:noWrap/>
            <w:hideMark/>
          </w:tcPr>
          <w:p w14:paraId="000A373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.323**</w:t>
            </w:r>
          </w:p>
        </w:tc>
        <w:tc>
          <w:tcPr>
            <w:tcW w:w="0" w:type="auto"/>
            <w:tcBorders>
              <w:top w:val="nil"/>
              <w:left w:val="nil"/>
              <w:bottom w:val="single" w:sz="4" w:space="0" w:color="C0C0C0"/>
              <w:right w:val="single" w:sz="4" w:space="0" w:color="333333"/>
            </w:tcBorders>
            <w:shd w:val="clear" w:color="auto" w:fill="auto"/>
            <w:noWrap/>
            <w:hideMark/>
          </w:tcPr>
          <w:p w14:paraId="22F53BE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.238**</w:t>
            </w:r>
          </w:p>
        </w:tc>
        <w:tc>
          <w:tcPr>
            <w:tcW w:w="0" w:type="auto"/>
            <w:tcBorders>
              <w:top w:val="nil"/>
              <w:left w:val="nil"/>
              <w:bottom w:val="single" w:sz="4" w:space="0" w:color="C0C0C0"/>
              <w:right w:val="single" w:sz="4" w:space="0" w:color="333333"/>
            </w:tcBorders>
            <w:shd w:val="clear" w:color="auto" w:fill="auto"/>
            <w:noWrap/>
            <w:hideMark/>
          </w:tcPr>
          <w:p w14:paraId="35070D1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.304**</w:t>
            </w:r>
          </w:p>
        </w:tc>
        <w:tc>
          <w:tcPr>
            <w:tcW w:w="0" w:type="auto"/>
            <w:tcBorders>
              <w:top w:val="nil"/>
              <w:left w:val="nil"/>
              <w:bottom w:val="single" w:sz="4" w:space="0" w:color="C0C0C0"/>
              <w:right w:val="single" w:sz="4" w:space="0" w:color="333333"/>
            </w:tcBorders>
            <w:shd w:val="clear" w:color="auto" w:fill="auto"/>
            <w:noWrap/>
            <w:hideMark/>
          </w:tcPr>
          <w:p w14:paraId="6A8E177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.439**</w:t>
            </w:r>
          </w:p>
        </w:tc>
        <w:tc>
          <w:tcPr>
            <w:tcW w:w="0" w:type="auto"/>
            <w:tcBorders>
              <w:top w:val="nil"/>
              <w:left w:val="nil"/>
              <w:bottom w:val="single" w:sz="4" w:space="0" w:color="C0C0C0"/>
              <w:right w:val="single" w:sz="4" w:space="0" w:color="333333"/>
            </w:tcBorders>
            <w:shd w:val="clear" w:color="auto" w:fill="auto"/>
            <w:noWrap/>
            <w:hideMark/>
          </w:tcPr>
          <w:p w14:paraId="6827814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.362**</w:t>
            </w:r>
          </w:p>
        </w:tc>
        <w:tc>
          <w:tcPr>
            <w:tcW w:w="0" w:type="auto"/>
            <w:tcBorders>
              <w:top w:val="nil"/>
              <w:left w:val="nil"/>
              <w:bottom w:val="single" w:sz="4" w:space="0" w:color="C0C0C0"/>
              <w:right w:val="single" w:sz="4" w:space="0" w:color="333333"/>
            </w:tcBorders>
            <w:shd w:val="clear" w:color="auto" w:fill="auto"/>
            <w:noWrap/>
            <w:hideMark/>
          </w:tcPr>
          <w:p w14:paraId="4E97787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.237**</w:t>
            </w:r>
          </w:p>
        </w:tc>
        <w:tc>
          <w:tcPr>
            <w:tcW w:w="0" w:type="auto"/>
            <w:tcBorders>
              <w:top w:val="nil"/>
              <w:left w:val="nil"/>
              <w:bottom w:val="single" w:sz="4" w:space="0" w:color="C0C0C0"/>
              <w:right w:val="single" w:sz="4" w:space="0" w:color="333333"/>
            </w:tcBorders>
            <w:shd w:val="clear" w:color="auto" w:fill="auto"/>
            <w:noWrap/>
            <w:hideMark/>
          </w:tcPr>
          <w:p w14:paraId="23F4D70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.396**</w:t>
            </w:r>
          </w:p>
        </w:tc>
        <w:tc>
          <w:tcPr>
            <w:tcW w:w="0" w:type="auto"/>
            <w:tcBorders>
              <w:top w:val="nil"/>
              <w:left w:val="nil"/>
              <w:bottom w:val="single" w:sz="4" w:space="0" w:color="C0C0C0"/>
              <w:right w:val="single" w:sz="4" w:space="0" w:color="333333"/>
            </w:tcBorders>
            <w:shd w:val="clear" w:color="auto" w:fill="auto"/>
            <w:noWrap/>
            <w:hideMark/>
          </w:tcPr>
          <w:p w14:paraId="02EAF08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0.089</w:t>
            </w:r>
          </w:p>
        </w:tc>
        <w:tc>
          <w:tcPr>
            <w:tcW w:w="0" w:type="auto"/>
            <w:tcBorders>
              <w:top w:val="nil"/>
              <w:left w:val="nil"/>
              <w:bottom w:val="single" w:sz="4" w:space="0" w:color="C0C0C0"/>
              <w:right w:val="single" w:sz="4" w:space="0" w:color="333333"/>
            </w:tcBorders>
            <w:shd w:val="clear" w:color="auto" w:fill="auto"/>
            <w:noWrap/>
            <w:hideMark/>
          </w:tcPr>
          <w:p w14:paraId="0A1B417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.167**</w:t>
            </w:r>
          </w:p>
        </w:tc>
        <w:tc>
          <w:tcPr>
            <w:tcW w:w="0" w:type="auto"/>
            <w:tcBorders>
              <w:top w:val="nil"/>
              <w:left w:val="nil"/>
              <w:bottom w:val="single" w:sz="4" w:space="0" w:color="C0C0C0"/>
              <w:right w:val="single" w:sz="4" w:space="0" w:color="333333"/>
            </w:tcBorders>
            <w:shd w:val="clear" w:color="auto" w:fill="auto"/>
            <w:noWrap/>
            <w:hideMark/>
          </w:tcPr>
          <w:p w14:paraId="52AB4FD1"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.364**</w:t>
            </w:r>
          </w:p>
        </w:tc>
        <w:tc>
          <w:tcPr>
            <w:tcW w:w="0" w:type="auto"/>
            <w:tcBorders>
              <w:top w:val="nil"/>
              <w:left w:val="nil"/>
              <w:bottom w:val="single" w:sz="4" w:space="0" w:color="C0C0C0"/>
              <w:right w:val="single" w:sz="4" w:space="0" w:color="333333"/>
            </w:tcBorders>
            <w:shd w:val="clear" w:color="auto" w:fill="auto"/>
            <w:noWrap/>
            <w:hideMark/>
          </w:tcPr>
          <w:p w14:paraId="1121F0BE"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.323**</w:t>
            </w:r>
          </w:p>
        </w:tc>
        <w:tc>
          <w:tcPr>
            <w:tcW w:w="0" w:type="auto"/>
            <w:tcBorders>
              <w:top w:val="nil"/>
              <w:left w:val="nil"/>
              <w:bottom w:val="single" w:sz="4" w:space="0" w:color="C0C0C0"/>
              <w:right w:val="single" w:sz="4" w:space="0" w:color="333333"/>
            </w:tcBorders>
            <w:shd w:val="clear" w:color="auto" w:fill="auto"/>
            <w:noWrap/>
            <w:hideMark/>
          </w:tcPr>
          <w:p w14:paraId="5E1D5BD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0.067</w:t>
            </w:r>
          </w:p>
        </w:tc>
        <w:tc>
          <w:tcPr>
            <w:tcW w:w="0" w:type="auto"/>
            <w:tcBorders>
              <w:top w:val="nil"/>
              <w:left w:val="nil"/>
              <w:bottom w:val="single" w:sz="4" w:space="0" w:color="C0C0C0"/>
              <w:right w:val="single" w:sz="4" w:space="0" w:color="333333"/>
            </w:tcBorders>
            <w:shd w:val="clear" w:color="auto" w:fill="auto"/>
            <w:noWrap/>
            <w:hideMark/>
          </w:tcPr>
          <w:p w14:paraId="27588D56"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.541**</w:t>
            </w:r>
          </w:p>
        </w:tc>
        <w:tc>
          <w:tcPr>
            <w:tcW w:w="0" w:type="auto"/>
            <w:tcBorders>
              <w:top w:val="nil"/>
              <w:left w:val="nil"/>
              <w:bottom w:val="single" w:sz="4" w:space="0" w:color="C0C0C0"/>
              <w:right w:val="single" w:sz="4" w:space="0" w:color="333333"/>
            </w:tcBorders>
            <w:shd w:val="clear" w:color="auto" w:fill="auto"/>
            <w:noWrap/>
            <w:hideMark/>
          </w:tcPr>
          <w:p w14:paraId="0B32F45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c>
          <w:tcPr>
            <w:tcW w:w="0" w:type="auto"/>
            <w:tcBorders>
              <w:top w:val="nil"/>
              <w:left w:val="nil"/>
              <w:bottom w:val="single" w:sz="4" w:space="0" w:color="C0C0C0"/>
              <w:right w:val="nil"/>
            </w:tcBorders>
            <w:shd w:val="clear" w:color="auto" w:fill="auto"/>
            <w:noWrap/>
            <w:hideMark/>
          </w:tcPr>
          <w:p w14:paraId="3CD5384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 </w:t>
            </w:r>
          </w:p>
        </w:tc>
      </w:tr>
      <w:tr w:rsidR="00C7217E" w:rsidRPr="00530906" w14:paraId="771DA0B9" w14:textId="77777777" w:rsidTr="00C7217E">
        <w:trPr>
          <w:trHeight w:val="283"/>
        </w:trPr>
        <w:tc>
          <w:tcPr>
            <w:tcW w:w="0" w:type="auto"/>
            <w:gridSpan w:val="2"/>
            <w:tcBorders>
              <w:top w:val="single" w:sz="4" w:space="0" w:color="C0C0C0"/>
              <w:left w:val="nil"/>
              <w:bottom w:val="nil"/>
              <w:right w:val="nil"/>
            </w:tcBorders>
            <w:shd w:val="clear" w:color="000000" w:fill="CCCCFF"/>
            <w:noWrap/>
            <w:hideMark/>
          </w:tcPr>
          <w:p w14:paraId="61E03D58"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 Expertise</w:t>
            </w:r>
          </w:p>
        </w:tc>
        <w:tc>
          <w:tcPr>
            <w:tcW w:w="0" w:type="auto"/>
            <w:tcBorders>
              <w:top w:val="nil"/>
              <w:left w:val="nil"/>
              <w:bottom w:val="single" w:sz="4" w:space="0" w:color="C0C0C0"/>
              <w:right w:val="single" w:sz="4" w:space="0" w:color="333333"/>
            </w:tcBorders>
            <w:shd w:val="clear" w:color="auto" w:fill="auto"/>
            <w:noWrap/>
            <w:hideMark/>
          </w:tcPr>
          <w:p w14:paraId="729E4F5A"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.418**</w:t>
            </w:r>
          </w:p>
        </w:tc>
        <w:tc>
          <w:tcPr>
            <w:tcW w:w="0" w:type="auto"/>
            <w:tcBorders>
              <w:top w:val="nil"/>
              <w:left w:val="nil"/>
              <w:bottom w:val="single" w:sz="4" w:space="0" w:color="C0C0C0"/>
              <w:right w:val="single" w:sz="4" w:space="0" w:color="333333"/>
            </w:tcBorders>
            <w:shd w:val="clear" w:color="auto" w:fill="auto"/>
            <w:noWrap/>
            <w:hideMark/>
          </w:tcPr>
          <w:p w14:paraId="3E572F9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.391**</w:t>
            </w:r>
          </w:p>
        </w:tc>
        <w:tc>
          <w:tcPr>
            <w:tcW w:w="0" w:type="auto"/>
            <w:tcBorders>
              <w:top w:val="nil"/>
              <w:left w:val="nil"/>
              <w:bottom w:val="single" w:sz="4" w:space="0" w:color="C0C0C0"/>
              <w:right w:val="single" w:sz="4" w:space="0" w:color="333333"/>
            </w:tcBorders>
            <w:shd w:val="clear" w:color="auto" w:fill="auto"/>
            <w:noWrap/>
            <w:hideMark/>
          </w:tcPr>
          <w:p w14:paraId="31C9DCD2"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.150*</w:t>
            </w:r>
          </w:p>
        </w:tc>
        <w:tc>
          <w:tcPr>
            <w:tcW w:w="0" w:type="auto"/>
            <w:tcBorders>
              <w:top w:val="nil"/>
              <w:left w:val="nil"/>
              <w:bottom w:val="single" w:sz="4" w:space="0" w:color="C0C0C0"/>
              <w:right w:val="single" w:sz="4" w:space="0" w:color="333333"/>
            </w:tcBorders>
            <w:shd w:val="clear" w:color="auto" w:fill="auto"/>
            <w:noWrap/>
            <w:hideMark/>
          </w:tcPr>
          <w:p w14:paraId="28292EC5"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.389**</w:t>
            </w:r>
          </w:p>
        </w:tc>
        <w:tc>
          <w:tcPr>
            <w:tcW w:w="0" w:type="auto"/>
            <w:tcBorders>
              <w:top w:val="nil"/>
              <w:left w:val="nil"/>
              <w:bottom w:val="single" w:sz="4" w:space="0" w:color="C0C0C0"/>
              <w:right w:val="single" w:sz="4" w:space="0" w:color="333333"/>
            </w:tcBorders>
            <w:shd w:val="clear" w:color="auto" w:fill="auto"/>
            <w:noWrap/>
            <w:hideMark/>
          </w:tcPr>
          <w:p w14:paraId="4EF4042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.327**</w:t>
            </w:r>
          </w:p>
        </w:tc>
        <w:tc>
          <w:tcPr>
            <w:tcW w:w="0" w:type="auto"/>
            <w:tcBorders>
              <w:top w:val="nil"/>
              <w:left w:val="nil"/>
              <w:bottom w:val="single" w:sz="4" w:space="0" w:color="C0C0C0"/>
              <w:right w:val="single" w:sz="4" w:space="0" w:color="333333"/>
            </w:tcBorders>
            <w:shd w:val="clear" w:color="auto" w:fill="auto"/>
            <w:noWrap/>
            <w:hideMark/>
          </w:tcPr>
          <w:p w14:paraId="0250E63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.424**</w:t>
            </w:r>
          </w:p>
        </w:tc>
        <w:tc>
          <w:tcPr>
            <w:tcW w:w="0" w:type="auto"/>
            <w:tcBorders>
              <w:top w:val="nil"/>
              <w:left w:val="nil"/>
              <w:bottom w:val="single" w:sz="4" w:space="0" w:color="C0C0C0"/>
              <w:right w:val="single" w:sz="4" w:space="0" w:color="333333"/>
            </w:tcBorders>
            <w:shd w:val="clear" w:color="auto" w:fill="auto"/>
            <w:noWrap/>
            <w:hideMark/>
          </w:tcPr>
          <w:p w14:paraId="749C00AD"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.330**</w:t>
            </w:r>
          </w:p>
        </w:tc>
        <w:tc>
          <w:tcPr>
            <w:tcW w:w="0" w:type="auto"/>
            <w:tcBorders>
              <w:top w:val="nil"/>
              <w:left w:val="nil"/>
              <w:bottom w:val="single" w:sz="4" w:space="0" w:color="C0C0C0"/>
              <w:right w:val="single" w:sz="4" w:space="0" w:color="333333"/>
            </w:tcBorders>
            <w:shd w:val="clear" w:color="auto" w:fill="auto"/>
            <w:noWrap/>
            <w:hideMark/>
          </w:tcPr>
          <w:p w14:paraId="1FD2D800"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0.070</w:t>
            </w:r>
          </w:p>
        </w:tc>
        <w:tc>
          <w:tcPr>
            <w:tcW w:w="0" w:type="auto"/>
            <w:tcBorders>
              <w:top w:val="nil"/>
              <w:left w:val="nil"/>
              <w:bottom w:val="single" w:sz="4" w:space="0" w:color="C0C0C0"/>
              <w:right w:val="single" w:sz="4" w:space="0" w:color="333333"/>
            </w:tcBorders>
            <w:shd w:val="clear" w:color="auto" w:fill="auto"/>
            <w:noWrap/>
            <w:hideMark/>
          </w:tcPr>
          <w:p w14:paraId="76B538CF"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.410**</w:t>
            </w:r>
          </w:p>
        </w:tc>
        <w:tc>
          <w:tcPr>
            <w:tcW w:w="0" w:type="auto"/>
            <w:tcBorders>
              <w:top w:val="nil"/>
              <w:left w:val="nil"/>
              <w:bottom w:val="single" w:sz="4" w:space="0" w:color="C0C0C0"/>
              <w:right w:val="single" w:sz="4" w:space="0" w:color="333333"/>
            </w:tcBorders>
            <w:shd w:val="clear" w:color="auto" w:fill="auto"/>
            <w:noWrap/>
            <w:hideMark/>
          </w:tcPr>
          <w:p w14:paraId="215161F9"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.450**</w:t>
            </w:r>
          </w:p>
        </w:tc>
        <w:tc>
          <w:tcPr>
            <w:tcW w:w="0" w:type="auto"/>
            <w:tcBorders>
              <w:top w:val="nil"/>
              <w:left w:val="nil"/>
              <w:bottom w:val="single" w:sz="4" w:space="0" w:color="C0C0C0"/>
              <w:right w:val="single" w:sz="4" w:space="0" w:color="333333"/>
            </w:tcBorders>
            <w:shd w:val="clear" w:color="auto" w:fill="auto"/>
            <w:noWrap/>
            <w:hideMark/>
          </w:tcPr>
          <w:p w14:paraId="4A286233"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.409**</w:t>
            </w:r>
          </w:p>
        </w:tc>
        <w:tc>
          <w:tcPr>
            <w:tcW w:w="0" w:type="auto"/>
            <w:tcBorders>
              <w:top w:val="nil"/>
              <w:left w:val="nil"/>
              <w:bottom w:val="single" w:sz="4" w:space="0" w:color="C0C0C0"/>
              <w:right w:val="single" w:sz="4" w:space="0" w:color="333333"/>
            </w:tcBorders>
            <w:shd w:val="clear" w:color="auto" w:fill="auto"/>
            <w:noWrap/>
            <w:hideMark/>
          </w:tcPr>
          <w:p w14:paraId="0A4C2914"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.156**</w:t>
            </w:r>
          </w:p>
        </w:tc>
        <w:tc>
          <w:tcPr>
            <w:tcW w:w="0" w:type="auto"/>
            <w:tcBorders>
              <w:top w:val="nil"/>
              <w:left w:val="nil"/>
              <w:bottom w:val="single" w:sz="4" w:space="0" w:color="C0C0C0"/>
              <w:right w:val="single" w:sz="4" w:space="0" w:color="333333"/>
            </w:tcBorders>
            <w:shd w:val="clear" w:color="auto" w:fill="auto"/>
            <w:noWrap/>
            <w:hideMark/>
          </w:tcPr>
          <w:p w14:paraId="26D0A2F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.254**</w:t>
            </w:r>
          </w:p>
        </w:tc>
        <w:tc>
          <w:tcPr>
            <w:tcW w:w="0" w:type="auto"/>
            <w:tcBorders>
              <w:top w:val="nil"/>
              <w:left w:val="nil"/>
              <w:bottom w:val="single" w:sz="4" w:space="0" w:color="C0C0C0"/>
              <w:right w:val="single" w:sz="4" w:space="0" w:color="333333"/>
            </w:tcBorders>
            <w:shd w:val="clear" w:color="auto" w:fill="auto"/>
            <w:noWrap/>
            <w:hideMark/>
          </w:tcPr>
          <w:p w14:paraId="2D09524C"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.268**</w:t>
            </w:r>
          </w:p>
        </w:tc>
        <w:tc>
          <w:tcPr>
            <w:tcW w:w="0" w:type="auto"/>
            <w:tcBorders>
              <w:top w:val="nil"/>
              <w:left w:val="nil"/>
              <w:bottom w:val="single" w:sz="4" w:space="0" w:color="C0C0C0"/>
              <w:right w:val="nil"/>
            </w:tcBorders>
            <w:shd w:val="clear" w:color="auto" w:fill="auto"/>
            <w:noWrap/>
            <w:hideMark/>
          </w:tcPr>
          <w:p w14:paraId="59A702A7" w14:textId="77777777" w:rsidR="00C7217E" w:rsidRPr="00530906" w:rsidRDefault="00C7217E" w:rsidP="008756B1">
            <w:pPr>
              <w:spacing w:after="0" w:line="240" w:lineRule="auto"/>
              <w:jc w:val="both"/>
              <w:rPr>
                <w:rFonts w:ascii="Cambria" w:eastAsia="Times New Roman" w:hAnsi="Cambria" w:cs="Arial"/>
                <w:sz w:val="18"/>
                <w:szCs w:val="18"/>
                <w:lang w:eastAsia="en-GB"/>
              </w:rPr>
            </w:pPr>
            <w:r w:rsidRPr="00530906">
              <w:rPr>
                <w:rFonts w:ascii="Cambria" w:eastAsia="Times New Roman" w:hAnsi="Cambria" w:cs="Arial"/>
                <w:sz w:val="18"/>
                <w:szCs w:val="18"/>
                <w:lang w:eastAsia="en-GB"/>
              </w:rPr>
              <w:t>1</w:t>
            </w:r>
          </w:p>
        </w:tc>
      </w:tr>
    </w:tbl>
    <w:p w14:paraId="46ABD42A" w14:textId="77777777" w:rsidR="00C7217E" w:rsidRPr="00530906" w:rsidRDefault="00C7217E" w:rsidP="008756B1">
      <w:pPr>
        <w:pStyle w:val="NoSpacing"/>
        <w:jc w:val="both"/>
        <w:rPr>
          <w:rFonts w:ascii="Cambria" w:hAnsi="Cambria"/>
        </w:rPr>
      </w:pPr>
      <w:r w:rsidRPr="00530906">
        <w:rPr>
          <w:rFonts w:ascii="Cambria" w:hAnsi="Cambria"/>
        </w:rPr>
        <w:t>** Correlation is significant at the 0.01 level (2–tailed).</w:t>
      </w:r>
      <w:r w:rsidRPr="00530906">
        <w:rPr>
          <w:rFonts w:ascii="Cambria" w:hAnsi="Cambria"/>
        </w:rPr>
        <w:tab/>
      </w:r>
      <w:r w:rsidRPr="00530906">
        <w:rPr>
          <w:rFonts w:ascii="Cambria" w:hAnsi="Cambria"/>
        </w:rPr>
        <w:tab/>
      </w:r>
      <w:r w:rsidRPr="00530906">
        <w:rPr>
          <w:rFonts w:ascii="Cambria" w:hAnsi="Cambria"/>
        </w:rPr>
        <w:tab/>
      </w:r>
      <w:r w:rsidRPr="00530906">
        <w:rPr>
          <w:rFonts w:ascii="Cambria" w:hAnsi="Cambria"/>
        </w:rPr>
        <w:tab/>
      </w:r>
      <w:r w:rsidRPr="00530906">
        <w:rPr>
          <w:rFonts w:ascii="Cambria" w:hAnsi="Cambria"/>
        </w:rPr>
        <w:tab/>
      </w:r>
    </w:p>
    <w:p w14:paraId="48F72BF2" w14:textId="77777777" w:rsidR="00C7217E" w:rsidRPr="00530906" w:rsidRDefault="00C7217E" w:rsidP="008756B1">
      <w:pPr>
        <w:pStyle w:val="NoSpacing"/>
        <w:jc w:val="both"/>
        <w:rPr>
          <w:rFonts w:ascii="Cambria" w:hAnsi="Cambria"/>
          <w:u w:val="single"/>
        </w:rPr>
      </w:pPr>
      <w:r w:rsidRPr="00530906">
        <w:rPr>
          <w:rFonts w:ascii="Cambria" w:hAnsi="Cambria"/>
        </w:rPr>
        <w:t>* Correlation is significant at the 0.05 level (2–tailed).</w:t>
      </w:r>
      <w:r w:rsidRPr="00530906">
        <w:rPr>
          <w:rFonts w:ascii="Cambria" w:hAnsi="Cambria"/>
        </w:rPr>
        <w:tab/>
      </w:r>
      <w:r w:rsidRPr="00530906">
        <w:rPr>
          <w:rFonts w:ascii="Cambria" w:hAnsi="Cambria"/>
        </w:rPr>
        <w:tab/>
      </w:r>
      <w:r w:rsidRPr="00530906">
        <w:rPr>
          <w:rFonts w:ascii="Cambria" w:hAnsi="Cambria"/>
        </w:rPr>
        <w:tab/>
      </w:r>
      <w:r w:rsidRPr="00530906">
        <w:rPr>
          <w:rFonts w:ascii="Cambria" w:hAnsi="Cambria"/>
        </w:rPr>
        <w:tab/>
      </w:r>
      <w:r w:rsidRPr="00530906">
        <w:rPr>
          <w:rFonts w:ascii="Cambria" w:hAnsi="Cambria"/>
        </w:rPr>
        <w:tab/>
      </w:r>
      <w:r w:rsidRPr="00530906">
        <w:rPr>
          <w:rFonts w:ascii="Cambria" w:hAnsi="Cambria"/>
        </w:rPr>
        <w:fldChar w:fldCharType="begin"/>
      </w:r>
      <w:r w:rsidRPr="00530906">
        <w:rPr>
          <w:rFonts w:ascii="Cambria" w:hAnsi="Cambria"/>
        </w:rPr>
        <w:instrText xml:space="preserve"> HYPERLINK "https://www.pearson.com/us/higher-education/program/Tabachnick-Using-Multivariate-Statistics-6th-Edition/PGM332849.html" </w:instrText>
      </w:r>
      <w:r w:rsidRPr="00530906">
        <w:rPr>
          <w:rFonts w:ascii="Cambria" w:hAnsi="Cambria"/>
        </w:rPr>
      </w:r>
      <w:r w:rsidRPr="00530906">
        <w:rPr>
          <w:rFonts w:ascii="Cambria" w:hAnsi="Cambria"/>
        </w:rPr>
        <w:fldChar w:fldCharType="separate"/>
      </w:r>
    </w:p>
    <w:p w14:paraId="4D5DB0D7" w14:textId="77777777" w:rsidR="00C7217E" w:rsidRPr="00530906" w:rsidRDefault="00C7217E">
      <w:pPr>
        <w:tabs>
          <w:tab w:val="left" w:pos="3060"/>
        </w:tabs>
        <w:autoSpaceDE w:val="0"/>
        <w:autoSpaceDN w:val="0"/>
        <w:adjustRightInd w:val="0"/>
        <w:spacing w:after="0" w:line="360" w:lineRule="auto"/>
        <w:jc w:val="both"/>
        <w:rPr>
          <w:rFonts w:ascii="Cambria" w:hAnsi="Cambria"/>
        </w:rPr>
      </w:pPr>
      <w:r w:rsidRPr="00530906">
        <w:rPr>
          <w:rFonts w:ascii="Cambria" w:hAnsi="Cambria"/>
        </w:rPr>
        <w:fldChar w:fldCharType="end"/>
      </w:r>
    </w:p>
    <w:p w14:paraId="1E55FE5A" w14:textId="087875C3" w:rsidR="00C7217E" w:rsidRPr="00530906" w:rsidRDefault="00C7217E">
      <w:pPr>
        <w:tabs>
          <w:tab w:val="left" w:pos="3060"/>
        </w:tabs>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sz w:val="24"/>
          <w:szCs w:val="24"/>
        </w:rPr>
        <w:t>Since, Pillai’s trace is most robust test for equal sample size (Negative caption = 137 and positive caption = 142) (Field 2018), in this case Pillai's Trace confirmed H</w:t>
      </w:r>
      <w:r w:rsidRPr="00530906">
        <w:rPr>
          <w:rFonts w:ascii="Cambria" w:hAnsi="Cambria"/>
          <w:sz w:val="24"/>
          <w:szCs w:val="24"/>
          <w:vertAlign w:val="subscript"/>
        </w:rPr>
        <w:t xml:space="preserve">3 </w:t>
      </w:r>
      <w:r w:rsidRPr="00530906">
        <w:rPr>
          <w:rFonts w:ascii="Cambria" w:hAnsi="Cambria"/>
          <w:sz w:val="24"/>
          <w:szCs w:val="24"/>
        </w:rPr>
        <w:t>by showing that there is significant difference between positive and negative caption on SCV as a whole (V = .035, F (4, 274) = 2.4</w:t>
      </w:r>
      <w:r w:rsidR="0061457D">
        <w:rPr>
          <w:rFonts w:ascii="Cambria" w:hAnsi="Cambria"/>
          <w:sz w:val="24"/>
          <w:szCs w:val="24"/>
        </w:rPr>
        <w:t>8</w:t>
      </w:r>
      <w:r w:rsidRPr="00530906">
        <w:rPr>
          <w:rFonts w:ascii="Cambria" w:hAnsi="Cambria"/>
          <w:sz w:val="24"/>
          <w:szCs w:val="24"/>
        </w:rPr>
        <w:t>, p = .045) (Table 1</w:t>
      </w:r>
      <w:r w:rsidR="00A6180B">
        <w:rPr>
          <w:rFonts w:ascii="Cambria" w:hAnsi="Cambria"/>
          <w:sz w:val="24"/>
          <w:szCs w:val="24"/>
        </w:rPr>
        <w:t>8</w:t>
      </w:r>
      <w:r w:rsidRPr="00530906">
        <w:rPr>
          <w:rFonts w:ascii="Cambria" w:hAnsi="Cambria"/>
          <w:sz w:val="24"/>
          <w:szCs w:val="24"/>
        </w:rPr>
        <w:t xml:space="preserve">). However, this difference is only due to ‘image quality’ (F (1, 277) = 8.15, p= .005).  Other dimensions of Engrossment (F (1, 277) = 0.051, p = 0.821), self–projection </w:t>
      </w:r>
      <w:r w:rsidRPr="00530906">
        <w:rPr>
          <w:rFonts w:ascii="Cambria" w:hAnsi="Cambria"/>
          <w:color w:val="000000" w:themeColor="text1"/>
          <w:sz w:val="24"/>
          <w:szCs w:val="24"/>
        </w:rPr>
        <w:t>(F (1, 277) = .201, p = .655) mental fluency (F (1, 277) = .615, p = .434) did not have significant contribution (Table 1</w:t>
      </w:r>
      <w:r w:rsidR="0059432A">
        <w:rPr>
          <w:rFonts w:ascii="Cambria" w:hAnsi="Cambria"/>
          <w:color w:val="000000" w:themeColor="text1"/>
          <w:sz w:val="24"/>
          <w:szCs w:val="24"/>
        </w:rPr>
        <w:t>9</w:t>
      </w:r>
      <w:r w:rsidRPr="00530906">
        <w:rPr>
          <w:rFonts w:ascii="Cambria" w:hAnsi="Cambria"/>
          <w:color w:val="000000" w:themeColor="text1"/>
          <w:sz w:val="24"/>
          <w:szCs w:val="24"/>
        </w:rPr>
        <w:t xml:space="preserve">). The original output from SPSS has been included in appendix </w:t>
      </w:r>
      <w:r w:rsidR="001E4D86" w:rsidRPr="00530906">
        <w:rPr>
          <w:rFonts w:ascii="Cambria" w:hAnsi="Cambria"/>
          <w:color w:val="000000" w:themeColor="text1"/>
          <w:sz w:val="24"/>
          <w:szCs w:val="24"/>
        </w:rPr>
        <w:t>4</w:t>
      </w:r>
      <w:r w:rsidRPr="00530906">
        <w:rPr>
          <w:rFonts w:ascii="Cambria" w:hAnsi="Cambria"/>
          <w:color w:val="000000" w:themeColor="text1"/>
          <w:sz w:val="24"/>
          <w:szCs w:val="24"/>
        </w:rPr>
        <w:t>.1</w:t>
      </w:r>
    </w:p>
    <w:p w14:paraId="640B78CB" w14:textId="77777777" w:rsidR="00C7217E" w:rsidRPr="00530906" w:rsidRDefault="00C7217E">
      <w:pPr>
        <w:tabs>
          <w:tab w:val="left" w:pos="3060"/>
        </w:tabs>
        <w:autoSpaceDE w:val="0"/>
        <w:autoSpaceDN w:val="0"/>
        <w:adjustRightInd w:val="0"/>
        <w:spacing w:after="0" w:line="360" w:lineRule="auto"/>
        <w:jc w:val="both"/>
        <w:rPr>
          <w:rFonts w:ascii="Cambria" w:hAnsi="Cambria"/>
          <w:color w:val="000000" w:themeColor="text1"/>
        </w:rPr>
      </w:pPr>
    </w:p>
    <w:tbl>
      <w:tblPr>
        <w:tblW w:w="7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431"/>
        <w:gridCol w:w="9"/>
        <w:gridCol w:w="531"/>
        <w:gridCol w:w="9"/>
        <w:gridCol w:w="531"/>
        <w:gridCol w:w="9"/>
        <w:gridCol w:w="1071"/>
        <w:gridCol w:w="9"/>
        <w:gridCol w:w="711"/>
        <w:gridCol w:w="9"/>
        <w:gridCol w:w="441"/>
        <w:gridCol w:w="9"/>
        <w:gridCol w:w="1495"/>
        <w:gridCol w:w="9"/>
      </w:tblGrid>
      <w:tr w:rsidR="00C7217E" w:rsidRPr="00530906" w14:paraId="286BE18F" w14:textId="77777777" w:rsidTr="00C7217E">
        <w:trPr>
          <w:gridAfter w:val="1"/>
          <w:wAfter w:w="9" w:type="dxa"/>
          <w:cantSplit/>
        </w:trPr>
        <w:tc>
          <w:tcPr>
            <w:tcW w:w="7683" w:type="dxa"/>
            <w:gridSpan w:val="14"/>
            <w:tcBorders>
              <w:top w:val="nil"/>
              <w:left w:val="nil"/>
              <w:bottom w:val="nil"/>
              <w:right w:val="nil"/>
            </w:tcBorders>
            <w:shd w:val="clear" w:color="auto" w:fill="FFFFFF"/>
            <w:vAlign w:val="center"/>
          </w:tcPr>
          <w:p w14:paraId="2725E322" w14:textId="12BA6207" w:rsidR="00C7217E" w:rsidRPr="00530906" w:rsidRDefault="00C7217E" w:rsidP="008756B1">
            <w:pPr>
              <w:pStyle w:val="NoSpacing"/>
              <w:jc w:val="both"/>
              <w:rPr>
                <w:rFonts w:ascii="Cambria" w:hAnsi="Cambria"/>
                <w:color w:val="000000" w:themeColor="text1"/>
                <w:vertAlign w:val="superscript"/>
              </w:rPr>
            </w:pPr>
            <w:r w:rsidRPr="00530906">
              <w:rPr>
                <w:rFonts w:ascii="Cambria" w:hAnsi="Cambria"/>
                <w:color w:val="000000" w:themeColor="text1"/>
              </w:rPr>
              <w:t>Table 1</w:t>
            </w:r>
            <w:r w:rsidR="003F6F59">
              <w:rPr>
                <w:rFonts w:ascii="Cambria" w:hAnsi="Cambria"/>
                <w:color w:val="000000" w:themeColor="text1"/>
              </w:rPr>
              <w:t>8</w:t>
            </w:r>
            <w:r w:rsidRPr="00530906">
              <w:rPr>
                <w:rFonts w:ascii="Cambria" w:hAnsi="Cambria"/>
                <w:color w:val="000000" w:themeColor="text1"/>
              </w:rPr>
              <w:t>: Multivariate Tests</w:t>
            </w:r>
            <w:r w:rsidRPr="00530906">
              <w:rPr>
                <w:rFonts w:ascii="Cambria" w:hAnsi="Cambria"/>
                <w:color w:val="000000" w:themeColor="text1"/>
                <w:vertAlign w:val="superscript"/>
              </w:rPr>
              <w:t>a</w:t>
            </w:r>
          </w:p>
          <w:p w14:paraId="73874B97" w14:textId="77777777" w:rsidR="00C7217E" w:rsidRPr="00530906" w:rsidRDefault="00C7217E" w:rsidP="008756B1">
            <w:pPr>
              <w:pStyle w:val="NoSpacing"/>
              <w:jc w:val="both"/>
              <w:rPr>
                <w:rFonts w:ascii="Cambria" w:hAnsi="Cambria"/>
                <w:color w:val="000000" w:themeColor="text1"/>
              </w:rPr>
            </w:pPr>
          </w:p>
        </w:tc>
      </w:tr>
      <w:tr w:rsidR="00C7217E" w:rsidRPr="00530906" w14:paraId="492FC2F3" w14:textId="77777777" w:rsidTr="00C7217E">
        <w:trPr>
          <w:gridAfter w:val="1"/>
          <w:wAfter w:w="9" w:type="dxa"/>
          <w:cantSplit/>
        </w:trPr>
        <w:tc>
          <w:tcPr>
            <w:tcW w:w="2849" w:type="dxa"/>
            <w:gridSpan w:val="2"/>
            <w:tcBorders>
              <w:top w:val="nil"/>
              <w:left w:val="nil"/>
              <w:bottom w:val="single" w:sz="8" w:space="0" w:color="152935"/>
              <w:right w:val="nil"/>
            </w:tcBorders>
            <w:shd w:val="clear" w:color="auto" w:fill="CCCCFF"/>
            <w:vAlign w:val="bottom"/>
          </w:tcPr>
          <w:p w14:paraId="4DB8EE9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Effect</w:t>
            </w:r>
          </w:p>
        </w:tc>
        <w:tc>
          <w:tcPr>
            <w:tcW w:w="540" w:type="dxa"/>
            <w:gridSpan w:val="2"/>
            <w:tcBorders>
              <w:top w:val="nil"/>
              <w:left w:val="nil"/>
              <w:bottom w:val="single" w:sz="8" w:space="0" w:color="152935"/>
              <w:right w:val="single" w:sz="8" w:space="0" w:color="E0E0E0"/>
            </w:tcBorders>
            <w:shd w:val="clear" w:color="auto" w:fill="CCCCFF"/>
            <w:vAlign w:val="bottom"/>
          </w:tcPr>
          <w:p w14:paraId="4AA6B15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Value</w:t>
            </w:r>
          </w:p>
        </w:tc>
        <w:tc>
          <w:tcPr>
            <w:tcW w:w="540" w:type="dxa"/>
            <w:gridSpan w:val="2"/>
            <w:tcBorders>
              <w:top w:val="nil"/>
              <w:left w:val="single" w:sz="8" w:space="0" w:color="E0E0E0"/>
              <w:bottom w:val="single" w:sz="8" w:space="0" w:color="152935"/>
              <w:right w:val="single" w:sz="8" w:space="0" w:color="E0E0E0"/>
            </w:tcBorders>
            <w:shd w:val="clear" w:color="auto" w:fill="CCCCFF"/>
            <w:vAlign w:val="bottom"/>
          </w:tcPr>
          <w:p w14:paraId="77EE01D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F</w:t>
            </w:r>
          </w:p>
        </w:tc>
        <w:tc>
          <w:tcPr>
            <w:tcW w:w="1080" w:type="dxa"/>
            <w:gridSpan w:val="2"/>
            <w:tcBorders>
              <w:top w:val="nil"/>
              <w:left w:val="single" w:sz="8" w:space="0" w:color="E0E0E0"/>
              <w:bottom w:val="single" w:sz="8" w:space="0" w:color="152935"/>
              <w:right w:val="single" w:sz="8" w:space="0" w:color="E0E0E0"/>
            </w:tcBorders>
            <w:shd w:val="clear" w:color="auto" w:fill="CCCCFF"/>
            <w:vAlign w:val="bottom"/>
          </w:tcPr>
          <w:p w14:paraId="00C9678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Hypothesis df</w:t>
            </w:r>
          </w:p>
        </w:tc>
        <w:tc>
          <w:tcPr>
            <w:tcW w:w="720" w:type="dxa"/>
            <w:gridSpan w:val="2"/>
            <w:tcBorders>
              <w:top w:val="nil"/>
              <w:left w:val="single" w:sz="8" w:space="0" w:color="E0E0E0"/>
              <w:bottom w:val="single" w:sz="8" w:space="0" w:color="152935"/>
              <w:right w:val="single" w:sz="8" w:space="0" w:color="E0E0E0"/>
            </w:tcBorders>
            <w:shd w:val="clear" w:color="auto" w:fill="CCCCFF"/>
            <w:vAlign w:val="bottom"/>
          </w:tcPr>
          <w:p w14:paraId="4995786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Error df</w:t>
            </w:r>
          </w:p>
        </w:tc>
        <w:tc>
          <w:tcPr>
            <w:tcW w:w="450" w:type="dxa"/>
            <w:gridSpan w:val="2"/>
            <w:tcBorders>
              <w:top w:val="nil"/>
              <w:left w:val="single" w:sz="8" w:space="0" w:color="E0E0E0"/>
              <w:bottom w:val="single" w:sz="8" w:space="0" w:color="152935"/>
              <w:right w:val="single" w:sz="8" w:space="0" w:color="E0E0E0"/>
            </w:tcBorders>
            <w:shd w:val="clear" w:color="auto" w:fill="CCCCFF"/>
            <w:vAlign w:val="bottom"/>
          </w:tcPr>
          <w:p w14:paraId="06385FB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Sig.</w:t>
            </w:r>
          </w:p>
        </w:tc>
        <w:tc>
          <w:tcPr>
            <w:tcW w:w="1504" w:type="dxa"/>
            <w:gridSpan w:val="2"/>
            <w:tcBorders>
              <w:top w:val="nil"/>
              <w:left w:val="single" w:sz="8" w:space="0" w:color="E0E0E0"/>
              <w:bottom w:val="single" w:sz="8" w:space="0" w:color="152935"/>
              <w:right w:val="nil"/>
            </w:tcBorders>
            <w:shd w:val="clear" w:color="auto" w:fill="CCCCFF"/>
            <w:vAlign w:val="bottom"/>
          </w:tcPr>
          <w:p w14:paraId="3BBC7DB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Partial Eta Squared</w:t>
            </w:r>
          </w:p>
        </w:tc>
      </w:tr>
      <w:tr w:rsidR="00C7217E" w:rsidRPr="00530906" w14:paraId="357EA404" w14:textId="77777777" w:rsidTr="00C7217E">
        <w:trPr>
          <w:cantSplit/>
        </w:trPr>
        <w:tc>
          <w:tcPr>
            <w:tcW w:w="1418" w:type="dxa"/>
            <w:tcBorders>
              <w:top w:val="single" w:sz="8" w:space="0" w:color="AEAEAE"/>
              <w:left w:val="nil"/>
              <w:bottom w:val="single" w:sz="8" w:space="0" w:color="152935"/>
              <w:right w:val="nil"/>
            </w:tcBorders>
            <w:shd w:val="clear" w:color="auto" w:fill="E0E0E0"/>
          </w:tcPr>
          <w:p w14:paraId="4856CC9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Types of caption</w:t>
            </w:r>
          </w:p>
        </w:tc>
        <w:tc>
          <w:tcPr>
            <w:tcW w:w="1440" w:type="dxa"/>
            <w:gridSpan w:val="2"/>
            <w:tcBorders>
              <w:top w:val="single" w:sz="8" w:space="0" w:color="AEAEAE"/>
              <w:left w:val="nil"/>
              <w:bottom w:val="single" w:sz="8" w:space="0" w:color="AEAEAE"/>
              <w:right w:val="nil"/>
            </w:tcBorders>
            <w:shd w:val="clear" w:color="auto" w:fill="E0E0E0"/>
          </w:tcPr>
          <w:p w14:paraId="44F31D9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Pillai's Trace</w:t>
            </w:r>
          </w:p>
        </w:tc>
        <w:tc>
          <w:tcPr>
            <w:tcW w:w="540" w:type="dxa"/>
            <w:gridSpan w:val="2"/>
            <w:tcBorders>
              <w:top w:val="single" w:sz="8" w:space="0" w:color="AEAEAE"/>
              <w:left w:val="nil"/>
              <w:bottom w:val="single" w:sz="8" w:space="0" w:color="AEAEAE"/>
              <w:right w:val="single" w:sz="8" w:space="0" w:color="E0E0E0"/>
            </w:tcBorders>
            <w:shd w:val="clear" w:color="auto" w:fill="FFFFFF"/>
          </w:tcPr>
          <w:p w14:paraId="3DC3CD5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.035</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BA8D95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2.476</w:t>
            </w:r>
            <w:r w:rsidRPr="00530906">
              <w:rPr>
                <w:rFonts w:ascii="Cambria" w:hAnsi="Cambria"/>
                <w:color w:val="000000" w:themeColor="text1"/>
                <w:sz w:val="18"/>
                <w:szCs w:val="18"/>
                <w:vertAlign w:val="superscript"/>
              </w:rPr>
              <w:t>b</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7A5F56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4.000</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C46FB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274.000</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EFED6F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.045</w:t>
            </w:r>
          </w:p>
        </w:tc>
        <w:tc>
          <w:tcPr>
            <w:tcW w:w="1504" w:type="dxa"/>
            <w:gridSpan w:val="2"/>
            <w:tcBorders>
              <w:top w:val="single" w:sz="8" w:space="0" w:color="AEAEAE"/>
              <w:left w:val="single" w:sz="8" w:space="0" w:color="E0E0E0"/>
              <w:bottom w:val="single" w:sz="8" w:space="0" w:color="AEAEAE"/>
              <w:right w:val="nil"/>
            </w:tcBorders>
            <w:shd w:val="clear" w:color="auto" w:fill="FFFFFF"/>
          </w:tcPr>
          <w:p w14:paraId="018A662E"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.035</w:t>
            </w:r>
          </w:p>
        </w:tc>
      </w:tr>
      <w:tr w:rsidR="00C7217E" w:rsidRPr="00530906" w14:paraId="46CC8532" w14:textId="77777777" w:rsidTr="00C7217E">
        <w:trPr>
          <w:gridAfter w:val="1"/>
          <w:wAfter w:w="9" w:type="dxa"/>
          <w:cantSplit/>
        </w:trPr>
        <w:tc>
          <w:tcPr>
            <w:tcW w:w="7683" w:type="dxa"/>
            <w:gridSpan w:val="14"/>
            <w:tcBorders>
              <w:top w:val="nil"/>
              <w:left w:val="nil"/>
              <w:bottom w:val="nil"/>
              <w:right w:val="nil"/>
            </w:tcBorders>
            <w:shd w:val="clear" w:color="auto" w:fill="FFFFFF"/>
          </w:tcPr>
          <w:p w14:paraId="5666F4D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a. Design: Intercept + Types of caption</w:t>
            </w:r>
          </w:p>
        </w:tc>
      </w:tr>
      <w:tr w:rsidR="00C7217E" w:rsidRPr="00530906" w14:paraId="47742F75" w14:textId="77777777" w:rsidTr="00C7217E">
        <w:trPr>
          <w:gridAfter w:val="1"/>
          <w:wAfter w:w="9" w:type="dxa"/>
          <w:cantSplit/>
        </w:trPr>
        <w:tc>
          <w:tcPr>
            <w:tcW w:w="7683" w:type="dxa"/>
            <w:gridSpan w:val="14"/>
            <w:tcBorders>
              <w:top w:val="nil"/>
              <w:left w:val="nil"/>
              <w:bottom w:val="nil"/>
              <w:right w:val="nil"/>
            </w:tcBorders>
            <w:shd w:val="clear" w:color="auto" w:fill="FFFFFF"/>
          </w:tcPr>
          <w:p w14:paraId="2F1EB0D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b. Exact statistic</w:t>
            </w:r>
          </w:p>
        </w:tc>
      </w:tr>
    </w:tbl>
    <w:p w14:paraId="4F4D6A2E" w14:textId="77777777" w:rsidR="00C7217E" w:rsidRPr="00530906" w:rsidRDefault="00C7217E">
      <w:pPr>
        <w:tabs>
          <w:tab w:val="left" w:pos="3060"/>
        </w:tabs>
        <w:autoSpaceDE w:val="0"/>
        <w:autoSpaceDN w:val="0"/>
        <w:adjustRightInd w:val="0"/>
        <w:spacing w:after="0" w:line="360" w:lineRule="auto"/>
        <w:jc w:val="both"/>
        <w:rPr>
          <w:rFonts w:ascii="Cambria" w:hAnsi="Cambria"/>
          <w:color w:val="000000" w:themeColor="text1"/>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800"/>
        <w:gridCol w:w="1170"/>
        <w:gridCol w:w="450"/>
        <w:gridCol w:w="990"/>
        <w:gridCol w:w="810"/>
        <w:gridCol w:w="540"/>
        <w:gridCol w:w="1530"/>
      </w:tblGrid>
      <w:tr w:rsidR="00C7217E" w:rsidRPr="00530906" w14:paraId="527A981B" w14:textId="77777777" w:rsidTr="00C7217E">
        <w:trPr>
          <w:cantSplit/>
        </w:trPr>
        <w:tc>
          <w:tcPr>
            <w:tcW w:w="8550" w:type="dxa"/>
            <w:gridSpan w:val="8"/>
            <w:tcBorders>
              <w:top w:val="nil"/>
              <w:left w:val="nil"/>
              <w:bottom w:val="nil"/>
              <w:right w:val="nil"/>
            </w:tcBorders>
            <w:shd w:val="clear" w:color="auto" w:fill="FFFFFF"/>
            <w:vAlign w:val="center"/>
          </w:tcPr>
          <w:p w14:paraId="67EF35E8" w14:textId="68316CFC" w:rsidR="00C7217E" w:rsidRPr="00530906" w:rsidRDefault="00C7217E" w:rsidP="008756B1">
            <w:pPr>
              <w:pStyle w:val="NoSpacing"/>
              <w:jc w:val="both"/>
              <w:rPr>
                <w:rFonts w:ascii="Cambria" w:hAnsi="Cambria"/>
                <w:color w:val="000000" w:themeColor="text1"/>
              </w:rPr>
            </w:pPr>
            <w:r w:rsidRPr="00530906">
              <w:rPr>
                <w:rFonts w:ascii="Cambria" w:hAnsi="Cambria"/>
                <w:color w:val="000000" w:themeColor="text1"/>
              </w:rPr>
              <w:t>Table 1</w:t>
            </w:r>
            <w:r w:rsidR="003F6F59">
              <w:rPr>
                <w:rFonts w:ascii="Cambria" w:hAnsi="Cambria"/>
                <w:color w:val="000000" w:themeColor="text1"/>
              </w:rPr>
              <w:t>9</w:t>
            </w:r>
            <w:r w:rsidRPr="00530906">
              <w:rPr>
                <w:rFonts w:ascii="Cambria" w:hAnsi="Cambria"/>
                <w:color w:val="000000" w:themeColor="text1"/>
              </w:rPr>
              <w:t>: Tests of Between–Subjects Effects</w:t>
            </w:r>
          </w:p>
          <w:p w14:paraId="5EF40542" w14:textId="77777777" w:rsidR="00C7217E" w:rsidRPr="00530906" w:rsidRDefault="00C7217E" w:rsidP="008756B1">
            <w:pPr>
              <w:pStyle w:val="NoSpacing"/>
              <w:jc w:val="both"/>
              <w:rPr>
                <w:rFonts w:ascii="Cambria" w:hAnsi="Cambria"/>
                <w:color w:val="000000" w:themeColor="text1"/>
              </w:rPr>
            </w:pPr>
          </w:p>
        </w:tc>
      </w:tr>
      <w:tr w:rsidR="00C7217E" w:rsidRPr="00530906" w14:paraId="4E3A9D91" w14:textId="77777777" w:rsidTr="00C7217E">
        <w:trPr>
          <w:cantSplit/>
        </w:trPr>
        <w:tc>
          <w:tcPr>
            <w:tcW w:w="1260" w:type="dxa"/>
            <w:tcBorders>
              <w:top w:val="nil"/>
              <w:left w:val="nil"/>
              <w:bottom w:val="single" w:sz="8" w:space="0" w:color="152935"/>
              <w:right w:val="nil"/>
            </w:tcBorders>
            <w:shd w:val="clear" w:color="auto" w:fill="CCCCFF"/>
            <w:vAlign w:val="bottom"/>
          </w:tcPr>
          <w:p w14:paraId="442A299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Source</w:t>
            </w:r>
          </w:p>
        </w:tc>
        <w:tc>
          <w:tcPr>
            <w:tcW w:w="1800" w:type="dxa"/>
            <w:tcBorders>
              <w:top w:val="nil"/>
              <w:left w:val="nil"/>
              <w:bottom w:val="single" w:sz="8" w:space="0" w:color="152935"/>
              <w:right w:val="nil"/>
            </w:tcBorders>
            <w:shd w:val="clear" w:color="auto" w:fill="CCCCFF"/>
            <w:vAlign w:val="bottom"/>
          </w:tcPr>
          <w:p w14:paraId="2089466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Dependent Variable</w:t>
            </w:r>
          </w:p>
        </w:tc>
        <w:tc>
          <w:tcPr>
            <w:tcW w:w="1170" w:type="dxa"/>
            <w:tcBorders>
              <w:top w:val="nil"/>
              <w:left w:val="nil"/>
              <w:bottom w:val="single" w:sz="8" w:space="0" w:color="152935"/>
              <w:right w:val="single" w:sz="8" w:space="0" w:color="E0E0E0"/>
            </w:tcBorders>
            <w:shd w:val="clear" w:color="auto" w:fill="CCCCFF"/>
            <w:vAlign w:val="bottom"/>
          </w:tcPr>
          <w:p w14:paraId="4D5F26D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 III Sum of Squares</w:t>
            </w:r>
          </w:p>
        </w:tc>
        <w:tc>
          <w:tcPr>
            <w:tcW w:w="450" w:type="dxa"/>
            <w:tcBorders>
              <w:top w:val="nil"/>
              <w:left w:val="single" w:sz="8" w:space="0" w:color="E0E0E0"/>
              <w:bottom w:val="single" w:sz="8" w:space="0" w:color="152935"/>
              <w:right w:val="single" w:sz="8" w:space="0" w:color="E0E0E0"/>
            </w:tcBorders>
            <w:shd w:val="clear" w:color="auto" w:fill="CCCCFF"/>
            <w:vAlign w:val="bottom"/>
          </w:tcPr>
          <w:p w14:paraId="5661501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df</w:t>
            </w:r>
          </w:p>
        </w:tc>
        <w:tc>
          <w:tcPr>
            <w:tcW w:w="990" w:type="dxa"/>
            <w:tcBorders>
              <w:top w:val="nil"/>
              <w:left w:val="single" w:sz="8" w:space="0" w:color="E0E0E0"/>
              <w:bottom w:val="single" w:sz="8" w:space="0" w:color="152935"/>
              <w:right w:val="single" w:sz="8" w:space="0" w:color="E0E0E0"/>
            </w:tcBorders>
            <w:shd w:val="clear" w:color="auto" w:fill="CCCCFF"/>
            <w:vAlign w:val="bottom"/>
          </w:tcPr>
          <w:p w14:paraId="6E4A10E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Mean Square</w:t>
            </w:r>
          </w:p>
        </w:tc>
        <w:tc>
          <w:tcPr>
            <w:tcW w:w="810" w:type="dxa"/>
            <w:tcBorders>
              <w:top w:val="nil"/>
              <w:left w:val="single" w:sz="8" w:space="0" w:color="E0E0E0"/>
              <w:bottom w:val="single" w:sz="8" w:space="0" w:color="152935"/>
              <w:right w:val="single" w:sz="8" w:space="0" w:color="E0E0E0"/>
            </w:tcBorders>
            <w:shd w:val="clear" w:color="auto" w:fill="CCCCFF"/>
            <w:vAlign w:val="bottom"/>
          </w:tcPr>
          <w:p w14:paraId="2A76DDC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F</w:t>
            </w:r>
          </w:p>
        </w:tc>
        <w:tc>
          <w:tcPr>
            <w:tcW w:w="540" w:type="dxa"/>
            <w:tcBorders>
              <w:top w:val="nil"/>
              <w:left w:val="single" w:sz="8" w:space="0" w:color="E0E0E0"/>
              <w:bottom w:val="single" w:sz="8" w:space="0" w:color="152935"/>
              <w:right w:val="single" w:sz="8" w:space="0" w:color="E0E0E0"/>
            </w:tcBorders>
            <w:shd w:val="clear" w:color="auto" w:fill="CCCCFF"/>
            <w:vAlign w:val="bottom"/>
          </w:tcPr>
          <w:p w14:paraId="2D28261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Sig.</w:t>
            </w:r>
          </w:p>
        </w:tc>
        <w:tc>
          <w:tcPr>
            <w:tcW w:w="1530" w:type="dxa"/>
            <w:tcBorders>
              <w:top w:val="nil"/>
              <w:left w:val="single" w:sz="8" w:space="0" w:color="E0E0E0"/>
              <w:bottom w:val="single" w:sz="8" w:space="0" w:color="152935"/>
              <w:right w:val="nil"/>
            </w:tcBorders>
            <w:shd w:val="clear" w:color="auto" w:fill="CCCCFF"/>
            <w:vAlign w:val="bottom"/>
          </w:tcPr>
          <w:p w14:paraId="784A1CA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Partial Eta Squared</w:t>
            </w:r>
          </w:p>
        </w:tc>
      </w:tr>
      <w:tr w:rsidR="00C7217E" w:rsidRPr="00530906" w14:paraId="3C2AB2B7" w14:textId="77777777" w:rsidTr="00C7217E">
        <w:trPr>
          <w:cantSplit/>
        </w:trPr>
        <w:tc>
          <w:tcPr>
            <w:tcW w:w="1260" w:type="dxa"/>
            <w:vMerge w:val="restart"/>
            <w:tcBorders>
              <w:top w:val="single" w:sz="8" w:space="0" w:color="AEAEAE"/>
              <w:left w:val="nil"/>
              <w:bottom w:val="nil"/>
              <w:right w:val="nil"/>
            </w:tcBorders>
            <w:shd w:val="clear" w:color="auto" w:fill="E0E0E0"/>
          </w:tcPr>
          <w:p w14:paraId="39BBAE9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Types of caption</w:t>
            </w:r>
          </w:p>
        </w:tc>
        <w:tc>
          <w:tcPr>
            <w:tcW w:w="1800" w:type="dxa"/>
            <w:tcBorders>
              <w:top w:val="single" w:sz="8" w:space="0" w:color="AEAEAE"/>
              <w:left w:val="nil"/>
              <w:bottom w:val="single" w:sz="8" w:space="0" w:color="AEAEAE"/>
              <w:right w:val="nil"/>
            </w:tcBorders>
            <w:shd w:val="clear" w:color="auto" w:fill="E0E0E0"/>
          </w:tcPr>
          <w:p w14:paraId="7026052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7D9FFC9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18.010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DA9DD7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8A2B38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18.010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14CE98B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8.146</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54C5676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.005</w:t>
            </w:r>
          </w:p>
        </w:tc>
        <w:tc>
          <w:tcPr>
            <w:tcW w:w="1530" w:type="dxa"/>
            <w:tcBorders>
              <w:top w:val="single" w:sz="8" w:space="0" w:color="AEAEAE"/>
              <w:left w:val="single" w:sz="8" w:space="0" w:color="E0E0E0"/>
              <w:bottom w:val="single" w:sz="8" w:space="0" w:color="AEAEAE"/>
              <w:right w:val="nil"/>
            </w:tcBorders>
            <w:shd w:val="clear" w:color="auto" w:fill="FFFFFF"/>
          </w:tcPr>
          <w:p w14:paraId="341C490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.029</w:t>
            </w:r>
          </w:p>
        </w:tc>
      </w:tr>
      <w:tr w:rsidR="00C7217E" w:rsidRPr="00530906" w14:paraId="317EE567" w14:textId="77777777" w:rsidTr="00C7217E">
        <w:trPr>
          <w:cantSplit/>
        </w:trPr>
        <w:tc>
          <w:tcPr>
            <w:tcW w:w="1260" w:type="dxa"/>
            <w:vMerge/>
            <w:tcBorders>
              <w:top w:val="single" w:sz="8" w:space="0" w:color="AEAEAE"/>
              <w:left w:val="nil"/>
              <w:bottom w:val="nil"/>
              <w:right w:val="nil"/>
            </w:tcBorders>
            <w:shd w:val="clear" w:color="auto" w:fill="E0E0E0"/>
          </w:tcPr>
          <w:p w14:paraId="4D16E528" w14:textId="77777777" w:rsidR="00C7217E" w:rsidRPr="00530906" w:rsidRDefault="00C7217E" w:rsidP="008756B1">
            <w:pPr>
              <w:pStyle w:val="NoSpacing"/>
              <w:jc w:val="both"/>
              <w:rPr>
                <w:rFonts w:ascii="Cambria" w:hAnsi="Cambria"/>
                <w:color w:val="000000" w:themeColor="text1"/>
                <w:sz w:val="18"/>
                <w:szCs w:val="18"/>
              </w:rPr>
            </w:pPr>
          </w:p>
        </w:tc>
        <w:tc>
          <w:tcPr>
            <w:tcW w:w="1800" w:type="dxa"/>
            <w:tcBorders>
              <w:top w:val="single" w:sz="8" w:space="0" w:color="AEAEAE"/>
              <w:left w:val="nil"/>
              <w:bottom w:val="single" w:sz="8" w:space="0" w:color="AEAEAE"/>
              <w:right w:val="nil"/>
            </w:tcBorders>
            <w:shd w:val="clear" w:color="auto" w:fill="E0E0E0"/>
          </w:tcPr>
          <w:p w14:paraId="0261FEB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0476258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.075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38B4EFE"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2623CA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.075</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1DBDD42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.051</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1680647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.821</w:t>
            </w:r>
          </w:p>
        </w:tc>
        <w:tc>
          <w:tcPr>
            <w:tcW w:w="1530" w:type="dxa"/>
            <w:tcBorders>
              <w:top w:val="single" w:sz="8" w:space="0" w:color="AEAEAE"/>
              <w:left w:val="single" w:sz="8" w:space="0" w:color="E0E0E0"/>
              <w:bottom w:val="single" w:sz="8" w:space="0" w:color="AEAEAE"/>
              <w:right w:val="nil"/>
            </w:tcBorders>
            <w:shd w:val="clear" w:color="auto" w:fill="FFFFFF"/>
          </w:tcPr>
          <w:p w14:paraId="569BC91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r w:rsidR="00C7217E" w:rsidRPr="00530906" w14:paraId="083ECCDD" w14:textId="77777777" w:rsidTr="00C7217E">
        <w:trPr>
          <w:cantSplit/>
        </w:trPr>
        <w:tc>
          <w:tcPr>
            <w:tcW w:w="1260" w:type="dxa"/>
            <w:vMerge/>
            <w:tcBorders>
              <w:top w:val="single" w:sz="8" w:space="0" w:color="AEAEAE"/>
              <w:left w:val="nil"/>
              <w:bottom w:val="nil"/>
              <w:right w:val="nil"/>
            </w:tcBorders>
            <w:shd w:val="clear" w:color="auto" w:fill="E0E0E0"/>
          </w:tcPr>
          <w:p w14:paraId="6C337D07" w14:textId="77777777" w:rsidR="00C7217E" w:rsidRPr="00530906" w:rsidRDefault="00C7217E" w:rsidP="008756B1">
            <w:pPr>
              <w:pStyle w:val="NoSpacing"/>
              <w:jc w:val="both"/>
              <w:rPr>
                <w:rFonts w:ascii="Cambria" w:hAnsi="Cambria"/>
                <w:color w:val="000000" w:themeColor="text1"/>
                <w:sz w:val="18"/>
                <w:szCs w:val="18"/>
              </w:rPr>
            </w:pPr>
          </w:p>
        </w:tc>
        <w:tc>
          <w:tcPr>
            <w:tcW w:w="1800" w:type="dxa"/>
            <w:tcBorders>
              <w:top w:val="single" w:sz="8" w:space="0" w:color="AEAEAE"/>
              <w:left w:val="nil"/>
              <w:bottom w:val="single" w:sz="8" w:space="0" w:color="AEAEAE"/>
              <w:right w:val="nil"/>
            </w:tcBorders>
            <w:shd w:val="clear" w:color="auto" w:fill="E0E0E0"/>
          </w:tcPr>
          <w:p w14:paraId="0E5062DE"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3CED92B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.417</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122A64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951372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.417</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BBC97D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.201</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D1A414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.655</w:t>
            </w:r>
          </w:p>
        </w:tc>
        <w:tc>
          <w:tcPr>
            <w:tcW w:w="1530" w:type="dxa"/>
            <w:tcBorders>
              <w:top w:val="single" w:sz="8" w:space="0" w:color="AEAEAE"/>
              <w:left w:val="single" w:sz="8" w:space="0" w:color="E0E0E0"/>
              <w:bottom w:val="single" w:sz="8" w:space="0" w:color="AEAEAE"/>
              <w:right w:val="nil"/>
            </w:tcBorders>
            <w:shd w:val="clear" w:color="auto" w:fill="FFFFFF"/>
          </w:tcPr>
          <w:p w14:paraId="7347100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.001</w:t>
            </w:r>
          </w:p>
        </w:tc>
      </w:tr>
      <w:tr w:rsidR="00C7217E" w:rsidRPr="00530906" w14:paraId="76D79741" w14:textId="77777777" w:rsidTr="00C7217E">
        <w:trPr>
          <w:cantSplit/>
        </w:trPr>
        <w:tc>
          <w:tcPr>
            <w:tcW w:w="1260" w:type="dxa"/>
            <w:vMerge/>
            <w:tcBorders>
              <w:top w:val="single" w:sz="8" w:space="0" w:color="AEAEAE"/>
              <w:left w:val="nil"/>
              <w:bottom w:val="nil"/>
              <w:right w:val="nil"/>
            </w:tcBorders>
            <w:shd w:val="clear" w:color="auto" w:fill="E0E0E0"/>
          </w:tcPr>
          <w:p w14:paraId="6C45F88C" w14:textId="77777777" w:rsidR="00C7217E" w:rsidRPr="00530906" w:rsidRDefault="00C7217E" w:rsidP="008756B1">
            <w:pPr>
              <w:pStyle w:val="NoSpacing"/>
              <w:jc w:val="both"/>
              <w:rPr>
                <w:rFonts w:ascii="Cambria" w:hAnsi="Cambria"/>
                <w:color w:val="000000" w:themeColor="text1"/>
                <w:sz w:val="18"/>
                <w:szCs w:val="18"/>
              </w:rPr>
            </w:pPr>
          </w:p>
        </w:tc>
        <w:tc>
          <w:tcPr>
            <w:tcW w:w="1800" w:type="dxa"/>
            <w:tcBorders>
              <w:top w:val="single" w:sz="8" w:space="0" w:color="AEAEAE"/>
              <w:left w:val="nil"/>
              <w:bottom w:val="nil"/>
              <w:right w:val="nil"/>
            </w:tcBorders>
            <w:shd w:val="clear" w:color="auto" w:fill="E0E0E0"/>
          </w:tcPr>
          <w:p w14:paraId="535D10E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Mental fluency</w:t>
            </w:r>
          </w:p>
        </w:tc>
        <w:tc>
          <w:tcPr>
            <w:tcW w:w="1170" w:type="dxa"/>
            <w:tcBorders>
              <w:top w:val="single" w:sz="8" w:space="0" w:color="AEAEAE"/>
              <w:left w:val="nil"/>
              <w:bottom w:val="nil"/>
              <w:right w:val="single" w:sz="8" w:space="0" w:color="E0E0E0"/>
            </w:tcBorders>
            <w:shd w:val="clear" w:color="auto" w:fill="FFFFFF"/>
          </w:tcPr>
          <w:p w14:paraId="345DC26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1.583</w:t>
            </w:r>
          </w:p>
        </w:tc>
        <w:tc>
          <w:tcPr>
            <w:tcW w:w="450" w:type="dxa"/>
            <w:tcBorders>
              <w:top w:val="single" w:sz="8" w:space="0" w:color="AEAEAE"/>
              <w:left w:val="single" w:sz="8" w:space="0" w:color="E0E0E0"/>
              <w:bottom w:val="nil"/>
              <w:right w:val="single" w:sz="8" w:space="0" w:color="E0E0E0"/>
            </w:tcBorders>
            <w:shd w:val="clear" w:color="auto" w:fill="FFFFFF"/>
          </w:tcPr>
          <w:p w14:paraId="0BF7155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90" w:type="dxa"/>
            <w:tcBorders>
              <w:top w:val="single" w:sz="8" w:space="0" w:color="AEAEAE"/>
              <w:left w:val="single" w:sz="8" w:space="0" w:color="E0E0E0"/>
              <w:bottom w:val="nil"/>
              <w:right w:val="single" w:sz="8" w:space="0" w:color="E0E0E0"/>
            </w:tcBorders>
            <w:shd w:val="clear" w:color="auto" w:fill="FFFFFF"/>
          </w:tcPr>
          <w:p w14:paraId="20FAD8D1"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1.583</w:t>
            </w:r>
          </w:p>
        </w:tc>
        <w:tc>
          <w:tcPr>
            <w:tcW w:w="810" w:type="dxa"/>
            <w:tcBorders>
              <w:top w:val="single" w:sz="8" w:space="0" w:color="AEAEAE"/>
              <w:left w:val="single" w:sz="8" w:space="0" w:color="E0E0E0"/>
              <w:bottom w:val="nil"/>
              <w:right w:val="single" w:sz="8" w:space="0" w:color="E0E0E0"/>
            </w:tcBorders>
            <w:shd w:val="clear" w:color="auto" w:fill="FFFFFF"/>
          </w:tcPr>
          <w:p w14:paraId="525C897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.615</w:t>
            </w:r>
          </w:p>
        </w:tc>
        <w:tc>
          <w:tcPr>
            <w:tcW w:w="540" w:type="dxa"/>
            <w:tcBorders>
              <w:top w:val="single" w:sz="8" w:space="0" w:color="AEAEAE"/>
              <w:left w:val="single" w:sz="8" w:space="0" w:color="E0E0E0"/>
              <w:bottom w:val="nil"/>
              <w:right w:val="single" w:sz="8" w:space="0" w:color="E0E0E0"/>
            </w:tcBorders>
            <w:shd w:val="clear" w:color="auto" w:fill="FFFFFF"/>
          </w:tcPr>
          <w:p w14:paraId="4312754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.434</w:t>
            </w:r>
          </w:p>
        </w:tc>
        <w:tc>
          <w:tcPr>
            <w:tcW w:w="1530" w:type="dxa"/>
            <w:tcBorders>
              <w:top w:val="single" w:sz="8" w:space="0" w:color="AEAEAE"/>
              <w:left w:val="single" w:sz="8" w:space="0" w:color="E0E0E0"/>
              <w:bottom w:val="nil"/>
              <w:right w:val="nil"/>
            </w:tcBorders>
            <w:shd w:val="clear" w:color="auto" w:fill="FFFFFF"/>
          </w:tcPr>
          <w:p w14:paraId="3629A62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.002</w:t>
            </w:r>
          </w:p>
        </w:tc>
      </w:tr>
    </w:tbl>
    <w:p w14:paraId="47D29332" w14:textId="77777777" w:rsidR="00C7217E" w:rsidRPr="00530906" w:rsidRDefault="00C7217E">
      <w:pPr>
        <w:tabs>
          <w:tab w:val="left" w:pos="3060"/>
        </w:tabs>
        <w:autoSpaceDE w:val="0"/>
        <w:autoSpaceDN w:val="0"/>
        <w:adjustRightInd w:val="0"/>
        <w:spacing w:after="0" w:line="360" w:lineRule="auto"/>
        <w:jc w:val="both"/>
        <w:rPr>
          <w:rFonts w:ascii="Cambria" w:hAnsi="Cambria"/>
          <w:color w:val="000000" w:themeColor="text1"/>
        </w:rPr>
      </w:pPr>
    </w:p>
    <w:p w14:paraId="7465C54B" w14:textId="59E7DFCC" w:rsidR="00C7217E" w:rsidRPr="00530906" w:rsidRDefault="00C7217E">
      <w:pPr>
        <w:tabs>
          <w:tab w:val="left" w:pos="3060"/>
        </w:tabs>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More elaborate profile analysis shows (figure 2</w:t>
      </w:r>
      <w:r w:rsidR="00494BC2">
        <w:rPr>
          <w:rFonts w:ascii="Cambria" w:hAnsi="Cambria"/>
          <w:color w:val="000000" w:themeColor="text1"/>
          <w:sz w:val="24"/>
          <w:szCs w:val="24"/>
        </w:rPr>
        <w:t>1</w:t>
      </w:r>
      <w:r w:rsidRPr="00530906">
        <w:rPr>
          <w:rFonts w:ascii="Cambria" w:hAnsi="Cambria"/>
          <w:color w:val="000000" w:themeColor="text1"/>
          <w:sz w:val="24"/>
          <w:szCs w:val="24"/>
        </w:rPr>
        <w:t>) that positive caption has greater effect than negative caption on three of the SCV dimensions. Positive caption (M = 4.52, SD = 1.39) inspire greater image quality than that of negative caption (M = 4.02, SD = 1.58), Positive caption (M = 3.48, SD = 1.35) generate greater self–projection than that of negative caption (M = 3.4, SD = 1.53), and positive caption (M = 4.47, SD = 1.59) generates greater mental fluency than negative caption (fluency M= 4.32, SD= 1.62). However, in terms of, engrossment, negative caption (M = 2.63, SD=1.28) has greater effect than positive caption (M = 2.60, SD = 1.13) (see Tabachnick and Fidell 2014).</w:t>
      </w:r>
    </w:p>
    <w:p w14:paraId="0D9500A1" w14:textId="694F81BF" w:rsidR="00C7217E" w:rsidRPr="00530906" w:rsidRDefault="00C7217E">
      <w:pPr>
        <w:autoSpaceDE w:val="0"/>
        <w:autoSpaceDN w:val="0"/>
        <w:adjustRightInd w:val="0"/>
        <w:spacing w:after="0" w:line="360" w:lineRule="auto"/>
        <w:jc w:val="both"/>
        <w:rPr>
          <w:rFonts w:ascii="Cambria" w:hAnsi="Cambria"/>
          <w:color w:val="000000" w:themeColor="text1"/>
        </w:rPr>
      </w:pPr>
      <w:r w:rsidRPr="00530906">
        <w:rPr>
          <w:rFonts w:ascii="Cambria" w:hAnsi="Cambria"/>
          <w:noProof/>
          <w:color w:val="000000" w:themeColor="text1"/>
        </w:rPr>
        <mc:AlternateContent>
          <mc:Choice Requires="wpg">
            <w:drawing>
              <wp:anchor distT="0" distB="0" distL="114300" distR="114300" simplePos="0" relativeHeight="251657278" behindDoc="0" locked="0" layoutInCell="1" allowOverlap="1" wp14:anchorId="3752B1FD" wp14:editId="74F9CFB2">
                <wp:simplePos x="0" y="0"/>
                <wp:positionH relativeFrom="column">
                  <wp:posOffset>-152400</wp:posOffset>
                </wp:positionH>
                <wp:positionV relativeFrom="paragraph">
                  <wp:posOffset>247015</wp:posOffset>
                </wp:positionV>
                <wp:extent cx="6248400" cy="3724275"/>
                <wp:effectExtent l="0" t="0" r="0" b="9525"/>
                <wp:wrapNone/>
                <wp:docPr id="669" name="Group 669"/>
                <wp:cNvGraphicFramePr/>
                <a:graphic xmlns:a="http://schemas.openxmlformats.org/drawingml/2006/main">
                  <a:graphicData uri="http://schemas.microsoft.com/office/word/2010/wordprocessingGroup">
                    <wpg:wgp>
                      <wpg:cNvGrpSpPr/>
                      <wpg:grpSpPr>
                        <a:xfrm>
                          <a:off x="0" y="0"/>
                          <a:ext cx="6248400" cy="3724275"/>
                          <a:chOff x="0" y="0"/>
                          <a:chExt cx="6248400" cy="3724275"/>
                        </a:xfrm>
                      </wpg:grpSpPr>
                      <pic:pic xmlns:pic="http://schemas.openxmlformats.org/drawingml/2006/picture">
                        <pic:nvPicPr>
                          <pic:cNvPr id="670" name="Picture 670"/>
                          <pic:cNvPicPr>
                            <a:picLocks noChangeAspect="1"/>
                          </pic:cNvPicPr>
                        </pic:nvPicPr>
                        <pic:blipFill>
                          <a:blip r:embed="rId55"/>
                          <a:srcRect/>
                          <a:stretch>
                            <a:fillRect/>
                          </a:stretch>
                        </pic:blipFill>
                        <pic:spPr bwMode="auto">
                          <a:xfrm>
                            <a:off x="47625" y="19050"/>
                            <a:ext cx="2939415" cy="1733550"/>
                          </a:xfrm>
                          <a:prstGeom prst="rect">
                            <a:avLst/>
                          </a:prstGeom>
                          <a:noFill/>
                          <a:ln w="9525">
                            <a:noFill/>
                            <a:miter lim="800000"/>
                            <a:headEnd/>
                            <a:tailEnd/>
                          </a:ln>
                        </pic:spPr>
                      </pic:pic>
                      <pic:pic xmlns:pic="http://schemas.openxmlformats.org/drawingml/2006/picture">
                        <pic:nvPicPr>
                          <pic:cNvPr id="671" name="Picture 671"/>
                          <pic:cNvPicPr>
                            <a:picLocks noChangeAspect="1"/>
                          </pic:cNvPicPr>
                        </pic:nvPicPr>
                        <pic:blipFill>
                          <a:blip r:embed="rId56"/>
                          <a:srcRect/>
                          <a:stretch>
                            <a:fillRect/>
                          </a:stretch>
                        </pic:blipFill>
                        <pic:spPr bwMode="auto">
                          <a:xfrm>
                            <a:off x="3124200" y="0"/>
                            <a:ext cx="3095625" cy="1809750"/>
                          </a:xfrm>
                          <a:prstGeom prst="rect">
                            <a:avLst/>
                          </a:prstGeom>
                          <a:noFill/>
                          <a:ln w="9525">
                            <a:noFill/>
                            <a:miter lim="800000"/>
                            <a:headEnd/>
                            <a:tailEnd/>
                          </a:ln>
                        </pic:spPr>
                      </pic:pic>
                      <pic:pic xmlns:pic="http://schemas.openxmlformats.org/drawingml/2006/picture">
                        <pic:nvPicPr>
                          <pic:cNvPr id="672" name="Picture 672"/>
                          <pic:cNvPicPr>
                            <a:picLocks noChangeAspect="1"/>
                          </pic:cNvPicPr>
                        </pic:nvPicPr>
                        <pic:blipFill>
                          <a:blip r:embed="rId57"/>
                          <a:srcRect/>
                          <a:stretch>
                            <a:fillRect/>
                          </a:stretch>
                        </pic:blipFill>
                        <pic:spPr bwMode="auto">
                          <a:xfrm>
                            <a:off x="0" y="1695450"/>
                            <a:ext cx="3209925" cy="1885950"/>
                          </a:xfrm>
                          <a:prstGeom prst="rect">
                            <a:avLst/>
                          </a:prstGeom>
                          <a:noFill/>
                          <a:ln w="9525">
                            <a:noFill/>
                            <a:miter lim="800000"/>
                            <a:headEnd/>
                            <a:tailEnd/>
                          </a:ln>
                        </pic:spPr>
                      </pic:pic>
                      <pic:pic xmlns:pic="http://schemas.openxmlformats.org/drawingml/2006/picture">
                        <pic:nvPicPr>
                          <pic:cNvPr id="673" name="Picture 673"/>
                          <pic:cNvPicPr>
                            <a:picLocks noChangeAspect="1"/>
                          </pic:cNvPicPr>
                        </pic:nvPicPr>
                        <pic:blipFill>
                          <a:blip r:embed="rId58"/>
                          <a:srcRect/>
                          <a:stretch>
                            <a:fillRect/>
                          </a:stretch>
                        </pic:blipFill>
                        <pic:spPr bwMode="auto">
                          <a:xfrm>
                            <a:off x="3124200" y="1885950"/>
                            <a:ext cx="3124200" cy="1838325"/>
                          </a:xfrm>
                          <a:prstGeom prst="rect">
                            <a:avLst/>
                          </a:prstGeom>
                          <a:noFill/>
                          <a:ln w="9525">
                            <a:noFill/>
                            <a:miter lim="800000"/>
                            <a:headEnd/>
                            <a:tailEnd/>
                          </a:ln>
                        </pic:spPr>
                      </pic:pic>
                    </wpg:wgp>
                  </a:graphicData>
                </a:graphic>
              </wp:anchor>
            </w:drawing>
          </mc:Choice>
          <mc:Fallback>
            <w:pict>
              <v:group w14:anchorId="328559A5" id="Group 669" o:spid="_x0000_s1026" style="position:absolute;margin-left:-12pt;margin-top:19.45pt;width:492pt;height:293.25pt;z-index:251657278" coordsize="62484,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">
                <v:shape id="Picture 670" o:spid="_x0000_s1027" type="#_x0000_t75" style="position:absolute;left:476;top:190;width:29394;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">
                  <v:imagedata r:id="rId59" o:title=""/>
                </v:shape>
                <v:shape id="Picture 671" o:spid="_x0000_s1028" type="#_x0000_t75" style="position:absolute;left:31242;width:30956;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">
                  <v:imagedata r:id="rId60" o:title=""/>
                </v:shape>
                <v:shape id="Picture 672" o:spid="_x0000_s1029" type="#_x0000_t75" style="position:absolute;top:16954;width:32099;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">
                  <v:imagedata r:id="rId61" o:title=""/>
                </v:shape>
                <v:shape id="Picture 673" o:spid="_x0000_s1030" type="#_x0000_t75" style="position:absolute;left:31242;top:18859;width:31242;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">
                  <v:imagedata r:id="rId62" o:title=""/>
                </v:shape>
              </v:group>
            </w:pict>
          </mc:Fallback>
        </mc:AlternateContent>
      </w:r>
      <w:r w:rsidRPr="00530906">
        <w:rPr>
          <w:rFonts w:ascii="Cambria" w:hAnsi="Cambria"/>
          <w:color w:val="000000" w:themeColor="text1"/>
        </w:rPr>
        <w:t>Fig 2</w:t>
      </w:r>
      <w:r w:rsidR="000871FA">
        <w:rPr>
          <w:rFonts w:ascii="Cambria" w:hAnsi="Cambria"/>
          <w:color w:val="000000" w:themeColor="text1"/>
        </w:rPr>
        <w:t>1</w:t>
      </w:r>
      <w:r w:rsidRPr="00530906">
        <w:rPr>
          <w:rFonts w:ascii="Cambria" w:hAnsi="Cambria"/>
          <w:color w:val="000000" w:themeColor="text1"/>
        </w:rPr>
        <w:t>: Profile graphs of dimensions of SCV</w:t>
      </w:r>
    </w:p>
    <w:p w14:paraId="2845CF78" w14:textId="77777777" w:rsidR="00C7217E" w:rsidRPr="00530906" w:rsidRDefault="00C7217E" w:rsidP="008756B1">
      <w:pPr>
        <w:autoSpaceDE w:val="0"/>
        <w:autoSpaceDN w:val="0"/>
        <w:adjustRightInd w:val="0"/>
        <w:spacing w:after="0" w:line="240" w:lineRule="auto"/>
        <w:jc w:val="both"/>
        <w:rPr>
          <w:rFonts w:ascii="Cambria" w:hAnsi="Cambria" w:cs="Times New Roman"/>
          <w:color w:val="000000" w:themeColor="text1"/>
          <w:sz w:val="24"/>
          <w:szCs w:val="24"/>
        </w:rPr>
      </w:pPr>
    </w:p>
    <w:p w14:paraId="1935042A" w14:textId="77777777" w:rsidR="00C7217E" w:rsidRPr="00530906" w:rsidRDefault="00C7217E" w:rsidP="008756B1">
      <w:pPr>
        <w:autoSpaceDE w:val="0"/>
        <w:autoSpaceDN w:val="0"/>
        <w:adjustRightInd w:val="0"/>
        <w:spacing w:after="0" w:line="240" w:lineRule="auto"/>
        <w:jc w:val="both"/>
        <w:rPr>
          <w:rFonts w:ascii="Cambria" w:hAnsi="Cambria" w:cs="Times New Roman"/>
          <w:color w:val="000000" w:themeColor="text1"/>
          <w:sz w:val="24"/>
          <w:szCs w:val="24"/>
        </w:rPr>
      </w:pPr>
    </w:p>
    <w:p w14:paraId="21ED835F" w14:textId="77777777" w:rsidR="00C7217E" w:rsidRPr="00530906" w:rsidRDefault="00C7217E" w:rsidP="008756B1">
      <w:pPr>
        <w:autoSpaceDE w:val="0"/>
        <w:autoSpaceDN w:val="0"/>
        <w:adjustRightInd w:val="0"/>
        <w:spacing w:after="0" w:line="400" w:lineRule="atLeast"/>
        <w:jc w:val="both"/>
        <w:rPr>
          <w:rFonts w:ascii="Cambria" w:hAnsi="Cambria" w:cs="Times New Roman"/>
          <w:color w:val="000000" w:themeColor="text1"/>
          <w:sz w:val="24"/>
          <w:szCs w:val="24"/>
        </w:rPr>
      </w:pPr>
    </w:p>
    <w:p w14:paraId="2FD58B42"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2E4C4236"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3E94E649"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71536219"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26E74249"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10E69EE6"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7A6A8FC1"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6519D3C6"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2ADE4C17"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2D19DD2E"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54470AD9" w14:textId="77777777" w:rsidR="00C7217E" w:rsidRPr="00530906" w:rsidRDefault="00C7217E">
      <w:pPr>
        <w:autoSpaceDE w:val="0"/>
        <w:autoSpaceDN w:val="0"/>
        <w:adjustRightInd w:val="0"/>
        <w:spacing w:after="0" w:line="360" w:lineRule="auto"/>
        <w:jc w:val="both"/>
        <w:rPr>
          <w:rFonts w:ascii="Cambria" w:hAnsi="Cambria"/>
          <w:color w:val="000000" w:themeColor="text1"/>
        </w:rPr>
      </w:pPr>
    </w:p>
    <w:p w14:paraId="4477F834"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bookmarkStart w:id="92" w:name="_Hlk56429531"/>
      <w:r w:rsidRPr="00530906">
        <w:rPr>
          <w:rFonts w:ascii="Cambria" w:hAnsi="Cambria"/>
          <w:color w:val="000000" w:themeColor="text1"/>
          <w:sz w:val="24"/>
          <w:szCs w:val="24"/>
        </w:rPr>
        <w:t xml:space="preserve"> Since this is an experiment and captions are manipulated, it can be implied that the positive caption is the cause of higher image quality, self</w:t>
      </w:r>
      <w:r w:rsidRPr="00530906">
        <w:rPr>
          <w:rFonts w:ascii="Cambria" w:hAnsi="Cambria"/>
          <w:color w:val="000000" w:themeColor="text1"/>
          <w:sz w:val="24"/>
          <w:szCs w:val="24"/>
        </w:rPr>
        <w:softHyphen/>
        <w:t xml:space="preserve">–projection and mental fluency. On the other hand, negative caption causes higher engrossment with the sustainability ad. However, only the deviance in image quality is significant. </w:t>
      </w:r>
    </w:p>
    <w:bookmarkEnd w:id="92"/>
    <w:p w14:paraId="4979C6C5" w14:textId="01D94B71"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 MANOVA analysis was followed by Discriminant analysis to show how the 4 dimensions of SCV differentiate the two groups exposed to conditions with positive and negative caption. Subsequent discriminant analysis assures that the discriminate functions explains 100% of the variance representing that the overall difference between two groups with positive and negative caption is due to 4 dimensions of SCV, but the contribution is low (canonical discriminant function coefficient </w:t>
      </w:r>
      <w:r w:rsidRPr="00530906">
        <w:rPr>
          <w:rFonts w:ascii="Cambria" w:hAnsi="Cambria"/>
          <w:i/>
          <w:iCs/>
          <w:color w:val="000000" w:themeColor="text1"/>
          <w:sz w:val="24"/>
          <w:szCs w:val="24"/>
        </w:rPr>
        <w:t>R</w:t>
      </w:r>
      <w:r w:rsidRPr="00530906">
        <w:rPr>
          <w:rFonts w:ascii="Cambria" w:hAnsi="Cambria"/>
          <w:color w:val="000000" w:themeColor="text1"/>
          <w:sz w:val="24"/>
          <w:szCs w:val="24"/>
          <w:vertAlign w:val="superscript"/>
        </w:rPr>
        <w:t xml:space="preserve">2 </w:t>
      </w:r>
      <w:r w:rsidRPr="00530906">
        <w:rPr>
          <w:rFonts w:ascii="Cambria" w:hAnsi="Cambria"/>
          <w:color w:val="000000" w:themeColor="text1"/>
          <w:sz w:val="24"/>
          <w:szCs w:val="24"/>
        </w:rPr>
        <w:t xml:space="preserve">= .035). The discriminate function significantly differentiated the groups with positive and negative caption (Wilk’s lamda Λ =0.97, Chi square χ2(4) = 9.76, </w:t>
      </w:r>
      <w:r w:rsidRPr="00530906">
        <w:rPr>
          <w:rFonts w:ascii="Cambria" w:hAnsi="Cambria"/>
          <w:i/>
          <w:iCs/>
          <w:color w:val="000000" w:themeColor="text1"/>
          <w:sz w:val="24"/>
          <w:szCs w:val="24"/>
        </w:rPr>
        <w:t xml:space="preserve">p </w:t>
      </w:r>
      <w:r w:rsidRPr="00530906">
        <w:rPr>
          <w:rFonts w:ascii="Cambria" w:hAnsi="Cambria"/>
          <w:color w:val="000000" w:themeColor="text1"/>
          <w:sz w:val="24"/>
          <w:szCs w:val="24"/>
        </w:rPr>
        <w:t xml:space="preserve">= 0.045). The correlations among SCV dimensions and the discriminant functions also supports the fact that image quality is the most discriminating factor of all four SCV dimensions because image quality is loaded highest in the discriminant function (image quality r = .902, mental fluency r = .248, self–projection r = .142, and engrossment r = –.072). The original output from SPSS will be found in appendix </w:t>
      </w:r>
      <w:r w:rsidR="00A16789">
        <w:rPr>
          <w:rFonts w:ascii="Cambria" w:hAnsi="Cambria"/>
          <w:color w:val="000000" w:themeColor="text1"/>
          <w:sz w:val="24"/>
          <w:szCs w:val="24"/>
        </w:rPr>
        <w:t>4</w:t>
      </w:r>
      <w:r w:rsidRPr="00530906">
        <w:rPr>
          <w:rFonts w:ascii="Cambria" w:hAnsi="Cambria"/>
          <w:color w:val="000000" w:themeColor="text1"/>
          <w:sz w:val="24"/>
          <w:szCs w:val="24"/>
        </w:rPr>
        <w:t xml:space="preserve">.1 (see Field 2018). </w:t>
      </w:r>
    </w:p>
    <w:p w14:paraId="5FCB5246"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p>
    <w:p w14:paraId="1620380D" w14:textId="053F4400"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H</w:t>
      </w:r>
      <w:r w:rsidRPr="00530906">
        <w:rPr>
          <w:rFonts w:ascii="Cambria" w:hAnsi="Cambria"/>
          <w:color w:val="000000" w:themeColor="text1"/>
          <w:sz w:val="24"/>
          <w:szCs w:val="24"/>
          <w:vertAlign w:val="subscript"/>
        </w:rPr>
        <w:t>4</w:t>
      </w:r>
      <w:r w:rsidRPr="00530906">
        <w:rPr>
          <w:rFonts w:ascii="Cambria" w:hAnsi="Cambria"/>
          <w:color w:val="000000" w:themeColor="text1"/>
          <w:sz w:val="24"/>
          <w:szCs w:val="24"/>
        </w:rPr>
        <w:t xml:space="preserve"> has been tested using two</w:t>
      </w:r>
      <w:r w:rsidRPr="00530906">
        <w:rPr>
          <w:rFonts w:ascii="Cambria" w:hAnsi="Cambria"/>
          <w:color w:val="000000" w:themeColor="text1"/>
          <w:sz w:val="24"/>
          <w:szCs w:val="24"/>
        </w:rPr>
        <w:softHyphen/>
        <w:t xml:space="preserve">–way MANOVA to explore the interaction of types of captions (positive and negative) and level of source expertise (High and low) the second order formative </w:t>
      </w:r>
      <w:r w:rsidRPr="00530906">
        <w:rPr>
          <w:rFonts w:ascii="Cambria" w:hAnsi="Cambria"/>
          <w:sz w:val="24"/>
          <w:szCs w:val="24"/>
        </w:rPr>
        <w:t>construct SCV.  H</w:t>
      </w:r>
      <w:r w:rsidRPr="00530906">
        <w:rPr>
          <w:rFonts w:ascii="Cambria" w:hAnsi="Cambria"/>
          <w:sz w:val="24"/>
          <w:szCs w:val="24"/>
          <w:vertAlign w:val="subscript"/>
        </w:rPr>
        <w:t>4</w:t>
      </w:r>
      <w:r w:rsidRPr="00530906">
        <w:rPr>
          <w:rFonts w:ascii="Cambria" w:hAnsi="Cambria"/>
          <w:sz w:val="24"/>
          <w:szCs w:val="24"/>
        </w:rPr>
        <w:t xml:space="preserve"> is partially confirmed by the means of above–mentioned test. Pillai's Trace revealed non</w:t>
      </w:r>
      <w:r w:rsidR="004179CD" w:rsidRPr="00530906">
        <w:rPr>
          <w:rFonts w:ascii="Cambria" w:hAnsi="Cambria"/>
          <w:sz w:val="24"/>
          <w:szCs w:val="24"/>
        </w:rPr>
        <w:t>–</w:t>
      </w:r>
      <w:r w:rsidRPr="00530906">
        <w:rPr>
          <w:rFonts w:ascii="Cambria" w:hAnsi="Cambria"/>
          <w:sz w:val="24"/>
          <w:szCs w:val="24"/>
        </w:rPr>
        <w:t xml:space="preserve">significant </w:t>
      </w:r>
      <w:r w:rsidRPr="00530906">
        <w:rPr>
          <w:rFonts w:ascii="Cambria" w:hAnsi="Cambria"/>
          <w:color w:val="000000" w:themeColor="text1"/>
          <w:sz w:val="24"/>
          <w:szCs w:val="24"/>
        </w:rPr>
        <w:t xml:space="preserve">interactions between types of </w:t>
      </w:r>
      <w:r w:rsidR="00B834E9" w:rsidRPr="00530906">
        <w:rPr>
          <w:rFonts w:ascii="Cambria" w:hAnsi="Cambria"/>
          <w:color w:val="000000" w:themeColor="text1"/>
          <w:sz w:val="24"/>
          <w:szCs w:val="24"/>
        </w:rPr>
        <w:t>captions</w:t>
      </w:r>
      <w:r w:rsidRPr="00530906">
        <w:rPr>
          <w:rFonts w:ascii="Cambria" w:hAnsi="Cambria"/>
          <w:color w:val="000000" w:themeColor="text1"/>
          <w:sz w:val="24"/>
          <w:szCs w:val="24"/>
        </w:rPr>
        <w:t xml:space="preserve"> and level of source expertise on SCV (V= 0.019, F (4, 271) =1.34, p = .254) (table </w:t>
      </w:r>
      <w:r w:rsidR="00306E34">
        <w:rPr>
          <w:rFonts w:ascii="Cambria" w:hAnsi="Cambria"/>
          <w:color w:val="000000" w:themeColor="text1"/>
          <w:sz w:val="24"/>
          <w:szCs w:val="24"/>
        </w:rPr>
        <w:t>20</w:t>
      </w:r>
      <w:r w:rsidRPr="00530906">
        <w:rPr>
          <w:rFonts w:ascii="Cambria" w:hAnsi="Cambria"/>
          <w:color w:val="000000" w:themeColor="text1"/>
          <w:sz w:val="24"/>
          <w:szCs w:val="24"/>
        </w:rPr>
        <w:t xml:space="preserve">). Main effect of the types of </w:t>
      </w:r>
      <w:r w:rsidR="00B834E9" w:rsidRPr="00530906">
        <w:rPr>
          <w:rFonts w:ascii="Cambria" w:hAnsi="Cambria"/>
          <w:color w:val="000000" w:themeColor="text1"/>
          <w:sz w:val="24"/>
          <w:szCs w:val="24"/>
        </w:rPr>
        <w:t>captions</w:t>
      </w:r>
      <w:r w:rsidRPr="00530906">
        <w:rPr>
          <w:rFonts w:ascii="Cambria" w:hAnsi="Cambria"/>
          <w:color w:val="000000" w:themeColor="text1"/>
          <w:sz w:val="24"/>
          <w:szCs w:val="24"/>
        </w:rPr>
        <w:t xml:space="preserve"> is significant on SCV (V = .039, F (4, 271) = 2.75, p = .028), but impact of level of source expertise was not significant (V = .013, F (4, 271) = .925, p= .450) (table </w:t>
      </w:r>
      <w:r w:rsidR="00B2731A">
        <w:rPr>
          <w:rFonts w:ascii="Cambria" w:hAnsi="Cambria"/>
          <w:color w:val="000000" w:themeColor="text1"/>
          <w:sz w:val="24"/>
          <w:szCs w:val="24"/>
        </w:rPr>
        <w:t>20</w:t>
      </w:r>
      <w:r w:rsidRPr="00530906">
        <w:rPr>
          <w:rFonts w:ascii="Cambria" w:hAnsi="Cambria"/>
          <w:color w:val="000000" w:themeColor="text1"/>
          <w:sz w:val="24"/>
          <w:szCs w:val="24"/>
        </w:rPr>
        <w:t xml:space="preserve">). </w:t>
      </w:r>
      <w:r w:rsidR="00A0102D">
        <w:rPr>
          <w:rFonts w:ascii="Cambria" w:hAnsi="Cambria"/>
          <w:color w:val="000000" w:themeColor="text1"/>
          <w:sz w:val="24"/>
          <w:szCs w:val="24"/>
        </w:rPr>
        <w:t xml:space="preserve">The significant </w:t>
      </w:r>
      <w:r w:rsidR="00896BB6">
        <w:rPr>
          <w:rFonts w:ascii="Cambria" w:hAnsi="Cambria"/>
          <w:color w:val="000000" w:themeColor="text1"/>
          <w:sz w:val="24"/>
          <w:szCs w:val="24"/>
        </w:rPr>
        <w:t xml:space="preserve">result is mainly due to </w:t>
      </w:r>
      <w:r w:rsidR="00064FCA">
        <w:rPr>
          <w:rFonts w:ascii="Cambria" w:hAnsi="Cambria"/>
          <w:color w:val="000000" w:themeColor="text1"/>
          <w:sz w:val="24"/>
          <w:szCs w:val="24"/>
        </w:rPr>
        <w:t>Image quality (Table 21</w:t>
      </w:r>
      <w:r w:rsidR="00C3044C">
        <w:rPr>
          <w:rFonts w:ascii="Cambria" w:hAnsi="Cambria"/>
          <w:color w:val="000000" w:themeColor="text1"/>
          <w:sz w:val="24"/>
          <w:szCs w:val="24"/>
        </w:rPr>
        <w:t>).</w:t>
      </w:r>
      <w:r w:rsidR="00C3044C" w:rsidRPr="00530906">
        <w:rPr>
          <w:rFonts w:ascii="Cambria" w:hAnsi="Cambria"/>
          <w:color w:val="000000" w:themeColor="text1"/>
          <w:sz w:val="24"/>
          <w:szCs w:val="24"/>
        </w:rPr>
        <w:t xml:space="preserve"> The</w:t>
      </w:r>
      <w:r w:rsidRPr="00530906">
        <w:rPr>
          <w:rFonts w:ascii="Cambria" w:hAnsi="Cambria"/>
          <w:color w:val="000000" w:themeColor="text1"/>
          <w:sz w:val="24"/>
          <w:szCs w:val="24"/>
        </w:rPr>
        <w:t xml:space="preserve"> original result has been reported in appendix </w:t>
      </w:r>
      <w:r w:rsidR="00A16789">
        <w:rPr>
          <w:rFonts w:ascii="Cambria" w:hAnsi="Cambria"/>
          <w:color w:val="000000" w:themeColor="text1"/>
          <w:sz w:val="24"/>
          <w:szCs w:val="24"/>
        </w:rPr>
        <w:t>4</w:t>
      </w:r>
      <w:r w:rsidRPr="00530906">
        <w:rPr>
          <w:rFonts w:ascii="Cambria" w:hAnsi="Cambria"/>
          <w:color w:val="000000" w:themeColor="text1"/>
          <w:sz w:val="24"/>
          <w:szCs w:val="24"/>
        </w:rPr>
        <w:t>.1</w:t>
      </w:r>
      <w:r w:rsidR="00B2731A">
        <w:rPr>
          <w:rFonts w:ascii="Cambria" w:hAnsi="Cambria"/>
          <w:color w:val="000000" w:themeColor="text1"/>
          <w:sz w:val="24"/>
          <w:szCs w:val="24"/>
        </w:rPr>
        <w:t>.</w:t>
      </w:r>
    </w:p>
    <w:p w14:paraId="6D12FE6C" w14:textId="77777777" w:rsidR="00C7217E" w:rsidRPr="00530906" w:rsidRDefault="00C7217E" w:rsidP="008756B1">
      <w:pPr>
        <w:autoSpaceDE w:val="0"/>
        <w:autoSpaceDN w:val="0"/>
        <w:adjustRightInd w:val="0"/>
        <w:spacing w:after="0" w:line="240" w:lineRule="auto"/>
        <w:jc w:val="both"/>
        <w:rPr>
          <w:rFonts w:ascii="Cambria" w:hAnsi="Cambria" w:cs="Times New Roman"/>
          <w:color w:val="000000" w:themeColor="text1"/>
          <w:sz w:val="24"/>
          <w:szCs w:val="24"/>
        </w:rPr>
      </w:pPr>
    </w:p>
    <w:tbl>
      <w:tblPr>
        <w:tblW w:w="8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1530"/>
        <w:gridCol w:w="630"/>
        <w:gridCol w:w="630"/>
        <w:gridCol w:w="1080"/>
        <w:gridCol w:w="720"/>
        <w:gridCol w:w="450"/>
        <w:gridCol w:w="1543"/>
      </w:tblGrid>
      <w:tr w:rsidR="00C7217E" w:rsidRPr="00530906" w14:paraId="4014DB13" w14:textId="77777777" w:rsidTr="00C7217E">
        <w:trPr>
          <w:cantSplit/>
        </w:trPr>
        <w:tc>
          <w:tcPr>
            <w:tcW w:w="8473" w:type="dxa"/>
            <w:gridSpan w:val="8"/>
            <w:tcBorders>
              <w:top w:val="nil"/>
              <w:left w:val="nil"/>
              <w:bottom w:val="nil"/>
              <w:right w:val="nil"/>
            </w:tcBorders>
            <w:shd w:val="clear" w:color="auto" w:fill="FFFFFF"/>
            <w:vAlign w:val="center"/>
          </w:tcPr>
          <w:p w14:paraId="0CB75BD1" w14:textId="486F7618" w:rsidR="00C7217E" w:rsidRPr="00530906" w:rsidRDefault="00C7217E" w:rsidP="008756B1">
            <w:pPr>
              <w:pStyle w:val="NoSpacing"/>
              <w:jc w:val="both"/>
              <w:rPr>
                <w:rFonts w:ascii="Cambria" w:hAnsi="Cambria"/>
                <w:color w:val="000000" w:themeColor="text1"/>
                <w:vertAlign w:val="superscript"/>
              </w:rPr>
            </w:pPr>
            <w:r w:rsidRPr="00530906">
              <w:rPr>
                <w:rFonts w:ascii="Cambria" w:hAnsi="Cambria"/>
                <w:color w:val="000000" w:themeColor="text1"/>
              </w:rPr>
              <w:t xml:space="preserve">Table </w:t>
            </w:r>
            <w:r w:rsidR="0066234A">
              <w:rPr>
                <w:rFonts w:ascii="Cambria" w:hAnsi="Cambria"/>
                <w:color w:val="000000" w:themeColor="text1"/>
              </w:rPr>
              <w:t>20</w:t>
            </w:r>
            <w:r w:rsidRPr="00530906">
              <w:rPr>
                <w:rFonts w:ascii="Cambria" w:hAnsi="Cambria"/>
                <w:color w:val="000000" w:themeColor="text1"/>
              </w:rPr>
              <w:t>: Multivariate Tests</w:t>
            </w:r>
            <w:r w:rsidRPr="00530906">
              <w:rPr>
                <w:rFonts w:ascii="Cambria" w:hAnsi="Cambria"/>
                <w:color w:val="000000" w:themeColor="text1"/>
                <w:vertAlign w:val="superscript"/>
              </w:rPr>
              <w:t>a</w:t>
            </w:r>
          </w:p>
          <w:p w14:paraId="714A07A9" w14:textId="77777777" w:rsidR="00C7217E" w:rsidRPr="00530906" w:rsidRDefault="00C7217E" w:rsidP="008756B1">
            <w:pPr>
              <w:pStyle w:val="NoSpacing"/>
              <w:jc w:val="both"/>
              <w:rPr>
                <w:rFonts w:ascii="Cambria" w:hAnsi="Cambria"/>
                <w:color w:val="000000" w:themeColor="text1"/>
              </w:rPr>
            </w:pPr>
          </w:p>
        </w:tc>
      </w:tr>
      <w:tr w:rsidR="00C7217E" w:rsidRPr="00530906" w14:paraId="5F83D05E" w14:textId="77777777" w:rsidTr="00C7217E">
        <w:trPr>
          <w:cantSplit/>
        </w:trPr>
        <w:tc>
          <w:tcPr>
            <w:tcW w:w="3420" w:type="dxa"/>
            <w:gridSpan w:val="2"/>
            <w:tcBorders>
              <w:top w:val="nil"/>
              <w:left w:val="nil"/>
              <w:bottom w:val="single" w:sz="8" w:space="0" w:color="152935"/>
              <w:right w:val="nil"/>
            </w:tcBorders>
            <w:shd w:val="clear" w:color="auto" w:fill="CCCCFF"/>
            <w:vAlign w:val="bottom"/>
          </w:tcPr>
          <w:p w14:paraId="7B254B5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Effect</w:t>
            </w:r>
          </w:p>
        </w:tc>
        <w:tc>
          <w:tcPr>
            <w:tcW w:w="630" w:type="dxa"/>
            <w:tcBorders>
              <w:top w:val="nil"/>
              <w:left w:val="nil"/>
              <w:bottom w:val="single" w:sz="8" w:space="0" w:color="152935"/>
              <w:right w:val="single" w:sz="8" w:space="0" w:color="E0E0E0"/>
            </w:tcBorders>
            <w:shd w:val="clear" w:color="auto" w:fill="CCCCFF"/>
            <w:vAlign w:val="bottom"/>
          </w:tcPr>
          <w:p w14:paraId="60C7D72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Value</w:t>
            </w:r>
          </w:p>
        </w:tc>
        <w:tc>
          <w:tcPr>
            <w:tcW w:w="630" w:type="dxa"/>
            <w:tcBorders>
              <w:top w:val="nil"/>
              <w:left w:val="single" w:sz="8" w:space="0" w:color="E0E0E0"/>
              <w:bottom w:val="single" w:sz="8" w:space="0" w:color="152935"/>
              <w:right w:val="single" w:sz="8" w:space="0" w:color="E0E0E0"/>
            </w:tcBorders>
            <w:shd w:val="clear" w:color="auto" w:fill="CCCCFF"/>
            <w:vAlign w:val="bottom"/>
          </w:tcPr>
          <w:p w14:paraId="6D95633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F</w:t>
            </w:r>
          </w:p>
        </w:tc>
        <w:tc>
          <w:tcPr>
            <w:tcW w:w="1080" w:type="dxa"/>
            <w:tcBorders>
              <w:top w:val="nil"/>
              <w:left w:val="single" w:sz="8" w:space="0" w:color="E0E0E0"/>
              <w:bottom w:val="single" w:sz="8" w:space="0" w:color="152935"/>
              <w:right w:val="single" w:sz="8" w:space="0" w:color="E0E0E0"/>
            </w:tcBorders>
            <w:shd w:val="clear" w:color="auto" w:fill="CCCCFF"/>
            <w:vAlign w:val="bottom"/>
          </w:tcPr>
          <w:p w14:paraId="170BCE0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Hypothesis df</w:t>
            </w:r>
          </w:p>
        </w:tc>
        <w:tc>
          <w:tcPr>
            <w:tcW w:w="720" w:type="dxa"/>
            <w:tcBorders>
              <w:top w:val="nil"/>
              <w:left w:val="single" w:sz="8" w:space="0" w:color="E0E0E0"/>
              <w:bottom w:val="single" w:sz="8" w:space="0" w:color="152935"/>
              <w:right w:val="single" w:sz="8" w:space="0" w:color="E0E0E0"/>
            </w:tcBorders>
            <w:shd w:val="clear" w:color="auto" w:fill="CCCCFF"/>
            <w:vAlign w:val="bottom"/>
          </w:tcPr>
          <w:p w14:paraId="3AEAEFF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Error df</w:t>
            </w:r>
          </w:p>
        </w:tc>
        <w:tc>
          <w:tcPr>
            <w:tcW w:w="450" w:type="dxa"/>
            <w:tcBorders>
              <w:top w:val="nil"/>
              <w:left w:val="single" w:sz="8" w:space="0" w:color="E0E0E0"/>
              <w:bottom w:val="single" w:sz="8" w:space="0" w:color="152935"/>
              <w:right w:val="single" w:sz="8" w:space="0" w:color="E0E0E0"/>
            </w:tcBorders>
            <w:shd w:val="clear" w:color="auto" w:fill="CCCCFF"/>
            <w:vAlign w:val="bottom"/>
          </w:tcPr>
          <w:p w14:paraId="62052E1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Sig.</w:t>
            </w:r>
          </w:p>
        </w:tc>
        <w:tc>
          <w:tcPr>
            <w:tcW w:w="1543" w:type="dxa"/>
            <w:tcBorders>
              <w:top w:val="nil"/>
              <w:left w:val="single" w:sz="8" w:space="0" w:color="E0E0E0"/>
              <w:bottom w:val="single" w:sz="8" w:space="0" w:color="152935"/>
              <w:right w:val="nil"/>
            </w:tcBorders>
            <w:shd w:val="clear" w:color="auto" w:fill="CCCCFF"/>
            <w:vAlign w:val="bottom"/>
          </w:tcPr>
          <w:p w14:paraId="7BC56A1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Partial Eta Squared</w:t>
            </w:r>
          </w:p>
        </w:tc>
      </w:tr>
      <w:tr w:rsidR="00C7217E" w:rsidRPr="00530906" w14:paraId="0FDFDF9A" w14:textId="77777777" w:rsidTr="00C7217E">
        <w:trPr>
          <w:cantSplit/>
        </w:trPr>
        <w:tc>
          <w:tcPr>
            <w:tcW w:w="1890" w:type="dxa"/>
            <w:tcBorders>
              <w:top w:val="single" w:sz="8" w:space="0" w:color="AEAEAE"/>
              <w:left w:val="nil"/>
              <w:bottom w:val="nil"/>
              <w:right w:val="nil"/>
            </w:tcBorders>
            <w:shd w:val="clear" w:color="auto" w:fill="E0E0E0"/>
          </w:tcPr>
          <w:p w14:paraId="5EDD821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Types of caption</w:t>
            </w:r>
          </w:p>
        </w:tc>
        <w:tc>
          <w:tcPr>
            <w:tcW w:w="1530" w:type="dxa"/>
            <w:tcBorders>
              <w:top w:val="single" w:sz="8" w:space="0" w:color="AEAEAE"/>
              <w:left w:val="nil"/>
              <w:bottom w:val="single" w:sz="8" w:space="0" w:color="AEAEAE"/>
              <w:right w:val="nil"/>
            </w:tcBorders>
            <w:shd w:val="clear" w:color="auto" w:fill="E0E0E0"/>
          </w:tcPr>
          <w:p w14:paraId="72D45AF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Pillai's Trace</w:t>
            </w:r>
          </w:p>
        </w:tc>
        <w:tc>
          <w:tcPr>
            <w:tcW w:w="630" w:type="dxa"/>
            <w:tcBorders>
              <w:top w:val="single" w:sz="8" w:space="0" w:color="AEAEAE"/>
              <w:left w:val="nil"/>
              <w:bottom w:val="single" w:sz="8" w:space="0" w:color="AEAEAE"/>
              <w:right w:val="single" w:sz="8" w:space="0" w:color="E0E0E0"/>
            </w:tcBorders>
            <w:shd w:val="clear" w:color="auto" w:fill="FFFFFF"/>
          </w:tcPr>
          <w:p w14:paraId="57B2687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.039</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725E294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2.755</w:t>
            </w:r>
            <w:r w:rsidRPr="00530906">
              <w:rPr>
                <w:rFonts w:ascii="Cambria" w:hAnsi="Cambria"/>
                <w:color w:val="000000" w:themeColor="text1"/>
                <w:sz w:val="18"/>
                <w:szCs w:val="18"/>
                <w:vertAlign w:val="superscript"/>
              </w:rPr>
              <w:t>b</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163057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ED4F97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B746C7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.028</w:t>
            </w:r>
          </w:p>
        </w:tc>
        <w:tc>
          <w:tcPr>
            <w:tcW w:w="1543" w:type="dxa"/>
            <w:tcBorders>
              <w:top w:val="single" w:sz="8" w:space="0" w:color="AEAEAE"/>
              <w:left w:val="single" w:sz="8" w:space="0" w:color="E0E0E0"/>
              <w:bottom w:val="single" w:sz="8" w:space="0" w:color="AEAEAE"/>
              <w:right w:val="nil"/>
            </w:tcBorders>
            <w:shd w:val="clear" w:color="auto" w:fill="FFFFFF"/>
          </w:tcPr>
          <w:p w14:paraId="3C72818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.039</w:t>
            </w:r>
          </w:p>
        </w:tc>
      </w:tr>
      <w:tr w:rsidR="00C7217E" w:rsidRPr="00530906" w14:paraId="5F6D9365" w14:textId="77777777" w:rsidTr="00C7217E">
        <w:trPr>
          <w:cantSplit/>
        </w:trPr>
        <w:tc>
          <w:tcPr>
            <w:tcW w:w="1890" w:type="dxa"/>
            <w:tcBorders>
              <w:top w:val="single" w:sz="8" w:space="0" w:color="AEAEAE"/>
              <w:left w:val="nil"/>
              <w:bottom w:val="nil"/>
              <w:right w:val="nil"/>
            </w:tcBorders>
            <w:shd w:val="clear" w:color="auto" w:fill="E0E0E0"/>
          </w:tcPr>
          <w:p w14:paraId="1A91DC5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Level of Expertise</w:t>
            </w:r>
          </w:p>
        </w:tc>
        <w:tc>
          <w:tcPr>
            <w:tcW w:w="1530" w:type="dxa"/>
            <w:tcBorders>
              <w:top w:val="single" w:sz="8" w:space="0" w:color="AEAEAE"/>
              <w:left w:val="nil"/>
              <w:bottom w:val="single" w:sz="8" w:space="0" w:color="AEAEAE"/>
              <w:right w:val="nil"/>
            </w:tcBorders>
            <w:shd w:val="clear" w:color="auto" w:fill="E0E0E0"/>
          </w:tcPr>
          <w:p w14:paraId="68BE63F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Pillai's Trace</w:t>
            </w:r>
          </w:p>
        </w:tc>
        <w:tc>
          <w:tcPr>
            <w:tcW w:w="630" w:type="dxa"/>
            <w:tcBorders>
              <w:top w:val="single" w:sz="8" w:space="0" w:color="AEAEAE"/>
              <w:left w:val="nil"/>
              <w:bottom w:val="single" w:sz="8" w:space="0" w:color="AEAEAE"/>
              <w:right w:val="single" w:sz="8" w:space="0" w:color="E0E0E0"/>
            </w:tcBorders>
            <w:shd w:val="clear" w:color="auto" w:fill="FFFFFF"/>
          </w:tcPr>
          <w:p w14:paraId="6B0F138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.013</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3C6D702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.925</w:t>
            </w:r>
            <w:r w:rsidRPr="00530906">
              <w:rPr>
                <w:rFonts w:ascii="Cambria" w:hAnsi="Cambria"/>
                <w:color w:val="000000" w:themeColor="text1"/>
                <w:sz w:val="18"/>
                <w:szCs w:val="18"/>
                <w:vertAlign w:val="superscript"/>
              </w:rPr>
              <w:t>b</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D75162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FDF018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9495B9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.450</w:t>
            </w:r>
          </w:p>
        </w:tc>
        <w:tc>
          <w:tcPr>
            <w:tcW w:w="1543" w:type="dxa"/>
            <w:tcBorders>
              <w:top w:val="single" w:sz="8" w:space="0" w:color="AEAEAE"/>
              <w:left w:val="single" w:sz="8" w:space="0" w:color="E0E0E0"/>
              <w:bottom w:val="single" w:sz="8" w:space="0" w:color="AEAEAE"/>
              <w:right w:val="nil"/>
            </w:tcBorders>
            <w:shd w:val="clear" w:color="auto" w:fill="FFFFFF"/>
          </w:tcPr>
          <w:p w14:paraId="1E4BDD1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.013</w:t>
            </w:r>
          </w:p>
        </w:tc>
      </w:tr>
      <w:tr w:rsidR="00C7217E" w:rsidRPr="00530906" w14:paraId="601FBCF9" w14:textId="77777777" w:rsidTr="00C7217E">
        <w:trPr>
          <w:cantSplit/>
        </w:trPr>
        <w:tc>
          <w:tcPr>
            <w:tcW w:w="1890" w:type="dxa"/>
            <w:tcBorders>
              <w:top w:val="single" w:sz="8" w:space="0" w:color="AEAEAE"/>
              <w:left w:val="nil"/>
              <w:bottom w:val="single" w:sz="8" w:space="0" w:color="152935"/>
              <w:right w:val="nil"/>
            </w:tcBorders>
            <w:shd w:val="clear" w:color="auto" w:fill="E0E0E0"/>
          </w:tcPr>
          <w:p w14:paraId="09BC73F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caption * Expertise</w:t>
            </w:r>
          </w:p>
        </w:tc>
        <w:tc>
          <w:tcPr>
            <w:tcW w:w="1530" w:type="dxa"/>
            <w:tcBorders>
              <w:top w:val="single" w:sz="8" w:space="0" w:color="AEAEAE"/>
              <w:left w:val="nil"/>
              <w:bottom w:val="single" w:sz="8" w:space="0" w:color="AEAEAE"/>
              <w:right w:val="nil"/>
            </w:tcBorders>
            <w:shd w:val="clear" w:color="auto" w:fill="E0E0E0"/>
          </w:tcPr>
          <w:p w14:paraId="1DB8ADC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Pillai's Trace</w:t>
            </w:r>
          </w:p>
        </w:tc>
        <w:tc>
          <w:tcPr>
            <w:tcW w:w="630" w:type="dxa"/>
            <w:tcBorders>
              <w:top w:val="single" w:sz="8" w:space="0" w:color="AEAEAE"/>
              <w:left w:val="nil"/>
              <w:bottom w:val="single" w:sz="8" w:space="0" w:color="AEAEAE"/>
              <w:right w:val="single" w:sz="8" w:space="0" w:color="E0E0E0"/>
            </w:tcBorders>
            <w:shd w:val="clear" w:color="auto" w:fill="FFFFFF"/>
          </w:tcPr>
          <w:p w14:paraId="50EEB0B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.019</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6FFE09A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1.343</w:t>
            </w:r>
            <w:r w:rsidRPr="00530906">
              <w:rPr>
                <w:rFonts w:ascii="Cambria" w:hAnsi="Cambria"/>
                <w:color w:val="000000" w:themeColor="text1"/>
                <w:sz w:val="18"/>
                <w:szCs w:val="18"/>
                <w:vertAlign w:val="superscript"/>
              </w:rPr>
              <w:t>b</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FC5868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7C7369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085622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.254</w:t>
            </w:r>
          </w:p>
        </w:tc>
        <w:tc>
          <w:tcPr>
            <w:tcW w:w="1543" w:type="dxa"/>
            <w:tcBorders>
              <w:top w:val="single" w:sz="8" w:space="0" w:color="AEAEAE"/>
              <w:left w:val="single" w:sz="8" w:space="0" w:color="E0E0E0"/>
              <w:bottom w:val="single" w:sz="8" w:space="0" w:color="AEAEAE"/>
              <w:right w:val="nil"/>
            </w:tcBorders>
            <w:shd w:val="clear" w:color="auto" w:fill="FFFFFF"/>
          </w:tcPr>
          <w:p w14:paraId="6813F15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.019</w:t>
            </w:r>
          </w:p>
        </w:tc>
      </w:tr>
      <w:tr w:rsidR="00C7217E" w:rsidRPr="00530906" w14:paraId="1E7CB726" w14:textId="77777777" w:rsidTr="00C7217E">
        <w:trPr>
          <w:cantSplit/>
        </w:trPr>
        <w:tc>
          <w:tcPr>
            <w:tcW w:w="8473" w:type="dxa"/>
            <w:gridSpan w:val="8"/>
            <w:tcBorders>
              <w:top w:val="nil"/>
              <w:left w:val="nil"/>
              <w:bottom w:val="nil"/>
              <w:right w:val="nil"/>
            </w:tcBorders>
            <w:shd w:val="clear" w:color="auto" w:fill="FFFFFF"/>
          </w:tcPr>
          <w:p w14:paraId="3CA1992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a. Design: Intercept + types of caption + level of Expertise + caption * Expert</w:t>
            </w:r>
          </w:p>
        </w:tc>
      </w:tr>
      <w:tr w:rsidR="00C7217E" w:rsidRPr="00530906" w14:paraId="3801995F" w14:textId="77777777" w:rsidTr="00C7217E">
        <w:trPr>
          <w:cantSplit/>
        </w:trPr>
        <w:tc>
          <w:tcPr>
            <w:tcW w:w="8473" w:type="dxa"/>
            <w:gridSpan w:val="8"/>
            <w:tcBorders>
              <w:top w:val="nil"/>
              <w:left w:val="nil"/>
              <w:bottom w:val="nil"/>
              <w:right w:val="nil"/>
            </w:tcBorders>
            <w:shd w:val="clear" w:color="auto" w:fill="FFFFFF"/>
          </w:tcPr>
          <w:p w14:paraId="318AE1B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b. Exact statistic</w:t>
            </w:r>
          </w:p>
        </w:tc>
      </w:tr>
    </w:tbl>
    <w:p w14:paraId="3065A954" w14:textId="77777777" w:rsidR="00C7217E" w:rsidRPr="00530906" w:rsidRDefault="00C7217E" w:rsidP="008756B1">
      <w:pPr>
        <w:autoSpaceDE w:val="0"/>
        <w:autoSpaceDN w:val="0"/>
        <w:adjustRightInd w:val="0"/>
        <w:spacing w:after="0" w:line="240" w:lineRule="auto"/>
        <w:jc w:val="both"/>
        <w:rPr>
          <w:rFonts w:ascii="Cambria" w:hAnsi="Cambria" w:cs="Times New Roman"/>
          <w:color w:val="000000" w:themeColor="text1"/>
          <w:sz w:val="24"/>
          <w:szCs w:val="24"/>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1710"/>
        <w:gridCol w:w="1260"/>
        <w:gridCol w:w="540"/>
        <w:gridCol w:w="900"/>
        <w:gridCol w:w="810"/>
        <w:gridCol w:w="450"/>
        <w:gridCol w:w="990"/>
      </w:tblGrid>
      <w:tr w:rsidR="00C7217E" w:rsidRPr="00530906" w14:paraId="5E80C4DD" w14:textId="77777777" w:rsidTr="00C7217E">
        <w:trPr>
          <w:cantSplit/>
        </w:trPr>
        <w:tc>
          <w:tcPr>
            <w:tcW w:w="8460" w:type="dxa"/>
            <w:gridSpan w:val="8"/>
            <w:tcBorders>
              <w:top w:val="nil"/>
              <w:left w:val="nil"/>
              <w:bottom w:val="nil"/>
              <w:right w:val="nil"/>
            </w:tcBorders>
            <w:shd w:val="clear" w:color="auto" w:fill="FFFFFF"/>
            <w:vAlign w:val="center"/>
          </w:tcPr>
          <w:p w14:paraId="03B4A0DB" w14:textId="16EB15A1" w:rsidR="00C7217E" w:rsidRPr="00530906" w:rsidRDefault="00A83D48" w:rsidP="008756B1">
            <w:pPr>
              <w:pStyle w:val="NoSpacing"/>
              <w:jc w:val="both"/>
              <w:rPr>
                <w:rFonts w:ascii="Cambria" w:hAnsi="Cambria"/>
                <w:color w:val="000000" w:themeColor="text1"/>
              </w:rPr>
            </w:pPr>
            <w:r w:rsidRPr="00530906">
              <w:br w:type="page"/>
            </w:r>
            <w:r w:rsidR="00C7217E" w:rsidRPr="00530906">
              <w:rPr>
                <w:rFonts w:ascii="Cambria" w:hAnsi="Cambria"/>
                <w:color w:val="000000" w:themeColor="text1"/>
              </w:rPr>
              <w:t xml:space="preserve">Table </w:t>
            </w:r>
            <w:r w:rsidR="000E26B0">
              <w:rPr>
                <w:rFonts w:ascii="Cambria" w:hAnsi="Cambria"/>
                <w:color w:val="000000" w:themeColor="text1"/>
              </w:rPr>
              <w:t>2</w:t>
            </w:r>
            <w:r w:rsidR="0066234A">
              <w:rPr>
                <w:rFonts w:ascii="Cambria" w:hAnsi="Cambria"/>
                <w:color w:val="000000" w:themeColor="text1"/>
              </w:rPr>
              <w:t>1</w:t>
            </w:r>
            <w:r w:rsidR="00C7217E" w:rsidRPr="00530906">
              <w:rPr>
                <w:rFonts w:ascii="Cambria" w:hAnsi="Cambria"/>
                <w:color w:val="000000" w:themeColor="text1"/>
              </w:rPr>
              <w:t>: Tests of Between–Subjects Effects</w:t>
            </w:r>
          </w:p>
          <w:p w14:paraId="438B9FDD" w14:textId="77777777" w:rsidR="00C7217E" w:rsidRPr="00530906" w:rsidRDefault="00C7217E" w:rsidP="008756B1">
            <w:pPr>
              <w:pStyle w:val="NoSpacing"/>
              <w:jc w:val="both"/>
              <w:rPr>
                <w:rFonts w:ascii="Cambria" w:hAnsi="Cambria"/>
                <w:color w:val="000000" w:themeColor="text1"/>
              </w:rPr>
            </w:pPr>
          </w:p>
        </w:tc>
      </w:tr>
      <w:tr w:rsidR="00C7217E" w:rsidRPr="00530906" w14:paraId="6858F2FE" w14:textId="77777777" w:rsidTr="00C7217E">
        <w:trPr>
          <w:cantSplit/>
        </w:trPr>
        <w:tc>
          <w:tcPr>
            <w:tcW w:w="1800" w:type="dxa"/>
            <w:tcBorders>
              <w:top w:val="nil"/>
              <w:left w:val="nil"/>
              <w:bottom w:val="single" w:sz="8" w:space="0" w:color="152935"/>
              <w:right w:val="nil"/>
            </w:tcBorders>
            <w:shd w:val="clear" w:color="auto" w:fill="CCCCFF"/>
            <w:vAlign w:val="bottom"/>
          </w:tcPr>
          <w:p w14:paraId="0D0D3B7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Source</w:t>
            </w:r>
          </w:p>
        </w:tc>
        <w:tc>
          <w:tcPr>
            <w:tcW w:w="1710" w:type="dxa"/>
            <w:tcBorders>
              <w:top w:val="nil"/>
              <w:left w:val="nil"/>
              <w:bottom w:val="single" w:sz="8" w:space="0" w:color="152935"/>
              <w:right w:val="nil"/>
            </w:tcBorders>
            <w:shd w:val="clear" w:color="auto" w:fill="CCCCFF"/>
            <w:vAlign w:val="bottom"/>
          </w:tcPr>
          <w:p w14:paraId="4FAFDEC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Dependent Variable</w:t>
            </w:r>
          </w:p>
        </w:tc>
        <w:tc>
          <w:tcPr>
            <w:tcW w:w="1260" w:type="dxa"/>
            <w:tcBorders>
              <w:top w:val="nil"/>
              <w:left w:val="nil"/>
              <w:bottom w:val="single" w:sz="8" w:space="0" w:color="152935"/>
              <w:right w:val="single" w:sz="8" w:space="0" w:color="E0E0E0"/>
            </w:tcBorders>
            <w:shd w:val="clear" w:color="auto" w:fill="CCCCFF"/>
            <w:vAlign w:val="bottom"/>
          </w:tcPr>
          <w:p w14:paraId="29029D9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 III Sum of Squares</w:t>
            </w:r>
          </w:p>
        </w:tc>
        <w:tc>
          <w:tcPr>
            <w:tcW w:w="540" w:type="dxa"/>
            <w:tcBorders>
              <w:top w:val="nil"/>
              <w:left w:val="single" w:sz="8" w:space="0" w:color="E0E0E0"/>
              <w:bottom w:val="single" w:sz="8" w:space="0" w:color="152935"/>
              <w:right w:val="single" w:sz="8" w:space="0" w:color="E0E0E0"/>
            </w:tcBorders>
            <w:shd w:val="clear" w:color="auto" w:fill="CCCCFF"/>
            <w:vAlign w:val="bottom"/>
          </w:tcPr>
          <w:p w14:paraId="646451C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df</w:t>
            </w:r>
          </w:p>
        </w:tc>
        <w:tc>
          <w:tcPr>
            <w:tcW w:w="900" w:type="dxa"/>
            <w:tcBorders>
              <w:top w:val="nil"/>
              <w:left w:val="single" w:sz="8" w:space="0" w:color="E0E0E0"/>
              <w:bottom w:val="single" w:sz="8" w:space="0" w:color="152935"/>
              <w:right w:val="single" w:sz="8" w:space="0" w:color="E0E0E0"/>
            </w:tcBorders>
            <w:shd w:val="clear" w:color="auto" w:fill="CCCCFF"/>
            <w:vAlign w:val="bottom"/>
          </w:tcPr>
          <w:p w14:paraId="77A2AB7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Mean Square</w:t>
            </w:r>
          </w:p>
        </w:tc>
        <w:tc>
          <w:tcPr>
            <w:tcW w:w="810" w:type="dxa"/>
            <w:tcBorders>
              <w:top w:val="nil"/>
              <w:left w:val="single" w:sz="8" w:space="0" w:color="E0E0E0"/>
              <w:bottom w:val="single" w:sz="8" w:space="0" w:color="152935"/>
              <w:right w:val="single" w:sz="8" w:space="0" w:color="E0E0E0"/>
            </w:tcBorders>
            <w:shd w:val="clear" w:color="auto" w:fill="CCCCFF"/>
            <w:vAlign w:val="bottom"/>
          </w:tcPr>
          <w:p w14:paraId="3698E27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F</w:t>
            </w:r>
          </w:p>
        </w:tc>
        <w:tc>
          <w:tcPr>
            <w:tcW w:w="450" w:type="dxa"/>
            <w:tcBorders>
              <w:top w:val="nil"/>
              <w:left w:val="single" w:sz="8" w:space="0" w:color="E0E0E0"/>
              <w:bottom w:val="single" w:sz="8" w:space="0" w:color="152935"/>
              <w:right w:val="single" w:sz="8" w:space="0" w:color="E0E0E0"/>
            </w:tcBorders>
            <w:shd w:val="clear" w:color="auto" w:fill="CCCCFF"/>
            <w:vAlign w:val="bottom"/>
          </w:tcPr>
          <w:p w14:paraId="2234371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Sig.</w:t>
            </w:r>
          </w:p>
        </w:tc>
        <w:tc>
          <w:tcPr>
            <w:tcW w:w="990" w:type="dxa"/>
            <w:tcBorders>
              <w:top w:val="nil"/>
              <w:left w:val="single" w:sz="8" w:space="0" w:color="E0E0E0"/>
              <w:bottom w:val="single" w:sz="8" w:space="0" w:color="152935"/>
              <w:right w:val="nil"/>
            </w:tcBorders>
            <w:shd w:val="clear" w:color="auto" w:fill="CCCCFF"/>
            <w:vAlign w:val="bottom"/>
          </w:tcPr>
          <w:p w14:paraId="4833052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Partial Eta Squared</w:t>
            </w:r>
          </w:p>
        </w:tc>
      </w:tr>
      <w:tr w:rsidR="00C7217E" w:rsidRPr="00530906" w14:paraId="63FD52E9" w14:textId="77777777" w:rsidTr="00C7217E">
        <w:trPr>
          <w:cantSplit/>
        </w:trPr>
        <w:tc>
          <w:tcPr>
            <w:tcW w:w="1800" w:type="dxa"/>
            <w:vMerge w:val="restart"/>
            <w:tcBorders>
              <w:top w:val="single" w:sz="8" w:space="0" w:color="AEAEAE"/>
              <w:left w:val="nil"/>
              <w:bottom w:val="nil"/>
              <w:right w:val="nil"/>
            </w:tcBorders>
            <w:shd w:val="clear" w:color="auto" w:fill="E0E0E0"/>
          </w:tcPr>
          <w:p w14:paraId="376EEDF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Types of caption</w:t>
            </w:r>
          </w:p>
        </w:tc>
        <w:tc>
          <w:tcPr>
            <w:tcW w:w="1710" w:type="dxa"/>
            <w:tcBorders>
              <w:top w:val="single" w:sz="8" w:space="0" w:color="AEAEAE"/>
              <w:left w:val="nil"/>
              <w:bottom w:val="single" w:sz="8" w:space="0" w:color="AEAEAE"/>
              <w:right w:val="nil"/>
            </w:tcBorders>
            <w:shd w:val="clear" w:color="auto" w:fill="E0E0E0"/>
          </w:tcPr>
          <w:p w14:paraId="35ABE19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Image quality</w:t>
            </w:r>
          </w:p>
        </w:tc>
        <w:tc>
          <w:tcPr>
            <w:tcW w:w="1260" w:type="dxa"/>
            <w:tcBorders>
              <w:top w:val="single" w:sz="8" w:space="0" w:color="AEAEAE"/>
              <w:left w:val="nil"/>
              <w:bottom w:val="single" w:sz="8" w:space="0" w:color="AEAEAE"/>
              <w:right w:val="single" w:sz="8" w:space="0" w:color="E0E0E0"/>
            </w:tcBorders>
            <w:shd w:val="clear" w:color="auto" w:fill="FFFFFF"/>
          </w:tcPr>
          <w:p w14:paraId="1DFA34E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20.399</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2CD1E2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20963AE"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20.399</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D41CA9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9.330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5005445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.002</w:t>
            </w:r>
          </w:p>
        </w:tc>
        <w:tc>
          <w:tcPr>
            <w:tcW w:w="990" w:type="dxa"/>
            <w:tcBorders>
              <w:top w:val="single" w:sz="8" w:space="0" w:color="AEAEAE"/>
              <w:left w:val="single" w:sz="8" w:space="0" w:color="E0E0E0"/>
              <w:bottom w:val="single" w:sz="8" w:space="0" w:color="AEAEAE"/>
              <w:right w:val="nil"/>
            </w:tcBorders>
            <w:shd w:val="clear" w:color="auto" w:fill="FFFFFF"/>
          </w:tcPr>
          <w:p w14:paraId="751C9141"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.033</w:t>
            </w:r>
          </w:p>
        </w:tc>
      </w:tr>
      <w:tr w:rsidR="00C7217E" w:rsidRPr="00530906" w14:paraId="62ABB3DA" w14:textId="77777777" w:rsidTr="00C7217E">
        <w:trPr>
          <w:cantSplit/>
        </w:trPr>
        <w:tc>
          <w:tcPr>
            <w:tcW w:w="1800" w:type="dxa"/>
            <w:vMerge/>
            <w:tcBorders>
              <w:top w:val="single" w:sz="8" w:space="0" w:color="AEAEAE"/>
              <w:left w:val="nil"/>
              <w:bottom w:val="nil"/>
              <w:right w:val="nil"/>
            </w:tcBorders>
            <w:shd w:val="clear" w:color="auto" w:fill="E0E0E0"/>
          </w:tcPr>
          <w:p w14:paraId="0862AEDB"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4CDAC4D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Engrossment</w:t>
            </w:r>
          </w:p>
        </w:tc>
        <w:tc>
          <w:tcPr>
            <w:tcW w:w="1260" w:type="dxa"/>
            <w:tcBorders>
              <w:top w:val="single" w:sz="8" w:space="0" w:color="AEAEAE"/>
              <w:left w:val="nil"/>
              <w:bottom w:val="single" w:sz="8" w:space="0" w:color="AEAEAE"/>
              <w:right w:val="single" w:sz="8" w:space="0" w:color="E0E0E0"/>
            </w:tcBorders>
            <w:shd w:val="clear" w:color="auto" w:fill="FFFFFF"/>
          </w:tcPr>
          <w:p w14:paraId="7FBEA8F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.018</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50663B9E"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D09F55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.018</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0215D56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AA7F53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.912</w:t>
            </w:r>
          </w:p>
        </w:tc>
        <w:tc>
          <w:tcPr>
            <w:tcW w:w="990" w:type="dxa"/>
            <w:tcBorders>
              <w:top w:val="single" w:sz="8" w:space="0" w:color="AEAEAE"/>
              <w:left w:val="single" w:sz="8" w:space="0" w:color="E0E0E0"/>
              <w:bottom w:val="single" w:sz="8" w:space="0" w:color="AEAEAE"/>
              <w:right w:val="nil"/>
            </w:tcBorders>
            <w:shd w:val="clear" w:color="auto" w:fill="FFFFFF"/>
          </w:tcPr>
          <w:p w14:paraId="3877B01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r w:rsidR="00C7217E" w:rsidRPr="00530906" w14:paraId="0D727CA2" w14:textId="77777777" w:rsidTr="00C7217E">
        <w:trPr>
          <w:cantSplit/>
        </w:trPr>
        <w:tc>
          <w:tcPr>
            <w:tcW w:w="1800" w:type="dxa"/>
            <w:vMerge/>
            <w:tcBorders>
              <w:top w:val="single" w:sz="8" w:space="0" w:color="AEAEAE"/>
              <w:left w:val="nil"/>
              <w:bottom w:val="nil"/>
              <w:right w:val="nil"/>
            </w:tcBorders>
            <w:shd w:val="clear" w:color="auto" w:fill="E0E0E0"/>
          </w:tcPr>
          <w:p w14:paraId="701FAD4D"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0A484D8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Self–projection</w:t>
            </w:r>
          </w:p>
        </w:tc>
        <w:tc>
          <w:tcPr>
            <w:tcW w:w="1260" w:type="dxa"/>
            <w:tcBorders>
              <w:top w:val="single" w:sz="8" w:space="0" w:color="AEAEAE"/>
              <w:left w:val="nil"/>
              <w:bottom w:val="single" w:sz="8" w:space="0" w:color="AEAEAE"/>
              <w:right w:val="single" w:sz="8" w:space="0" w:color="E0E0E0"/>
            </w:tcBorders>
            <w:shd w:val="clear" w:color="auto" w:fill="FFFFFF"/>
          </w:tcPr>
          <w:p w14:paraId="12D2CC8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.616</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3BFDD98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48F9CA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.616</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479E03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.298</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29AF871"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.586</w:t>
            </w:r>
          </w:p>
        </w:tc>
        <w:tc>
          <w:tcPr>
            <w:tcW w:w="990" w:type="dxa"/>
            <w:tcBorders>
              <w:top w:val="single" w:sz="8" w:space="0" w:color="AEAEAE"/>
              <w:left w:val="single" w:sz="8" w:space="0" w:color="E0E0E0"/>
              <w:bottom w:val="single" w:sz="8" w:space="0" w:color="AEAEAE"/>
              <w:right w:val="nil"/>
            </w:tcBorders>
            <w:shd w:val="clear" w:color="auto" w:fill="FFFFFF"/>
          </w:tcPr>
          <w:p w14:paraId="7E39E0D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.001</w:t>
            </w:r>
          </w:p>
        </w:tc>
      </w:tr>
      <w:tr w:rsidR="00C7217E" w:rsidRPr="00530906" w14:paraId="07628126" w14:textId="77777777" w:rsidTr="00C7217E">
        <w:trPr>
          <w:cantSplit/>
        </w:trPr>
        <w:tc>
          <w:tcPr>
            <w:tcW w:w="1800" w:type="dxa"/>
            <w:vMerge/>
            <w:tcBorders>
              <w:top w:val="single" w:sz="8" w:space="0" w:color="AEAEAE"/>
              <w:left w:val="nil"/>
              <w:bottom w:val="nil"/>
              <w:right w:val="nil"/>
            </w:tcBorders>
            <w:shd w:val="clear" w:color="auto" w:fill="E0E0E0"/>
          </w:tcPr>
          <w:p w14:paraId="7C240A12"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nil"/>
              <w:right w:val="nil"/>
            </w:tcBorders>
            <w:shd w:val="clear" w:color="auto" w:fill="E0E0E0"/>
          </w:tcPr>
          <w:p w14:paraId="0DA34FB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Mental fluency</w:t>
            </w:r>
          </w:p>
        </w:tc>
        <w:tc>
          <w:tcPr>
            <w:tcW w:w="1260" w:type="dxa"/>
            <w:tcBorders>
              <w:top w:val="single" w:sz="8" w:space="0" w:color="AEAEAE"/>
              <w:left w:val="nil"/>
              <w:bottom w:val="nil"/>
              <w:right w:val="single" w:sz="8" w:space="0" w:color="E0E0E0"/>
            </w:tcBorders>
            <w:shd w:val="clear" w:color="auto" w:fill="FFFFFF"/>
          </w:tcPr>
          <w:p w14:paraId="4D36375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2.088</w:t>
            </w:r>
          </w:p>
        </w:tc>
        <w:tc>
          <w:tcPr>
            <w:tcW w:w="540" w:type="dxa"/>
            <w:tcBorders>
              <w:top w:val="single" w:sz="8" w:space="0" w:color="AEAEAE"/>
              <w:left w:val="single" w:sz="8" w:space="0" w:color="E0E0E0"/>
              <w:bottom w:val="nil"/>
              <w:right w:val="single" w:sz="8" w:space="0" w:color="E0E0E0"/>
            </w:tcBorders>
            <w:shd w:val="clear" w:color="auto" w:fill="FFFFFF"/>
          </w:tcPr>
          <w:p w14:paraId="33F6A561"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nil"/>
              <w:right w:val="single" w:sz="8" w:space="0" w:color="E0E0E0"/>
            </w:tcBorders>
            <w:shd w:val="clear" w:color="auto" w:fill="FFFFFF"/>
          </w:tcPr>
          <w:p w14:paraId="183355B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2.088</w:t>
            </w:r>
          </w:p>
        </w:tc>
        <w:tc>
          <w:tcPr>
            <w:tcW w:w="810" w:type="dxa"/>
            <w:tcBorders>
              <w:top w:val="single" w:sz="8" w:space="0" w:color="AEAEAE"/>
              <w:left w:val="single" w:sz="8" w:space="0" w:color="E0E0E0"/>
              <w:bottom w:val="nil"/>
              <w:right w:val="single" w:sz="8" w:space="0" w:color="E0E0E0"/>
            </w:tcBorders>
            <w:shd w:val="clear" w:color="auto" w:fill="FFFFFF"/>
          </w:tcPr>
          <w:p w14:paraId="046C921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.810</w:t>
            </w:r>
          </w:p>
        </w:tc>
        <w:tc>
          <w:tcPr>
            <w:tcW w:w="450" w:type="dxa"/>
            <w:tcBorders>
              <w:top w:val="single" w:sz="8" w:space="0" w:color="AEAEAE"/>
              <w:left w:val="single" w:sz="8" w:space="0" w:color="E0E0E0"/>
              <w:bottom w:val="nil"/>
              <w:right w:val="single" w:sz="8" w:space="0" w:color="E0E0E0"/>
            </w:tcBorders>
            <w:shd w:val="clear" w:color="auto" w:fill="FFFFFF"/>
          </w:tcPr>
          <w:p w14:paraId="542D6E2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.369</w:t>
            </w:r>
          </w:p>
        </w:tc>
        <w:tc>
          <w:tcPr>
            <w:tcW w:w="990" w:type="dxa"/>
            <w:tcBorders>
              <w:top w:val="single" w:sz="8" w:space="0" w:color="AEAEAE"/>
              <w:left w:val="single" w:sz="8" w:space="0" w:color="E0E0E0"/>
              <w:bottom w:val="nil"/>
              <w:right w:val="nil"/>
            </w:tcBorders>
            <w:shd w:val="clear" w:color="auto" w:fill="FFFFFF"/>
          </w:tcPr>
          <w:p w14:paraId="6DE8647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.003</w:t>
            </w:r>
          </w:p>
        </w:tc>
      </w:tr>
      <w:tr w:rsidR="00C7217E" w:rsidRPr="00530906" w14:paraId="0287ACD0" w14:textId="77777777" w:rsidTr="00C7217E">
        <w:trPr>
          <w:cantSplit/>
        </w:trPr>
        <w:tc>
          <w:tcPr>
            <w:tcW w:w="1800" w:type="dxa"/>
            <w:vMerge w:val="restart"/>
            <w:tcBorders>
              <w:top w:val="single" w:sz="8" w:space="0" w:color="AEAEAE"/>
              <w:left w:val="nil"/>
              <w:bottom w:val="nil"/>
              <w:right w:val="nil"/>
            </w:tcBorders>
            <w:shd w:val="clear" w:color="auto" w:fill="E0E0E0"/>
          </w:tcPr>
          <w:p w14:paraId="69013B8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Level of expert</w:t>
            </w:r>
          </w:p>
        </w:tc>
        <w:tc>
          <w:tcPr>
            <w:tcW w:w="1710" w:type="dxa"/>
            <w:tcBorders>
              <w:top w:val="single" w:sz="8" w:space="0" w:color="AEAEAE"/>
              <w:left w:val="nil"/>
              <w:bottom w:val="single" w:sz="8" w:space="0" w:color="AEAEAE"/>
              <w:right w:val="nil"/>
            </w:tcBorders>
            <w:shd w:val="clear" w:color="auto" w:fill="E0E0E0"/>
          </w:tcPr>
          <w:p w14:paraId="6F55E17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Image quality</w:t>
            </w:r>
          </w:p>
        </w:tc>
        <w:tc>
          <w:tcPr>
            <w:tcW w:w="1260" w:type="dxa"/>
            <w:tcBorders>
              <w:top w:val="single" w:sz="8" w:space="0" w:color="AEAEAE"/>
              <w:left w:val="nil"/>
              <w:bottom w:val="single" w:sz="8" w:space="0" w:color="AEAEAE"/>
              <w:right w:val="single" w:sz="8" w:space="0" w:color="E0E0E0"/>
            </w:tcBorders>
            <w:shd w:val="clear" w:color="auto" w:fill="FFFFFF"/>
          </w:tcPr>
          <w:p w14:paraId="4CB7853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7.136</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377F94D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47D8C2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7.136</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F7615F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3.264</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035C39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.072</w:t>
            </w:r>
          </w:p>
        </w:tc>
        <w:tc>
          <w:tcPr>
            <w:tcW w:w="990" w:type="dxa"/>
            <w:tcBorders>
              <w:top w:val="single" w:sz="8" w:space="0" w:color="AEAEAE"/>
              <w:left w:val="single" w:sz="8" w:space="0" w:color="E0E0E0"/>
              <w:bottom w:val="single" w:sz="8" w:space="0" w:color="AEAEAE"/>
              <w:right w:val="nil"/>
            </w:tcBorders>
            <w:shd w:val="clear" w:color="auto" w:fill="FFFFFF"/>
          </w:tcPr>
          <w:p w14:paraId="299CE19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.012</w:t>
            </w:r>
          </w:p>
        </w:tc>
      </w:tr>
      <w:tr w:rsidR="00C7217E" w:rsidRPr="00530906" w14:paraId="5EB0F012" w14:textId="77777777" w:rsidTr="00C7217E">
        <w:trPr>
          <w:cantSplit/>
        </w:trPr>
        <w:tc>
          <w:tcPr>
            <w:tcW w:w="1800" w:type="dxa"/>
            <w:vMerge/>
            <w:tcBorders>
              <w:top w:val="single" w:sz="8" w:space="0" w:color="AEAEAE"/>
              <w:left w:val="nil"/>
              <w:bottom w:val="nil"/>
              <w:right w:val="nil"/>
            </w:tcBorders>
            <w:shd w:val="clear" w:color="auto" w:fill="E0E0E0"/>
          </w:tcPr>
          <w:p w14:paraId="29FD5D96"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77FC1BE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Engrossment</w:t>
            </w:r>
          </w:p>
        </w:tc>
        <w:tc>
          <w:tcPr>
            <w:tcW w:w="1260" w:type="dxa"/>
            <w:tcBorders>
              <w:top w:val="single" w:sz="8" w:space="0" w:color="AEAEAE"/>
              <w:left w:val="nil"/>
              <w:bottom w:val="single" w:sz="8" w:space="0" w:color="AEAEAE"/>
              <w:right w:val="single" w:sz="8" w:space="0" w:color="E0E0E0"/>
            </w:tcBorders>
            <w:shd w:val="clear" w:color="auto" w:fill="FFFFFF"/>
          </w:tcPr>
          <w:p w14:paraId="1DC7910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C12F22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DDFFE9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5367A1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5F7782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.963</w:t>
            </w:r>
          </w:p>
        </w:tc>
        <w:tc>
          <w:tcPr>
            <w:tcW w:w="990" w:type="dxa"/>
            <w:tcBorders>
              <w:top w:val="single" w:sz="8" w:space="0" w:color="AEAEAE"/>
              <w:left w:val="single" w:sz="8" w:space="0" w:color="E0E0E0"/>
              <w:bottom w:val="single" w:sz="8" w:space="0" w:color="AEAEAE"/>
              <w:right w:val="nil"/>
            </w:tcBorders>
            <w:shd w:val="clear" w:color="auto" w:fill="FFFFFF"/>
          </w:tcPr>
          <w:p w14:paraId="71C99DA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r w:rsidR="00C7217E" w:rsidRPr="00530906" w14:paraId="7EC71459" w14:textId="77777777" w:rsidTr="00C7217E">
        <w:trPr>
          <w:cantSplit/>
        </w:trPr>
        <w:tc>
          <w:tcPr>
            <w:tcW w:w="1800" w:type="dxa"/>
            <w:vMerge/>
            <w:tcBorders>
              <w:top w:val="single" w:sz="8" w:space="0" w:color="AEAEAE"/>
              <w:left w:val="nil"/>
              <w:bottom w:val="nil"/>
              <w:right w:val="nil"/>
            </w:tcBorders>
            <w:shd w:val="clear" w:color="auto" w:fill="E0E0E0"/>
          </w:tcPr>
          <w:p w14:paraId="44F6C093"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49469FA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Self–projection</w:t>
            </w:r>
          </w:p>
        </w:tc>
        <w:tc>
          <w:tcPr>
            <w:tcW w:w="1260" w:type="dxa"/>
            <w:tcBorders>
              <w:top w:val="single" w:sz="8" w:space="0" w:color="AEAEAE"/>
              <w:left w:val="nil"/>
              <w:bottom w:val="single" w:sz="8" w:space="0" w:color="AEAEAE"/>
              <w:right w:val="single" w:sz="8" w:space="0" w:color="E0E0E0"/>
            </w:tcBorders>
            <w:shd w:val="clear" w:color="auto" w:fill="FFFFFF"/>
          </w:tcPr>
          <w:p w14:paraId="35683BE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.913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ACF3CD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B5E3D8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.913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96C39A4"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.442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7EC264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.507</w:t>
            </w:r>
          </w:p>
        </w:tc>
        <w:tc>
          <w:tcPr>
            <w:tcW w:w="990" w:type="dxa"/>
            <w:tcBorders>
              <w:top w:val="single" w:sz="8" w:space="0" w:color="AEAEAE"/>
              <w:left w:val="single" w:sz="8" w:space="0" w:color="E0E0E0"/>
              <w:bottom w:val="single" w:sz="8" w:space="0" w:color="AEAEAE"/>
              <w:right w:val="nil"/>
            </w:tcBorders>
            <w:shd w:val="clear" w:color="auto" w:fill="FFFFFF"/>
          </w:tcPr>
          <w:p w14:paraId="3986ADD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.002</w:t>
            </w:r>
          </w:p>
        </w:tc>
      </w:tr>
      <w:tr w:rsidR="00C7217E" w:rsidRPr="00530906" w14:paraId="644744ED" w14:textId="77777777" w:rsidTr="00C7217E">
        <w:trPr>
          <w:cantSplit/>
        </w:trPr>
        <w:tc>
          <w:tcPr>
            <w:tcW w:w="1800" w:type="dxa"/>
            <w:vMerge/>
            <w:tcBorders>
              <w:top w:val="single" w:sz="8" w:space="0" w:color="AEAEAE"/>
              <w:left w:val="nil"/>
              <w:bottom w:val="nil"/>
              <w:right w:val="nil"/>
            </w:tcBorders>
            <w:shd w:val="clear" w:color="auto" w:fill="E0E0E0"/>
          </w:tcPr>
          <w:p w14:paraId="366489FA"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nil"/>
              <w:right w:val="nil"/>
            </w:tcBorders>
            <w:shd w:val="clear" w:color="auto" w:fill="E0E0E0"/>
          </w:tcPr>
          <w:p w14:paraId="4A0E082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Mental fluency</w:t>
            </w:r>
          </w:p>
        </w:tc>
        <w:tc>
          <w:tcPr>
            <w:tcW w:w="1260" w:type="dxa"/>
            <w:tcBorders>
              <w:top w:val="single" w:sz="8" w:space="0" w:color="AEAEAE"/>
              <w:left w:val="nil"/>
              <w:bottom w:val="nil"/>
              <w:right w:val="single" w:sz="8" w:space="0" w:color="E0E0E0"/>
            </w:tcBorders>
            <w:shd w:val="clear" w:color="auto" w:fill="FFFFFF"/>
          </w:tcPr>
          <w:p w14:paraId="175C5D5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.200</w:t>
            </w:r>
          </w:p>
        </w:tc>
        <w:tc>
          <w:tcPr>
            <w:tcW w:w="540" w:type="dxa"/>
            <w:tcBorders>
              <w:top w:val="single" w:sz="8" w:space="0" w:color="AEAEAE"/>
              <w:left w:val="single" w:sz="8" w:space="0" w:color="E0E0E0"/>
              <w:bottom w:val="nil"/>
              <w:right w:val="single" w:sz="8" w:space="0" w:color="E0E0E0"/>
            </w:tcBorders>
            <w:shd w:val="clear" w:color="auto" w:fill="FFFFFF"/>
          </w:tcPr>
          <w:p w14:paraId="4D75DF3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nil"/>
              <w:right w:val="single" w:sz="8" w:space="0" w:color="E0E0E0"/>
            </w:tcBorders>
            <w:shd w:val="clear" w:color="auto" w:fill="FFFFFF"/>
          </w:tcPr>
          <w:p w14:paraId="3E024B67"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.200</w:t>
            </w:r>
          </w:p>
        </w:tc>
        <w:tc>
          <w:tcPr>
            <w:tcW w:w="810" w:type="dxa"/>
            <w:tcBorders>
              <w:top w:val="single" w:sz="8" w:space="0" w:color="AEAEAE"/>
              <w:left w:val="single" w:sz="8" w:space="0" w:color="E0E0E0"/>
              <w:bottom w:val="nil"/>
              <w:right w:val="single" w:sz="8" w:space="0" w:color="E0E0E0"/>
            </w:tcBorders>
            <w:shd w:val="clear" w:color="auto" w:fill="FFFFFF"/>
          </w:tcPr>
          <w:p w14:paraId="79138E4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.077</w:t>
            </w:r>
          </w:p>
        </w:tc>
        <w:tc>
          <w:tcPr>
            <w:tcW w:w="450" w:type="dxa"/>
            <w:tcBorders>
              <w:top w:val="single" w:sz="8" w:space="0" w:color="AEAEAE"/>
              <w:left w:val="single" w:sz="8" w:space="0" w:color="E0E0E0"/>
              <w:bottom w:val="nil"/>
              <w:right w:val="single" w:sz="8" w:space="0" w:color="E0E0E0"/>
            </w:tcBorders>
            <w:shd w:val="clear" w:color="auto" w:fill="FFFFFF"/>
          </w:tcPr>
          <w:p w14:paraId="7E45134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.781</w:t>
            </w:r>
          </w:p>
        </w:tc>
        <w:tc>
          <w:tcPr>
            <w:tcW w:w="990" w:type="dxa"/>
            <w:tcBorders>
              <w:top w:val="single" w:sz="8" w:space="0" w:color="AEAEAE"/>
              <w:left w:val="single" w:sz="8" w:space="0" w:color="E0E0E0"/>
              <w:bottom w:val="nil"/>
              <w:right w:val="nil"/>
            </w:tcBorders>
            <w:shd w:val="clear" w:color="auto" w:fill="FFFFFF"/>
          </w:tcPr>
          <w:p w14:paraId="3B025A1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r w:rsidR="00C7217E" w:rsidRPr="00530906" w14:paraId="39DE23E1" w14:textId="77777777" w:rsidTr="00C7217E">
        <w:trPr>
          <w:cantSplit/>
        </w:trPr>
        <w:tc>
          <w:tcPr>
            <w:tcW w:w="1800" w:type="dxa"/>
            <w:vMerge w:val="restart"/>
            <w:tcBorders>
              <w:top w:val="single" w:sz="8" w:space="0" w:color="AEAEAE"/>
              <w:left w:val="nil"/>
              <w:bottom w:val="nil"/>
              <w:right w:val="nil"/>
            </w:tcBorders>
            <w:shd w:val="clear" w:color="auto" w:fill="E0E0E0"/>
          </w:tcPr>
          <w:p w14:paraId="1D2C1BC1"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caption * Expertise</w:t>
            </w:r>
          </w:p>
        </w:tc>
        <w:tc>
          <w:tcPr>
            <w:tcW w:w="1710" w:type="dxa"/>
            <w:tcBorders>
              <w:top w:val="single" w:sz="8" w:space="0" w:color="AEAEAE"/>
              <w:left w:val="nil"/>
              <w:bottom w:val="single" w:sz="8" w:space="0" w:color="AEAEAE"/>
              <w:right w:val="nil"/>
            </w:tcBorders>
            <w:shd w:val="clear" w:color="auto" w:fill="E0E0E0"/>
          </w:tcPr>
          <w:p w14:paraId="403184E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Image quality</w:t>
            </w:r>
          </w:p>
        </w:tc>
        <w:tc>
          <w:tcPr>
            <w:tcW w:w="1260" w:type="dxa"/>
            <w:tcBorders>
              <w:top w:val="single" w:sz="8" w:space="0" w:color="AEAEAE"/>
              <w:left w:val="nil"/>
              <w:bottom w:val="single" w:sz="8" w:space="0" w:color="AEAEAE"/>
              <w:right w:val="single" w:sz="8" w:space="0" w:color="E0E0E0"/>
            </w:tcBorders>
            <w:shd w:val="clear" w:color="auto" w:fill="FFFFFF"/>
          </w:tcPr>
          <w:p w14:paraId="46C501F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.005</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EEA1FD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6D4B8F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.005</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9C90CE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1021CE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.964</w:t>
            </w:r>
          </w:p>
        </w:tc>
        <w:tc>
          <w:tcPr>
            <w:tcW w:w="990" w:type="dxa"/>
            <w:tcBorders>
              <w:top w:val="single" w:sz="8" w:space="0" w:color="AEAEAE"/>
              <w:left w:val="single" w:sz="8" w:space="0" w:color="E0E0E0"/>
              <w:bottom w:val="single" w:sz="8" w:space="0" w:color="AEAEAE"/>
              <w:right w:val="nil"/>
            </w:tcBorders>
            <w:shd w:val="clear" w:color="auto" w:fill="FFFFFF"/>
          </w:tcPr>
          <w:p w14:paraId="291C330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r w:rsidR="00C7217E" w:rsidRPr="00530906" w14:paraId="6E81A20E" w14:textId="77777777" w:rsidTr="00C7217E">
        <w:trPr>
          <w:cantSplit/>
        </w:trPr>
        <w:tc>
          <w:tcPr>
            <w:tcW w:w="1800" w:type="dxa"/>
            <w:vMerge/>
            <w:tcBorders>
              <w:top w:val="single" w:sz="8" w:space="0" w:color="AEAEAE"/>
              <w:left w:val="nil"/>
              <w:bottom w:val="nil"/>
              <w:right w:val="nil"/>
            </w:tcBorders>
            <w:shd w:val="clear" w:color="auto" w:fill="E0E0E0"/>
          </w:tcPr>
          <w:p w14:paraId="1A133925"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6E84021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Engrossment</w:t>
            </w:r>
          </w:p>
        </w:tc>
        <w:tc>
          <w:tcPr>
            <w:tcW w:w="1260" w:type="dxa"/>
            <w:tcBorders>
              <w:top w:val="single" w:sz="8" w:space="0" w:color="AEAEAE"/>
              <w:left w:val="nil"/>
              <w:bottom w:val="single" w:sz="8" w:space="0" w:color="AEAEAE"/>
              <w:right w:val="single" w:sz="8" w:space="0" w:color="E0E0E0"/>
            </w:tcBorders>
            <w:shd w:val="clear" w:color="auto" w:fill="FFFFFF"/>
          </w:tcPr>
          <w:p w14:paraId="5950979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2.543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3D4BCC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35BAD6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2.543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F17692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1.771</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02B0F16"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.184</w:t>
            </w:r>
          </w:p>
        </w:tc>
        <w:tc>
          <w:tcPr>
            <w:tcW w:w="990" w:type="dxa"/>
            <w:tcBorders>
              <w:top w:val="single" w:sz="8" w:space="0" w:color="AEAEAE"/>
              <w:left w:val="single" w:sz="8" w:space="0" w:color="E0E0E0"/>
              <w:bottom w:val="single" w:sz="8" w:space="0" w:color="AEAEAE"/>
              <w:right w:val="nil"/>
            </w:tcBorders>
            <w:shd w:val="clear" w:color="auto" w:fill="FFFFFF"/>
          </w:tcPr>
          <w:p w14:paraId="0EEE7EC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.006</w:t>
            </w:r>
          </w:p>
        </w:tc>
      </w:tr>
      <w:tr w:rsidR="00C7217E" w:rsidRPr="00530906" w14:paraId="0F8D3C77" w14:textId="77777777" w:rsidTr="00C7217E">
        <w:trPr>
          <w:cantSplit/>
        </w:trPr>
        <w:tc>
          <w:tcPr>
            <w:tcW w:w="1800" w:type="dxa"/>
            <w:vMerge/>
            <w:tcBorders>
              <w:top w:val="single" w:sz="8" w:space="0" w:color="AEAEAE"/>
              <w:left w:val="nil"/>
              <w:bottom w:val="nil"/>
              <w:right w:val="nil"/>
            </w:tcBorders>
            <w:shd w:val="clear" w:color="auto" w:fill="E0E0E0"/>
          </w:tcPr>
          <w:p w14:paraId="7E32E986"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single" w:sz="8" w:space="0" w:color="AEAEAE"/>
              <w:right w:val="nil"/>
            </w:tcBorders>
            <w:shd w:val="clear" w:color="auto" w:fill="E0E0E0"/>
          </w:tcPr>
          <w:p w14:paraId="0235C86C"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Self–projection</w:t>
            </w:r>
          </w:p>
        </w:tc>
        <w:tc>
          <w:tcPr>
            <w:tcW w:w="1260" w:type="dxa"/>
            <w:tcBorders>
              <w:top w:val="single" w:sz="8" w:space="0" w:color="AEAEAE"/>
              <w:left w:val="nil"/>
              <w:bottom w:val="single" w:sz="8" w:space="0" w:color="AEAEAE"/>
              <w:right w:val="single" w:sz="8" w:space="0" w:color="E0E0E0"/>
            </w:tcBorders>
            <w:shd w:val="clear" w:color="auto" w:fill="FFFFFF"/>
          </w:tcPr>
          <w:p w14:paraId="64568BC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3.961</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73C77F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5D3B53F"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3.961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75DCFC4A"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1.918</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9C78AE2"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.167</w:t>
            </w:r>
          </w:p>
        </w:tc>
        <w:tc>
          <w:tcPr>
            <w:tcW w:w="990" w:type="dxa"/>
            <w:tcBorders>
              <w:top w:val="single" w:sz="8" w:space="0" w:color="AEAEAE"/>
              <w:left w:val="single" w:sz="8" w:space="0" w:color="E0E0E0"/>
              <w:bottom w:val="single" w:sz="8" w:space="0" w:color="AEAEAE"/>
              <w:right w:val="nil"/>
            </w:tcBorders>
            <w:shd w:val="clear" w:color="auto" w:fill="FFFFFF"/>
          </w:tcPr>
          <w:p w14:paraId="3727DE7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.007</w:t>
            </w:r>
          </w:p>
        </w:tc>
      </w:tr>
      <w:tr w:rsidR="00C7217E" w:rsidRPr="00530906" w14:paraId="31489E42" w14:textId="77777777" w:rsidTr="00C7217E">
        <w:trPr>
          <w:cantSplit/>
        </w:trPr>
        <w:tc>
          <w:tcPr>
            <w:tcW w:w="1800" w:type="dxa"/>
            <w:vMerge/>
            <w:tcBorders>
              <w:top w:val="single" w:sz="8" w:space="0" w:color="AEAEAE"/>
              <w:left w:val="nil"/>
              <w:bottom w:val="nil"/>
              <w:right w:val="nil"/>
            </w:tcBorders>
            <w:shd w:val="clear" w:color="auto" w:fill="E0E0E0"/>
          </w:tcPr>
          <w:p w14:paraId="38556989" w14:textId="77777777" w:rsidR="00C7217E" w:rsidRPr="00530906" w:rsidRDefault="00C7217E" w:rsidP="008756B1">
            <w:pPr>
              <w:pStyle w:val="NoSpacing"/>
              <w:jc w:val="both"/>
              <w:rPr>
                <w:rFonts w:ascii="Cambria" w:hAnsi="Cambria"/>
                <w:color w:val="000000" w:themeColor="text1"/>
                <w:sz w:val="18"/>
                <w:szCs w:val="18"/>
              </w:rPr>
            </w:pPr>
          </w:p>
        </w:tc>
        <w:tc>
          <w:tcPr>
            <w:tcW w:w="1710" w:type="dxa"/>
            <w:tcBorders>
              <w:top w:val="single" w:sz="8" w:space="0" w:color="AEAEAE"/>
              <w:left w:val="nil"/>
              <w:bottom w:val="nil"/>
              <w:right w:val="nil"/>
            </w:tcBorders>
            <w:shd w:val="clear" w:color="auto" w:fill="E0E0E0"/>
          </w:tcPr>
          <w:p w14:paraId="3FBE9179"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Mental fluency</w:t>
            </w:r>
          </w:p>
        </w:tc>
        <w:tc>
          <w:tcPr>
            <w:tcW w:w="1260" w:type="dxa"/>
            <w:tcBorders>
              <w:top w:val="single" w:sz="8" w:space="0" w:color="AEAEAE"/>
              <w:left w:val="nil"/>
              <w:bottom w:val="nil"/>
              <w:right w:val="single" w:sz="8" w:space="0" w:color="E0E0E0"/>
            </w:tcBorders>
            <w:shd w:val="clear" w:color="auto" w:fill="FFFFFF"/>
          </w:tcPr>
          <w:p w14:paraId="0CDFAD98"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.052</w:t>
            </w:r>
          </w:p>
        </w:tc>
        <w:tc>
          <w:tcPr>
            <w:tcW w:w="540" w:type="dxa"/>
            <w:tcBorders>
              <w:top w:val="single" w:sz="8" w:space="0" w:color="AEAEAE"/>
              <w:left w:val="single" w:sz="8" w:space="0" w:color="E0E0E0"/>
              <w:bottom w:val="nil"/>
              <w:right w:val="single" w:sz="8" w:space="0" w:color="E0E0E0"/>
            </w:tcBorders>
            <w:shd w:val="clear" w:color="auto" w:fill="FFFFFF"/>
          </w:tcPr>
          <w:p w14:paraId="7C136380"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1</w:t>
            </w:r>
          </w:p>
        </w:tc>
        <w:tc>
          <w:tcPr>
            <w:tcW w:w="900" w:type="dxa"/>
            <w:tcBorders>
              <w:top w:val="single" w:sz="8" w:space="0" w:color="AEAEAE"/>
              <w:left w:val="single" w:sz="8" w:space="0" w:color="E0E0E0"/>
              <w:bottom w:val="nil"/>
              <w:right w:val="single" w:sz="8" w:space="0" w:color="E0E0E0"/>
            </w:tcBorders>
            <w:shd w:val="clear" w:color="auto" w:fill="FFFFFF"/>
          </w:tcPr>
          <w:p w14:paraId="0EDD2A0D"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.052</w:t>
            </w:r>
          </w:p>
        </w:tc>
        <w:tc>
          <w:tcPr>
            <w:tcW w:w="810" w:type="dxa"/>
            <w:tcBorders>
              <w:top w:val="single" w:sz="8" w:space="0" w:color="AEAEAE"/>
              <w:left w:val="single" w:sz="8" w:space="0" w:color="E0E0E0"/>
              <w:bottom w:val="nil"/>
              <w:right w:val="single" w:sz="8" w:space="0" w:color="E0E0E0"/>
            </w:tcBorders>
            <w:shd w:val="clear" w:color="auto" w:fill="FFFFFF"/>
          </w:tcPr>
          <w:p w14:paraId="55A2F4A3"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.020</w:t>
            </w:r>
          </w:p>
        </w:tc>
        <w:tc>
          <w:tcPr>
            <w:tcW w:w="450" w:type="dxa"/>
            <w:tcBorders>
              <w:top w:val="single" w:sz="8" w:space="0" w:color="AEAEAE"/>
              <w:left w:val="single" w:sz="8" w:space="0" w:color="E0E0E0"/>
              <w:bottom w:val="nil"/>
              <w:right w:val="single" w:sz="8" w:space="0" w:color="E0E0E0"/>
            </w:tcBorders>
            <w:shd w:val="clear" w:color="auto" w:fill="FFFFFF"/>
          </w:tcPr>
          <w:p w14:paraId="678FE8BB"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.888</w:t>
            </w:r>
          </w:p>
        </w:tc>
        <w:tc>
          <w:tcPr>
            <w:tcW w:w="990" w:type="dxa"/>
            <w:tcBorders>
              <w:top w:val="single" w:sz="8" w:space="0" w:color="AEAEAE"/>
              <w:left w:val="single" w:sz="8" w:space="0" w:color="E0E0E0"/>
              <w:bottom w:val="nil"/>
              <w:right w:val="nil"/>
            </w:tcBorders>
            <w:shd w:val="clear" w:color="auto" w:fill="FFFFFF"/>
          </w:tcPr>
          <w:p w14:paraId="16E02DC5" w14:textId="77777777" w:rsidR="00C7217E" w:rsidRPr="00530906" w:rsidRDefault="00C7217E" w:rsidP="008756B1">
            <w:pPr>
              <w:pStyle w:val="NoSpacing"/>
              <w:jc w:val="both"/>
              <w:rPr>
                <w:rFonts w:ascii="Cambria" w:hAnsi="Cambria"/>
                <w:color w:val="000000" w:themeColor="text1"/>
                <w:sz w:val="18"/>
                <w:szCs w:val="18"/>
              </w:rPr>
            </w:pPr>
            <w:r w:rsidRPr="00530906">
              <w:rPr>
                <w:rFonts w:ascii="Cambria" w:hAnsi="Cambria"/>
                <w:color w:val="000000" w:themeColor="text1"/>
                <w:sz w:val="18"/>
                <w:szCs w:val="18"/>
              </w:rPr>
              <w:t>.000</w:t>
            </w:r>
          </w:p>
        </w:tc>
      </w:tr>
    </w:tbl>
    <w:p w14:paraId="49EC0C96" w14:textId="77777777" w:rsidR="00C7217E" w:rsidRPr="00530906" w:rsidRDefault="00C7217E">
      <w:pPr>
        <w:spacing w:line="360" w:lineRule="auto"/>
        <w:jc w:val="both"/>
        <w:rPr>
          <w:rFonts w:ascii="Cambria" w:hAnsi="Cambria"/>
          <w:color w:val="000000" w:themeColor="text1"/>
          <w:sz w:val="24"/>
          <w:szCs w:val="24"/>
        </w:rPr>
      </w:pPr>
    </w:p>
    <w:p w14:paraId="7FABC2AF" w14:textId="7CDDB31B" w:rsidR="00C7217E" w:rsidRPr="00530906" w:rsidRDefault="00C7217E">
      <w:pPr>
        <w:autoSpaceDE w:val="0"/>
        <w:autoSpaceDN w:val="0"/>
        <w:adjustRightInd w:val="0"/>
        <w:spacing w:after="0" w:line="360" w:lineRule="auto"/>
        <w:jc w:val="both"/>
        <w:rPr>
          <w:rFonts w:ascii="Cambria" w:hAnsi="Cambria"/>
          <w:sz w:val="24"/>
          <w:szCs w:val="24"/>
        </w:rPr>
      </w:pPr>
      <w:r w:rsidRPr="00530906">
        <w:rPr>
          <w:rFonts w:ascii="Cambria" w:hAnsi="Cambria"/>
          <w:sz w:val="24"/>
          <w:szCs w:val="24"/>
        </w:rPr>
        <w:t xml:space="preserve">More specifically, the same result emerges when a series of t–tests have been conducted again by taking all possible pairs of 4 groups, which represents the 2 types of </w:t>
      </w:r>
      <w:r w:rsidR="00B834E9" w:rsidRPr="00530906">
        <w:rPr>
          <w:rFonts w:ascii="Cambria" w:hAnsi="Cambria"/>
          <w:sz w:val="24"/>
          <w:szCs w:val="24"/>
        </w:rPr>
        <w:t>captions</w:t>
      </w:r>
      <w:r w:rsidRPr="00530906">
        <w:rPr>
          <w:rFonts w:ascii="Cambria" w:hAnsi="Cambria"/>
          <w:sz w:val="24"/>
          <w:szCs w:val="24"/>
        </w:rPr>
        <w:t xml:space="preserve"> and 2 levels of expertise (Table </w:t>
      </w:r>
      <w:r w:rsidR="00B2731A">
        <w:rPr>
          <w:rFonts w:ascii="Cambria" w:hAnsi="Cambria"/>
          <w:sz w:val="24"/>
          <w:szCs w:val="24"/>
        </w:rPr>
        <w:t>2</w:t>
      </w:r>
      <w:r w:rsidR="005437B2">
        <w:rPr>
          <w:rFonts w:ascii="Cambria" w:hAnsi="Cambria"/>
          <w:sz w:val="24"/>
          <w:szCs w:val="24"/>
        </w:rPr>
        <w:t>2</w:t>
      </w:r>
      <w:r w:rsidRPr="00530906">
        <w:rPr>
          <w:rFonts w:ascii="Cambria" w:hAnsi="Cambria"/>
          <w:sz w:val="24"/>
          <w:szCs w:val="24"/>
        </w:rPr>
        <w:t xml:space="preserve">). These t–tests took SCV dimensions (Image quality, Engrossment, Self–projection, and mental fluency) as dependent variable and caption and expertise as </w:t>
      </w:r>
      <w:r w:rsidR="00502ACB" w:rsidRPr="00530906">
        <w:rPr>
          <w:rFonts w:ascii="Cambria" w:hAnsi="Cambria"/>
          <w:sz w:val="24"/>
          <w:szCs w:val="24"/>
        </w:rPr>
        <w:t>independent</w:t>
      </w:r>
      <w:r w:rsidRPr="00530906">
        <w:rPr>
          <w:rFonts w:ascii="Cambria" w:hAnsi="Cambria"/>
          <w:sz w:val="24"/>
          <w:szCs w:val="24"/>
        </w:rPr>
        <w:t xml:space="preserve"> variable. Among the pairs, only conditions with captions </w:t>
      </w:r>
      <w:r w:rsidR="00B834E9" w:rsidRPr="00530906">
        <w:rPr>
          <w:rFonts w:ascii="Cambria" w:hAnsi="Cambria"/>
          <w:sz w:val="24"/>
          <w:szCs w:val="24"/>
        </w:rPr>
        <w:t>are</w:t>
      </w:r>
      <w:r w:rsidRPr="00530906">
        <w:rPr>
          <w:rFonts w:ascii="Cambria" w:hAnsi="Cambria"/>
          <w:sz w:val="24"/>
          <w:szCs w:val="24"/>
        </w:rPr>
        <w:t xml:space="preserve"> showing the significant differences in terms of image quality. </w:t>
      </w:r>
    </w:p>
    <w:p w14:paraId="07C60173" w14:textId="77777777" w:rsidR="000E26B0" w:rsidRDefault="000E26B0">
      <w:pPr>
        <w:autoSpaceDE w:val="0"/>
        <w:autoSpaceDN w:val="0"/>
        <w:adjustRightInd w:val="0"/>
        <w:spacing w:after="0" w:line="360" w:lineRule="auto"/>
        <w:jc w:val="both"/>
        <w:rPr>
          <w:rFonts w:ascii="Cambria" w:hAnsi="Cambria"/>
        </w:rPr>
      </w:pPr>
    </w:p>
    <w:p w14:paraId="6E620E42" w14:textId="77777777" w:rsidR="000E26B0" w:rsidRDefault="000E26B0">
      <w:pPr>
        <w:autoSpaceDE w:val="0"/>
        <w:autoSpaceDN w:val="0"/>
        <w:adjustRightInd w:val="0"/>
        <w:spacing w:after="0" w:line="360" w:lineRule="auto"/>
        <w:jc w:val="both"/>
        <w:rPr>
          <w:rFonts w:ascii="Cambria" w:hAnsi="Cambria"/>
        </w:rPr>
      </w:pPr>
    </w:p>
    <w:p w14:paraId="7B58BEDD" w14:textId="37B7B950" w:rsidR="00C7217E" w:rsidRPr="00530906" w:rsidRDefault="00C7217E" w:rsidP="00064FCA">
      <w:pPr>
        <w:tabs>
          <w:tab w:val="left" w:pos="3030"/>
        </w:tabs>
        <w:autoSpaceDE w:val="0"/>
        <w:autoSpaceDN w:val="0"/>
        <w:adjustRightInd w:val="0"/>
        <w:spacing w:after="0" w:line="360" w:lineRule="auto"/>
        <w:jc w:val="both"/>
        <w:rPr>
          <w:rFonts w:ascii="Cambria" w:hAnsi="Cambria"/>
        </w:rPr>
      </w:pPr>
      <w:r w:rsidRPr="00530906">
        <w:rPr>
          <w:rFonts w:ascii="Cambria" w:hAnsi="Cambria"/>
        </w:rPr>
        <w:t xml:space="preserve">Table </w:t>
      </w:r>
      <w:r w:rsidR="000E26B0">
        <w:rPr>
          <w:rFonts w:ascii="Cambria" w:hAnsi="Cambria"/>
        </w:rPr>
        <w:t>2</w:t>
      </w:r>
      <w:r w:rsidR="0066234A">
        <w:rPr>
          <w:rFonts w:ascii="Cambria" w:hAnsi="Cambria"/>
        </w:rPr>
        <w:t>2</w:t>
      </w:r>
      <w:r w:rsidRPr="00530906">
        <w:rPr>
          <w:rFonts w:ascii="Cambria" w:hAnsi="Cambria"/>
        </w:rPr>
        <w:t>: Pairwise comparisons of positive and negative caption between the high and low expertise level on the 4 dimensions of SCV</w:t>
      </w:r>
    </w:p>
    <w:tbl>
      <w:tblPr>
        <w:tblW w:w="0" w:type="auto"/>
        <w:tblLayout w:type="fixed"/>
        <w:tblCellMar>
          <w:left w:w="0" w:type="dxa"/>
          <w:right w:w="0" w:type="dxa"/>
        </w:tblCellMar>
        <w:tblLook w:val="04A0" w:firstRow="1" w:lastRow="0" w:firstColumn="1" w:lastColumn="0" w:noHBand="0" w:noVBand="1"/>
      </w:tblPr>
      <w:tblGrid>
        <w:gridCol w:w="1971"/>
        <w:gridCol w:w="774"/>
        <w:gridCol w:w="825"/>
        <w:gridCol w:w="897"/>
        <w:gridCol w:w="1057"/>
        <w:gridCol w:w="850"/>
        <w:gridCol w:w="851"/>
        <w:gridCol w:w="1228"/>
        <w:gridCol w:w="897"/>
      </w:tblGrid>
      <w:tr w:rsidR="00C7217E" w:rsidRPr="00530906" w14:paraId="5ACDB278" w14:textId="77777777" w:rsidTr="00C7217E">
        <w:trPr>
          <w:trHeight w:val="20"/>
        </w:trPr>
        <w:tc>
          <w:tcPr>
            <w:tcW w:w="1971" w:type="dxa"/>
            <w:tcBorders>
              <w:top w:val="single" w:sz="4" w:space="0" w:color="auto"/>
              <w:left w:val="single" w:sz="4" w:space="0" w:color="auto"/>
              <w:bottom w:val="nil"/>
              <w:right w:val="single" w:sz="4" w:space="0" w:color="auto"/>
            </w:tcBorders>
            <w:shd w:val="clear" w:color="auto" w:fill="CCCCFF"/>
            <w:noWrap/>
            <w:vAlign w:val="bottom"/>
            <w:hideMark/>
          </w:tcPr>
          <w:p w14:paraId="169F17E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599" w:type="dxa"/>
            <w:gridSpan w:val="2"/>
            <w:tcBorders>
              <w:top w:val="single" w:sz="4" w:space="0" w:color="auto"/>
              <w:left w:val="nil"/>
              <w:bottom w:val="single" w:sz="4" w:space="0" w:color="auto"/>
              <w:right w:val="single" w:sz="4" w:space="0" w:color="000000"/>
            </w:tcBorders>
            <w:shd w:val="clear" w:color="auto" w:fill="CCCCFF"/>
            <w:noWrap/>
            <w:vAlign w:val="bottom"/>
            <w:hideMark/>
          </w:tcPr>
          <w:p w14:paraId="7064B6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Positive caption</w:t>
            </w:r>
          </w:p>
        </w:tc>
        <w:tc>
          <w:tcPr>
            <w:tcW w:w="897" w:type="dxa"/>
            <w:tcBorders>
              <w:top w:val="single" w:sz="4" w:space="0" w:color="auto"/>
              <w:left w:val="nil"/>
              <w:bottom w:val="nil"/>
              <w:right w:val="nil"/>
            </w:tcBorders>
            <w:shd w:val="clear" w:color="auto" w:fill="CCCCFF"/>
            <w:noWrap/>
            <w:vAlign w:val="bottom"/>
            <w:hideMark/>
          </w:tcPr>
          <w:p w14:paraId="62C8DE4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single" w:sz="4" w:space="0" w:color="auto"/>
              <w:left w:val="nil"/>
              <w:bottom w:val="nil"/>
              <w:right w:val="single" w:sz="4" w:space="0" w:color="auto"/>
            </w:tcBorders>
            <w:shd w:val="clear" w:color="auto" w:fill="CCCCFF"/>
            <w:noWrap/>
            <w:vAlign w:val="bottom"/>
            <w:hideMark/>
          </w:tcPr>
          <w:p w14:paraId="4F03620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701" w:type="dxa"/>
            <w:gridSpan w:val="2"/>
            <w:tcBorders>
              <w:top w:val="single" w:sz="4" w:space="0" w:color="auto"/>
              <w:left w:val="nil"/>
              <w:bottom w:val="single" w:sz="4" w:space="0" w:color="auto"/>
              <w:right w:val="single" w:sz="4" w:space="0" w:color="000000"/>
            </w:tcBorders>
            <w:shd w:val="clear" w:color="auto" w:fill="CCCCFF"/>
            <w:noWrap/>
            <w:vAlign w:val="bottom"/>
            <w:hideMark/>
          </w:tcPr>
          <w:p w14:paraId="4FD41DB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Negative caption </w:t>
            </w:r>
          </w:p>
        </w:tc>
        <w:tc>
          <w:tcPr>
            <w:tcW w:w="1228" w:type="dxa"/>
            <w:tcBorders>
              <w:top w:val="single" w:sz="4" w:space="0" w:color="auto"/>
              <w:left w:val="nil"/>
              <w:bottom w:val="nil"/>
              <w:right w:val="nil"/>
            </w:tcBorders>
            <w:shd w:val="clear" w:color="auto" w:fill="CCCCFF"/>
            <w:noWrap/>
            <w:vAlign w:val="bottom"/>
            <w:hideMark/>
          </w:tcPr>
          <w:p w14:paraId="17844B9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single" w:sz="4" w:space="0" w:color="auto"/>
              <w:left w:val="nil"/>
              <w:bottom w:val="nil"/>
              <w:right w:val="single" w:sz="4" w:space="0" w:color="auto"/>
            </w:tcBorders>
            <w:shd w:val="clear" w:color="auto" w:fill="CCCCFF"/>
            <w:noWrap/>
            <w:vAlign w:val="bottom"/>
            <w:hideMark/>
          </w:tcPr>
          <w:p w14:paraId="4954F1D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2507A2A3"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204493B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val="restart"/>
            <w:tcBorders>
              <w:top w:val="nil"/>
              <w:left w:val="single" w:sz="4" w:space="0" w:color="auto"/>
              <w:bottom w:val="single" w:sz="4" w:space="0" w:color="000000"/>
              <w:right w:val="nil"/>
            </w:tcBorders>
            <w:shd w:val="clear" w:color="auto" w:fill="CCCCFF"/>
            <w:vAlign w:val="bottom"/>
            <w:hideMark/>
          </w:tcPr>
          <w:p w14:paraId="01E493F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High expertise</w:t>
            </w:r>
          </w:p>
        </w:tc>
        <w:tc>
          <w:tcPr>
            <w:tcW w:w="825" w:type="dxa"/>
            <w:vMerge w:val="restart"/>
            <w:tcBorders>
              <w:top w:val="nil"/>
              <w:left w:val="single" w:sz="4" w:space="0" w:color="auto"/>
              <w:bottom w:val="single" w:sz="4" w:space="0" w:color="000000"/>
              <w:right w:val="single" w:sz="4" w:space="0" w:color="auto"/>
            </w:tcBorders>
            <w:shd w:val="clear" w:color="auto" w:fill="CCCCFF"/>
            <w:hideMark/>
          </w:tcPr>
          <w:p w14:paraId="390CA66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Low </w:t>
            </w:r>
          </w:p>
          <w:p w14:paraId="355857B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expertise</w:t>
            </w:r>
          </w:p>
        </w:tc>
        <w:tc>
          <w:tcPr>
            <w:tcW w:w="897" w:type="dxa"/>
            <w:tcBorders>
              <w:top w:val="nil"/>
              <w:left w:val="nil"/>
              <w:bottom w:val="nil"/>
              <w:right w:val="nil"/>
            </w:tcBorders>
            <w:shd w:val="clear" w:color="auto" w:fill="CCCCFF"/>
            <w:noWrap/>
            <w:vAlign w:val="bottom"/>
            <w:hideMark/>
          </w:tcPr>
          <w:p w14:paraId="192A155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7E80BEB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val="restart"/>
            <w:tcBorders>
              <w:top w:val="nil"/>
              <w:left w:val="single" w:sz="4" w:space="0" w:color="auto"/>
              <w:bottom w:val="single" w:sz="4" w:space="0" w:color="000000"/>
              <w:right w:val="single" w:sz="4" w:space="0" w:color="auto"/>
            </w:tcBorders>
            <w:shd w:val="clear" w:color="auto" w:fill="CCCCFF"/>
            <w:vAlign w:val="bottom"/>
            <w:hideMark/>
          </w:tcPr>
          <w:p w14:paraId="2C21106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High expertise</w:t>
            </w:r>
          </w:p>
        </w:tc>
        <w:tc>
          <w:tcPr>
            <w:tcW w:w="851" w:type="dxa"/>
            <w:vMerge w:val="restart"/>
            <w:tcBorders>
              <w:top w:val="nil"/>
              <w:left w:val="single" w:sz="4" w:space="0" w:color="auto"/>
              <w:bottom w:val="single" w:sz="4" w:space="0" w:color="000000"/>
              <w:right w:val="single" w:sz="4" w:space="0" w:color="auto"/>
            </w:tcBorders>
            <w:shd w:val="clear" w:color="auto" w:fill="CCCCFF"/>
            <w:vAlign w:val="bottom"/>
            <w:hideMark/>
          </w:tcPr>
          <w:p w14:paraId="0B7E1F0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Low</w:t>
            </w:r>
          </w:p>
          <w:p w14:paraId="0077FA9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 expertise</w:t>
            </w:r>
          </w:p>
        </w:tc>
        <w:tc>
          <w:tcPr>
            <w:tcW w:w="1228" w:type="dxa"/>
            <w:tcBorders>
              <w:top w:val="nil"/>
              <w:left w:val="nil"/>
              <w:bottom w:val="nil"/>
              <w:right w:val="nil"/>
            </w:tcBorders>
            <w:shd w:val="clear" w:color="auto" w:fill="CCCCFF"/>
            <w:noWrap/>
            <w:vAlign w:val="bottom"/>
            <w:hideMark/>
          </w:tcPr>
          <w:p w14:paraId="15D590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3D23E4A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44EB346E"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CCCCFF"/>
            <w:noWrap/>
            <w:vAlign w:val="bottom"/>
            <w:hideMark/>
          </w:tcPr>
          <w:p w14:paraId="30F71FC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tcBorders>
              <w:top w:val="nil"/>
              <w:left w:val="single" w:sz="4" w:space="0" w:color="auto"/>
              <w:bottom w:val="single" w:sz="4" w:space="0" w:color="000000"/>
              <w:right w:val="nil"/>
            </w:tcBorders>
            <w:vAlign w:val="center"/>
            <w:hideMark/>
          </w:tcPr>
          <w:p w14:paraId="138B09F6" w14:textId="77777777" w:rsidR="00C7217E" w:rsidRPr="00530906" w:rsidRDefault="00C7217E" w:rsidP="008756B1">
            <w:pPr>
              <w:pStyle w:val="NoSpacing"/>
              <w:jc w:val="both"/>
              <w:rPr>
                <w:rFonts w:ascii="Cambria" w:eastAsia="Times New Roman" w:hAnsi="Cambria"/>
                <w:sz w:val="20"/>
                <w:szCs w:val="20"/>
                <w:lang w:eastAsia="en-GB"/>
              </w:rPr>
            </w:pPr>
          </w:p>
        </w:tc>
        <w:tc>
          <w:tcPr>
            <w:tcW w:w="825" w:type="dxa"/>
            <w:vMerge/>
            <w:tcBorders>
              <w:top w:val="nil"/>
              <w:left w:val="single" w:sz="4" w:space="0" w:color="auto"/>
              <w:bottom w:val="single" w:sz="4" w:space="0" w:color="000000"/>
              <w:right w:val="single" w:sz="4" w:space="0" w:color="auto"/>
            </w:tcBorders>
            <w:vAlign w:val="center"/>
            <w:hideMark/>
          </w:tcPr>
          <w:p w14:paraId="5809CEB9" w14:textId="77777777" w:rsidR="00C7217E" w:rsidRPr="00530906" w:rsidRDefault="00C7217E" w:rsidP="008756B1">
            <w:pPr>
              <w:pStyle w:val="NoSpacing"/>
              <w:jc w:val="both"/>
              <w:rPr>
                <w:rFonts w:ascii="Cambria" w:eastAsia="Times New Roman" w:hAnsi="Cambria"/>
                <w:sz w:val="20"/>
                <w:szCs w:val="20"/>
                <w:lang w:eastAsia="en-GB"/>
              </w:rPr>
            </w:pPr>
          </w:p>
        </w:tc>
        <w:tc>
          <w:tcPr>
            <w:tcW w:w="897" w:type="dxa"/>
            <w:tcBorders>
              <w:top w:val="nil"/>
              <w:left w:val="nil"/>
              <w:bottom w:val="single" w:sz="4" w:space="0" w:color="auto"/>
              <w:right w:val="nil"/>
            </w:tcBorders>
            <w:shd w:val="clear" w:color="auto" w:fill="CCCCFF"/>
            <w:noWrap/>
            <w:vAlign w:val="bottom"/>
            <w:hideMark/>
          </w:tcPr>
          <w:p w14:paraId="0B4C7D6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CCCCFF"/>
            <w:noWrap/>
            <w:vAlign w:val="bottom"/>
            <w:hideMark/>
          </w:tcPr>
          <w:p w14:paraId="10749FD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tcBorders>
              <w:top w:val="nil"/>
              <w:left w:val="single" w:sz="4" w:space="0" w:color="auto"/>
              <w:bottom w:val="single" w:sz="4" w:space="0" w:color="000000"/>
              <w:right w:val="single" w:sz="4" w:space="0" w:color="auto"/>
            </w:tcBorders>
            <w:vAlign w:val="center"/>
            <w:hideMark/>
          </w:tcPr>
          <w:p w14:paraId="6525658E" w14:textId="77777777" w:rsidR="00C7217E" w:rsidRPr="00530906" w:rsidRDefault="00C7217E" w:rsidP="008756B1">
            <w:pPr>
              <w:pStyle w:val="NoSpacing"/>
              <w:jc w:val="both"/>
              <w:rPr>
                <w:rFonts w:ascii="Cambria" w:eastAsia="Times New Roman" w:hAnsi="Cambria"/>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14:paraId="66B5DFFC" w14:textId="77777777" w:rsidR="00C7217E" w:rsidRPr="00530906" w:rsidRDefault="00C7217E" w:rsidP="008756B1">
            <w:pPr>
              <w:pStyle w:val="NoSpacing"/>
              <w:jc w:val="both"/>
              <w:rPr>
                <w:rFonts w:ascii="Cambria" w:eastAsia="Times New Roman" w:hAnsi="Cambria"/>
                <w:sz w:val="20"/>
                <w:szCs w:val="20"/>
                <w:lang w:eastAsia="en-GB"/>
              </w:rPr>
            </w:pPr>
          </w:p>
        </w:tc>
        <w:tc>
          <w:tcPr>
            <w:tcW w:w="1228" w:type="dxa"/>
            <w:tcBorders>
              <w:top w:val="nil"/>
              <w:left w:val="nil"/>
              <w:bottom w:val="single" w:sz="4" w:space="0" w:color="auto"/>
              <w:right w:val="nil"/>
            </w:tcBorders>
            <w:shd w:val="clear" w:color="auto" w:fill="CCCCFF"/>
            <w:noWrap/>
            <w:vAlign w:val="bottom"/>
            <w:hideMark/>
          </w:tcPr>
          <w:p w14:paraId="6A5EB9D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CCCCFF"/>
            <w:noWrap/>
            <w:vAlign w:val="bottom"/>
            <w:hideMark/>
          </w:tcPr>
          <w:p w14:paraId="4F0D1BA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5FAB4287"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0E473A7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Image quality</w:t>
            </w:r>
          </w:p>
        </w:tc>
        <w:tc>
          <w:tcPr>
            <w:tcW w:w="774" w:type="dxa"/>
            <w:tcBorders>
              <w:top w:val="nil"/>
              <w:left w:val="nil"/>
              <w:bottom w:val="nil"/>
              <w:right w:val="nil"/>
            </w:tcBorders>
            <w:shd w:val="clear" w:color="auto" w:fill="auto"/>
            <w:noWrap/>
            <w:vAlign w:val="bottom"/>
            <w:hideMark/>
          </w:tcPr>
          <w:p w14:paraId="5D9B1DF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4.7</w:t>
            </w:r>
          </w:p>
        </w:tc>
        <w:tc>
          <w:tcPr>
            <w:tcW w:w="825" w:type="dxa"/>
            <w:tcBorders>
              <w:top w:val="nil"/>
              <w:left w:val="nil"/>
              <w:bottom w:val="nil"/>
              <w:right w:val="nil"/>
            </w:tcBorders>
            <w:shd w:val="clear" w:color="auto" w:fill="auto"/>
            <w:noWrap/>
            <w:vAlign w:val="bottom"/>
            <w:hideMark/>
          </w:tcPr>
          <w:p w14:paraId="22DA00D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4.37</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205F566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(140) = 1.4, p= .162</w:t>
            </w:r>
          </w:p>
        </w:tc>
        <w:tc>
          <w:tcPr>
            <w:tcW w:w="850" w:type="dxa"/>
            <w:tcBorders>
              <w:top w:val="nil"/>
              <w:left w:val="nil"/>
              <w:bottom w:val="nil"/>
              <w:right w:val="nil"/>
            </w:tcBorders>
            <w:shd w:val="clear" w:color="auto" w:fill="auto"/>
            <w:noWrap/>
            <w:vAlign w:val="bottom"/>
            <w:hideMark/>
          </w:tcPr>
          <w:p w14:paraId="04838C6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4.15</w:t>
            </w:r>
          </w:p>
        </w:tc>
        <w:tc>
          <w:tcPr>
            <w:tcW w:w="851" w:type="dxa"/>
            <w:tcBorders>
              <w:top w:val="nil"/>
              <w:left w:val="nil"/>
              <w:bottom w:val="nil"/>
              <w:right w:val="nil"/>
            </w:tcBorders>
            <w:shd w:val="clear" w:color="auto" w:fill="auto"/>
            <w:noWrap/>
            <w:vAlign w:val="bottom"/>
            <w:hideMark/>
          </w:tcPr>
          <w:p w14:paraId="45AD5DF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3.9</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26F9FEA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(135) = 1.01, p = .313</w:t>
            </w:r>
          </w:p>
        </w:tc>
      </w:tr>
      <w:tr w:rsidR="00C7217E" w:rsidRPr="00530906" w14:paraId="7C24583B"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8242A8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2E80760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25" w:type="dxa"/>
            <w:tcBorders>
              <w:top w:val="nil"/>
              <w:left w:val="nil"/>
              <w:bottom w:val="single" w:sz="4" w:space="0" w:color="auto"/>
              <w:right w:val="nil"/>
            </w:tcBorders>
            <w:shd w:val="clear" w:color="auto" w:fill="auto"/>
            <w:noWrap/>
            <w:vAlign w:val="bottom"/>
            <w:hideMark/>
          </w:tcPr>
          <w:p w14:paraId="113DB7F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1.38</w:t>
            </w:r>
          </w:p>
        </w:tc>
        <w:tc>
          <w:tcPr>
            <w:tcW w:w="897" w:type="dxa"/>
            <w:tcBorders>
              <w:top w:val="nil"/>
              <w:left w:val="nil"/>
              <w:bottom w:val="single" w:sz="4" w:space="0" w:color="auto"/>
              <w:right w:val="nil"/>
            </w:tcBorders>
            <w:shd w:val="clear" w:color="auto" w:fill="auto"/>
            <w:noWrap/>
            <w:vAlign w:val="bottom"/>
            <w:hideMark/>
          </w:tcPr>
          <w:p w14:paraId="07C7B0D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12D7D25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7CAE24B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51" w:type="dxa"/>
            <w:tcBorders>
              <w:top w:val="nil"/>
              <w:left w:val="nil"/>
              <w:bottom w:val="single" w:sz="4" w:space="0" w:color="auto"/>
              <w:right w:val="nil"/>
            </w:tcBorders>
            <w:shd w:val="clear" w:color="auto" w:fill="auto"/>
            <w:noWrap/>
            <w:vAlign w:val="bottom"/>
            <w:hideMark/>
          </w:tcPr>
          <w:p w14:paraId="3FC3155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3A1564B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61C5CBB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2F10BC03"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1959D73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Engrossment</w:t>
            </w:r>
          </w:p>
        </w:tc>
        <w:tc>
          <w:tcPr>
            <w:tcW w:w="774" w:type="dxa"/>
            <w:tcBorders>
              <w:top w:val="nil"/>
              <w:left w:val="nil"/>
              <w:bottom w:val="nil"/>
              <w:right w:val="nil"/>
            </w:tcBorders>
            <w:shd w:val="clear" w:color="auto" w:fill="auto"/>
            <w:noWrap/>
            <w:vAlign w:val="bottom"/>
            <w:hideMark/>
          </w:tcPr>
          <w:p w14:paraId="26A1C4D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2.49</w:t>
            </w:r>
          </w:p>
        </w:tc>
        <w:tc>
          <w:tcPr>
            <w:tcW w:w="825" w:type="dxa"/>
            <w:tcBorders>
              <w:top w:val="nil"/>
              <w:left w:val="nil"/>
              <w:bottom w:val="nil"/>
              <w:right w:val="nil"/>
            </w:tcBorders>
            <w:shd w:val="clear" w:color="auto" w:fill="auto"/>
            <w:noWrap/>
            <w:vAlign w:val="bottom"/>
            <w:hideMark/>
          </w:tcPr>
          <w:p w14:paraId="2708B1D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2.69</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139A464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(140) = –1.04, p= .298</w:t>
            </w:r>
          </w:p>
        </w:tc>
        <w:tc>
          <w:tcPr>
            <w:tcW w:w="850" w:type="dxa"/>
            <w:tcBorders>
              <w:top w:val="nil"/>
              <w:left w:val="nil"/>
              <w:bottom w:val="nil"/>
              <w:right w:val="nil"/>
            </w:tcBorders>
            <w:shd w:val="clear" w:color="auto" w:fill="auto"/>
            <w:noWrap/>
            <w:vAlign w:val="bottom"/>
            <w:hideMark/>
          </w:tcPr>
          <w:p w14:paraId="2086600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2.7</w:t>
            </w:r>
          </w:p>
        </w:tc>
        <w:tc>
          <w:tcPr>
            <w:tcW w:w="851" w:type="dxa"/>
            <w:tcBorders>
              <w:top w:val="nil"/>
              <w:left w:val="nil"/>
              <w:bottom w:val="nil"/>
              <w:right w:val="nil"/>
            </w:tcBorders>
            <w:shd w:val="clear" w:color="auto" w:fill="auto"/>
            <w:noWrap/>
            <w:vAlign w:val="bottom"/>
            <w:hideMark/>
          </w:tcPr>
          <w:p w14:paraId="5E1F487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2.6</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712B8EC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(135) = .64, p = .525</w:t>
            </w:r>
          </w:p>
        </w:tc>
      </w:tr>
      <w:tr w:rsidR="00C7217E" w:rsidRPr="00530906" w14:paraId="27E2349F"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098B9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793D0B2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1.17</w:t>
            </w:r>
          </w:p>
        </w:tc>
        <w:tc>
          <w:tcPr>
            <w:tcW w:w="825" w:type="dxa"/>
            <w:tcBorders>
              <w:top w:val="nil"/>
              <w:left w:val="nil"/>
              <w:bottom w:val="single" w:sz="4" w:space="0" w:color="auto"/>
              <w:right w:val="nil"/>
            </w:tcBorders>
            <w:shd w:val="clear" w:color="auto" w:fill="auto"/>
            <w:noWrap/>
            <w:vAlign w:val="bottom"/>
            <w:hideMark/>
          </w:tcPr>
          <w:p w14:paraId="35E1B53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1.09</w:t>
            </w:r>
          </w:p>
        </w:tc>
        <w:tc>
          <w:tcPr>
            <w:tcW w:w="897" w:type="dxa"/>
            <w:tcBorders>
              <w:top w:val="nil"/>
              <w:left w:val="nil"/>
              <w:bottom w:val="single" w:sz="4" w:space="0" w:color="auto"/>
              <w:right w:val="nil"/>
            </w:tcBorders>
            <w:shd w:val="clear" w:color="auto" w:fill="auto"/>
            <w:noWrap/>
            <w:vAlign w:val="bottom"/>
            <w:hideMark/>
          </w:tcPr>
          <w:p w14:paraId="2EF1643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7D9F0B3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597D35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1.2</w:t>
            </w:r>
          </w:p>
        </w:tc>
        <w:tc>
          <w:tcPr>
            <w:tcW w:w="851" w:type="dxa"/>
            <w:tcBorders>
              <w:top w:val="nil"/>
              <w:left w:val="nil"/>
              <w:bottom w:val="single" w:sz="4" w:space="0" w:color="auto"/>
              <w:right w:val="nil"/>
            </w:tcBorders>
            <w:shd w:val="clear" w:color="auto" w:fill="auto"/>
            <w:noWrap/>
            <w:vAlign w:val="bottom"/>
            <w:hideMark/>
          </w:tcPr>
          <w:p w14:paraId="33890C4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w:t>
            </w:r>
          </w:p>
        </w:tc>
        <w:tc>
          <w:tcPr>
            <w:tcW w:w="1228" w:type="dxa"/>
            <w:tcBorders>
              <w:top w:val="nil"/>
              <w:left w:val="nil"/>
              <w:bottom w:val="single" w:sz="4" w:space="0" w:color="auto"/>
              <w:right w:val="nil"/>
            </w:tcBorders>
            <w:shd w:val="clear" w:color="auto" w:fill="auto"/>
            <w:noWrap/>
            <w:vAlign w:val="bottom"/>
            <w:hideMark/>
          </w:tcPr>
          <w:p w14:paraId="2BA8A5D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7FEFA6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582F6EF5"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2C098FC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Self–projection</w:t>
            </w:r>
          </w:p>
        </w:tc>
        <w:tc>
          <w:tcPr>
            <w:tcW w:w="774" w:type="dxa"/>
            <w:tcBorders>
              <w:top w:val="nil"/>
              <w:left w:val="nil"/>
              <w:bottom w:val="nil"/>
              <w:right w:val="nil"/>
            </w:tcBorders>
            <w:shd w:val="clear" w:color="auto" w:fill="auto"/>
            <w:noWrap/>
            <w:vAlign w:val="bottom"/>
            <w:hideMark/>
          </w:tcPr>
          <w:p w14:paraId="05DE95B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3.42</w:t>
            </w:r>
          </w:p>
        </w:tc>
        <w:tc>
          <w:tcPr>
            <w:tcW w:w="825" w:type="dxa"/>
            <w:tcBorders>
              <w:top w:val="nil"/>
              <w:left w:val="nil"/>
              <w:bottom w:val="nil"/>
              <w:right w:val="nil"/>
            </w:tcBorders>
            <w:shd w:val="clear" w:color="auto" w:fill="auto"/>
            <w:noWrap/>
            <w:vAlign w:val="bottom"/>
            <w:hideMark/>
          </w:tcPr>
          <w:p w14:paraId="4722A36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16E3DEB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(140) = –0.5, p= .587</w:t>
            </w:r>
          </w:p>
        </w:tc>
        <w:tc>
          <w:tcPr>
            <w:tcW w:w="850" w:type="dxa"/>
            <w:tcBorders>
              <w:top w:val="nil"/>
              <w:left w:val="nil"/>
              <w:bottom w:val="nil"/>
              <w:right w:val="nil"/>
            </w:tcBorders>
            <w:shd w:val="clear" w:color="auto" w:fill="auto"/>
            <w:noWrap/>
            <w:vAlign w:val="bottom"/>
            <w:hideMark/>
          </w:tcPr>
          <w:p w14:paraId="3EE4F29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3.56</w:t>
            </w:r>
          </w:p>
        </w:tc>
        <w:tc>
          <w:tcPr>
            <w:tcW w:w="851" w:type="dxa"/>
            <w:tcBorders>
              <w:top w:val="nil"/>
              <w:left w:val="nil"/>
              <w:bottom w:val="nil"/>
              <w:right w:val="nil"/>
            </w:tcBorders>
            <w:shd w:val="clear" w:color="auto" w:fill="auto"/>
            <w:noWrap/>
            <w:vAlign w:val="bottom"/>
            <w:hideMark/>
          </w:tcPr>
          <w:p w14:paraId="703A92D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3.2</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121F5C9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(135) =1.2, p=.22</w:t>
            </w:r>
          </w:p>
        </w:tc>
      </w:tr>
      <w:tr w:rsidR="00C7217E" w:rsidRPr="00530906" w14:paraId="056E4809"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EC09B0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2E071B5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1.35</w:t>
            </w:r>
          </w:p>
        </w:tc>
        <w:tc>
          <w:tcPr>
            <w:tcW w:w="825" w:type="dxa"/>
            <w:tcBorders>
              <w:top w:val="nil"/>
              <w:left w:val="nil"/>
              <w:bottom w:val="single" w:sz="4" w:space="0" w:color="auto"/>
              <w:right w:val="nil"/>
            </w:tcBorders>
            <w:shd w:val="clear" w:color="auto" w:fill="auto"/>
            <w:noWrap/>
            <w:vAlign w:val="bottom"/>
            <w:hideMark/>
          </w:tcPr>
          <w:p w14:paraId="61B1290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1.36</w:t>
            </w:r>
          </w:p>
        </w:tc>
        <w:tc>
          <w:tcPr>
            <w:tcW w:w="897" w:type="dxa"/>
            <w:tcBorders>
              <w:top w:val="nil"/>
              <w:left w:val="nil"/>
              <w:bottom w:val="single" w:sz="4" w:space="0" w:color="auto"/>
              <w:right w:val="nil"/>
            </w:tcBorders>
            <w:shd w:val="clear" w:color="auto" w:fill="auto"/>
            <w:noWrap/>
            <w:vAlign w:val="bottom"/>
            <w:hideMark/>
          </w:tcPr>
          <w:p w14:paraId="6480E45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3FC59B4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1AE3B8C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851" w:type="dxa"/>
            <w:tcBorders>
              <w:top w:val="nil"/>
              <w:left w:val="nil"/>
              <w:bottom w:val="single" w:sz="4" w:space="0" w:color="auto"/>
              <w:right w:val="nil"/>
            </w:tcBorders>
            <w:shd w:val="clear" w:color="auto" w:fill="auto"/>
            <w:noWrap/>
            <w:vAlign w:val="bottom"/>
            <w:hideMark/>
          </w:tcPr>
          <w:p w14:paraId="2D359CE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1228" w:type="dxa"/>
            <w:tcBorders>
              <w:top w:val="nil"/>
              <w:left w:val="nil"/>
              <w:bottom w:val="single" w:sz="4" w:space="0" w:color="auto"/>
              <w:right w:val="nil"/>
            </w:tcBorders>
            <w:shd w:val="clear" w:color="auto" w:fill="auto"/>
            <w:noWrap/>
            <w:vAlign w:val="bottom"/>
            <w:hideMark/>
          </w:tcPr>
          <w:p w14:paraId="7CD0997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699B49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06F4F6DF"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72CE281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Mental fluency</w:t>
            </w:r>
          </w:p>
        </w:tc>
        <w:tc>
          <w:tcPr>
            <w:tcW w:w="774" w:type="dxa"/>
            <w:tcBorders>
              <w:top w:val="nil"/>
              <w:left w:val="nil"/>
              <w:bottom w:val="nil"/>
              <w:right w:val="nil"/>
            </w:tcBorders>
            <w:shd w:val="clear" w:color="auto" w:fill="auto"/>
            <w:noWrap/>
            <w:vAlign w:val="bottom"/>
            <w:hideMark/>
          </w:tcPr>
          <w:p w14:paraId="69E48AE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4.5</w:t>
            </w:r>
          </w:p>
        </w:tc>
        <w:tc>
          <w:tcPr>
            <w:tcW w:w="825" w:type="dxa"/>
            <w:tcBorders>
              <w:top w:val="nil"/>
              <w:left w:val="nil"/>
              <w:bottom w:val="nil"/>
              <w:right w:val="nil"/>
            </w:tcBorders>
            <w:shd w:val="clear" w:color="auto" w:fill="auto"/>
            <w:noWrap/>
            <w:vAlign w:val="bottom"/>
            <w:hideMark/>
          </w:tcPr>
          <w:p w14:paraId="7FB2126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4.4</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6D7868E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(140) = 0.3, p = .764</w:t>
            </w:r>
          </w:p>
        </w:tc>
        <w:tc>
          <w:tcPr>
            <w:tcW w:w="850" w:type="dxa"/>
            <w:tcBorders>
              <w:top w:val="nil"/>
              <w:left w:val="nil"/>
              <w:bottom w:val="nil"/>
              <w:right w:val="nil"/>
            </w:tcBorders>
            <w:shd w:val="clear" w:color="auto" w:fill="auto"/>
            <w:noWrap/>
            <w:vAlign w:val="bottom"/>
            <w:hideMark/>
          </w:tcPr>
          <w:p w14:paraId="3F5E742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851" w:type="dxa"/>
            <w:tcBorders>
              <w:top w:val="nil"/>
              <w:left w:val="nil"/>
              <w:bottom w:val="nil"/>
              <w:right w:val="nil"/>
            </w:tcBorders>
            <w:shd w:val="clear" w:color="auto" w:fill="auto"/>
            <w:noWrap/>
            <w:vAlign w:val="bottom"/>
            <w:hideMark/>
          </w:tcPr>
          <w:p w14:paraId="259B32E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4DFD3C0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(135) = –.051, p=.96</w:t>
            </w:r>
          </w:p>
        </w:tc>
      </w:tr>
      <w:tr w:rsidR="00C7217E" w:rsidRPr="00530906" w14:paraId="34E6EF92"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AF751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2C2B05E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1.7</w:t>
            </w:r>
          </w:p>
        </w:tc>
        <w:tc>
          <w:tcPr>
            <w:tcW w:w="825" w:type="dxa"/>
            <w:tcBorders>
              <w:top w:val="nil"/>
              <w:left w:val="nil"/>
              <w:bottom w:val="single" w:sz="4" w:space="0" w:color="auto"/>
              <w:right w:val="nil"/>
            </w:tcBorders>
            <w:shd w:val="clear" w:color="auto" w:fill="auto"/>
            <w:noWrap/>
            <w:vAlign w:val="bottom"/>
            <w:hideMark/>
          </w:tcPr>
          <w:p w14:paraId="098DA0E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97" w:type="dxa"/>
            <w:tcBorders>
              <w:top w:val="nil"/>
              <w:left w:val="nil"/>
              <w:bottom w:val="single" w:sz="4" w:space="0" w:color="auto"/>
              <w:right w:val="nil"/>
            </w:tcBorders>
            <w:shd w:val="clear" w:color="auto" w:fill="auto"/>
            <w:noWrap/>
            <w:vAlign w:val="bottom"/>
            <w:hideMark/>
          </w:tcPr>
          <w:p w14:paraId="19632DD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0CE25C1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62F4713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851" w:type="dxa"/>
            <w:tcBorders>
              <w:top w:val="nil"/>
              <w:left w:val="nil"/>
              <w:bottom w:val="single" w:sz="4" w:space="0" w:color="auto"/>
              <w:right w:val="nil"/>
            </w:tcBorders>
            <w:shd w:val="clear" w:color="auto" w:fill="auto"/>
            <w:noWrap/>
            <w:vAlign w:val="bottom"/>
            <w:hideMark/>
          </w:tcPr>
          <w:p w14:paraId="56A7488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6A965A2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250E693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4A4A924D"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1A817B4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599" w:type="dxa"/>
            <w:gridSpan w:val="2"/>
            <w:tcBorders>
              <w:top w:val="nil"/>
              <w:left w:val="nil"/>
              <w:bottom w:val="single" w:sz="4" w:space="0" w:color="auto"/>
              <w:right w:val="single" w:sz="4" w:space="0" w:color="auto"/>
            </w:tcBorders>
            <w:shd w:val="clear" w:color="auto" w:fill="CCCCFF"/>
            <w:noWrap/>
            <w:vAlign w:val="bottom"/>
            <w:hideMark/>
          </w:tcPr>
          <w:p w14:paraId="7463E27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High expertise</w:t>
            </w:r>
          </w:p>
        </w:tc>
        <w:tc>
          <w:tcPr>
            <w:tcW w:w="897" w:type="dxa"/>
            <w:tcBorders>
              <w:top w:val="nil"/>
              <w:left w:val="nil"/>
              <w:bottom w:val="nil"/>
              <w:right w:val="nil"/>
            </w:tcBorders>
            <w:shd w:val="clear" w:color="auto" w:fill="CCCCFF"/>
            <w:noWrap/>
            <w:vAlign w:val="bottom"/>
            <w:hideMark/>
          </w:tcPr>
          <w:p w14:paraId="36F47AA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5C1216C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701" w:type="dxa"/>
            <w:gridSpan w:val="2"/>
            <w:tcBorders>
              <w:top w:val="single" w:sz="4" w:space="0" w:color="auto"/>
              <w:left w:val="nil"/>
              <w:bottom w:val="single" w:sz="4" w:space="0" w:color="auto"/>
              <w:right w:val="single" w:sz="4" w:space="0" w:color="auto"/>
            </w:tcBorders>
            <w:shd w:val="clear" w:color="auto" w:fill="CCCCFF"/>
            <w:noWrap/>
            <w:vAlign w:val="bottom"/>
            <w:hideMark/>
          </w:tcPr>
          <w:p w14:paraId="3D00E6C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Low expertise</w:t>
            </w:r>
          </w:p>
        </w:tc>
        <w:tc>
          <w:tcPr>
            <w:tcW w:w="1228" w:type="dxa"/>
            <w:tcBorders>
              <w:top w:val="nil"/>
              <w:left w:val="nil"/>
              <w:bottom w:val="nil"/>
              <w:right w:val="nil"/>
            </w:tcBorders>
            <w:shd w:val="clear" w:color="auto" w:fill="CCCCFF"/>
            <w:noWrap/>
            <w:vAlign w:val="bottom"/>
            <w:hideMark/>
          </w:tcPr>
          <w:p w14:paraId="66A1236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4ED7DD1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25487B50"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29DB7BF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val="restart"/>
            <w:tcBorders>
              <w:top w:val="nil"/>
              <w:left w:val="single" w:sz="4" w:space="0" w:color="auto"/>
              <w:bottom w:val="single" w:sz="4" w:space="0" w:color="auto"/>
              <w:right w:val="single" w:sz="4" w:space="0" w:color="auto"/>
            </w:tcBorders>
            <w:shd w:val="clear" w:color="auto" w:fill="CCCCFF"/>
            <w:vAlign w:val="bottom"/>
            <w:hideMark/>
          </w:tcPr>
          <w:p w14:paraId="642FDDC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Positive caption</w:t>
            </w:r>
          </w:p>
        </w:tc>
        <w:tc>
          <w:tcPr>
            <w:tcW w:w="825" w:type="dxa"/>
            <w:vMerge w:val="restart"/>
            <w:tcBorders>
              <w:top w:val="nil"/>
              <w:left w:val="single" w:sz="4" w:space="0" w:color="auto"/>
              <w:bottom w:val="single" w:sz="4" w:space="0" w:color="auto"/>
              <w:right w:val="single" w:sz="4" w:space="0" w:color="auto"/>
            </w:tcBorders>
            <w:shd w:val="clear" w:color="auto" w:fill="CCCCFF"/>
            <w:hideMark/>
          </w:tcPr>
          <w:p w14:paraId="1B5C828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Negative </w:t>
            </w:r>
          </w:p>
          <w:p w14:paraId="470816F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caption</w:t>
            </w:r>
          </w:p>
        </w:tc>
        <w:tc>
          <w:tcPr>
            <w:tcW w:w="897" w:type="dxa"/>
            <w:tcBorders>
              <w:top w:val="nil"/>
              <w:left w:val="nil"/>
              <w:bottom w:val="nil"/>
              <w:right w:val="nil"/>
            </w:tcBorders>
            <w:shd w:val="clear" w:color="auto" w:fill="CCCCFF"/>
            <w:noWrap/>
            <w:vAlign w:val="bottom"/>
            <w:hideMark/>
          </w:tcPr>
          <w:p w14:paraId="1C66A64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2904C3E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val="restart"/>
            <w:tcBorders>
              <w:top w:val="nil"/>
              <w:left w:val="single" w:sz="4" w:space="0" w:color="auto"/>
              <w:bottom w:val="single" w:sz="4" w:space="0" w:color="auto"/>
              <w:right w:val="single" w:sz="4" w:space="0" w:color="auto"/>
            </w:tcBorders>
            <w:shd w:val="clear" w:color="auto" w:fill="CCCCFF"/>
            <w:vAlign w:val="bottom"/>
            <w:hideMark/>
          </w:tcPr>
          <w:p w14:paraId="36DB9EC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Positive caption</w:t>
            </w:r>
          </w:p>
        </w:tc>
        <w:tc>
          <w:tcPr>
            <w:tcW w:w="851" w:type="dxa"/>
            <w:vMerge w:val="restart"/>
            <w:tcBorders>
              <w:top w:val="nil"/>
              <w:left w:val="single" w:sz="4" w:space="0" w:color="auto"/>
              <w:bottom w:val="single" w:sz="4" w:space="0" w:color="auto"/>
              <w:right w:val="single" w:sz="4" w:space="0" w:color="auto"/>
            </w:tcBorders>
            <w:shd w:val="clear" w:color="auto" w:fill="CCCCFF"/>
            <w:vAlign w:val="bottom"/>
            <w:hideMark/>
          </w:tcPr>
          <w:p w14:paraId="226609F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Negative caption</w:t>
            </w:r>
          </w:p>
        </w:tc>
        <w:tc>
          <w:tcPr>
            <w:tcW w:w="1228" w:type="dxa"/>
            <w:tcBorders>
              <w:top w:val="nil"/>
              <w:left w:val="nil"/>
              <w:bottom w:val="nil"/>
              <w:right w:val="nil"/>
            </w:tcBorders>
            <w:shd w:val="clear" w:color="auto" w:fill="CCCCFF"/>
            <w:noWrap/>
            <w:vAlign w:val="bottom"/>
            <w:hideMark/>
          </w:tcPr>
          <w:p w14:paraId="3F97FC0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44AC691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0A95DDEB"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CCCCFF"/>
            <w:noWrap/>
            <w:vAlign w:val="bottom"/>
            <w:hideMark/>
          </w:tcPr>
          <w:p w14:paraId="68AF6B6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tcBorders>
              <w:top w:val="nil"/>
              <w:left w:val="single" w:sz="4" w:space="0" w:color="auto"/>
              <w:bottom w:val="single" w:sz="4" w:space="0" w:color="auto"/>
              <w:right w:val="single" w:sz="4" w:space="0" w:color="auto"/>
            </w:tcBorders>
            <w:vAlign w:val="center"/>
            <w:hideMark/>
          </w:tcPr>
          <w:p w14:paraId="2CB72E5F" w14:textId="77777777" w:rsidR="00C7217E" w:rsidRPr="00530906" w:rsidRDefault="00C7217E" w:rsidP="008756B1">
            <w:pPr>
              <w:pStyle w:val="NoSpacing"/>
              <w:jc w:val="both"/>
              <w:rPr>
                <w:rFonts w:ascii="Cambria" w:eastAsia="Times New Roman" w:hAnsi="Cambria"/>
                <w:sz w:val="20"/>
                <w:szCs w:val="20"/>
                <w:lang w:eastAsia="en-GB"/>
              </w:rPr>
            </w:pPr>
          </w:p>
        </w:tc>
        <w:tc>
          <w:tcPr>
            <w:tcW w:w="825" w:type="dxa"/>
            <w:vMerge/>
            <w:tcBorders>
              <w:top w:val="nil"/>
              <w:left w:val="single" w:sz="4" w:space="0" w:color="auto"/>
              <w:bottom w:val="single" w:sz="4" w:space="0" w:color="auto"/>
              <w:right w:val="single" w:sz="4" w:space="0" w:color="auto"/>
            </w:tcBorders>
            <w:vAlign w:val="center"/>
            <w:hideMark/>
          </w:tcPr>
          <w:p w14:paraId="0A7ACCF4" w14:textId="77777777" w:rsidR="00C7217E" w:rsidRPr="00530906" w:rsidRDefault="00C7217E" w:rsidP="008756B1">
            <w:pPr>
              <w:pStyle w:val="NoSpacing"/>
              <w:jc w:val="both"/>
              <w:rPr>
                <w:rFonts w:ascii="Cambria" w:eastAsia="Times New Roman" w:hAnsi="Cambria"/>
                <w:sz w:val="20"/>
                <w:szCs w:val="20"/>
                <w:lang w:eastAsia="en-GB"/>
              </w:rPr>
            </w:pPr>
          </w:p>
        </w:tc>
        <w:tc>
          <w:tcPr>
            <w:tcW w:w="897" w:type="dxa"/>
            <w:tcBorders>
              <w:top w:val="nil"/>
              <w:left w:val="nil"/>
              <w:bottom w:val="single" w:sz="4" w:space="0" w:color="auto"/>
              <w:right w:val="nil"/>
            </w:tcBorders>
            <w:shd w:val="clear" w:color="auto" w:fill="CCCCFF"/>
            <w:noWrap/>
            <w:vAlign w:val="bottom"/>
            <w:hideMark/>
          </w:tcPr>
          <w:p w14:paraId="2415695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CCCCFF"/>
            <w:noWrap/>
            <w:vAlign w:val="bottom"/>
            <w:hideMark/>
          </w:tcPr>
          <w:p w14:paraId="6476C0A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tcBorders>
              <w:top w:val="nil"/>
              <w:left w:val="single" w:sz="4" w:space="0" w:color="auto"/>
              <w:bottom w:val="single" w:sz="4" w:space="0" w:color="auto"/>
              <w:right w:val="single" w:sz="4" w:space="0" w:color="auto"/>
            </w:tcBorders>
            <w:vAlign w:val="center"/>
            <w:hideMark/>
          </w:tcPr>
          <w:p w14:paraId="3ACA0AFB" w14:textId="77777777" w:rsidR="00C7217E" w:rsidRPr="00530906" w:rsidRDefault="00C7217E" w:rsidP="008756B1">
            <w:pPr>
              <w:pStyle w:val="NoSpacing"/>
              <w:jc w:val="both"/>
              <w:rPr>
                <w:rFonts w:ascii="Cambria" w:eastAsia="Times New Roman" w:hAnsi="Cambria"/>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74141520" w14:textId="77777777" w:rsidR="00C7217E" w:rsidRPr="00530906" w:rsidRDefault="00C7217E" w:rsidP="008756B1">
            <w:pPr>
              <w:pStyle w:val="NoSpacing"/>
              <w:jc w:val="both"/>
              <w:rPr>
                <w:rFonts w:ascii="Cambria" w:eastAsia="Times New Roman" w:hAnsi="Cambria"/>
                <w:sz w:val="20"/>
                <w:szCs w:val="20"/>
                <w:lang w:eastAsia="en-GB"/>
              </w:rPr>
            </w:pPr>
          </w:p>
        </w:tc>
        <w:tc>
          <w:tcPr>
            <w:tcW w:w="1228" w:type="dxa"/>
            <w:tcBorders>
              <w:top w:val="nil"/>
              <w:left w:val="nil"/>
              <w:bottom w:val="single" w:sz="4" w:space="0" w:color="auto"/>
              <w:right w:val="nil"/>
            </w:tcBorders>
            <w:shd w:val="clear" w:color="auto" w:fill="CCCCFF"/>
            <w:noWrap/>
            <w:vAlign w:val="bottom"/>
            <w:hideMark/>
          </w:tcPr>
          <w:p w14:paraId="417B539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CCCCFF"/>
            <w:noWrap/>
            <w:vAlign w:val="bottom"/>
            <w:hideMark/>
          </w:tcPr>
          <w:p w14:paraId="33421E6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3E306F0A"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326F3B3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Image quality</w:t>
            </w:r>
          </w:p>
        </w:tc>
        <w:tc>
          <w:tcPr>
            <w:tcW w:w="774" w:type="dxa"/>
            <w:tcBorders>
              <w:top w:val="nil"/>
              <w:left w:val="nil"/>
              <w:bottom w:val="nil"/>
              <w:right w:val="nil"/>
            </w:tcBorders>
            <w:shd w:val="clear" w:color="auto" w:fill="auto"/>
            <w:noWrap/>
            <w:vAlign w:val="bottom"/>
            <w:hideMark/>
          </w:tcPr>
          <w:p w14:paraId="703E90D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4.7</w:t>
            </w:r>
          </w:p>
        </w:tc>
        <w:tc>
          <w:tcPr>
            <w:tcW w:w="825" w:type="dxa"/>
            <w:tcBorders>
              <w:top w:val="nil"/>
              <w:left w:val="nil"/>
              <w:bottom w:val="nil"/>
              <w:right w:val="nil"/>
            </w:tcBorders>
            <w:shd w:val="clear" w:color="auto" w:fill="auto"/>
            <w:noWrap/>
            <w:vAlign w:val="bottom"/>
            <w:hideMark/>
          </w:tcPr>
          <w:p w14:paraId="2B47008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4.15</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5DEC7AC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(134) =2.2, p = .029</w:t>
            </w:r>
          </w:p>
        </w:tc>
        <w:tc>
          <w:tcPr>
            <w:tcW w:w="850" w:type="dxa"/>
            <w:tcBorders>
              <w:top w:val="nil"/>
              <w:left w:val="nil"/>
              <w:bottom w:val="nil"/>
              <w:right w:val="nil"/>
            </w:tcBorders>
            <w:shd w:val="clear" w:color="auto" w:fill="auto"/>
            <w:noWrap/>
            <w:vAlign w:val="bottom"/>
            <w:hideMark/>
          </w:tcPr>
          <w:p w14:paraId="542F43E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4.4</w:t>
            </w:r>
          </w:p>
        </w:tc>
        <w:tc>
          <w:tcPr>
            <w:tcW w:w="851" w:type="dxa"/>
            <w:tcBorders>
              <w:top w:val="nil"/>
              <w:left w:val="nil"/>
              <w:bottom w:val="nil"/>
              <w:right w:val="nil"/>
            </w:tcBorders>
            <w:shd w:val="clear" w:color="auto" w:fill="auto"/>
            <w:noWrap/>
            <w:vAlign w:val="bottom"/>
            <w:hideMark/>
          </w:tcPr>
          <w:p w14:paraId="344C579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3.9</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6FCA47C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(141) = 1.95, p=.05</w:t>
            </w:r>
          </w:p>
        </w:tc>
      </w:tr>
      <w:tr w:rsidR="00C7217E" w:rsidRPr="00530906" w14:paraId="7F106DBF"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320B31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7882643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25" w:type="dxa"/>
            <w:tcBorders>
              <w:top w:val="nil"/>
              <w:left w:val="nil"/>
              <w:bottom w:val="single" w:sz="4" w:space="0" w:color="auto"/>
              <w:right w:val="nil"/>
            </w:tcBorders>
            <w:shd w:val="clear" w:color="auto" w:fill="auto"/>
            <w:noWrap/>
            <w:vAlign w:val="bottom"/>
            <w:hideMark/>
          </w:tcPr>
          <w:p w14:paraId="3D4CB34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97" w:type="dxa"/>
            <w:tcBorders>
              <w:top w:val="nil"/>
              <w:left w:val="nil"/>
              <w:bottom w:val="single" w:sz="4" w:space="0" w:color="auto"/>
              <w:right w:val="nil"/>
            </w:tcBorders>
            <w:shd w:val="clear" w:color="auto" w:fill="auto"/>
            <w:noWrap/>
            <w:vAlign w:val="bottom"/>
            <w:hideMark/>
          </w:tcPr>
          <w:p w14:paraId="4285B3E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1E52B4D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65EFE6A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51" w:type="dxa"/>
            <w:tcBorders>
              <w:top w:val="nil"/>
              <w:left w:val="nil"/>
              <w:bottom w:val="single" w:sz="4" w:space="0" w:color="auto"/>
              <w:right w:val="nil"/>
            </w:tcBorders>
            <w:shd w:val="clear" w:color="auto" w:fill="auto"/>
            <w:noWrap/>
            <w:vAlign w:val="bottom"/>
            <w:hideMark/>
          </w:tcPr>
          <w:p w14:paraId="3F718DD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025BF2F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1C8395A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487B5D69"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344F3FE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Engrossment</w:t>
            </w:r>
          </w:p>
        </w:tc>
        <w:tc>
          <w:tcPr>
            <w:tcW w:w="774" w:type="dxa"/>
            <w:tcBorders>
              <w:top w:val="nil"/>
              <w:left w:val="nil"/>
              <w:bottom w:val="nil"/>
              <w:right w:val="nil"/>
            </w:tcBorders>
            <w:shd w:val="clear" w:color="auto" w:fill="auto"/>
            <w:noWrap/>
            <w:vAlign w:val="bottom"/>
            <w:hideMark/>
          </w:tcPr>
          <w:p w14:paraId="5F547DE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2.5</w:t>
            </w:r>
          </w:p>
        </w:tc>
        <w:tc>
          <w:tcPr>
            <w:tcW w:w="825" w:type="dxa"/>
            <w:tcBorders>
              <w:top w:val="nil"/>
              <w:left w:val="nil"/>
              <w:bottom w:val="nil"/>
              <w:right w:val="nil"/>
            </w:tcBorders>
            <w:shd w:val="clear" w:color="auto" w:fill="auto"/>
            <w:noWrap/>
            <w:vAlign w:val="bottom"/>
            <w:hideMark/>
          </w:tcPr>
          <w:p w14:paraId="476FDF9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2.7</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29E16C5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(134) = –1, p=0.319</w:t>
            </w:r>
          </w:p>
        </w:tc>
        <w:tc>
          <w:tcPr>
            <w:tcW w:w="850" w:type="dxa"/>
            <w:tcBorders>
              <w:top w:val="nil"/>
              <w:left w:val="nil"/>
              <w:bottom w:val="nil"/>
              <w:right w:val="nil"/>
            </w:tcBorders>
            <w:shd w:val="clear" w:color="auto" w:fill="auto"/>
            <w:noWrap/>
            <w:vAlign w:val="bottom"/>
            <w:hideMark/>
          </w:tcPr>
          <w:p w14:paraId="4805055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2.7</w:t>
            </w:r>
          </w:p>
        </w:tc>
        <w:tc>
          <w:tcPr>
            <w:tcW w:w="851" w:type="dxa"/>
            <w:tcBorders>
              <w:top w:val="nil"/>
              <w:left w:val="nil"/>
              <w:bottom w:val="nil"/>
              <w:right w:val="nil"/>
            </w:tcBorders>
            <w:shd w:val="clear" w:color="auto" w:fill="auto"/>
            <w:noWrap/>
            <w:vAlign w:val="bottom"/>
            <w:hideMark/>
          </w:tcPr>
          <w:p w14:paraId="03AAB10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2.6</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4655110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(128.07) = .639, p=.52</w:t>
            </w:r>
          </w:p>
        </w:tc>
      </w:tr>
      <w:tr w:rsidR="00C7217E" w:rsidRPr="00530906" w14:paraId="44DFC640"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FBB688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13A4CAC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1.17</w:t>
            </w:r>
          </w:p>
        </w:tc>
        <w:tc>
          <w:tcPr>
            <w:tcW w:w="825" w:type="dxa"/>
            <w:tcBorders>
              <w:top w:val="nil"/>
              <w:left w:val="nil"/>
              <w:bottom w:val="single" w:sz="4" w:space="0" w:color="auto"/>
              <w:right w:val="nil"/>
            </w:tcBorders>
            <w:shd w:val="clear" w:color="auto" w:fill="auto"/>
            <w:noWrap/>
            <w:vAlign w:val="bottom"/>
            <w:hideMark/>
          </w:tcPr>
          <w:p w14:paraId="3404B4D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1.25</w:t>
            </w:r>
          </w:p>
        </w:tc>
        <w:tc>
          <w:tcPr>
            <w:tcW w:w="897" w:type="dxa"/>
            <w:tcBorders>
              <w:top w:val="nil"/>
              <w:left w:val="nil"/>
              <w:bottom w:val="single" w:sz="4" w:space="0" w:color="auto"/>
              <w:right w:val="nil"/>
            </w:tcBorders>
            <w:shd w:val="clear" w:color="auto" w:fill="auto"/>
            <w:noWrap/>
            <w:vAlign w:val="bottom"/>
            <w:hideMark/>
          </w:tcPr>
          <w:p w14:paraId="339AC04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52CF164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6D97256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1.1</w:t>
            </w:r>
          </w:p>
        </w:tc>
        <w:tc>
          <w:tcPr>
            <w:tcW w:w="851" w:type="dxa"/>
            <w:tcBorders>
              <w:top w:val="nil"/>
              <w:left w:val="nil"/>
              <w:bottom w:val="single" w:sz="4" w:space="0" w:color="auto"/>
              <w:right w:val="nil"/>
            </w:tcBorders>
            <w:shd w:val="clear" w:color="auto" w:fill="auto"/>
            <w:noWrap/>
            <w:vAlign w:val="bottom"/>
            <w:hideMark/>
          </w:tcPr>
          <w:p w14:paraId="5A83627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w:t>
            </w:r>
          </w:p>
        </w:tc>
        <w:tc>
          <w:tcPr>
            <w:tcW w:w="1228" w:type="dxa"/>
            <w:tcBorders>
              <w:top w:val="nil"/>
              <w:left w:val="nil"/>
              <w:bottom w:val="single" w:sz="4" w:space="0" w:color="auto"/>
              <w:right w:val="nil"/>
            </w:tcBorders>
            <w:shd w:val="clear" w:color="auto" w:fill="auto"/>
            <w:noWrap/>
            <w:vAlign w:val="bottom"/>
            <w:hideMark/>
          </w:tcPr>
          <w:p w14:paraId="7D65854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3AB8213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0183FDF6"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57C55BB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Self–projection</w:t>
            </w:r>
          </w:p>
        </w:tc>
        <w:tc>
          <w:tcPr>
            <w:tcW w:w="774" w:type="dxa"/>
            <w:tcBorders>
              <w:top w:val="nil"/>
              <w:left w:val="nil"/>
              <w:bottom w:val="nil"/>
              <w:right w:val="nil"/>
            </w:tcBorders>
            <w:shd w:val="clear" w:color="auto" w:fill="auto"/>
            <w:noWrap/>
            <w:vAlign w:val="bottom"/>
            <w:hideMark/>
          </w:tcPr>
          <w:p w14:paraId="495C6CD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3.4</w:t>
            </w:r>
          </w:p>
        </w:tc>
        <w:tc>
          <w:tcPr>
            <w:tcW w:w="825" w:type="dxa"/>
            <w:tcBorders>
              <w:top w:val="nil"/>
              <w:left w:val="nil"/>
              <w:bottom w:val="nil"/>
              <w:right w:val="nil"/>
            </w:tcBorders>
            <w:shd w:val="clear" w:color="auto" w:fill="auto"/>
            <w:noWrap/>
            <w:vAlign w:val="bottom"/>
            <w:hideMark/>
          </w:tcPr>
          <w:p w14:paraId="79C893D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3.56</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1EDCF5E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(134) =–0.57, p=0.57</w:t>
            </w:r>
          </w:p>
        </w:tc>
        <w:tc>
          <w:tcPr>
            <w:tcW w:w="850" w:type="dxa"/>
            <w:tcBorders>
              <w:top w:val="nil"/>
              <w:left w:val="nil"/>
              <w:bottom w:val="nil"/>
              <w:right w:val="nil"/>
            </w:tcBorders>
            <w:shd w:val="clear" w:color="auto" w:fill="auto"/>
            <w:noWrap/>
            <w:vAlign w:val="bottom"/>
            <w:hideMark/>
          </w:tcPr>
          <w:p w14:paraId="1DD355F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w:t>
            </w:r>
          </w:p>
        </w:tc>
        <w:tc>
          <w:tcPr>
            <w:tcW w:w="851" w:type="dxa"/>
            <w:tcBorders>
              <w:top w:val="nil"/>
              <w:left w:val="nil"/>
              <w:bottom w:val="nil"/>
              <w:right w:val="nil"/>
            </w:tcBorders>
            <w:shd w:val="clear" w:color="auto" w:fill="auto"/>
            <w:noWrap/>
            <w:vAlign w:val="bottom"/>
            <w:hideMark/>
          </w:tcPr>
          <w:p w14:paraId="4F94FE6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3.2</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21EFA46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(141) = 1.257, p=.211</w:t>
            </w:r>
          </w:p>
        </w:tc>
      </w:tr>
      <w:tr w:rsidR="00C7217E" w:rsidRPr="00530906" w14:paraId="1CB6A6CF"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FB26C5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3AF3BC6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1.35</w:t>
            </w:r>
          </w:p>
        </w:tc>
        <w:tc>
          <w:tcPr>
            <w:tcW w:w="825" w:type="dxa"/>
            <w:tcBorders>
              <w:top w:val="nil"/>
              <w:left w:val="nil"/>
              <w:bottom w:val="single" w:sz="4" w:space="0" w:color="auto"/>
              <w:right w:val="nil"/>
            </w:tcBorders>
            <w:shd w:val="clear" w:color="auto" w:fill="auto"/>
            <w:noWrap/>
            <w:vAlign w:val="bottom"/>
            <w:hideMark/>
          </w:tcPr>
          <w:p w14:paraId="3390469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1.57</w:t>
            </w:r>
          </w:p>
        </w:tc>
        <w:tc>
          <w:tcPr>
            <w:tcW w:w="897" w:type="dxa"/>
            <w:tcBorders>
              <w:top w:val="nil"/>
              <w:left w:val="nil"/>
              <w:bottom w:val="single" w:sz="4" w:space="0" w:color="auto"/>
              <w:right w:val="nil"/>
            </w:tcBorders>
            <w:shd w:val="clear" w:color="auto" w:fill="auto"/>
            <w:noWrap/>
            <w:vAlign w:val="bottom"/>
            <w:hideMark/>
          </w:tcPr>
          <w:p w14:paraId="40F1C48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160D8AE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209645D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51" w:type="dxa"/>
            <w:tcBorders>
              <w:top w:val="nil"/>
              <w:left w:val="nil"/>
              <w:bottom w:val="single" w:sz="4" w:space="0" w:color="auto"/>
              <w:right w:val="nil"/>
            </w:tcBorders>
            <w:shd w:val="clear" w:color="auto" w:fill="auto"/>
            <w:noWrap/>
            <w:vAlign w:val="bottom"/>
            <w:hideMark/>
          </w:tcPr>
          <w:p w14:paraId="400209F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1228" w:type="dxa"/>
            <w:tcBorders>
              <w:top w:val="nil"/>
              <w:left w:val="nil"/>
              <w:bottom w:val="single" w:sz="4" w:space="0" w:color="auto"/>
              <w:right w:val="nil"/>
            </w:tcBorders>
            <w:shd w:val="clear" w:color="auto" w:fill="auto"/>
            <w:noWrap/>
            <w:vAlign w:val="bottom"/>
            <w:hideMark/>
          </w:tcPr>
          <w:p w14:paraId="29463AA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0644E94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3240AFAE"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262A0E6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Mental fluency</w:t>
            </w:r>
          </w:p>
        </w:tc>
        <w:tc>
          <w:tcPr>
            <w:tcW w:w="774" w:type="dxa"/>
            <w:tcBorders>
              <w:top w:val="nil"/>
              <w:left w:val="nil"/>
              <w:bottom w:val="nil"/>
              <w:right w:val="nil"/>
            </w:tcBorders>
            <w:shd w:val="clear" w:color="auto" w:fill="auto"/>
            <w:noWrap/>
            <w:vAlign w:val="bottom"/>
            <w:hideMark/>
          </w:tcPr>
          <w:p w14:paraId="3676FF3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4.5</w:t>
            </w:r>
          </w:p>
        </w:tc>
        <w:tc>
          <w:tcPr>
            <w:tcW w:w="825" w:type="dxa"/>
            <w:tcBorders>
              <w:top w:val="nil"/>
              <w:left w:val="nil"/>
              <w:bottom w:val="nil"/>
              <w:right w:val="nil"/>
            </w:tcBorders>
            <w:shd w:val="clear" w:color="auto" w:fill="auto"/>
            <w:noWrap/>
            <w:vAlign w:val="bottom"/>
            <w:hideMark/>
          </w:tcPr>
          <w:p w14:paraId="0E291E7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5A81C9D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(134) =0.713, p=.48</w:t>
            </w:r>
          </w:p>
        </w:tc>
        <w:tc>
          <w:tcPr>
            <w:tcW w:w="850" w:type="dxa"/>
            <w:tcBorders>
              <w:top w:val="nil"/>
              <w:left w:val="nil"/>
              <w:bottom w:val="nil"/>
              <w:right w:val="nil"/>
            </w:tcBorders>
            <w:shd w:val="clear" w:color="auto" w:fill="auto"/>
            <w:noWrap/>
            <w:vAlign w:val="bottom"/>
            <w:hideMark/>
          </w:tcPr>
          <w:p w14:paraId="402A03F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4.4</w:t>
            </w:r>
          </w:p>
        </w:tc>
        <w:tc>
          <w:tcPr>
            <w:tcW w:w="851" w:type="dxa"/>
            <w:tcBorders>
              <w:top w:val="nil"/>
              <w:left w:val="nil"/>
              <w:bottom w:val="nil"/>
              <w:right w:val="nil"/>
            </w:tcBorders>
            <w:shd w:val="clear" w:color="auto" w:fill="auto"/>
            <w:noWrap/>
            <w:vAlign w:val="bottom"/>
            <w:hideMark/>
          </w:tcPr>
          <w:p w14:paraId="26E61A8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64948F0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(141) = .4, p=.69</w:t>
            </w:r>
          </w:p>
        </w:tc>
      </w:tr>
      <w:tr w:rsidR="00C7217E" w:rsidRPr="00530906" w14:paraId="50F56F89"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A0646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0238941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1.7</w:t>
            </w:r>
          </w:p>
        </w:tc>
        <w:tc>
          <w:tcPr>
            <w:tcW w:w="825" w:type="dxa"/>
            <w:tcBorders>
              <w:top w:val="nil"/>
              <w:left w:val="nil"/>
              <w:bottom w:val="single" w:sz="4" w:space="0" w:color="auto"/>
              <w:right w:val="nil"/>
            </w:tcBorders>
            <w:shd w:val="clear" w:color="auto" w:fill="auto"/>
            <w:noWrap/>
            <w:vAlign w:val="bottom"/>
            <w:hideMark/>
          </w:tcPr>
          <w:p w14:paraId="4F970E8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897" w:type="dxa"/>
            <w:tcBorders>
              <w:top w:val="nil"/>
              <w:left w:val="nil"/>
              <w:bottom w:val="single" w:sz="4" w:space="0" w:color="auto"/>
              <w:right w:val="nil"/>
            </w:tcBorders>
            <w:shd w:val="clear" w:color="auto" w:fill="auto"/>
            <w:noWrap/>
            <w:vAlign w:val="bottom"/>
            <w:hideMark/>
          </w:tcPr>
          <w:p w14:paraId="711428E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2D72260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0F2A653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51" w:type="dxa"/>
            <w:tcBorders>
              <w:top w:val="nil"/>
              <w:left w:val="nil"/>
              <w:bottom w:val="single" w:sz="4" w:space="0" w:color="auto"/>
              <w:right w:val="nil"/>
            </w:tcBorders>
            <w:shd w:val="clear" w:color="auto" w:fill="auto"/>
            <w:noWrap/>
            <w:vAlign w:val="bottom"/>
            <w:hideMark/>
          </w:tcPr>
          <w:p w14:paraId="6879B41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1FFDB5C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6333B00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1CE7DC64"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72C4B6E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val="restart"/>
            <w:tcBorders>
              <w:top w:val="nil"/>
              <w:left w:val="single" w:sz="4" w:space="0" w:color="auto"/>
              <w:bottom w:val="single" w:sz="4" w:space="0" w:color="auto"/>
              <w:right w:val="single" w:sz="4" w:space="0" w:color="auto"/>
            </w:tcBorders>
            <w:shd w:val="clear" w:color="auto" w:fill="CCCCFF"/>
            <w:hideMark/>
          </w:tcPr>
          <w:p w14:paraId="7FAAB25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Positive caption high Expertise</w:t>
            </w:r>
          </w:p>
        </w:tc>
        <w:tc>
          <w:tcPr>
            <w:tcW w:w="825" w:type="dxa"/>
            <w:vMerge w:val="restart"/>
            <w:tcBorders>
              <w:top w:val="nil"/>
              <w:left w:val="single" w:sz="4" w:space="0" w:color="auto"/>
              <w:bottom w:val="single" w:sz="4" w:space="0" w:color="auto"/>
              <w:right w:val="single" w:sz="4" w:space="0" w:color="auto"/>
            </w:tcBorders>
            <w:shd w:val="clear" w:color="auto" w:fill="CCCCFF"/>
            <w:hideMark/>
          </w:tcPr>
          <w:p w14:paraId="52885A0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Negative</w:t>
            </w:r>
          </w:p>
          <w:p w14:paraId="53F338E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caption </w:t>
            </w:r>
          </w:p>
          <w:p w14:paraId="34D9E44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low Expertise</w:t>
            </w:r>
          </w:p>
        </w:tc>
        <w:tc>
          <w:tcPr>
            <w:tcW w:w="897" w:type="dxa"/>
            <w:tcBorders>
              <w:top w:val="nil"/>
              <w:left w:val="nil"/>
              <w:bottom w:val="nil"/>
              <w:right w:val="nil"/>
            </w:tcBorders>
            <w:shd w:val="clear" w:color="auto" w:fill="CCCCFF"/>
            <w:noWrap/>
            <w:vAlign w:val="bottom"/>
            <w:hideMark/>
          </w:tcPr>
          <w:p w14:paraId="26168D9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4A43D7D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val="restart"/>
            <w:tcBorders>
              <w:top w:val="nil"/>
              <w:left w:val="nil"/>
              <w:bottom w:val="single" w:sz="4" w:space="0" w:color="auto"/>
              <w:right w:val="single" w:sz="4" w:space="0" w:color="auto"/>
            </w:tcBorders>
            <w:shd w:val="clear" w:color="auto" w:fill="CCCCFF"/>
            <w:hideMark/>
          </w:tcPr>
          <w:p w14:paraId="27BC2D1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Positive caption </w:t>
            </w:r>
          </w:p>
          <w:p w14:paraId="791AD15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low expertise</w:t>
            </w:r>
          </w:p>
        </w:tc>
        <w:tc>
          <w:tcPr>
            <w:tcW w:w="851" w:type="dxa"/>
            <w:vMerge w:val="restart"/>
            <w:tcBorders>
              <w:top w:val="nil"/>
              <w:left w:val="single" w:sz="4" w:space="0" w:color="auto"/>
              <w:bottom w:val="single" w:sz="4" w:space="0" w:color="auto"/>
              <w:right w:val="single" w:sz="4" w:space="0" w:color="auto"/>
            </w:tcBorders>
            <w:shd w:val="clear" w:color="auto" w:fill="CCCCFF"/>
            <w:hideMark/>
          </w:tcPr>
          <w:p w14:paraId="14DD54A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Negative caption</w:t>
            </w:r>
          </w:p>
          <w:p w14:paraId="0A05CCD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xml:space="preserve"> high Expertise</w:t>
            </w:r>
          </w:p>
        </w:tc>
        <w:tc>
          <w:tcPr>
            <w:tcW w:w="1228" w:type="dxa"/>
            <w:tcBorders>
              <w:top w:val="nil"/>
              <w:left w:val="nil"/>
              <w:bottom w:val="nil"/>
              <w:right w:val="nil"/>
            </w:tcBorders>
            <w:shd w:val="clear" w:color="auto" w:fill="CCCCFF"/>
            <w:noWrap/>
            <w:vAlign w:val="bottom"/>
            <w:hideMark/>
          </w:tcPr>
          <w:p w14:paraId="1B8EECE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552238B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4B3D97F2"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05FEBC7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tcBorders>
              <w:top w:val="nil"/>
              <w:left w:val="single" w:sz="4" w:space="0" w:color="auto"/>
              <w:bottom w:val="single" w:sz="4" w:space="0" w:color="auto"/>
              <w:right w:val="single" w:sz="4" w:space="0" w:color="auto"/>
            </w:tcBorders>
            <w:shd w:val="clear" w:color="auto" w:fill="CCCCFF"/>
            <w:vAlign w:val="center"/>
            <w:hideMark/>
          </w:tcPr>
          <w:p w14:paraId="18914720" w14:textId="77777777" w:rsidR="00C7217E" w:rsidRPr="00530906" w:rsidRDefault="00C7217E" w:rsidP="008756B1">
            <w:pPr>
              <w:pStyle w:val="NoSpacing"/>
              <w:jc w:val="both"/>
              <w:rPr>
                <w:rFonts w:ascii="Cambria" w:eastAsia="Times New Roman" w:hAnsi="Cambria"/>
                <w:sz w:val="20"/>
                <w:szCs w:val="20"/>
                <w:lang w:eastAsia="en-GB"/>
              </w:rPr>
            </w:pPr>
          </w:p>
        </w:tc>
        <w:tc>
          <w:tcPr>
            <w:tcW w:w="825" w:type="dxa"/>
            <w:vMerge/>
            <w:tcBorders>
              <w:top w:val="nil"/>
              <w:left w:val="single" w:sz="4" w:space="0" w:color="auto"/>
              <w:bottom w:val="single" w:sz="4" w:space="0" w:color="auto"/>
              <w:right w:val="single" w:sz="4" w:space="0" w:color="auto"/>
            </w:tcBorders>
            <w:shd w:val="clear" w:color="auto" w:fill="CCCCFF"/>
            <w:vAlign w:val="center"/>
            <w:hideMark/>
          </w:tcPr>
          <w:p w14:paraId="18624FF3" w14:textId="77777777" w:rsidR="00C7217E" w:rsidRPr="00530906" w:rsidRDefault="00C7217E" w:rsidP="008756B1">
            <w:pPr>
              <w:pStyle w:val="NoSpacing"/>
              <w:jc w:val="both"/>
              <w:rPr>
                <w:rFonts w:ascii="Cambria" w:eastAsia="Times New Roman" w:hAnsi="Cambria"/>
                <w:sz w:val="20"/>
                <w:szCs w:val="20"/>
                <w:lang w:eastAsia="en-GB"/>
              </w:rPr>
            </w:pPr>
          </w:p>
        </w:tc>
        <w:tc>
          <w:tcPr>
            <w:tcW w:w="897" w:type="dxa"/>
            <w:tcBorders>
              <w:top w:val="nil"/>
              <w:left w:val="nil"/>
              <w:bottom w:val="nil"/>
              <w:right w:val="nil"/>
            </w:tcBorders>
            <w:shd w:val="clear" w:color="auto" w:fill="CCCCFF"/>
            <w:noWrap/>
            <w:vAlign w:val="bottom"/>
            <w:hideMark/>
          </w:tcPr>
          <w:p w14:paraId="0EA1CF0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709030C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tcBorders>
              <w:top w:val="nil"/>
              <w:left w:val="nil"/>
              <w:bottom w:val="single" w:sz="4" w:space="0" w:color="auto"/>
              <w:right w:val="single" w:sz="4" w:space="0" w:color="auto"/>
            </w:tcBorders>
            <w:shd w:val="clear" w:color="auto" w:fill="CCCCFF"/>
            <w:vAlign w:val="center"/>
            <w:hideMark/>
          </w:tcPr>
          <w:p w14:paraId="66AB6DEC" w14:textId="77777777" w:rsidR="00C7217E" w:rsidRPr="00530906" w:rsidRDefault="00C7217E" w:rsidP="008756B1">
            <w:pPr>
              <w:pStyle w:val="NoSpacing"/>
              <w:jc w:val="both"/>
              <w:rPr>
                <w:rFonts w:ascii="Cambria" w:eastAsia="Times New Roman" w:hAnsi="Cambria"/>
                <w:sz w:val="20"/>
                <w:szCs w:val="20"/>
                <w:lang w:eastAsia="en-GB"/>
              </w:rPr>
            </w:pPr>
          </w:p>
        </w:tc>
        <w:tc>
          <w:tcPr>
            <w:tcW w:w="851" w:type="dxa"/>
            <w:vMerge/>
            <w:tcBorders>
              <w:top w:val="nil"/>
              <w:left w:val="single" w:sz="4" w:space="0" w:color="auto"/>
              <w:bottom w:val="single" w:sz="4" w:space="0" w:color="auto"/>
              <w:right w:val="single" w:sz="4" w:space="0" w:color="auto"/>
            </w:tcBorders>
            <w:shd w:val="clear" w:color="auto" w:fill="CCCCFF"/>
            <w:vAlign w:val="center"/>
            <w:hideMark/>
          </w:tcPr>
          <w:p w14:paraId="59A4E2DB" w14:textId="77777777" w:rsidR="00C7217E" w:rsidRPr="00530906" w:rsidRDefault="00C7217E" w:rsidP="008756B1">
            <w:pPr>
              <w:pStyle w:val="NoSpacing"/>
              <w:jc w:val="both"/>
              <w:rPr>
                <w:rFonts w:ascii="Cambria" w:eastAsia="Times New Roman" w:hAnsi="Cambria"/>
                <w:sz w:val="20"/>
                <w:szCs w:val="20"/>
                <w:lang w:eastAsia="en-GB"/>
              </w:rPr>
            </w:pPr>
          </w:p>
        </w:tc>
        <w:tc>
          <w:tcPr>
            <w:tcW w:w="1228" w:type="dxa"/>
            <w:tcBorders>
              <w:top w:val="nil"/>
              <w:left w:val="nil"/>
              <w:bottom w:val="nil"/>
              <w:right w:val="nil"/>
            </w:tcBorders>
            <w:shd w:val="clear" w:color="auto" w:fill="CCCCFF"/>
            <w:noWrap/>
            <w:vAlign w:val="bottom"/>
            <w:hideMark/>
          </w:tcPr>
          <w:p w14:paraId="259FC98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7E02C49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7483FC1D" w14:textId="77777777" w:rsidTr="00C7217E">
        <w:trPr>
          <w:trHeight w:val="20"/>
        </w:trPr>
        <w:tc>
          <w:tcPr>
            <w:tcW w:w="1971" w:type="dxa"/>
            <w:tcBorders>
              <w:top w:val="nil"/>
              <w:left w:val="single" w:sz="4" w:space="0" w:color="auto"/>
              <w:bottom w:val="nil"/>
              <w:right w:val="single" w:sz="4" w:space="0" w:color="auto"/>
            </w:tcBorders>
            <w:shd w:val="clear" w:color="auto" w:fill="CCCCFF"/>
            <w:noWrap/>
            <w:vAlign w:val="bottom"/>
            <w:hideMark/>
          </w:tcPr>
          <w:p w14:paraId="14FB01B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tcBorders>
              <w:top w:val="nil"/>
              <w:left w:val="single" w:sz="4" w:space="0" w:color="auto"/>
              <w:bottom w:val="single" w:sz="4" w:space="0" w:color="auto"/>
              <w:right w:val="single" w:sz="4" w:space="0" w:color="auto"/>
            </w:tcBorders>
            <w:shd w:val="clear" w:color="auto" w:fill="CCCCFF"/>
            <w:vAlign w:val="center"/>
            <w:hideMark/>
          </w:tcPr>
          <w:p w14:paraId="7C7EC643" w14:textId="77777777" w:rsidR="00C7217E" w:rsidRPr="00530906" w:rsidRDefault="00C7217E" w:rsidP="008756B1">
            <w:pPr>
              <w:pStyle w:val="NoSpacing"/>
              <w:jc w:val="both"/>
              <w:rPr>
                <w:rFonts w:ascii="Cambria" w:eastAsia="Times New Roman" w:hAnsi="Cambria"/>
                <w:sz w:val="20"/>
                <w:szCs w:val="20"/>
                <w:lang w:eastAsia="en-GB"/>
              </w:rPr>
            </w:pPr>
          </w:p>
        </w:tc>
        <w:tc>
          <w:tcPr>
            <w:tcW w:w="825" w:type="dxa"/>
            <w:vMerge/>
            <w:tcBorders>
              <w:top w:val="nil"/>
              <w:left w:val="single" w:sz="4" w:space="0" w:color="auto"/>
              <w:bottom w:val="single" w:sz="4" w:space="0" w:color="auto"/>
              <w:right w:val="single" w:sz="4" w:space="0" w:color="auto"/>
            </w:tcBorders>
            <w:shd w:val="clear" w:color="auto" w:fill="CCCCFF"/>
            <w:vAlign w:val="center"/>
            <w:hideMark/>
          </w:tcPr>
          <w:p w14:paraId="2688FC4A" w14:textId="77777777" w:rsidR="00C7217E" w:rsidRPr="00530906" w:rsidRDefault="00C7217E" w:rsidP="008756B1">
            <w:pPr>
              <w:pStyle w:val="NoSpacing"/>
              <w:jc w:val="both"/>
              <w:rPr>
                <w:rFonts w:ascii="Cambria" w:eastAsia="Times New Roman" w:hAnsi="Cambria"/>
                <w:sz w:val="20"/>
                <w:szCs w:val="20"/>
                <w:lang w:eastAsia="en-GB"/>
              </w:rPr>
            </w:pPr>
          </w:p>
        </w:tc>
        <w:tc>
          <w:tcPr>
            <w:tcW w:w="897" w:type="dxa"/>
            <w:tcBorders>
              <w:top w:val="nil"/>
              <w:left w:val="nil"/>
              <w:bottom w:val="nil"/>
              <w:right w:val="nil"/>
            </w:tcBorders>
            <w:shd w:val="clear" w:color="auto" w:fill="CCCCFF"/>
            <w:noWrap/>
            <w:vAlign w:val="bottom"/>
            <w:hideMark/>
          </w:tcPr>
          <w:p w14:paraId="704377C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nil"/>
              <w:right w:val="single" w:sz="4" w:space="0" w:color="auto"/>
            </w:tcBorders>
            <w:shd w:val="clear" w:color="auto" w:fill="CCCCFF"/>
            <w:noWrap/>
            <w:vAlign w:val="bottom"/>
            <w:hideMark/>
          </w:tcPr>
          <w:p w14:paraId="6756DF6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tcBorders>
              <w:top w:val="nil"/>
              <w:left w:val="nil"/>
              <w:bottom w:val="single" w:sz="4" w:space="0" w:color="auto"/>
              <w:right w:val="single" w:sz="4" w:space="0" w:color="auto"/>
            </w:tcBorders>
            <w:shd w:val="clear" w:color="auto" w:fill="CCCCFF"/>
            <w:vAlign w:val="center"/>
            <w:hideMark/>
          </w:tcPr>
          <w:p w14:paraId="0AC5C259" w14:textId="77777777" w:rsidR="00C7217E" w:rsidRPr="00530906" w:rsidRDefault="00C7217E" w:rsidP="008756B1">
            <w:pPr>
              <w:pStyle w:val="NoSpacing"/>
              <w:jc w:val="both"/>
              <w:rPr>
                <w:rFonts w:ascii="Cambria" w:eastAsia="Times New Roman" w:hAnsi="Cambria"/>
                <w:sz w:val="20"/>
                <w:szCs w:val="20"/>
                <w:lang w:eastAsia="en-GB"/>
              </w:rPr>
            </w:pPr>
          </w:p>
        </w:tc>
        <w:tc>
          <w:tcPr>
            <w:tcW w:w="851" w:type="dxa"/>
            <w:vMerge/>
            <w:tcBorders>
              <w:top w:val="nil"/>
              <w:left w:val="single" w:sz="4" w:space="0" w:color="auto"/>
              <w:bottom w:val="single" w:sz="4" w:space="0" w:color="auto"/>
              <w:right w:val="single" w:sz="4" w:space="0" w:color="auto"/>
            </w:tcBorders>
            <w:shd w:val="clear" w:color="auto" w:fill="CCCCFF"/>
            <w:vAlign w:val="center"/>
            <w:hideMark/>
          </w:tcPr>
          <w:p w14:paraId="5FBD85D4" w14:textId="77777777" w:rsidR="00C7217E" w:rsidRPr="00530906" w:rsidRDefault="00C7217E" w:rsidP="008756B1">
            <w:pPr>
              <w:pStyle w:val="NoSpacing"/>
              <w:jc w:val="both"/>
              <w:rPr>
                <w:rFonts w:ascii="Cambria" w:eastAsia="Times New Roman" w:hAnsi="Cambria"/>
                <w:sz w:val="20"/>
                <w:szCs w:val="20"/>
                <w:lang w:eastAsia="en-GB"/>
              </w:rPr>
            </w:pPr>
          </w:p>
        </w:tc>
        <w:tc>
          <w:tcPr>
            <w:tcW w:w="1228" w:type="dxa"/>
            <w:tcBorders>
              <w:top w:val="nil"/>
              <w:left w:val="nil"/>
              <w:bottom w:val="nil"/>
              <w:right w:val="nil"/>
            </w:tcBorders>
            <w:shd w:val="clear" w:color="auto" w:fill="CCCCFF"/>
            <w:noWrap/>
            <w:vAlign w:val="bottom"/>
            <w:hideMark/>
          </w:tcPr>
          <w:p w14:paraId="04C40A6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nil"/>
              <w:right w:val="single" w:sz="4" w:space="0" w:color="auto"/>
            </w:tcBorders>
            <w:shd w:val="clear" w:color="auto" w:fill="CCCCFF"/>
            <w:noWrap/>
            <w:vAlign w:val="bottom"/>
            <w:hideMark/>
          </w:tcPr>
          <w:p w14:paraId="6FCF087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1AB2891A"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CCCCFF"/>
            <w:noWrap/>
            <w:vAlign w:val="bottom"/>
            <w:hideMark/>
          </w:tcPr>
          <w:p w14:paraId="066BEAB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vMerge/>
            <w:tcBorders>
              <w:top w:val="nil"/>
              <w:left w:val="single" w:sz="4" w:space="0" w:color="auto"/>
              <w:bottom w:val="single" w:sz="4" w:space="0" w:color="auto"/>
              <w:right w:val="single" w:sz="4" w:space="0" w:color="auto"/>
            </w:tcBorders>
            <w:shd w:val="clear" w:color="auto" w:fill="CCCCFF"/>
            <w:vAlign w:val="center"/>
            <w:hideMark/>
          </w:tcPr>
          <w:p w14:paraId="7518EE0F" w14:textId="77777777" w:rsidR="00C7217E" w:rsidRPr="00530906" w:rsidRDefault="00C7217E" w:rsidP="008756B1">
            <w:pPr>
              <w:pStyle w:val="NoSpacing"/>
              <w:jc w:val="both"/>
              <w:rPr>
                <w:rFonts w:ascii="Cambria" w:eastAsia="Times New Roman" w:hAnsi="Cambria"/>
                <w:sz w:val="20"/>
                <w:szCs w:val="20"/>
                <w:lang w:eastAsia="en-GB"/>
              </w:rPr>
            </w:pPr>
          </w:p>
        </w:tc>
        <w:tc>
          <w:tcPr>
            <w:tcW w:w="825" w:type="dxa"/>
            <w:vMerge/>
            <w:tcBorders>
              <w:top w:val="nil"/>
              <w:left w:val="single" w:sz="4" w:space="0" w:color="auto"/>
              <w:bottom w:val="single" w:sz="4" w:space="0" w:color="auto"/>
              <w:right w:val="single" w:sz="4" w:space="0" w:color="auto"/>
            </w:tcBorders>
            <w:shd w:val="clear" w:color="auto" w:fill="CCCCFF"/>
            <w:vAlign w:val="center"/>
            <w:hideMark/>
          </w:tcPr>
          <w:p w14:paraId="5871A564" w14:textId="77777777" w:rsidR="00C7217E" w:rsidRPr="00530906" w:rsidRDefault="00C7217E" w:rsidP="008756B1">
            <w:pPr>
              <w:pStyle w:val="NoSpacing"/>
              <w:jc w:val="both"/>
              <w:rPr>
                <w:rFonts w:ascii="Cambria" w:eastAsia="Times New Roman" w:hAnsi="Cambria"/>
                <w:sz w:val="20"/>
                <w:szCs w:val="20"/>
                <w:lang w:eastAsia="en-GB"/>
              </w:rPr>
            </w:pPr>
          </w:p>
        </w:tc>
        <w:tc>
          <w:tcPr>
            <w:tcW w:w="897" w:type="dxa"/>
            <w:tcBorders>
              <w:top w:val="nil"/>
              <w:left w:val="nil"/>
              <w:bottom w:val="single" w:sz="4" w:space="0" w:color="auto"/>
              <w:right w:val="nil"/>
            </w:tcBorders>
            <w:shd w:val="clear" w:color="auto" w:fill="CCCCFF"/>
            <w:noWrap/>
            <w:vAlign w:val="bottom"/>
            <w:hideMark/>
          </w:tcPr>
          <w:p w14:paraId="1AE2D58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CCCCFF"/>
            <w:noWrap/>
            <w:vAlign w:val="bottom"/>
            <w:hideMark/>
          </w:tcPr>
          <w:p w14:paraId="0B27757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vMerge/>
            <w:tcBorders>
              <w:top w:val="nil"/>
              <w:left w:val="nil"/>
              <w:bottom w:val="single" w:sz="4" w:space="0" w:color="auto"/>
              <w:right w:val="single" w:sz="4" w:space="0" w:color="auto"/>
            </w:tcBorders>
            <w:shd w:val="clear" w:color="auto" w:fill="CCCCFF"/>
            <w:vAlign w:val="center"/>
            <w:hideMark/>
          </w:tcPr>
          <w:p w14:paraId="03D217A6" w14:textId="77777777" w:rsidR="00C7217E" w:rsidRPr="00530906" w:rsidRDefault="00C7217E" w:rsidP="008756B1">
            <w:pPr>
              <w:pStyle w:val="NoSpacing"/>
              <w:jc w:val="both"/>
              <w:rPr>
                <w:rFonts w:ascii="Cambria" w:eastAsia="Times New Roman" w:hAnsi="Cambria"/>
                <w:sz w:val="20"/>
                <w:szCs w:val="20"/>
                <w:lang w:eastAsia="en-GB"/>
              </w:rPr>
            </w:pPr>
          </w:p>
        </w:tc>
        <w:tc>
          <w:tcPr>
            <w:tcW w:w="851" w:type="dxa"/>
            <w:vMerge/>
            <w:tcBorders>
              <w:top w:val="nil"/>
              <w:left w:val="single" w:sz="4" w:space="0" w:color="auto"/>
              <w:bottom w:val="single" w:sz="4" w:space="0" w:color="auto"/>
              <w:right w:val="single" w:sz="4" w:space="0" w:color="auto"/>
            </w:tcBorders>
            <w:shd w:val="clear" w:color="auto" w:fill="CCCCFF"/>
            <w:vAlign w:val="center"/>
            <w:hideMark/>
          </w:tcPr>
          <w:p w14:paraId="2DE1DE5F" w14:textId="77777777" w:rsidR="00C7217E" w:rsidRPr="00530906" w:rsidRDefault="00C7217E" w:rsidP="008756B1">
            <w:pPr>
              <w:pStyle w:val="NoSpacing"/>
              <w:jc w:val="both"/>
              <w:rPr>
                <w:rFonts w:ascii="Cambria" w:eastAsia="Times New Roman" w:hAnsi="Cambria"/>
                <w:sz w:val="20"/>
                <w:szCs w:val="20"/>
                <w:lang w:eastAsia="en-GB"/>
              </w:rPr>
            </w:pPr>
          </w:p>
        </w:tc>
        <w:tc>
          <w:tcPr>
            <w:tcW w:w="1228" w:type="dxa"/>
            <w:tcBorders>
              <w:top w:val="nil"/>
              <w:left w:val="nil"/>
              <w:bottom w:val="single" w:sz="4" w:space="0" w:color="auto"/>
              <w:right w:val="nil"/>
            </w:tcBorders>
            <w:shd w:val="clear" w:color="auto" w:fill="CCCCFF"/>
            <w:noWrap/>
            <w:vAlign w:val="bottom"/>
            <w:hideMark/>
          </w:tcPr>
          <w:p w14:paraId="4D1CBCA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CCCCFF"/>
            <w:noWrap/>
            <w:vAlign w:val="bottom"/>
            <w:hideMark/>
          </w:tcPr>
          <w:p w14:paraId="627E19D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0C735DEE"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4E427A2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Image quality</w:t>
            </w:r>
          </w:p>
        </w:tc>
        <w:tc>
          <w:tcPr>
            <w:tcW w:w="774" w:type="dxa"/>
            <w:tcBorders>
              <w:top w:val="nil"/>
              <w:left w:val="nil"/>
              <w:bottom w:val="nil"/>
              <w:right w:val="nil"/>
            </w:tcBorders>
            <w:shd w:val="clear" w:color="auto" w:fill="auto"/>
            <w:noWrap/>
            <w:vAlign w:val="bottom"/>
            <w:hideMark/>
          </w:tcPr>
          <w:p w14:paraId="6755A7A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4.7</w:t>
            </w:r>
          </w:p>
        </w:tc>
        <w:tc>
          <w:tcPr>
            <w:tcW w:w="825" w:type="dxa"/>
            <w:tcBorders>
              <w:top w:val="nil"/>
              <w:left w:val="nil"/>
              <w:bottom w:val="nil"/>
              <w:right w:val="nil"/>
            </w:tcBorders>
            <w:shd w:val="clear" w:color="auto" w:fill="auto"/>
            <w:noWrap/>
            <w:vAlign w:val="bottom"/>
            <w:hideMark/>
          </w:tcPr>
          <w:p w14:paraId="5C0D77F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3.9</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0BBF8DA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(131) =3.1, p= .002</w:t>
            </w:r>
          </w:p>
        </w:tc>
        <w:tc>
          <w:tcPr>
            <w:tcW w:w="850" w:type="dxa"/>
            <w:tcBorders>
              <w:top w:val="nil"/>
              <w:left w:val="nil"/>
              <w:bottom w:val="nil"/>
              <w:right w:val="nil"/>
            </w:tcBorders>
            <w:shd w:val="clear" w:color="auto" w:fill="auto"/>
            <w:noWrap/>
            <w:vAlign w:val="bottom"/>
            <w:hideMark/>
          </w:tcPr>
          <w:p w14:paraId="4EAA1A7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4.4</w:t>
            </w:r>
          </w:p>
        </w:tc>
        <w:tc>
          <w:tcPr>
            <w:tcW w:w="851" w:type="dxa"/>
            <w:tcBorders>
              <w:top w:val="nil"/>
              <w:left w:val="nil"/>
              <w:bottom w:val="nil"/>
              <w:right w:val="nil"/>
            </w:tcBorders>
            <w:shd w:val="clear" w:color="auto" w:fill="auto"/>
            <w:noWrap/>
            <w:vAlign w:val="bottom"/>
            <w:hideMark/>
          </w:tcPr>
          <w:p w14:paraId="6EC6C037"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4.15</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59C8EE8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(144) = –.929, p=.354</w:t>
            </w:r>
          </w:p>
        </w:tc>
      </w:tr>
      <w:tr w:rsidR="00C7217E" w:rsidRPr="00530906" w14:paraId="48B32BD9"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0E71F5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7DAB43E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25" w:type="dxa"/>
            <w:tcBorders>
              <w:top w:val="nil"/>
              <w:left w:val="nil"/>
              <w:bottom w:val="single" w:sz="4" w:space="0" w:color="auto"/>
              <w:right w:val="nil"/>
            </w:tcBorders>
            <w:shd w:val="clear" w:color="auto" w:fill="auto"/>
            <w:noWrap/>
            <w:vAlign w:val="bottom"/>
            <w:hideMark/>
          </w:tcPr>
          <w:p w14:paraId="2E59885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897" w:type="dxa"/>
            <w:tcBorders>
              <w:top w:val="nil"/>
              <w:left w:val="nil"/>
              <w:bottom w:val="single" w:sz="4" w:space="0" w:color="auto"/>
              <w:right w:val="nil"/>
            </w:tcBorders>
            <w:shd w:val="clear" w:color="auto" w:fill="auto"/>
            <w:noWrap/>
            <w:vAlign w:val="bottom"/>
            <w:hideMark/>
          </w:tcPr>
          <w:p w14:paraId="3BD0D9C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5640B05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0ABADBA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51" w:type="dxa"/>
            <w:tcBorders>
              <w:top w:val="nil"/>
              <w:left w:val="nil"/>
              <w:bottom w:val="single" w:sz="4" w:space="0" w:color="auto"/>
              <w:right w:val="nil"/>
            </w:tcBorders>
            <w:shd w:val="clear" w:color="auto" w:fill="auto"/>
            <w:noWrap/>
            <w:vAlign w:val="bottom"/>
            <w:hideMark/>
          </w:tcPr>
          <w:p w14:paraId="3D890615"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1228" w:type="dxa"/>
            <w:tcBorders>
              <w:top w:val="nil"/>
              <w:left w:val="nil"/>
              <w:bottom w:val="single" w:sz="4" w:space="0" w:color="auto"/>
              <w:right w:val="nil"/>
            </w:tcBorders>
            <w:shd w:val="clear" w:color="auto" w:fill="auto"/>
            <w:noWrap/>
            <w:vAlign w:val="bottom"/>
            <w:hideMark/>
          </w:tcPr>
          <w:p w14:paraId="4CBB35D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450E17C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6F48C9BE"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1CA5F5A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Engrossment</w:t>
            </w:r>
          </w:p>
        </w:tc>
        <w:tc>
          <w:tcPr>
            <w:tcW w:w="774" w:type="dxa"/>
            <w:tcBorders>
              <w:top w:val="nil"/>
              <w:left w:val="nil"/>
              <w:bottom w:val="nil"/>
              <w:right w:val="nil"/>
            </w:tcBorders>
            <w:shd w:val="clear" w:color="auto" w:fill="auto"/>
            <w:noWrap/>
            <w:vAlign w:val="bottom"/>
            <w:hideMark/>
          </w:tcPr>
          <w:p w14:paraId="25CDEEF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2.5</w:t>
            </w:r>
          </w:p>
        </w:tc>
        <w:tc>
          <w:tcPr>
            <w:tcW w:w="825" w:type="dxa"/>
            <w:tcBorders>
              <w:top w:val="nil"/>
              <w:left w:val="nil"/>
              <w:bottom w:val="nil"/>
              <w:right w:val="nil"/>
            </w:tcBorders>
            <w:shd w:val="clear" w:color="auto" w:fill="auto"/>
            <w:noWrap/>
            <w:vAlign w:val="bottom"/>
            <w:hideMark/>
          </w:tcPr>
          <w:p w14:paraId="6856729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2.6</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57780A4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(131) =–.31, p= .757</w:t>
            </w:r>
          </w:p>
        </w:tc>
        <w:tc>
          <w:tcPr>
            <w:tcW w:w="850" w:type="dxa"/>
            <w:tcBorders>
              <w:top w:val="nil"/>
              <w:left w:val="nil"/>
              <w:bottom w:val="nil"/>
              <w:right w:val="nil"/>
            </w:tcBorders>
            <w:shd w:val="clear" w:color="auto" w:fill="auto"/>
            <w:noWrap/>
            <w:vAlign w:val="bottom"/>
            <w:hideMark/>
          </w:tcPr>
          <w:p w14:paraId="332E97A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2.7</w:t>
            </w:r>
          </w:p>
        </w:tc>
        <w:tc>
          <w:tcPr>
            <w:tcW w:w="851" w:type="dxa"/>
            <w:tcBorders>
              <w:top w:val="nil"/>
              <w:left w:val="nil"/>
              <w:bottom w:val="nil"/>
              <w:right w:val="nil"/>
            </w:tcBorders>
            <w:shd w:val="clear" w:color="auto" w:fill="auto"/>
            <w:noWrap/>
            <w:vAlign w:val="bottom"/>
            <w:hideMark/>
          </w:tcPr>
          <w:p w14:paraId="1D7C264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2.7</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3ED43D8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(144) =.048, p= .962</w:t>
            </w:r>
          </w:p>
        </w:tc>
      </w:tr>
      <w:tr w:rsidR="00C7217E" w:rsidRPr="00530906" w14:paraId="7AB64B02"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670613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304EDAC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1.2</w:t>
            </w:r>
          </w:p>
        </w:tc>
        <w:tc>
          <w:tcPr>
            <w:tcW w:w="825" w:type="dxa"/>
            <w:tcBorders>
              <w:top w:val="nil"/>
              <w:left w:val="nil"/>
              <w:bottom w:val="single" w:sz="4" w:space="0" w:color="auto"/>
              <w:right w:val="nil"/>
            </w:tcBorders>
            <w:shd w:val="clear" w:color="auto" w:fill="auto"/>
            <w:noWrap/>
            <w:vAlign w:val="bottom"/>
            <w:hideMark/>
          </w:tcPr>
          <w:p w14:paraId="5C2C66B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1.3</w:t>
            </w:r>
          </w:p>
        </w:tc>
        <w:tc>
          <w:tcPr>
            <w:tcW w:w="897" w:type="dxa"/>
            <w:tcBorders>
              <w:top w:val="nil"/>
              <w:left w:val="nil"/>
              <w:bottom w:val="single" w:sz="4" w:space="0" w:color="auto"/>
              <w:right w:val="nil"/>
            </w:tcBorders>
            <w:shd w:val="clear" w:color="auto" w:fill="auto"/>
            <w:noWrap/>
            <w:vAlign w:val="bottom"/>
            <w:hideMark/>
          </w:tcPr>
          <w:p w14:paraId="2E6DC44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440F1E4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130843E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1.1</w:t>
            </w:r>
          </w:p>
        </w:tc>
        <w:tc>
          <w:tcPr>
            <w:tcW w:w="851" w:type="dxa"/>
            <w:tcBorders>
              <w:top w:val="nil"/>
              <w:left w:val="nil"/>
              <w:bottom w:val="single" w:sz="4" w:space="0" w:color="auto"/>
              <w:right w:val="nil"/>
            </w:tcBorders>
            <w:shd w:val="clear" w:color="auto" w:fill="auto"/>
            <w:noWrap/>
            <w:vAlign w:val="bottom"/>
            <w:hideMark/>
          </w:tcPr>
          <w:p w14:paraId="3F22002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1.2</w:t>
            </w:r>
          </w:p>
        </w:tc>
        <w:tc>
          <w:tcPr>
            <w:tcW w:w="1228" w:type="dxa"/>
            <w:tcBorders>
              <w:top w:val="nil"/>
              <w:left w:val="nil"/>
              <w:bottom w:val="single" w:sz="4" w:space="0" w:color="auto"/>
              <w:right w:val="nil"/>
            </w:tcBorders>
            <w:shd w:val="clear" w:color="auto" w:fill="auto"/>
            <w:noWrap/>
            <w:vAlign w:val="bottom"/>
            <w:hideMark/>
          </w:tcPr>
          <w:p w14:paraId="166C04E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4905B32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18348FC8" w14:textId="77777777" w:rsidTr="00C7217E">
        <w:trPr>
          <w:trHeight w:val="2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3E68914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Self–projection</w:t>
            </w:r>
          </w:p>
        </w:tc>
        <w:tc>
          <w:tcPr>
            <w:tcW w:w="774" w:type="dxa"/>
            <w:tcBorders>
              <w:top w:val="nil"/>
              <w:left w:val="nil"/>
              <w:bottom w:val="nil"/>
              <w:right w:val="nil"/>
            </w:tcBorders>
            <w:shd w:val="clear" w:color="auto" w:fill="auto"/>
            <w:noWrap/>
            <w:vAlign w:val="bottom"/>
            <w:hideMark/>
          </w:tcPr>
          <w:p w14:paraId="4C99121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3.4</w:t>
            </w:r>
          </w:p>
        </w:tc>
        <w:tc>
          <w:tcPr>
            <w:tcW w:w="825" w:type="dxa"/>
            <w:tcBorders>
              <w:top w:val="nil"/>
              <w:left w:val="nil"/>
              <w:bottom w:val="nil"/>
              <w:right w:val="nil"/>
            </w:tcBorders>
            <w:shd w:val="clear" w:color="auto" w:fill="auto"/>
            <w:noWrap/>
            <w:vAlign w:val="bottom"/>
            <w:hideMark/>
          </w:tcPr>
          <w:p w14:paraId="27583EB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3.2</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7F6AF96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(131) =.708, p=.48</w:t>
            </w:r>
          </w:p>
        </w:tc>
        <w:tc>
          <w:tcPr>
            <w:tcW w:w="850" w:type="dxa"/>
            <w:tcBorders>
              <w:top w:val="nil"/>
              <w:left w:val="nil"/>
              <w:bottom w:val="nil"/>
              <w:right w:val="nil"/>
            </w:tcBorders>
            <w:shd w:val="clear" w:color="auto" w:fill="auto"/>
            <w:noWrap/>
            <w:vAlign w:val="bottom"/>
            <w:hideMark/>
          </w:tcPr>
          <w:p w14:paraId="45EFA99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w:t>
            </w:r>
          </w:p>
        </w:tc>
        <w:tc>
          <w:tcPr>
            <w:tcW w:w="851" w:type="dxa"/>
            <w:tcBorders>
              <w:top w:val="nil"/>
              <w:left w:val="nil"/>
              <w:bottom w:val="nil"/>
              <w:right w:val="nil"/>
            </w:tcBorders>
            <w:shd w:val="clear" w:color="auto" w:fill="auto"/>
            <w:noWrap/>
            <w:vAlign w:val="bottom"/>
            <w:hideMark/>
          </w:tcPr>
          <w:p w14:paraId="164A857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3.56</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43EDE344"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(144) =.084, p=.933</w:t>
            </w:r>
          </w:p>
        </w:tc>
      </w:tr>
      <w:tr w:rsidR="00C7217E" w:rsidRPr="00530906" w14:paraId="00C76D05"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37CAA9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50A9793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25" w:type="dxa"/>
            <w:tcBorders>
              <w:top w:val="nil"/>
              <w:left w:val="nil"/>
              <w:bottom w:val="single" w:sz="4" w:space="0" w:color="auto"/>
              <w:right w:val="nil"/>
            </w:tcBorders>
            <w:shd w:val="clear" w:color="auto" w:fill="auto"/>
            <w:noWrap/>
            <w:vAlign w:val="bottom"/>
            <w:hideMark/>
          </w:tcPr>
          <w:p w14:paraId="109CE1D8"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97" w:type="dxa"/>
            <w:tcBorders>
              <w:top w:val="nil"/>
              <w:left w:val="nil"/>
              <w:bottom w:val="single" w:sz="4" w:space="0" w:color="auto"/>
              <w:right w:val="nil"/>
            </w:tcBorders>
            <w:shd w:val="clear" w:color="auto" w:fill="auto"/>
            <w:noWrap/>
            <w:vAlign w:val="bottom"/>
            <w:hideMark/>
          </w:tcPr>
          <w:p w14:paraId="6D90D64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68799EE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1CD23C2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1.4</w:t>
            </w:r>
          </w:p>
        </w:tc>
        <w:tc>
          <w:tcPr>
            <w:tcW w:w="851" w:type="dxa"/>
            <w:tcBorders>
              <w:top w:val="nil"/>
              <w:left w:val="nil"/>
              <w:bottom w:val="single" w:sz="4" w:space="0" w:color="auto"/>
              <w:right w:val="nil"/>
            </w:tcBorders>
            <w:shd w:val="clear" w:color="auto" w:fill="auto"/>
            <w:noWrap/>
            <w:vAlign w:val="bottom"/>
            <w:hideMark/>
          </w:tcPr>
          <w:p w14:paraId="485B0A3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67A3126D"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7606DFDF"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r w:rsidR="00C7217E" w:rsidRPr="00530906" w14:paraId="7D5A0CD6" w14:textId="77777777" w:rsidTr="00C7217E">
        <w:trPr>
          <w:trHeight w:val="70"/>
        </w:trPr>
        <w:tc>
          <w:tcPr>
            <w:tcW w:w="1971" w:type="dxa"/>
            <w:tcBorders>
              <w:top w:val="nil"/>
              <w:left w:val="single" w:sz="4" w:space="0" w:color="auto"/>
              <w:bottom w:val="nil"/>
              <w:right w:val="single" w:sz="4" w:space="0" w:color="auto"/>
            </w:tcBorders>
            <w:shd w:val="clear" w:color="auto" w:fill="F2F2F2" w:themeFill="background1" w:themeFillShade="F2"/>
            <w:noWrap/>
            <w:vAlign w:val="bottom"/>
            <w:hideMark/>
          </w:tcPr>
          <w:p w14:paraId="7DAE07CB"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Mental fluency</w:t>
            </w:r>
          </w:p>
        </w:tc>
        <w:tc>
          <w:tcPr>
            <w:tcW w:w="774" w:type="dxa"/>
            <w:tcBorders>
              <w:top w:val="nil"/>
              <w:left w:val="nil"/>
              <w:bottom w:val="nil"/>
              <w:right w:val="nil"/>
            </w:tcBorders>
            <w:shd w:val="clear" w:color="auto" w:fill="auto"/>
            <w:noWrap/>
            <w:vAlign w:val="bottom"/>
            <w:hideMark/>
          </w:tcPr>
          <w:p w14:paraId="186DF2A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4.5</w:t>
            </w:r>
          </w:p>
        </w:tc>
        <w:tc>
          <w:tcPr>
            <w:tcW w:w="825" w:type="dxa"/>
            <w:tcBorders>
              <w:top w:val="nil"/>
              <w:left w:val="nil"/>
              <w:bottom w:val="nil"/>
              <w:right w:val="nil"/>
            </w:tcBorders>
            <w:shd w:val="clear" w:color="auto" w:fill="auto"/>
            <w:noWrap/>
            <w:vAlign w:val="bottom"/>
            <w:hideMark/>
          </w:tcPr>
          <w:p w14:paraId="4D03CCD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1954" w:type="dxa"/>
            <w:gridSpan w:val="2"/>
            <w:tcBorders>
              <w:top w:val="single" w:sz="4" w:space="0" w:color="auto"/>
              <w:left w:val="nil"/>
              <w:bottom w:val="nil"/>
              <w:right w:val="single" w:sz="4" w:space="0" w:color="000000"/>
            </w:tcBorders>
            <w:shd w:val="clear" w:color="auto" w:fill="auto"/>
            <w:noWrap/>
            <w:vAlign w:val="bottom"/>
            <w:hideMark/>
          </w:tcPr>
          <w:p w14:paraId="25D6F0F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(131) =.654, p=.514</w:t>
            </w:r>
          </w:p>
        </w:tc>
        <w:tc>
          <w:tcPr>
            <w:tcW w:w="850" w:type="dxa"/>
            <w:tcBorders>
              <w:top w:val="nil"/>
              <w:left w:val="nil"/>
              <w:bottom w:val="nil"/>
              <w:right w:val="nil"/>
            </w:tcBorders>
            <w:shd w:val="clear" w:color="auto" w:fill="auto"/>
            <w:noWrap/>
            <w:vAlign w:val="bottom"/>
            <w:hideMark/>
          </w:tcPr>
          <w:p w14:paraId="41E7BDF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4.4</w:t>
            </w:r>
          </w:p>
        </w:tc>
        <w:tc>
          <w:tcPr>
            <w:tcW w:w="851" w:type="dxa"/>
            <w:tcBorders>
              <w:top w:val="nil"/>
              <w:left w:val="nil"/>
              <w:bottom w:val="nil"/>
              <w:right w:val="nil"/>
            </w:tcBorders>
            <w:shd w:val="clear" w:color="auto" w:fill="auto"/>
            <w:noWrap/>
            <w:vAlign w:val="bottom"/>
            <w:hideMark/>
          </w:tcPr>
          <w:p w14:paraId="726EFB4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4.3</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26AAB12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t (144) = –459, p= .647</w:t>
            </w:r>
          </w:p>
        </w:tc>
      </w:tr>
      <w:tr w:rsidR="00C7217E" w:rsidRPr="00530906" w14:paraId="71FED2DF" w14:textId="77777777" w:rsidTr="00C7217E">
        <w:trPr>
          <w:trHeight w:val="20"/>
        </w:trPr>
        <w:tc>
          <w:tcPr>
            <w:tcW w:w="197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2AB6362"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774" w:type="dxa"/>
            <w:tcBorders>
              <w:top w:val="nil"/>
              <w:left w:val="nil"/>
              <w:bottom w:val="single" w:sz="4" w:space="0" w:color="auto"/>
              <w:right w:val="nil"/>
            </w:tcBorders>
            <w:shd w:val="clear" w:color="auto" w:fill="auto"/>
            <w:noWrap/>
            <w:vAlign w:val="bottom"/>
            <w:hideMark/>
          </w:tcPr>
          <w:p w14:paraId="041060FA"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1.7</w:t>
            </w:r>
          </w:p>
        </w:tc>
        <w:tc>
          <w:tcPr>
            <w:tcW w:w="825" w:type="dxa"/>
            <w:tcBorders>
              <w:top w:val="nil"/>
              <w:left w:val="nil"/>
              <w:bottom w:val="single" w:sz="4" w:space="0" w:color="auto"/>
              <w:right w:val="nil"/>
            </w:tcBorders>
            <w:shd w:val="clear" w:color="auto" w:fill="auto"/>
            <w:noWrap/>
            <w:vAlign w:val="bottom"/>
            <w:hideMark/>
          </w:tcPr>
          <w:p w14:paraId="0364F70C"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897" w:type="dxa"/>
            <w:tcBorders>
              <w:top w:val="nil"/>
              <w:left w:val="nil"/>
              <w:bottom w:val="single" w:sz="4" w:space="0" w:color="auto"/>
              <w:right w:val="nil"/>
            </w:tcBorders>
            <w:shd w:val="clear" w:color="auto" w:fill="auto"/>
            <w:noWrap/>
            <w:vAlign w:val="bottom"/>
            <w:hideMark/>
          </w:tcPr>
          <w:p w14:paraId="53662F83"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1057" w:type="dxa"/>
            <w:tcBorders>
              <w:top w:val="nil"/>
              <w:left w:val="nil"/>
              <w:bottom w:val="single" w:sz="4" w:space="0" w:color="auto"/>
              <w:right w:val="single" w:sz="4" w:space="0" w:color="auto"/>
            </w:tcBorders>
            <w:shd w:val="clear" w:color="auto" w:fill="auto"/>
            <w:noWrap/>
            <w:vAlign w:val="bottom"/>
            <w:hideMark/>
          </w:tcPr>
          <w:p w14:paraId="12398CF6"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50" w:type="dxa"/>
            <w:tcBorders>
              <w:top w:val="nil"/>
              <w:left w:val="nil"/>
              <w:bottom w:val="single" w:sz="4" w:space="0" w:color="auto"/>
              <w:right w:val="nil"/>
            </w:tcBorders>
            <w:shd w:val="clear" w:color="auto" w:fill="auto"/>
            <w:noWrap/>
            <w:vAlign w:val="bottom"/>
            <w:hideMark/>
          </w:tcPr>
          <w:p w14:paraId="44E17A2E"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1.5</w:t>
            </w:r>
          </w:p>
        </w:tc>
        <w:tc>
          <w:tcPr>
            <w:tcW w:w="851" w:type="dxa"/>
            <w:tcBorders>
              <w:top w:val="nil"/>
              <w:left w:val="nil"/>
              <w:bottom w:val="single" w:sz="4" w:space="0" w:color="auto"/>
              <w:right w:val="nil"/>
            </w:tcBorders>
            <w:shd w:val="clear" w:color="auto" w:fill="auto"/>
            <w:noWrap/>
            <w:vAlign w:val="bottom"/>
            <w:hideMark/>
          </w:tcPr>
          <w:p w14:paraId="19191520"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1.6</w:t>
            </w:r>
          </w:p>
        </w:tc>
        <w:tc>
          <w:tcPr>
            <w:tcW w:w="1228" w:type="dxa"/>
            <w:tcBorders>
              <w:top w:val="nil"/>
              <w:left w:val="nil"/>
              <w:bottom w:val="single" w:sz="4" w:space="0" w:color="auto"/>
              <w:right w:val="nil"/>
            </w:tcBorders>
            <w:shd w:val="clear" w:color="auto" w:fill="auto"/>
            <w:noWrap/>
            <w:vAlign w:val="bottom"/>
            <w:hideMark/>
          </w:tcPr>
          <w:p w14:paraId="724C1B01"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c>
          <w:tcPr>
            <w:tcW w:w="897" w:type="dxa"/>
            <w:tcBorders>
              <w:top w:val="nil"/>
              <w:left w:val="nil"/>
              <w:bottom w:val="single" w:sz="4" w:space="0" w:color="auto"/>
              <w:right w:val="single" w:sz="4" w:space="0" w:color="auto"/>
            </w:tcBorders>
            <w:shd w:val="clear" w:color="auto" w:fill="auto"/>
            <w:noWrap/>
            <w:vAlign w:val="bottom"/>
            <w:hideMark/>
          </w:tcPr>
          <w:p w14:paraId="6CB4DFE9" w14:textId="77777777" w:rsidR="00C7217E" w:rsidRPr="00530906" w:rsidRDefault="00C7217E" w:rsidP="008756B1">
            <w:pPr>
              <w:pStyle w:val="NoSpacing"/>
              <w:jc w:val="both"/>
              <w:rPr>
                <w:rFonts w:ascii="Cambria" w:eastAsia="Times New Roman" w:hAnsi="Cambria"/>
                <w:sz w:val="20"/>
                <w:szCs w:val="20"/>
                <w:lang w:eastAsia="en-GB"/>
              </w:rPr>
            </w:pPr>
            <w:r w:rsidRPr="00530906">
              <w:rPr>
                <w:rFonts w:ascii="Cambria" w:eastAsia="Times New Roman" w:hAnsi="Cambria"/>
                <w:sz w:val="20"/>
                <w:szCs w:val="20"/>
                <w:lang w:eastAsia="en-GB"/>
              </w:rPr>
              <w:t> </w:t>
            </w:r>
          </w:p>
        </w:tc>
      </w:tr>
    </w:tbl>
    <w:p w14:paraId="57EC9E23" w14:textId="77777777" w:rsidR="00C7217E" w:rsidRPr="00530906" w:rsidRDefault="00C7217E">
      <w:pPr>
        <w:spacing w:line="360" w:lineRule="auto"/>
        <w:jc w:val="both"/>
        <w:rPr>
          <w:rFonts w:ascii="Cambria" w:hAnsi="Cambria"/>
          <w:sz w:val="16"/>
          <w:szCs w:val="16"/>
        </w:rPr>
      </w:pPr>
      <w:r w:rsidRPr="00530906">
        <w:rPr>
          <w:rFonts w:ascii="Cambria" w:hAnsi="Cambria"/>
          <w:sz w:val="16"/>
          <w:szCs w:val="16"/>
        </w:rPr>
        <w:t>The top value in each cell is the mean; the bottom value is the standard deviation</w:t>
      </w:r>
    </w:p>
    <w:p w14:paraId="2B7B7890" w14:textId="13BC4D5E" w:rsidR="00C7217E" w:rsidRPr="00530906" w:rsidRDefault="00C7217E">
      <w:pPr>
        <w:autoSpaceDE w:val="0"/>
        <w:autoSpaceDN w:val="0"/>
        <w:adjustRightInd w:val="0"/>
        <w:spacing w:after="0" w:line="360" w:lineRule="auto"/>
        <w:jc w:val="both"/>
        <w:rPr>
          <w:rFonts w:ascii="Cambria" w:hAnsi="Cambria"/>
          <w:sz w:val="24"/>
          <w:szCs w:val="24"/>
        </w:rPr>
      </w:pPr>
      <w:r w:rsidRPr="00530906">
        <w:rPr>
          <w:rFonts w:ascii="Cambria" w:hAnsi="Cambria"/>
          <w:sz w:val="24"/>
          <w:szCs w:val="24"/>
        </w:rPr>
        <w:t>There is no significant difference among the pairs when they were compared on the basis of source expertise. But, for high expertise condition, significant difference can be observed due to caption in terms of SCV–Image {(M</w:t>
      </w:r>
      <w:r w:rsidRPr="00530906">
        <w:rPr>
          <w:rFonts w:ascii="Cambria" w:hAnsi="Cambria"/>
          <w:b/>
          <w:sz w:val="24"/>
          <w:szCs w:val="24"/>
        </w:rPr>
        <w:t xml:space="preserve"> </w:t>
      </w:r>
      <w:r w:rsidRPr="00530906">
        <w:rPr>
          <w:rFonts w:ascii="Cambria" w:hAnsi="Cambria"/>
          <w:b/>
          <w:sz w:val="24"/>
          <w:szCs w:val="24"/>
          <w:vertAlign w:val="subscript"/>
        </w:rPr>
        <w:t xml:space="preserve">Positive caption high </w:t>
      </w:r>
      <w:r w:rsidR="00B834E9" w:rsidRPr="00530906">
        <w:rPr>
          <w:rFonts w:ascii="Cambria" w:hAnsi="Cambria"/>
          <w:sz w:val="24"/>
          <w:szCs w:val="24"/>
          <w:vertAlign w:val="subscript"/>
        </w:rPr>
        <w:t>expertise</w:t>
      </w:r>
      <w:r w:rsidR="00B834E9" w:rsidRPr="00530906">
        <w:rPr>
          <w:rFonts w:ascii="Cambria" w:hAnsi="Cambria"/>
          <w:sz w:val="24"/>
          <w:szCs w:val="24"/>
        </w:rPr>
        <w:t xml:space="preserve"> =</w:t>
      </w:r>
      <w:r w:rsidRPr="00530906">
        <w:rPr>
          <w:rFonts w:ascii="Cambria" w:hAnsi="Cambria"/>
          <w:sz w:val="24"/>
          <w:szCs w:val="24"/>
        </w:rPr>
        <w:t xml:space="preserve"> 4.7, SD </w:t>
      </w:r>
      <w:r w:rsidR="00B834E9" w:rsidRPr="00530906">
        <w:rPr>
          <w:rFonts w:ascii="Cambria" w:hAnsi="Cambria"/>
          <w:sz w:val="24"/>
          <w:szCs w:val="24"/>
        </w:rPr>
        <w:t>= 1.4</w:t>
      </w:r>
      <w:r w:rsidRPr="00530906">
        <w:rPr>
          <w:rFonts w:ascii="Cambria" w:hAnsi="Cambria"/>
          <w:sz w:val="24"/>
          <w:szCs w:val="24"/>
        </w:rPr>
        <w:t>) and (M = 4.15</w:t>
      </w:r>
      <w:r w:rsidRPr="00530906">
        <w:rPr>
          <w:rFonts w:ascii="Cambria" w:hAnsi="Cambria"/>
          <w:b/>
          <w:sz w:val="24"/>
          <w:szCs w:val="24"/>
        </w:rPr>
        <w:t xml:space="preserve"> </w:t>
      </w:r>
      <w:r w:rsidRPr="00530906">
        <w:rPr>
          <w:rFonts w:ascii="Cambria" w:hAnsi="Cambria"/>
          <w:b/>
          <w:sz w:val="24"/>
          <w:szCs w:val="24"/>
          <w:vertAlign w:val="subscript"/>
        </w:rPr>
        <w:t>Negative caption high</w:t>
      </w:r>
      <w:r w:rsidRPr="00530906">
        <w:rPr>
          <w:rFonts w:ascii="Cambria" w:hAnsi="Cambria"/>
          <w:sz w:val="24"/>
          <w:szCs w:val="24"/>
          <w:vertAlign w:val="subscript"/>
        </w:rPr>
        <w:t xml:space="preserve"> expertise</w:t>
      </w:r>
      <w:r w:rsidRPr="00530906">
        <w:rPr>
          <w:rFonts w:ascii="Cambria" w:hAnsi="Cambria"/>
          <w:sz w:val="24"/>
          <w:szCs w:val="24"/>
        </w:rPr>
        <w:t xml:space="preserve">, SD = </w:t>
      </w:r>
      <w:r w:rsidR="00B834E9" w:rsidRPr="00530906">
        <w:rPr>
          <w:rFonts w:ascii="Cambria" w:hAnsi="Cambria"/>
          <w:sz w:val="24"/>
          <w:szCs w:val="24"/>
        </w:rPr>
        <w:t>1.5</w:t>
      </w:r>
      <w:r w:rsidR="00B834E9">
        <w:rPr>
          <w:rFonts w:ascii="Cambria" w:hAnsi="Cambria"/>
          <w:sz w:val="24"/>
          <w:szCs w:val="24"/>
        </w:rPr>
        <w:t>;</w:t>
      </w:r>
      <w:r w:rsidRPr="00530906">
        <w:rPr>
          <w:rFonts w:ascii="Cambria" w:hAnsi="Cambria"/>
          <w:sz w:val="24"/>
          <w:szCs w:val="24"/>
        </w:rPr>
        <w:t xml:space="preserve"> t (134) = 2.2, p </w:t>
      </w:r>
      <w:r w:rsidR="00B834E9" w:rsidRPr="00530906">
        <w:rPr>
          <w:rFonts w:ascii="Cambria" w:hAnsi="Cambria"/>
          <w:sz w:val="24"/>
          <w:szCs w:val="24"/>
        </w:rPr>
        <w:t>= 0.029</w:t>
      </w:r>
      <w:r w:rsidRPr="00530906">
        <w:rPr>
          <w:rFonts w:ascii="Cambria" w:hAnsi="Cambria"/>
          <w:sz w:val="24"/>
          <w:szCs w:val="24"/>
        </w:rPr>
        <w:t xml:space="preserve">)}. Similarly for low expertise condition, difference has been observed due to type of caption in terms of SCV–image (M </w:t>
      </w:r>
      <w:r w:rsidRPr="00530906">
        <w:rPr>
          <w:rFonts w:ascii="Cambria" w:hAnsi="Cambria"/>
          <w:b/>
          <w:sz w:val="24"/>
          <w:szCs w:val="24"/>
          <w:vertAlign w:val="subscript"/>
        </w:rPr>
        <w:t xml:space="preserve">Positive caption </w:t>
      </w:r>
      <w:r w:rsidRPr="00530906">
        <w:rPr>
          <w:rFonts w:ascii="Cambria" w:hAnsi="Cambria"/>
          <w:sz w:val="24"/>
          <w:szCs w:val="24"/>
          <w:vertAlign w:val="subscript"/>
        </w:rPr>
        <w:t xml:space="preserve">low </w:t>
      </w:r>
      <w:r w:rsidR="00B834E9" w:rsidRPr="00530906">
        <w:rPr>
          <w:rFonts w:ascii="Cambria" w:hAnsi="Cambria"/>
          <w:sz w:val="24"/>
          <w:szCs w:val="24"/>
          <w:vertAlign w:val="subscript"/>
        </w:rPr>
        <w:t>expertise</w:t>
      </w:r>
      <w:r w:rsidR="00B834E9" w:rsidRPr="00530906">
        <w:rPr>
          <w:rFonts w:ascii="Cambria" w:hAnsi="Cambria"/>
          <w:sz w:val="24"/>
          <w:szCs w:val="24"/>
        </w:rPr>
        <w:t xml:space="preserve"> =</w:t>
      </w:r>
      <w:r w:rsidRPr="00530906">
        <w:rPr>
          <w:rFonts w:ascii="Cambria" w:hAnsi="Cambria"/>
          <w:sz w:val="24"/>
          <w:szCs w:val="24"/>
        </w:rPr>
        <w:t xml:space="preserve"> 4.4</w:t>
      </w:r>
      <w:r w:rsidR="00B834E9" w:rsidRPr="00530906">
        <w:rPr>
          <w:rFonts w:ascii="Cambria" w:hAnsi="Cambria"/>
          <w:sz w:val="24"/>
          <w:szCs w:val="24"/>
        </w:rPr>
        <w:t>, SD</w:t>
      </w:r>
      <w:r w:rsidRPr="00530906">
        <w:rPr>
          <w:rFonts w:ascii="Cambria" w:hAnsi="Cambria"/>
          <w:sz w:val="24"/>
          <w:szCs w:val="24"/>
        </w:rPr>
        <w:t xml:space="preserve"> </w:t>
      </w:r>
      <w:r w:rsidR="00B834E9" w:rsidRPr="00530906">
        <w:rPr>
          <w:rFonts w:ascii="Cambria" w:hAnsi="Cambria"/>
          <w:sz w:val="24"/>
          <w:szCs w:val="24"/>
        </w:rPr>
        <w:t>= 1.4</w:t>
      </w:r>
      <w:r w:rsidRPr="00530906">
        <w:rPr>
          <w:rFonts w:ascii="Cambria" w:hAnsi="Cambria"/>
          <w:sz w:val="24"/>
          <w:szCs w:val="24"/>
        </w:rPr>
        <w:t xml:space="preserve">) and (M </w:t>
      </w:r>
      <w:r w:rsidRPr="00530906">
        <w:rPr>
          <w:rFonts w:ascii="Cambria" w:hAnsi="Cambria"/>
          <w:b/>
          <w:sz w:val="24"/>
          <w:szCs w:val="24"/>
          <w:vertAlign w:val="subscript"/>
        </w:rPr>
        <w:t>Negative caption</w:t>
      </w:r>
      <w:r w:rsidRPr="00530906">
        <w:rPr>
          <w:rFonts w:ascii="Cambria" w:hAnsi="Cambria"/>
          <w:sz w:val="24"/>
          <w:szCs w:val="24"/>
          <w:vertAlign w:val="subscript"/>
        </w:rPr>
        <w:t xml:space="preserve"> low expertise </w:t>
      </w:r>
      <w:r w:rsidRPr="00530906">
        <w:rPr>
          <w:rFonts w:ascii="Cambria" w:hAnsi="Cambria"/>
          <w:sz w:val="24"/>
          <w:szCs w:val="24"/>
        </w:rPr>
        <w:t xml:space="preserve">= 3.9, SD = 1.6; t (141) = 1.95, p =  0.05). Yet, the congruency between caption type and level of expertise have caused the greatest difference between groups (M </w:t>
      </w:r>
      <w:r w:rsidRPr="00530906">
        <w:rPr>
          <w:rFonts w:ascii="Cambria" w:hAnsi="Cambria"/>
          <w:sz w:val="24"/>
          <w:szCs w:val="24"/>
          <w:vertAlign w:val="subscript"/>
        </w:rPr>
        <w:t xml:space="preserve">Positive caption high </w:t>
      </w:r>
      <w:r w:rsidR="00B834E9" w:rsidRPr="00530906">
        <w:rPr>
          <w:rFonts w:ascii="Cambria" w:hAnsi="Cambria"/>
          <w:b/>
          <w:sz w:val="24"/>
          <w:szCs w:val="24"/>
          <w:vertAlign w:val="subscript"/>
        </w:rPr>
        <w:t>expertise</w:t>
      </w:r>
      <w:r w:rsidR="00B834E9" w:rsidRPr="00530906">
        <w:rPr>
          <w:rFonts w:ascii="Cambria" w:hAnsi="Cambria"/>
          <w:sz w:val="24"/>
          <w:szCs w:val="24"/>
          <w:vertAlign w:val="subscript"/>
        </w:rPr>
        <w:t xml:space="preserve"> =</w:t>
      </w:r>
      <w:r w:rsidRPr="00530906">
        <w:rPr>
          <w:rFonts w:ascii="Cambria" w:hAnsi="Cambria"/>
          <w:sz w:val="24"/>
          <w:szCs w:val="24"/>
        </w:rPr>
        <w:t xml:space="preserve"> 4.7, SD </w:t>
      </w:r>
      <w:r w:rsidR="00B834E9" w:rsidRPr="00530906">
        <w:rPr>
          <w:rFonts w:ascii="Cambria" w:hAnsi="Cambria"/>
          <w:sz w:val="24"/>
          <w:szCs w:val="24"/>
        </w:rPr>
        <w:t>= 1.4</w:t>
      </w:r>
      <w:r w:rsidRPr="00530906">
        <w:rPr>
          <w:rFonts w:ascii="Cambria" w:hAnsi="Cambria"/>
          <w:sz w:val="24"/>
          <w:szCs w:val="24"/>
        </w:rPr>
        <w:t xml:space="preserve">) and (M </w:t>
      </w:r>
      <w:r w:rsidRPr="00530906">
        <w:rPr>
          <w:rFonts w:ascii="Cambria" w:hAnsi="Cambria"/>
          <w:b/>
          <w:sz w:val="24"/>
          <w:szCs w:val="24"/>
          <w:vertAlign w:val="subscript"/>
        </w:rPr>
        <w:t>Negative caption Low expertise</w:t>
      </w:r>
      <w:r w:rsidRPr="00530906">
        <w:rPr>
          <w:rFonts w:ascii="Cambria" w:hAnsi="Cambria"/>
          <w:sz w:val="24"/>
          <w:szCs w:val="24"/>
        </w:rPr>
        <w:t xml:space="preserve"> = 3.9, SD = 1.6; t (131) = 3.102, p </w:t>
      </w:r>
      <w:r w:rsidR="00B834E9" w:rsidRPr="00530906">
        <w:rPr>
          <w:rFonts w:ascii="Cambria" w:hAnsi="Cambria"/>
          <w:sz w:val="24"/>
          <w:szCs w:val="24"/>
        </w:rPr>
        <w:t>= 0.002</w:t>
      </w:r>
      <w:r w:rsidRPr="00530906">
        <w:rPr>
          <w:rFonts w:ascii="Cambria" w:hAnsi="Cambria"/>
          <w:sz w:val="24"/>
          <w:szCs w:val="24"/>
        </w:rPr>
        <w:t xml:space="preserve">) in terms of SCV Image. </w:t>
      </w:r>
      <w:r w:rsidR="00F3429B" w:rsidRPr="00530906">
        <w:rPr>
          <w:rFonts w:ascii="Cambria" w:hAnsi="Cambria"/>
          <w:sz w:val="24"/>
          <w:szCs w:val="24"/>
        </w:rPr>
        <w:t>Whereas</w:t>
      </w:r>
      <w:r w:rsidRPr="00530906">
        <w:rPr>
          <w:rFonts w:ascii="Cambria" w:hAnsi="Cambria"/>
          <w:sz w:val="24"/>
          <w:szCs w:val="24"/>
        </w:rPr>
        <w:t xml:space="preserve"> there is no significant difference on any of SCV dimensions for incongruent groups – Positive caption low expertise and Negative caption high expertise. </w:t>
      </w:r>
    </w:p>
    <w:p w14:paraId="3ACCE99B" w14:textId="380B7A51" w:rsidR="00C7217E" w:rsidRPr="00530906" w:rsidRDefault="00C60A9C" w:rsidP="00C60A9C">
      <w:pPr>
        <w:pStyle w:val="Heading3"/>
      </w:pPr>
      <w:bookmarkStart w:id="93" w:name="_Toc115726267"/>
      <w:r>
        <w:t>5.1.2. Relationship</w:t>
      </w:r>
      <w:r w:rsidR="002C31BF">
        <w:t>s among the variables</w:t>
      </w:r>
      <w:bookmarkEnd w:id="93"/>
    </w:p>
    <w:p w14:paraId="622AA91C"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The relationship between ‘involvement’ as IV and 4 dimensions of SCV as DV (</w:t>
      </w:r>
      <w:r w:rsidRPr="00530906">
        <w:rPr>
          <w:rFonts w:ascii="Cambria" w:hAnsi="Cambria"/>
          <w:sz w:val="24"/>
          <w:szCs w:val="24"/>
        </w:rPr>
        <w:t>H</w:t>
      </w:r>
      <w:r w:rsidRPr="00530906">
        <w:rPr>
          <w:rFonts w:ascii="Cambria" w:hAnsi="Cambria"/>
          <w:sz w:val="24"/>
          <w:szCs w:val="24"/>
          <w:vertAlign w:val="subscript"/>
        </w:rPr>
        <w:t>5)</w:t>
      </w:r>
      <w:r w:rsidRPr="00530906">
        <w:rPr>
          <w:rFonts w:ascii="Cambria" w:hAnsi="Cambria"/>
          <w:sz w:val="24"/>
          <w:szCs w:val="24"/>
        </w:rPr>
        <w:t xml:space="preserve"> was </w:t>
      </w:r>
      <w:r w:rsidRPr="00530906">
        <w:rPr>
          <w:rFonts w:ascii="Cambria" w:hAnsi="Cambria"/>
          <w:color w:val="000000" w:themeColor="text1"/>
          <w:sz w:val="24"/>
          <w:szCs w:val="24"/>
        </w:rPr>
        <w:t>tested in a series of 4 separate linear regression. Involvement positively and significantly influenced image quality (β = .722, p = .000) in a way that it accounts for 38.4% variance (F (1,277) = 172.69, p = .000) in image quality.</w:t>
      </w:r>
    </w:p>
    <w:p w14:paraId="19A69428"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Image quality </w:t>
      </w:r>
      <w:r w:rsidRPr="00530906">
        <w:rPr>
          <w:rFonts w:ascii="Cambria" w:hAnsi="Cambria"/>
          <w:color w:val="000000" w:themeColor="text1"/>
          <w:sz w:val="24"/>
          <w:szCs w:val="24"/>
        </w:rPr>
        <w:tab/>
      </w:r>
      <w:r w:rsidRPr="00530906">
        <w:rPr>
          <w:rFonts w:ascii="Cambria" w:hAnsi="Cambria"/>
          <w:color w:val="000000" w:themeColor="text1"/>
          <w:sz w:val="24"/>
          <w:szCs w:val="24"/>
        </w:rPr>
        <w:tab/>
        <w:t xml:space="preserve">=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involvement</w:t>
      </w:r>
    </w:p>
    <w:p w14:paraId="268E751C" w14:textId="77777777" w:rsidR="00C7217E" w:rsidRPr="00530906" w:rsidRDefault="00C7217E" w:rsidP="008756B1">
      <w:pPr>
        <w:ind w:left="1440" w:firstLine="720"/>
        <w:jc w:val="both"/>
        <w:rPr>
          <w:rFonts w:ascii="Cambria" w:hAnsi="Cambria"/>
          <w:color w:val="000000" w:themeColor="text1"/>
          <w:sz w:val="24"/>
          <w:szCs w:val="24"/>
        </w:rPr>
      </w:pPr>
      <w:r w:rsidRPr="00530906">
        <w:rPr>
          <w:rFonts w:ascii="Cambria" w:hAnsi="Cambria"/>
          <w:color w:val="000000" w:themeColor="text1"/>
          <w:sz w:val="24"/>
          <w:szCs w:val="24"/>
        </w:rPr>
        <w:t>= .985 + .722 involvement</w:t>
      </w:r>
    </w:p>
    <w:p w14:paraId="422F7DF3" w14:textId="684F98CA"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Similarly, involvement positively and significantly influenced Engrossment (β </w:t>
      </w:r>
      <w:r w:rsidR="00B834E9" w:rsidRPr="00530906">
        <w:rPr>
          <w:rFonts w:ascii="Cambria" w:hAnsi="Cambria"/>
          <w:color w:val="000000" w:themeColor="text1"/>
          <w:sz w:val="24"/>
          <w:szCs w:val="24"/>
        </w:rPr>
        <w:t>= .</w:t>
      </w:r>
      <w:r w:rsidRPr="00530906">
        <w:rPr>
          <w:rFonts w:ascii="Cambria" w:hAnsi="Cambria"/>
          <w:color w:val="000000" w:themeColor="text1"/>
          <w:sz w:val="24"/>
          <w:szCs w:val="24"/>
        </w:rPr>
        <w:t>200, p = .000) in way that it accounts for 4.6% variance (F (1,277) = 13.3, p = .000) in engrossment.</w:t>
      </w:r>
    </w:p>
    <w:p w14:paraId="32FFB7C2"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Engrossment </w:t>
      </w:r>
      <w:r w:rsidRPr="00530906">
        <w:rPr>
          <w:rFonts w:ascii="Cambria" w:hAnsi="Cambria"/>
          <w:color w:val="000000" w:themeColor="text1"/>
          <w:sz w:val="24"/>
          <w:szCs w:val="24"/>
        </w:rPr>
        <w:tab/>
      </w:r>
      <w:r w:rsidRPr="00530906">
        <w:rPr>
          <w:rFonts w:ascii="Cambria" w:hAnsi="Cambria"/>
          <w:color w:val="000000" w:themeColor="text1"/>
          <w:sz w:val="24"/>
          <w:szCs w:val="24"/>
        </w:rPr>
        <w:tab/>
        <w:t xml:space="preserve">=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involvement</w:t>
      </w:r>
    </w:p>
    <w:p w14:paraId="17395735" w14:textId="77777777" w:rsidR="00C7217E" w:rsidRPr="00530906" w:rsidRDefault="00C7217E" w:rsidP="008756B1">
      <w:pPr>
        <w:ind w:left="1440" w:firstLine="720"/>
        <w:jc w:val="both"/>
        <w:rPr>
          <w:rFonts w:ascii="Cambria" w:hAnsi="Cambria"/>
          <w:color w:val="000000" w:themeColor="text1"/>
          <w:sz w:val="24"/>
          <w:szCs w:val="24"/>
        </w:rPr>
      </w:pPr>
      <w:r w:rsidRPr="00530906">
        <w:rPr>
          <w:rFonts w:ascii="Cambria" w:hAnsi="Cambria"/>
          <w:color w:val="000000" w:themeColor="text1"/>
          <w:sz w:val="24"/>
          <w:szCs w:val="24"/>
        </w:rPr>
        <w:t>=1.703 + .200 involvement</w:t>
      </w:r>
    </w:p>
    <w:p w14:paraId="0DD35BE8"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Likewise, involvement positively and significantly influenced self–projection (β = .599, p = .000) in way that it accounts for 29% variance (F (1,277) =112.89, p= .000) in self projection. </w:t>
      </w:r>
    </w:p>
    <w:p w14:paraId="007989FC" w14:textId="77777777" w:rsidR="00C7217E" w:rsidRPr="00530906" w:rsidRDefault="00C7217E" w:rsidP="008756B1">
      <w:pPr>
        <w:spacing w:before="240"/>
        <w:jc w:val="both"/>
        <w:rPr>
          <w:rFonts w:ascii="Cambria" w:hAnsi="Cambria"/>
          <w:color w:val="000000" w:themeColor="text1"/>
          <w:sz w:val="24"/>
          <w:szCs w:val="24"/>
        </w:rPr>
      </w:pPr>
      <w:r w:rsidRPr="00530906">
        <w:rPr>
          <w:rFonts w:ascii="Cambria" w:hAnsi="Cambria"/>
          <w:color w:val="000000" w:themeColor="text1"/>
          <w:sz w:val="24"/>
          <w:szCs w:val="24"/>
        </w:rPr>
        <w:t>Self</w:t>
      </w:r>
      <w:r w:rsidRPr="00530906">
        <w:rPr>
          <w:rFonts w:ascii="Cambria" w:hAnsi="Cambria"/>
          <w:color w:val="000000" w:themeColor="text1"/>
          <w:sz w:val="24"/>
          <w:szCs w:val="24"/>
        </w:rPr>
        <w:softHyphen/>
        <w:t xml:space="preserve">–projection </w:t>
      </w:r>
      <w:r w:rsidRPr="00530906">
        <w:rPr>
          <w:rFonts w:ascii="Cambria" w:hAnsi="Cambria"/>
          <w:color w:val="000000" w:themeColor="text1"/>
          <w:sz w:val="24"/>
          <w:szCs w:val="24"/>
        </w:rPr>
        <w:tab/>
        <w:t xml:space="preserve">=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involvement</w:t>
      </w:r>
    </w:p>
    <w:p w14:paraId="51AF2C96" w14:textId="77777777" w:rsidR="00C7217E" w:rsidRPr="00530906" w:rsidRDefault="00C7217E" w:rsidP="008756B1">
      <w:pPr>
        <w:ind w:left="1440" w:firstLine="720"/>
        <w:jc w:val="both"/>
        <w:rPr>
          <w:rFonts w:ascii="Cambria" w:hAnsi="Cambria"/>
          <w:color w:val="000000" w:themeColor="text1"/>
          <w:sz w:val="24"/>
          <w:szCs w:val="24"/>
        </w:rPr>
      </w:pPr>
      <w:r w:rsidRPr="00530906">
        <w:rPr>
          <w:rFonts w:ascii="Cambria" w:hAnsi="Cambria"/>
          <w:color w:val="000000" w:themeColor="text1"/>
          <w:sz w:val="24"/>
          <w:szCs w:val="24"/>
        </w:rPr>
        <w:t>= .713+ .599 involvement</w:t>
      </w:r>
    </w:p>
    <w:p w14:paraId="484E5E7E"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Involvement positively and significantly influenced mental fluency (β = .578, p = .000) in way that it accounts for 21.7% variance (F (1,277) = 76.8, p= .000) in mental fluency.</w:t>
      </w:r>
    </w:p>
    <w:p w14:paraId="018BF194"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Mental fluency </w:t>
      </w:r>
      <w:r w:rsidRPr="00530906">
        <w:rPr>
          <w:rFonts w:ascii="Cambria" w:hAnsi="Cambria"/>
          <w:color w:val="000000" w:themeColor="text1"/>
          <w:sz w:val="24"/>
          <w:szCs w:val="24"/>
        </w:rPr>
        <w:tab/>
        <w:t xml:space="preserve">=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involvement</w:t>
      </w:r>
    </w:p>
    <w:p w14:paraId="70BF5A28"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=1.764+ .578 involvement</w:t>
      </w:r>
    </w:p>
    <w:p w14:paraId="77F2B4DA" w14:textId="08CE517F"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On the basis of the causal relationship, it can be inferred that Involvement has positive and significant influence on all four dimensions of SCV. The SPSS output has been reported in Appendix </w:t>
      </w:r>
      <w:r w:rsidR="009E3F12">
        <w:rPr>
          <w:rFonts w:ascii="Cambria" w:hAnsi="Cambria"/>
          <w:color w:val="000000" w:themeColor="text1"/>
          <w:sz w:val="24"/>
          <w:szCs w:val="24"/>
        </w:rPr>
        <w:t>4</w:t>
      </w:r>
      <w:r w:rsidRPr="00530906">
        <w:rPr>
          <w:rFonts w:ascii="Cambria" w:hAnsi="Cambria"/>
          <w:color w:val="000000" w:themeColor="text1"/>
          <w:sz w:val="24"/>
          <w:szCs w:val="24"/>
        </w:rPr>
        <w:t>.2.</w:t>
      </w:r>
    </w:p>
    <w:p w14:paraId="35111265" w14:textId="77777777" w:rsidR="00C7217E" w:rsidRPr="00530906" w:rsidRDefault="00C7217E">
      <w:pPr>
        <w:autoSpaceDE w:val="0"/>
        <w:autoSpaceDN w:val="0"/>
        <w:adjustRightInd w:val="0"/>
        <w:spacing w:after="0" w:line="360" w:lineRule="auto"/>
        <w:jc w:val="both"/>
        <w:rPr>
          <w:rFonts w:ascii="Cambria" w:hAnsi="Cambria"/>
          <w:color w:val="000000" w:themeColor="text1"/>
          <w:sz w:val="24"/>
          <w:szCs w:val="24"/>
        </w:rPr>
      </w:pPr>
    </w:p>
    <w:p w14:paraId="6AFB88A0" w14:textId="6718049A"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Relationship between SCV and ‘engagement’ (H</w:t>
      </w:r>
      <w:r w:rsidRPr="00530906">
        <w:rPr>
          <w:rFonts w:ascii="Cambria" w:hAnsi="Cambria"/>
          <w:color w:val="000000" w:themeColor="text1"/>
          <w:sz w:val="24"/>
          <w:szCs w:val="24"/>
          <w:vertAlign w:val="subscript"/>
        </w:rPr>
        <w:t>6</w:t>
      </w:r>
      <w:r w:rsidRPr="00530906">
        <w:rPr>
          <w:rFonts w:ascii="Cambria" w:hAnsi="Cambria"/>
          <w:color w:val="000000" w:themeColor="text1"/>
          <w:sz w:val="24"/>
          <w:szCs w:val="24"/>
        </w:rPr>
        <w:t>) has been tested through multiple regression model where the four dimensions of SCV (image quality, engrossment, self–projection and mental fluency) are the predictors of ‘social media engagement’</w:t>
      </w:r>
      <w:r w:rsidR="0007249A" w:rsidRPr="00530906">
        <w:rPr>
          <w:rFonts w:ascii="Cambria" w:hAnsi="Cambria"/>
          <w:color w:val="000000" w:themeColor="text1"/>
          <w:sz w:val="24"/>
          <w:szCs w:val="24"/>
        </w:rPr>
        <w:t xml:space="preserve"> (See Hair et al 2003)</w:t>
      </w:r>
      <w:r w:rsidRPr="00530906">
        <w:rPr>
          <w:rFonts w:ascii="Cambria" w:hAnsi="Cambria"/>
          <w:color w:val="000000" w:themeColor="text1"/>
          <w:sz w:val="24"/>
          <w:szCs w:val="24"/>
        </w:rPr>
        <w:t>. H</w:t>
      </w:r>
      <w:r w:rsidRPr="00530906">
        <w:rPr>
          <w:rFonts w:ascii="Cambria" w:hAnsi="Cambria"/>
          <w:color w:val="000000" w:themeColor="text1"/>
          <w:sz w:val="24"/>
          <w:szCs w:val="24"/>
          <w:vertAlign w:val="subscript"/>
        </w:rPr>
        <w:t>6</w:t>
      </w:r>
      <w:r w:rsidRPr="00530906">
        <w:rPr>
          <w:rFonts w:ascii="Cambria" w:hAnsi="Cambria"/>
          <w:color w:val="000000" w:themeColor="text1"/>
          <w:sz w:val="24"/>
          <w:szCs w:val="24"/>
        </w:rPr>
        <w:t xml:space="preserve"> was confirmed since SCV as a whole explains 33.5% (R</w:t>
      </w:r>
      <w:r w:rsidRPr="00530906">
        <w:rPr>
          <w:rFonts w:ascii="Cambria" w:hAnsi="Cambria"/>
          <w:color w:val="000000" w:themeColor="text1"/>
          <w:sz w:val="24"/>
          <w:szCs w:val="24"/>
          <w:vertAlign w:val="superscript"/>
        </w:rPr>
        <w:t>2</w:t>
      </w:r>
      <w:r w:rsidRPr="00530906">
        <w:rPr>
          <w:rFonts w:ascii="Cambria" w:hAnsi="Cambria"/>
          <w:color w:val="000000" w:themeColor="text1"/>
          <w:sz w:val="24"/>
          <w:szCs w:val="24"/>
        </w:rPr>
        <w:t xml:space="preserve"> = .335, p = .000) variance in ‘social media engagement’. Further comparison of </w:t>
      </w:r>
      <w:r w:rsidR="00F3429B" w:rsidRPr="00530906">
        <w:rPr>
          <w:rFonts w:ascii="Cambria" w:hAnsi="Cambria"/>
          <w:color w:val="000000" w:themeColor="text1"/>
          <w:sz w:val="24"/>
          <w:szCs w:val="24"/>
        </w:rPr>
        <w:t>standardised</w:t>
      </w:r>
      <w:r w:rsidRPr="00530906">
        <w:rPr>
          <w:rFonts w:ascii="Cambria" w:hAnsi="Cambria"/>
          <w:color w:val="000000" w:themeColor="text1"/>
          <w:sz w:val="24"/>
          <w:szCs w:val="24"/>
        </w:rPr>
        <w:t xml:space="preserve"> beta shows ‘self–projection’ (β = .339, p = .000) is the largest contributor, followed by ‘image quality’ (β = .195, p = .001). Nevertheless ‘engrossment’ (β = .037, p = .492), and ‘mental fluency’ (β = .126, p = .072) did not significantly contribute </w:t>
      </w:r>
      <w:r w:rsidR="009E3F12" w:rsidRPr="00530906">
        <w:rPr>
          <w:rFonts w:ascii="Cambria" w:hAnsi="Cambria"/>
          <w:color w:val="000000" w:themeColor="text1"/>
          <w:sz w:val="24"/>
          <w:szCs w:val="24"/>
        </w:rPr>
        <w:t>to</w:t>
      </w:r>
      <w:r w:rsidRPr="00530906">
        <w:rPr>
          <w:rFonts w:ascii="Cambria" w:hAnsi="Cambria"/>
          <w:color w:val="000000" w:themeColor="text1"/>
          <w:sz w:val="24"/>
          <w:szCs w:val="24"/>
        </w:rPr>
        <w:t xml:space="preserve"> the variance of ‘social media engagement’. The SPSS output has been reported in Appendix </w:t>
      </w:r>
      <w:r w:rsidR="009E3F12">
        <w:rPr>
          <w:rFonts w:ascii="Cambria" w:hAnsi="Cambria"/>
          <w:color w:val="000000" w:themeColor="text1"/>
          <w:sz w:val="24"/>
          <w:szCs w:val="24"/>
        </w:rPr>
        <w:t>4</w:t>
      </w:r>
      <w:r w:rsidRPr="00530906">
        <w:rPr>
          <w:rFonts w:ascii="Cambria" w:hAnsi="Cambria"/>
          <w:color w:val="000000" w:themeColor="text1"/>
          <w:sz w:val="24"/>
          <w:szCs w:val="24"/>
        </w:rPr>
        <w:t>.2.</w:t>
      </w:r>
    </w:p>
    <w:p w14:paraId="4EB55D75" w14:textId="77777777" w:rsidR="00C7217E" w:rsidRPr="00530906" w:rsidRDefault="00C7217E" w:rsidP="008756B1">
      <w:pPr>
        <w:ind w:left="1418" w:hanging="1418"/>
        <w:jc w:val="both"/>
        <w:rPr>
          <w:rFonts w:ascii="Cambria" w:hAnsi="Cambria"/>
          <w:color w:val="000000" w:themeColor="text1"/>
          <w:sz w:val="24"/>
          <w:szCs w:val="24"/>
        </w:rPr>
      </w:pPr>
      <w:r w:rsidRPr="00530906">
        <w:rPr>
          <w:rFonts w:ascii="Cambria" w:hAnsi="Cambria"/>
          <w:color w:val="000000" w:themeColor="text1"/>
          <w:sz w:val="24"/>
          <w:szCs w:val="24"/>
        </w:rPr>
        <w:t>Engagement   = 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 xml:space="preserve">Image quality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2 </w:t>
      </w:r>
      <w:r w:rsidRPr="00530906">
        <w:rPr>
          <w:rFonts w:ascii="Cambria" w:hAnsi="Cambria"/>
          <w:color w:val="000000" w:themeColor="text1"/>
          <w:sz w:val="24"/>
          <w:szCs w:val="24"/>
        </w:rPr>
        <w:t xml:space="preserve">Engrossment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3 </w:t>
      </w:r>
      <w:r w:rsidRPr="00530906">
        <w:rPr>
          <w:rFonts w:ascii="Cambria" w:hAnsi="Cambria"/>
          <w:color w:val="000000" w:themeColor="text1"/>
          <w:sz w:val="24"/>
          <w:szCs w:val="24"/>
        </w:rPr>
        <w:t xml:space="preserve">Self–projection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4 </w:t>
      </w:r>
      <w:r w:rsidRPr="00530906">
        <w:rPr>
          <w:rFonts w:ascii="Cambria" w:hAnsi="Cambria"/>
          <w:color w:val="000000" w:themeColor="text1"/>
          <w:sz w:val="24"/>
          <w:szCs w:val="24"/>
        </w:rPr>
        <w:t>Mental fluency</w:t>
      </w:r>
    </w:p>
    <w:p w14:paraId="1ECF2ABF" w14:textId="77777777" w:rsidR="00C7217E" w:rsidRPr="00530906" w:rsidRDefault="00C7217E" w:rsidP="008756B1">
      <w:pPr>
        <w:ind w:left="1418" w:hanging="11"/>
        <w:jc w:val="both"/>
        <w:rPr>
          <w:rFonts w:ascii="Cambria" w:hAnsi="Cambria"/>
          <w:color w:val="000000" w:themeColor="text1"/>
          <w:sz w:val="24"/>
          <w:szCs w:val="24"/>
        </w:rPr>
      </w:pPr>
      <w:r w:rsidRPr="00530906">
        <w:rPr>
          <w:rFonts w:ascii="Cambria" w:hAnsi="Cambria"/>
          <w:color w:val="000000" w:themeColor="text1"/>
          <w:sz w:val="24"/>
          <w:szCs w:val="24"/>
        </w:rPr>
        <w:t>=</w:t>
      </w:r>
      <w:r w:rsidRPr="00530906">
        <w:rPr>
          <w:rFonts w:ascii="Cambria" w:hAnsi="Cambria" w:cstheme="minorHAnsi"/>
          <w:color w:val="000000" w:themeColor="text1"/>
          <w:sz w:val="24"/>
          <w:szCs w:val="24"/>
        </w:rPr>
        <w:t xml:space="preserve">1.255 </w:t>
      </w:r>
      <w:r w:rsidRPr="00530906">
        <w:rPr>
          <w:rFonts w:ascii="Cambria" w:hAnsi="Cambria"/>
          <w:color w:val="000000" w:themeColor="text1"/>
          <w:sz w:val="24"/>
          <w:szCs w:val="24"/>
        </w:rPr>
        <w:t xml:space="preserve">+ </w:t>
      </w:r>
      <w:r w:rsidRPr="00530906">
        <w:rPr>
          <w:rFonts w:ascii="Cambria" w:hAnsi="Cambria" w:cstheme="minorHAnsi"/>
          <w:color w:val="000000" w:themeColor="text1"/>
          <w:sz w:val="24"/>
          <w:szCs w:val="24"/>
        </w:rPr>
        <w:t xml:space="preserve">.173 </w:t>
      </w:r>
      <w:r w:rsidRPr="00530906">
        <w:rPr>
          <w:rFonts w:ascii="Cambria" w:hAnsi="Cambria"/>
          <w:color w:val="000000" w:themeColor="text1"/>
          <w:sz w:val="24"/>
          <w:szCs w:val="24"/>
        </w:rPr>
        <w:t xml:space="preserve">Image quality + </w:t>
      </w:r>
      <w:r w:rsidRPr="00530906">
        <w:rPr>
          <w:rFonts w:ascii="Cambria" w:hAnsi="Cambria" w:cstheme="minorHAnsi"/>
          <w:color w:val="000000" w:themeColor="text1"/>
          <w:sz w:val="24"/>
          <w:szCs w:val="24"/>
        </w:rPr>
        <w:t xml:space="preserve">.040 </w:t>
      </w:r>
      <w:r w:rsidRPr="00530906">
        <w:rPr>
          <w:rFonts w:ascii="Cambria" w:hAnsi="Cambria"/>
          <w:color w:val="000000" w:themeColor="text1"/>
          <w:sz w:val="24"/>
          <w:szCs w:val="24"/>
        </w:rPr>
        <w:t xml:space="preserve">Engrossment + </w:t>
      </w:r>
      <w:r w:rsidRPr="00530906">
        <w:rPr>
          <w:rFonts w:ascii="Cambria" w:hAnsi="Cambria" w:cstheme="minorHAnsi"/>
          <w:color w:val="000000" w:themeColor="text1"/>
          <w:sz w:val="24"/>
          <w:szCs w:val="24"/>
        </w:rPr>
        <w:t xml:space="preserve">.314 </w:t>
      </w:r>
      <w:r w:rsidRPr="00530906">
        <w:rPr>
          <w:rFonts w:ascii="Cambria" w:hAnsi="Cambria"/>
          <w:color w:val="000000" w:themeColor="text1"/>
          <w:sz w:val="24"/>
          <w:szCs w:val="24"/>
        </w:rPr>
        <w:t xml:space="preserve">Self–projection + </w:t>
      </w:r>
      <w:r w:rsidRPr="00530906">
        <w:rPr>
          <w:rFonts w:ascii="Cambria" w:hAnsi="Cambria" w:cstheme="minorHAnsi"/>
          <w:color w:val="000000" w:themeColor="text1"/>
          <w:sz w:val="24"/>
          <w:szCs w:val="24"/>
        </w:rPr>
        <w:t xml:space="preserve">.104 </w:t>
      </w:r>
      <w:r w:rsidRPr="00530906">
        <w:rPr>
          <w:rFonts w:ascii="Cambria" w:hAnsi="Cambria"/>
          <w:color w:val="000000" w:themeColor="text1"/>
          <w:sz w:val="24"/>
          <w:szCs w:val="24"/>
        </w:rPr>
        <w:t>Mental fluency</w:t>
      </w:r>
    </w:p>
    <w:p w14:paraId="0CA7A1AE" w14:textId="1D99558B"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Relationship between SCV and ‘pleasure’ (H</w:t>
      </w:r>
      <w:r w:rsidRPr="00530906">
        <w:rPr>
          <w:rFonts w:ascii="Cambria" w:hAnsi="Cambria"/>
          <w:color w:val="000000" w:themeColor="text1"/>
          <w:sz w:val="24"/>
          <w:szCs w:val="24"/>
          <w:vertAlign w:val="subscript"/>
        </w:rPr>
        <w:t xml:space="preserve">7) </w:t>
      </w:r>
      <w:r w:rsidRPr="00530906">
        <w:rPr>
          <w:rFonts w:ascii="Cambria" w:hAnsi="Cambria"/>
          <w:color w:val="000000" w:themeColor="text1"/>
          <w:sz w:val="24"/>
          <w:szCs w:val="24"/>
        </w:rPr>
        <w:t>has been tested through multiple regression model where the four dimensions of SCV (image quality, engrossment, self–projection and mental fluency) are the predictors of pleasure. H</w:t>
      </w:r>
      <w:r w:rsidRPr="00530906">
        <w:rPr>
          <w:rFonts w:ascii="Cambria" w:hAnsi="Cambria"/>
          <w:color w:val="000000" w:themeColor="text1"/>
          <w:sz w:val="24"/>
          <w:szCs w:val="24"/>
          <w:vertAlign w:val="subscript"/>
        </w:rPr>
        <w:t>7</w:t>
      </w:r>
      <w:r w:rsidRPr="00530906">
        <w:rPr>
          <w:rFonts w:ascii="Cambria" w:hAnsi="Cambria"/>
          <w:color w:val="000000" w:themeColor="text1"/>
          <w:sz w:val="24"/>
          <w:szCs w:val="24"/>
        </w:rPr>
        <w:t xml:space="preserve"> was confirmed since SCV, as a whole, explains 43.9% (R</w:t>
      </w:r>
      <w:r w:rsidRPr="00530906">
        <w:rPr>
          <w:rFonts w:ascii="Cambria" w:hAnsi="Cambria"/>
          <w:color w:val="000000" w:themeColor="text1"/>
          <w:sz w:val="24"/>
          <w:szCs w:val="24"/>
          <w:vertAlign w:val="subscript"/>
        </w:rPr>
        <w:t>2</w:t>
      </w:r>
      <w:r w:rsidRPr="00530906">
        <w:rPr>
          <w:rFonts w:ascii="Cambria" w:hAnsi="Cambria"/>
          <w:color w:val="000000" w:themeColor="text1"/>
          <w:sz w:val="24"/>
          <w:szCs w:val="24"/>
        </w:rPr>
        <w:t xml:space="preserve"> = .439, p = .000) variance in pleasure. Further comparison of </w:t>
      </w:r>
      <w:r w:rsidR="00F3429B" w:rsidRPr="00530906">
        <w:rPr>
          <w:rFonts w:ascii="Cambria" w:hAnsi="Cambria"/>
          <w:color w:val="000000" w:themeColor="text1"/>
          <w:sz w:val="24"/>
          <w:szCs w:val="24"/>
        </w:rPr>
        <w:t>standardised</w:t>
      </w:r>
      <w:r w:rsidRPr="00530906">
        <w:rPr>
          <w:rFonts w:ascii="Cambria" w:hAnsi="Cambria"/>
          <w:color w:val="000000" w:themeColor="text1"/>
          <w:sz w:val="24"/>
          <w:szCs w:val="24"/>
        </w:rPr>
        <w:t xml:space="preserve"> beta shows ‘image quality’ has the largest contribution (β =.379, p =.000), followed by ‘mental fluency’ (β = .318, p = .000). However, engrossment (β = –.020, p =.689), and self</w:t>
      </w:r>
      <w:r w:rsidRPr="00530906">
        <w:rPr>
          <w:rFonts w:ascii="Cambria" w:hAnsi="Cambria"/>
          <w:color w:val="000000" w:themeColor="text1"/>
          <w:sz w:val="24"/>
          <w:szCs w:val="24"/>
        </w:rPr>
        <w:softHyphen/>
        <w:t xml:space="preserve">–projection (β =.099, p =.161) did not significantly contribute in the variance of ‘pleasure’. The SPSS output has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15F23DD8"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Pleasure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 xml:space="preserve">Image quality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2 </w:t>
      </w:r>
      <w:r w:rsidRPr="00530906">
        <w:rPr>
          <w:rFonts w:ascii="Cambria" w:hAnsi="Cambria"/>
          <w:color w:val="000000" w:themeColor="text1"/>
          <w:sz w:val="24"/>
          <w:szCs w:val="24"/>
        </w:rPr>
        <w:t xml:space="preserve">Engrossment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3 </w:t>
      </w:r>
      <w:r w:rsidRPr="00530906">
        <w:rPr>
          <w:rFonts w:ascii="Cambria" w:hAnsi="Cambria"/>
          <w:color w:val="000000" w:themeColor="text1"/>
          <w:sz w:val="24"/>
          <w:szCs w:val="24"/>
        </w:rPr>
        <w:t xml:space="preserve">Self–projection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4 </w:t>
      </w:r>
      <w:r w:rsidRPr="00530906">
        <w:rPr>
          <w:rFonts w:ascii="Cambria" w:hAnsi="Cambria"/>
          <w:color w:val="000000" w:themeColor="text1"/>
          <w:sz w:val="24"/>
          <w:szCs w:val="24"/>
        </w:rPr>
        <w:t>Mental fluency</w:t>
      </w:r>
    </w:p>
    <w:p w14:paraId="093B52B3"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w:t>
      </w:r>
      <w:r w:rsidRPr="00530906">
        <w:rPr>
          <w:rFonts w:ascii="Cambria" w:hAnsi="Cambria" w:cstheme="minorHAnsi"/>
          <w:color w:val="000000" w:themeColor="text1"/>
          <w:sz w:val="24"/>
          <w:szCs w:val="24"/>
        </w:rPr>
        <w:t>2.080</w:t>
      </w:r>
      <w:r w:rsidRPr="00530906">
        <w:rPr>
          <w:rFonts w:ascii="Cambria" w:hAnsi="Cambria"/>
          <w:color w:val="000000" w:themeColor="text1"/>
          <w:sz w:val="24"/>
          <w:szCs w:val="24"/>
        </w:rPr>
        <w:t xml:space="preserve">+ </w:t>
      </w:r>
      <w:r w:rsidRPr="00530906">
        <w:rPr>
          <w:rFonts w:ascii="Cambria" w:hAnsi="Cambria" w:cstheme="minorHAnsi"/>
          <w:color w:val="000000" w:themeColor="text1"/>
          <w:sz w:val="24"/>
          <w:szCs w:val="24"/>
        </w:rPr>
        <w:t>.297</w:t>
      </w:r>
      <w:r w:rsidRPr="00530906">
        <w:rPr>
          <w:rFonts w:ascii="Cambria" w:hAnsi="Cambria"/>
          <w:color w:val="000000" w:themeColor="text1"/>
          <w:sz w:val="24"/>
          <w:szCs w:val="24"/>
        </w:rPr>
        <w:t xml:space="preserve"> Image quality + (</w:t>
      </w:r>
      <w:r w:rsidRPr="00530906">
        <w:rPr>
          <w:rFonts w:ascii="Cambria" w:hAnsi="Cambria" w:cstheme="minorHAnsi"/>
          <w:color w:val="000000" w:themeColor="text1"/>
          <w:sz w:val="24"/>
          <w:szCs w:val="24"/>
        </w:rPr>
        <w:t>–.019)</w:t>
      </w:r>
      <w:r w:rsidRPr="00530906">
        <w:rPr>
          <w:rFonts w:ascii="Cambria" w:hAnsi="Cambria"/>
          <w:color w:val="000000" w:themeColor="text1"/>
          <w:sz w:val="24"/>
          <w:szCs w:val="24"/>
        </w:rPr>
        <w:t xml:space="preserve"> Engrossment + </w:t>
      </w:r>
      <w:r w:rsidRPr="00530906">
        <w:rPr>
          <w:rFonts w:ascii="Cambria" w:hAnsi="Cambria" w:cstheme="minorHAnsi"/>
          <w:color w:val="000000" w:themeColor="text1"/>
          <w:sz w:val="24"/>
          <w:szCs w:val="24"/>
        </w:rPr>
        <w:t xml:space="preserve">.081 </w:t>
      </w:r>
      <w:r w:rsidRPr="00530906">
        <w:rPr>
          <w:rFonts w:ascii="Cambria" w:hAnsi="Cambria"/>
          <w:color w:val="000000" w:themeColor="text1"/>
          <w:sz w:val="24"/>
          <w:szCs w:val="24"/>
        </w:rPr>
        <w:t xml:space="preserve">Self–projection + </w:t>
      </w:r>
      <w:r w:rsidRPr="00530906">
        <w:rPr>
          <w:rFonts w:ascii="Cambria" w:hAnsi="Cambria" w:cstheme="minorHAnsi"/>
          <w:color w:val="000000" w:themeColor="text1"/>
          <w:sz w:val="24"/>
          <w:szCs w:val="24"/>
        </w:rPr>
        <w:t>.234</w:t>
      </w:r>
      <w:r w:rsidRPr="00530906">
        <w:rPr>
          <w:rFonts w:ascii="Cambria" w:hAnsi="Cambria"/>
          <w:color w:val="000000" w:themeColor="text1"/>
          <w:sz w:val="24"/>
          <w:szCs w:val="24"/>
        </w:rPr>
        <w:t xml:space="preserve"> Mental fluency</w:t>
      </w:r>
    </w:p>
    <w:p w14:paraId="43E05E97" w14:textId="50A56E73"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Relationship between SCV and ‘arousal’ (H</w:t>
      </w:r>
      <w:r w:rsidRPr="00530906">
        <w:rPr>
          <w:rFonts w:ascii="Cambria" w:hAnsi="Cambria"/>
          <w:color w:val="000000" w:themeColor="text1"/>
          <w:sz w:val="24"/>
          <w:szCs w:val="24"/>
          <w:vertAlign w:val="subscript"/>
        </w:rPr>
        <w:t>8</w:t>
      </w:r>
      <w:r w:rsidRPr="00530906">
        <w:rPr>
          <w:rFonts w:ascii="Cambria" w:hAnsi="Cambria"/>
          <w:color w:val="000000" w:themeColor="text1"/>
          <w:sz w:val="24"/>
          <w:szCs w:val="24"/>
        </w:rPr>
        <w:t>) has been tested through multiple regression model where the four dimensions of SCV (image quality, engrossment, self–projection and mental fluency) are the predictors of ‘arousal’. H</w:t>
      </w:r>
      <w:r w:rsidRPr="00530906">
        <w:rPr>
          <w:rFonts w:ascii="Cambria" w:hAnsi="Cambria"/>
          <w:color w:val="000000" w:themeColor="text1"/>
          <w:sz w:val="24"/>
          <w:szCs w:val="24"/>
          <w:vertAlign w:val="subscript"/>
        </w:rPr>
        <w:t>8</w:t>
      </w:r>
      <w:r w:rsidRPr="00530906">
        <w:rPr>
          <w:rFonts w:ascii="Cambria" w:hAnsi="Cambria"/>
          <w:color w:val="000000" w:themeColor="text1"/>
          <w:sz w:val="24"/>
          <w:szCs w:val="24"/>
        </w:rPr>
        <w:t xml:space="preserve"> was confirmed since SCV as a whole explains 25.2% (R</w:t>
      </w:r>
      <w:r w:rsidRPr="00530906">
        <w:rPr>
          <w:rFonts w:ascii="Cambria" w:hAnsi="Cambria"/>
          <w:color w:val="000000" w:themeColor="text1"/>
          <w:sz w:val="24"/>
          <w:szCs w:val="24"/>
          <w:vertAlign w:val="superscript"/>
        </w:rPr>
        <w:t xml:space="preserve">2 </w:t>
      </w:r>
      <w:r w:rsidRPr="00530906">
        <w:rPr>
          <w:rFonts w:ascii="Cambria" w:hAnsi="Cambria"/>
          <w:color w:val="000000" w:themeColor="text1"/>
          <w:sz w:val="24"/>
          <w:szCs w:val="24"/>
        </w:rPr>
        <w:t xml:space="preserve">= .252, p = .000) variance in ‘arousal’. Further comparison of </w:t>
      </w:r>
      <w:r w:rsidR="00F3429B" w:rsidRPr="00530906">
        <w:rPr>
          <w:rFonts w:ascii="Cambria" w:hAnsi="Cambria"/>
          <w:color w:val="000000" w:themeColor="text1"/>
          <w:sz w:val="24"/>
          <w:szCs w:val="24"/>
        </w:rPr>
        <w:t>standardised</w:t>
      </w:r>
      <w:r w:rsidRPr="00530906">
        <w:rPr>
          <w:rFonts w:ascii="Cambria" w:hAnsi="Cambria"/>
          <w:color w:val="000000" w:themeColor="text1"/>
          <w:sz w:val="24"/>
          <w:szCs w:val="24"/>
        </w:rPr>
        <w:t xml:space="preserve"> beta shows only ‘image quality’ has significant contribution (β = .195, p = .002) and ‘self–projection (β = .266, p = .001). Contribution of ‘engrossment (β = .059, p = .297) and ‘mental fluency’ (β = .102, p = .166) are not significant in the variance of arousal. The SPSS output has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11999E3A"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Arousal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 xml:space="preserve">Image quality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2 </w:t>
      </w:r>
      <w:r w:rsidRPr="00530906">
        <w:rPr>
          <w:rFonts w:ascii="Cambria" w:hAnsi="Cambria"/>
          <w:color w:val="000000" w:themeColor="text1"/>
          <w:sz w:val="24"/>
          <w:szCs w:val="24"/>
        </w:rPr>
        <w:t xml:space="preserve">Engrossment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3 </w:t>
      </w:r>
      <w:r w:rsidRPr="00530906">
        <w:rPr>
          <w:rFonts w:ascii="Cambria" w:hAnsi="Cambria"/>
          <w:color w:val="000000" w:themeColor="text1"/>
          <w:sz w:val="24"/>
          <w:szCs w:val="24"/>
        </w:rPr>
        <w:t xml:space="preserve">self–projection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4 </w:t>
      </w:r>
      <w:r w:rsidRPr="00530906">
        <w:rPr>
          <w:rFonts w:ascii="Cambria" w:hAnsi="Cambria"/>
          <w:color w:val="000000" w:themeColor="text1"/>
          <w:sz w:val="24"/>
          <w:szCs w:val="24"/>
        </w:rPr>
        <w:t>Mental fluency</w:t>
      </w:r>
    </w:p>
    <w:p w14:paraId="4D57C29A"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w:t>
      </w:r>
      <w:r w:rsidRPr="00530906">
        <w:rPr>
          <w:rFonts w:ascii="Cambria" w:hAnsi="Cambria" w:cstheme="minorHAnsi"/>
          <w:color w:val="000000" w:themeColor="text1"/>
          <w:sz w:val="24"/>
          <w:szCs w:val="24"/>
        </w:rPr>
        <w:t>2.097</w:t>
      </w:r>
      <w:r w:rsidRPr="00530906">
        <w:rPr>
          <w:rFonts w:ascii="Cambria" w:hAnsi="Cambria"/>
          <w:color w:val="000000" w:themeColor="text1"/>
          <w:sz w:val="24"/>
          <w:szCs w:val="24"/>
        </w:rPr>
        <w:t xml:space="preserve">+ </w:t>
      </w:r>
      <w:r w:rsidRPr="00530906">
        <w:rPr>
          <w:rFonts w:ascii="Cambria" w:hAnsi="Cambria" w:cstheme="minorHAnsi"/>
          <w:color w:val="000000" w:themeColor="text1"/>
          <w:sz w:val="24"/>
          <w:szCs w:val="24"/>
        </w:rPr>
        <w:t xml:space="preserve">.129 </w:t>
      </w:r>
      <w:r w:rsidRPr="00530906">
        <w:rPr>
          <w:rFonts w:ascii="Cambria" w:hAnsi="Cambria"/>
          <w:color w:val="000000" w:themeColor="text1"/>
          <w:sz w:val="24"/>
          <w:szCs w:val="24"/>
        </w:rPr>
        <w:t xml:space="preserve">Image quality + </w:t>
      </w:r>
      <w:r w:rsidRPr="00530906">
        <w:rPr>
          <w:rFonts w:ascii="Cambria" w:hAnsi="Cambria" w:cstheme="minorHAnsi"/>
          <w:color w:val="000000" w:themeColor="text1"/>
          <w:sz w:val="24"/>
          <w:szCs w:val="24"/>
        </w:rPr>
        <w:t xml:space="preserve">.049 </w:t>
      </w:r>
      <w:r w:rsidRPr="00530906">
        <w:rPr>
          <w:rFonts w:ascii="Cambria" w:hAnsi="Cambria"/>
          <w:color w:val="000000" w:themeColor="text1"/>
          <w:sz w:val="24"/>
          <w:szCs w:val="24"/>
        </w:rPr>
        <w:t xml:space="preserve">Engrossment + </w:t>
      </w:r>
      <w:r w:rsidRPr="00530906">
        <w:rPr>
          <w:rFonts w:ascii="Cambria" w:hAnsi="Cambria" w:cstheme="minorHAnsi"/>
          <w:color w:val="000000" w:themeColor="text1"/>
          <w:sz w:val="24"/>
          <w:szCs w:val="24"/>
        </w:rPr>
        <w:t xml:space="preserve">.184 </w:t>
      </w:r>
      <w:r w:rsidRPr="00530906">
        <w:rPr>
          <w:rFonts w:ascii="Cambria" w:hAnsi="Cambria"/>
          <w:color w:val="000000" w:themeColor="text1"/>
          <w:sz w:val="24"/>
          <w:szCs w:val="24"/>
        </w:rPr>
        <w:t xml:space="preserve">self–projection + </w:t>
      </w:r>
      <w:r w:rsidRPr="00530906">
        <w:rPr>
          <w:rFonts w:ascii="Cambria" w:hAnsi="Cambria" w:cstheme="minorHAnsi"/>
          <w:color w:val="000000" w:themeColor="text1"/>
          <w:sz w:val="24"/>
          <w:szCs w:val="24"/>
        </w:rPr>
        <w:t xml:space="preserve">.064 </w:t>
      </w:r>
      <w:r w:rsidRPr="00530906">
        <w:rPr>
          <w:rFonts w:ascii="Cambria" w:hAnsi="Cambria"/>
          <w:color w:val="000000" w:themeColor="text1"/>
          <w:sz w:val="24"/>
          <w:szCs w:val="24"/>
        </w:rPr>
        <w:t>Mental fluency</w:t>
      </w:r>
    </w:p>
    <w:p w14:paraId="3AD17C3E" w14:textId="2A661D7F"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Relationship between SCV and ‘dominance’ (H</w:t>
      </w:r>
      <w:r w:rsidRPr="00530906">
        <w:rPr>
          <w:rFonts w:ascii="Cambria" w:hAnsi="Cambria"/>
          <w:color w:val="000000" w:themeColor="text1"/>
          <w:sz w:val="24"/>
          <w:szCs w:val="24"/>
          <w:vertAlign w:val="subscript"/>
        </w:rPr>
        <w:t>9</w:t>
      </w:r>
      <w:r w:rsidRPr="00530906">
        <w:rPr>
          <w:rFonts w:ascii="Cambria" w:hAnsi="Cambria"/>
          <w:color w:val="000000" w:themeColor="text1"/>
          <w:sz w:val="24"/>
          <w:szCs w:val="24"/>
        </w:rPr>
        <w:t>) has been tested through multiple regression model where the four dimensions of SCV (image quality, engrossment, self–projection and mental fluency) are the predictors of ‘dominance’. H</w:t>
      </w:r>
      <w:r w:rsidRPr="00530906">
        <w:rPr>
          <w:rFonts w:ascii="Cambria" w:hAnsi="Cambria"/>
          <w:color w:val="000000" w:themeColor="text1"/>
          <w:sz w:val="24"/>
          <w:szCs w:val="24"/>
          <w:vertAlign w:val="subscript"/>
        </w:rPr>
        <w:t>8</w:t>
      </w:r>
      <w:r w:rsidRPr="00530906">
        <w:rPr>
          <w:rFonts w:ascii="Cambria" w:hAnsi="Cambria"/>
          <w:color w:val="000000" w:themeColor="text1"/>
          <w:sz w:val="24"/>
          <w:szCs w:val="24"/>
        </w:rPr>
        <w:t xml:space="preserve"> was confirmed since SCV as a whole explains 6.9% (R</w:t>
      </w:r>
      <w:r w:rsidRPr="00530906">
        <w:rPr>
          <w:rFonts w:ascii="Cambria" w:hAnsi="Cambria"/>
          <w:color w:val="000000" w:themeColor="text1"/>
          <w:sz w:val="24"/>
          <w:szCs w:val="24"/>
          <w:vertAlign w:val="superscript"/>
        </w:rPr>
        <w:t>2</w:t>
      </w:r>
      <w:r w:rsidRPr="00530906">
        <w:rPr>
          <w:rFonts w:ascii="Cambria" w:hAnsi="Cambria"/>
          <w:color w:val="000000" w:themeColor="text1"/>
          <w:sz w:val="24"/>
          <w:szCs w:val="24"/>
        </w:rPr>
        <w:t xml:space="preserve">= .069, p= .001) variance in ‘dominance’. Further comparison of </w:t>
      </w:r>
      <w:r w:rsidR="00F3429B" w:rsidRPr="00530906">
        <w:rPr>
          <w:rFonts w:ascii="Cambria" w:hAnsi="Cambria"/>
          <w:color w:val="000000" w:themeColor="text1"/>
          <w:sz w:val="24"/>
          <w:szCs w:val="24"/>
        </w:rPr>
        <w:t>standardised</w:t>
      </w:r>
      <w:r w:rsidRPr="00530906">
        <w:rPr>
          <w:rFonts w:ascii="Cambria" w:hAnsi="Cambria"/>
          <w:color w:val="000000" w:themeColor="text1"/>
          <w:sz w:val="24"/>
          <w:szCs w:val="24"/>
        </w:rPr>
        <w:t xml:space="preserve"> beta shows ‘image quality’ has significant contribution (β = .169, p= .016). Contribution of engrossment (β = –.101, p = .109); self–projection (β = .142, p = .119); mental fluency (β = .007, P = .929) are not significant in the variance of ‘dominance’. The SPSS output have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11981863"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Dominance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 xml:space="preserve">Image quality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2 </w:t>
      </w:r>
      <w:r w:rsidRPr="00530906">
        <w:rPr>
          <w:rFonts w:ascii="Cambria" w:hAnsi="Cambria"/>
          <w:color w:val="000000" w:themeColor="text1"/>
          <w:sz w:val="24"/>
          <w:szCs w:val="24"/>
        </w:rPr>
        <w:t xml:space="preserve">Engrossment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3 </w:t>
      </w:r>
      <w:r w:rsidRPr="00530906">
        <w:rPr>
          <w:rFonts w:ascii="Cambria" w:hAnsi="Cambria"/>
          <w:color w:val="000000" w:themeColor="text1"/>
          <w:sz w:val="24"/>
          <w:szCs w:val="24"/>
        </w:rPr>
        <w:t xml:space="preserve">Self–projection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4 </w:t>
      </w:r>
      <w:r w:rsidRPr="00530906">
        <w:rPr>
          <w:rFonts w:ascii="Cambria" w:hAnsi="Cambria"/>
          <w:color w:val="000000" w:themeColor="text1"/>
          <w:sz w:val="24"/>
          <w:szCs w:val="24"/>
        </w:rPr>
        <w:t>Mental fluency</w:t>
      </w:r>
    </w:p>
    <w:p w14:paraId="12EC5AD8"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w:t>
      </w:r>
      <w:r w:rsidRPr="00530906">
        <w:rPr>
          <w:rFonts w:ascii="Cambria" w:hAnsi="Cambria" w:cstheme="minorHAnsi"/>
          <w:color w:val="000000" w:themeColor="text1"/>
          <w:sz w:val="24"/>
          <w:szCs w:val="24"/>
        </w:rPr>
        <w:t>3.511</w:t>
      </w:r>
      <w:r w:rsidRPr="00530906">
        <w:rPr>
          <w:rFonts w:ascii="Cambria" w:hAnsi="Cambria"/>
          <w:color w:val="000000" w:themeColor="text1"/>
          <w:sz w:val="24"/>
          <w:szCs w:val="24"/>
        </w:rPr>
        <w:t xml:space="preserve">+ </w:t>
      </w:r>
      <w:r w:rsidRPr="00530906">
        <w:rPr>
          <w:rFonts w:ascii="Cambria" w:hAnsi="Cambria" w:cstheme="minorHAnsi"/>
          <w:color w:val="000000" w:themeColor="text1"/>
          <w:sz w:val="24"/>
          <w:szCs w:val="24"/>
        </w:rPr>
        <w:t xml:space="preserve">.098 </w:t>
      </w:r>
      <w:r w:rsidRPr="00530906">
        <w:rPr>
          <w:rFonts w:ascii="Cambria" w:hAnsi="Cambria"/>
          <w:color w:val="000000" w:themeColor="text1"/>
          <w:sz w:val="24"/>
          <w:szCs w:val="24"/>
        </w:rPr>
        <w:t>Image quality + (</w:t>
      </w:r>
      <w:r w:rsidRPr="00530906">
        <w:rPr>
          <w:rFonts w:ascii="Cambria" w:hAnsi="Cambria" w:cstheme="minorHAnsi"/>
          <w:color w:val="000000" w:themeColor="text1"/>
          <w:sz w:val="24"/>
          <w:szCs w:val="24"/>
        </w:rPr>
        <w:t xml:space="preserve">–.073) </w:t>
      </w:r>
      <w:r w:rsidRPr="00530906">
        <w:rPr>
          <w:rFonts w:ascii="Cambria" w:hAnsi="Cambria"/>
          <w:color w:val="000000" w:themeColor="text1"/>
          <w:sz w:val="24"/>
          <w:szCs w:val="24"/>
        </w:rPr>
        <w:t xml:space="preserve">Engrossment + </w:t>
      </w:r>
      <w:r w:rsidRPr="00530906">
        <w:rPr>
          <w:rFonts w:ascii="Cambria" w:hAnsi="Cambria" w:cstheme="minorHAnsi"/>
          <w:color w:val="000000" w:themeColor="text1"/>
          <w:sz w:val="24"/>
          <w:szCs w:val="24"/>
        </w:rPr>
        <w:t xml:space="preserve">.086 </w:t>
      </w:r>
      <w:r w:rsidRPr="00530906">
        <w:rPr>
          <w:rFonts w:ascii="Cambria" w:hAnsi="Cambria"/>
          <w:color w:val="000000" w:themeColor="text1"/>
          <w:sz w:val="24"/>
          <w:szCs w:val="24"/>
        </w:rPr>
        <w:t xml:space="preserve">self–projection + </w:t>
      </w:r>
      <w:r w:rsidRPr="00530906">
        <w:rPr>
          <w:rFonts w:ascii="Cambria" w:hAnsi="Cambria" w:cstheme="minorHAnsi"/>
          <w:color w:val="000000" w:themeColor="text1"/>
          <w:sz w:val="24"/>
          <w:szCs w:val="24"/>
        </w:rPr>
        <w:t xml:space="preserve">.004 </w:t>
      </w:r>
      <w:r w:rsidRPr="00530906">
        <w:rPr>
          <w:rFonts w:ascii="Cambria" w:hAnsi="Cambria"/>
          <w:color w:val="000000" w:themeColor="text1"/>
          <w:sz w:val="24"/>
          <w:szCs w:val="24"/>
        </w:rPr>
        <w:t>Mental fluency</w:t>
      </w:r>
    </w:p>
    <w:p w14:paraId="1065D1E2" w14:textId="01C5AA5E"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Subsequent relationship of pleasure with ‘ad attitude’ (H</w:t>
      </w:r>
      <w:r w:rsidRPr="00530906">
        <w:rPr>
          <w:rFonts w:ascii="Cambria" w:hAnsi="Cambria"/>
          <w:color w:val="000000" w:themeColor="text1"/>
          <w:sz w:val="24"/>
          <w:szCs w:val="24"/>
          <w:vertAlign w:val="subscript"/>
        </w:rPr>
        <w:t>10</w:t>
      </w:r>
      <w:r w:rsidRPr="00530906">
        <w:rPr>
          <w:rFonts w:ascii="Cambria" w:hAnsi="Cambria"/>
          <w:color w:val="000000" w:themeColor="text1"/>
          <w:sz w:val="24"/>
          <w:szCs w:val="24"/>
        </w:rPr>
        <w:t>) is has been explored through linear regression model by taking pleasure as independent variable and ‘ad attitude’ as dependent variable.  The function confirms H</w:t>
      </w:r>
      <w:r w:rsidRPr="00530906">
        <w:rPr>
          <w:rFonts w:ascii="Cambria" w:hAnsi="Cambria"/>
          <w:color w:val="000000" w:themeColor="text1"/>
          <w:sz w:val="24"/>
          <w:szCs w:val="24"/>
          <w:vertAlign w:val="subscript"/>
        </w:rPr>
        <w:t>10</w:t>
      </w:r>
      <w:r w:rsidRPr="00530906">
        <w:rPr>
          <w:rFonts w:ascii="Cambria" w:hAnsi="Cambria"/>
          <w:color w:val="000000" w:themeColor="text1"/>
          <w:sz w:val="24"/>
          <w:szCs w:val="24"/>
        </w:rPr>
        <w:t xml:space="preserve"> since ‘pleasure’ positively and significantly influenced ad attitude (β = .876, p = .000) in way that it accounts for 57.3% variance (F (1,277) = 372.4, p = .000) in ‘ad attitude’. The SPSS output has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2D319488"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Pleasure =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ad attitude</w:t>
      </w:r>
    </w:p>
    <w:p w14:paraId="621BFF8B"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=1.087 + .876 ad attitude</w:t>
      </w:r>
    </w:p>
    <w:p w14:paraId="6727650A" w14:textId="15BAF2B1"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Subsequent relationship between ‘arousal’ with ‘ad attitude’ (H</w:t>
      </w:r>
      <w:r w:rsidRPr="00530906">
        <w:rPr>
          <w:rFonts w:ascii="Cambria" w:hAnsi="Cambria"/>
          <w:color w:val="000000" w:themeColor="text1"/>
          <w:sz w:val="24"/>
          <w:szCs w:val="24"/>
          <w:vertAlign w:val="subscript"/>
        </w:rPr>
        <w:t>11</w:t>
      </w:r>
      <w:r w:rsidRPr="00530906">
        <w:rPr>
          <w:rFonts w:ascii="Cambria" w:hAnsi="Cambria"/>
          <w:color w:val="000000" w:themeColor="text1"/>
          <w:sz w:val="24"/>
          <w:szCs w:val="24"/>
        </w:rPr>
        <w:t>) is has been explored through linear regression model by taking ‘arousal’ as independent variable and ‘ad attitude’ as dependent variable.  The function confirms H</w:t>
      </w:r>
      <w:r w:rsidRPr="00530906">
        <w:rPr>
          <w:rFonts w:ascii="Cambria" w:hAnsi="Cambria"/>
          <w:color w:val="000000" w:themeColor="text1"/>
          <w:sz w:val="24"/>
          <w:szCs w:val="24"/>
          <w:vertAlign w:val="subscript"/>
        </w:rPr>
        <w:t>11</w:t>
      </w:r>
      <w:r w:rsidRPr="00530906">
        <w:rPr>
          <w:rFonts w:ascii="Cambria" w:hAnsi="Cambria"/>
          <w:color w:val="000000" w:themeColor="text1"/>
          <w:sz w:val="24"/>
          <w:szCs w:val="24"/>
        </w:rPr>
        <w:t xml:space="preserve"> since ‘arousal’ positively and significantly influenced ‘ad attitude’ (β = .576, p = .000) in way that it accounts for 17.7% variance (F (1,277) =59.45, p= .000) in ‘ad attitude’. The SPSS output have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6D5C1FE6"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Arousal=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ad attitude</w:t>
      </w:r>
    </w:p>
    <w:p w14:paraId="0240B0A5"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=2.997+ .576 ad attitude</w:t>
      </w:r>
    </w:p>
    <w:p w14:paraId="06C5679C" w14:textId="23F096A6"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Subsequent relationship between ‘dominance’ with ‘ad attitude’ (H</w:t>
      </w:r>
      <w:r w:rsidRPr="00530906">
        <w:rPr>
          <w:rFonts w:ascii="Cambria" w:hAnsi="Cambria"/>
          <w:color w:val="000000" w:themeColor="text1"/>
          <w:sz w:val="24"/>
          <w:szCs w:val="24"/>
          <w:vertAlign w:val="subscript"/>
        </w:rPr>
        <w:t>12</w:t>
      </w:r>
      <w:r w:rsidRPr="00530906">
        <w:rPr>
          <w:rFonts w:ascii="Cambria" w:hAnsi="Cambria"/>
          <w:color w:val="000000" w:themeColor="text1"/>
          <w:sz w:val="24"/>
          <w:szCs w:val="24"/>
        </w:rPr>
        <w:t>) is has been explored through linear regression model by taking ‘dominance’ as independent variable and ‘ad attitude’ as dependent variable.  The function confirms H</w:t>
      </w:r>
      <w:r w:rsidRPr="00530906">
        <w:rPr>
          <w:rFonts w:ascii="Cambria" w:hAnsi="Cambria"/>
          <w:color w:val="000000" w:themeColor="text1"/>
          <w:sz w:val="24"/>
          <w:szCs w:val="24"/>
          <w:vertAlign w:val="subscript"/>
        </w:rPr>
        <w:t>12</w:t>
      </w:r>
      <w:r w:rsidRPr="00530906">
        <w:rPr>
          <w:rFonts w:ascii="Cambria" w:hAnsi="Cambria"/>
          <w:color w:val="000000" w:themeColor="text1"/>
          <w:sz w:val="24"/>
          <w:szCs w:val="24"/>
        </w:rPr>
        <w:t xml:space="preserve"> since ‘dominance’ positively and significantly influenced ad attitude (β = .255, p = .006) in way that it accounts for 2.7% variance (</w:t>
      </w:r>
      <w:r w:rsidR="00B834E9" w:rsidRPr="00530906">
        <w:rPr>
          <w:rFonts w:ascii="Cambria" w:hAnsi="Cambria"/>
          <w:color w:val="000000" w:themeColor="text1"/>
          <w:sz w:val="24"/>
          <w:szCs w:val="24"/>
        </w:rPr>
        <w:t>F (</w:t>
      </w:r>
      <w:r w:rsidRPr="00530906">
        <w:rPr>
          <w:rFonts w:ascii="Cambria" w:hAnsi="Cambria"/>
          <w:color w:val="000000" w:themeColor="text1"/>
          <w:sz w:val="24"/>
          <w:szCs w:val="24"/>
        </w:rPr>
        <w:t xml:space="preserve">1,277)= 7.62, p= .006) in ad attitude. </w:t>
      </w:r>
    </w:p>
    <w:p w14:paraId="5E2491F5"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Dominance=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ad attitude</w:t>
      </w:r>
    </w:p>
    <w:p w14:paraId="3C003D03"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=4.087+ .255 ad attitude</w:t>
      </w:r>
    </w:p>
    <w:p w14:paraId="70315E8C" w14:textId="29696133"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Linear regression has also been used to test the relationship between independent variable ‘ad attitude’ with dependent variable ‘social media engagement’ (H</w:t>
      </w:r>
      <w:r w:rsidRPr="00530906">
        <w:rPr>
          <w:rFonts w:ascii="Cambria" w:hAnsi="Cambria"/>
          <w:color w:val="000000" w:themeColor="text1"/>
          <w:sz w:val="24"/>
          <w:szCs w:val="24"/>
          <w:vertAlign w:val="subscript"/>
        </w:rPr>
        <w:t>13</w:t>
      </w:r>
      <w:r w:rsidRPr="00530906">
        <w:rPr>
          <w:rFonts w:ascii="Cambria" w:hAnsi="Cambria"/>
          <w:color w:val="000000" w:themeColor="text1"/>
          <w:sz w:val="24"/>
          <w:szCs w:val="24"/>
        </w:rPr>
        <w:t>). The hypothesis was confirmed since ad attitude has positive significant influence (β = .526, p = .000) on ‘social media engagement’ in way that it accounts for 29% variance (F</w:t>
      </w:r>
      <w:r w:rsidR="001E4D86" w:rsidRPr="00530906">
        <w:rPr>
          <w:rFonts w:ascii="Cambria" w:hAnsi="Cambria"/>
          <w:color w:val="000000" w:themeColor="text1"/>
          <w:sz w:val="24"/>
          <w:szCs w:val="24"/>
        </w:rPr>
        <w:t xml:space="preserve"> </w:t>
      </w:r>
      <w:r w:rsidRPr="00530906">
        <w:rPr>
          <w:rFonts w:ascii="Cambria" w:hAnsi="Cambria"/>
          <w:color w:val="000000" w:themeColor="text1"/>
          <w:sz w:val="24"/>
          <w:szCs w:val="24"/>
        </w:rPr>
        <w:t xml:space="preserve">(1,277) = 112.93, p = .000) in ‘social media engagement’. The SPSS output </w:t>
      </w:r>
      <w:r w:rsidR="00B834E9" w:rsidRPr="00530906">
        <w:rPr>
          <w:rFonts w:ascii="Cambria" w:hAnsi="Cambria"/>
          <w:color w:val="000000" w:themeColor="text1"/>
          <w:sz w:val="24"/>
          <w:szCs w:val="24"/>
        </w:rPr>
        <w:t>has</w:t>
      </w:r>
      <w:r w:rsidRPr="00530906">
        <w:rPr>
          <w:rFonts w:ascii="Cambria" w:hAnsi="Cambria"/>
          <w:color w:val="000000" w:themeColor="text1"/>
          <w:sz w:val="24"/>
          <w:szCs w:val="24"/>
        </w:rPr>
        <w:t xml:space="preser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3105257C"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Ad attitude=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engagement</w:t>
      </w:r>
    </w:p>
    <w:p w14:paraId="2D7BCD01"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 xml:space="preserve">=.945+ .526 engagement </w:t>
      </w:r>
    </w:p>
    <w:p w14:paraId="017479BB" w14:textId="2833DE02"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Linear regression analysis was used to assess H</w:t>
      </w:r>
      <w:r w:rsidRPr="00530906">
        <w:rPr>
          <w:rFonts w:ascii="Cambria" w:hAnsi="Cambria"/>
          <w:color w:val="000000" w:themeColor="text1"/>
          <w:sz w:val="24"/>
          <w:szCs w:val="24"/>
          <w:vertAlign w:val="subscript"/>
        </w:rPr>
        <w:t>14</w:t>
      </w:r>
      <w:r w:rsidRPr="00530906">
        <w:rPr>
          <w:rFonts w:ascii="Cambria" w:hAnsi="Cambria"/>
          <w:color w:val="000000" w:themeColor="text1"/>
          <w:sz w:val="24"/>
          <w:szCs w:val="24"/>
        </w:rPr>
        <w:t>, to explore the relationship between social media engagement and normative influence. The independent variable ‘social media engagement’ has affected dependent variable ‘normative influence’ positively and significantly (β = .370, p = .000), confirming H</w:t>
      </w:r>
      <w:r w:rsidRPr="00530906">
        <w:rPr>
          <w:rFonts w:ascii="Cambria" w:hAnsi="Cambria"/>
          <w:color w:val="000000" w:themeColor="text1"/>
          <w:sz w:val="24"/>
          <w:szCs w:val="24"/>
          <w:vertAlign w:val="subscript"/>
        </w:rPr>
        <w:t>14</w:t>
      </w:r>
      <w:r w:rsidRPr="00530906">
        <w:rPr>
          <w:rFonts w:ascii="Cambria" w:hAnsi="Cambria"/>
          <w:color w:val="000000" w:themeColor="text1"/>
          <w:sz w:val="24"/>
          <w:szCs w:val="24"/>
        </w:rPr>
        <w:t xml:space="preserve"> in a way that it accounts for 13.3% variance (F</w:t>
      </w:r>
      <w:r w:rsidR="001E4D86" w:rsidRPr="00530906">
        <w:rPr>
          <w:rFonts w:ascii="Cambria" w:hAnsi="Cambria"/>
          <w:color w:val="000000" w:themeColor="text1"/>
          <w:sz w:val="24"/>
          <w:szCs w:val="24"/>
        </w:rPr>
        <w:t xml:space="preserve"> </w:t>
      </w:r>
      <w:r w:rsidRPr="00530906">
        <w:rPr>
          <w:rFonts w:ascii="Cambria" w:hAnsi="Cambria"/>
          <w:color w:val="000000" w:themeColor="text1"/>
          <w:sz w:val="24"/>
          <w:szCs w:val="24"/>
        </w:rPr>
        <w:t xml:space="preserve">(1,277) =42.4, p= .000) in ‘normative influence’. The SPSS output </w:t>
      </w:r>
      <w:r w:rsidR="00B834E9" w:rsidRPr="00530906">
        <w:rPr>
          <w:rFonts w:ascii="Cambria" w:hAnsi="Cambria"/>
          <w:color w:val="000000" w:themeColor="text1"/>
          <w:sz w:val="24"/>
          <w:szCs w:val="24"/>
        </w:rPr>
        <w:t>has</w:t>
      </w:r>
      <w:r w:rsidRPr="00530906">
        <w:rPr>
          <w:rFonts w:ascii="Cambria" w:hAnsi="Cambria"/>
          <w:color w:val="000000" w:themeColor="text1"/>
          <w:sz w:val="24"/>
          <w:szCs w:val="24"/>
        </w:rPr>
        <w:t xml:space="preser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6C6EB0A8" w14:textId="77777777"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Engagement=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norm</w:t>
      </w:r>
    </w:p>
    <w:p w14:paraId="6D7BFFEF"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 1.646 + .370 norm</w:t>
      </w:r>
    </w:p>
    <w:p w14:paraId="49167693" w14:textId="2162BCD2"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 xml:space="preserve"> Subsequently ‘normative influence’ also</w:t>
      </w:r>
      <w:r w:rsidR="00B834E9">
        <w:rPr>
          <w:rFonts w:ascii="Cambria" w:hAnsi="Cambria"/>
          <w:color w:val="000000" w:themeColor="text1"/>
          <w:sz w:val="24"/>
          <w:szCs w:val="24"/>
        </w:rPr>
        <w:t xml:space="preserve"> has </w:t>
      </w:r>
      <w:r w:rsidRPr="00530906">
        <w:rPr>
          <w:rFonts w:ascii="Cambria" w:hAnsi="Cambria"/>
          <w:color w:val="000000" w:themeColor="text1"/>
          <w:sz w:val="24"/>
          <w:szCs w:val="24"/>
        </w:rPr>
        <w:t>positive and significant effect as an independent variable on the ‘purchase intention’ as the dependent variable (β = .338, p = .000), confirming H</w:t>
      </w:r>
      <w:r w:rsidRPr="00530906">
        <w:rPr>
          <w:rFonts w:ascii="Cambria" w:hAnsi="Cambria"/>
          <w:color w:val="000000" w:themeColor="text1"/>
          <w:sz w:val="24"/>
          <w:szCs w:val="24"/>
          <w:vertAlign w:val="subscript"/>
        </w:rPr>
        <w:t xml:space="preserve">15 </w:t>
      </w:r>
      <w:r w:rsidRPr="00530906">
        <w:rPr>
          <w:rFonts w:ascii="Cambria" w:hAnsi="Cambria"/>
          <w:color w:val="000000" w:themeColor="text1"/>
          <w:sz w:val="24"/>
          <w:szCs w:val="24"/>
        </w:rPr>
        <w:t>in a way that it accounts for 10.4% variance (F</w:t>
      </w:r>
      <w:r w:rsidR="001E4D86" w:rsidRPr="00530906">
        <w:rPr>
          <w:rFonts w:ascii="Cambria" w:hAnsi="Cambria"/>
          <w:color w:val="000000" w:themeColor="text1"/>
          <w:sz w:val="24"/>
          <w:szCs w:val="24"/>
        </w:rPr>
        <w:t xml:space="preserve"> </w:t>
      </w:r>
      <w:r w:rsidRPr="00530906">
        <w:rPr>
          <w:rFonts w:ascii="Cambria" w:hAnsi="Cambria"/>
          <w:color w:val="000000" w:themeColor="text1"/>
          <w:sz w:val="24"/>
          <w:szCs w:val="24"/>
        </w:rPr>
        <w:t xml:space="preserve">(1,277) = 32.19, p= .000) in ‘purchase intention’. </w:t>
      </w:r>
    </w:p>
    <w:p w14:paraId="7DCFBDE4"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Norm =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Purchase</w:t>
      </w:r>
    </w:p>
    <w:p w14:paraId="25B4C186"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=3.151+ .338 Purchase</w:t>
      </w:r>
    </w:p>
    <w:p w14:paraId="22710886" w14:textId="30F516E0"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On the other hand, linear regression analysis also shows that the independent variable ‘social media engagement’ has affected dependent variable ‘informative influence’ positively and significantly (β = .481 p = .000), confirming H</w:t>
      </w:r>
      <w:r w:rsidRPr="00530906">
        <w:rPr>
          <w:rFonts w:ascii="Cambria" w:hAnsi="Cambria"/>
          <w:color w:val="000000" w:themeColor="text1"/>
          <w:sz w:val="24"/>
          <w:szCs w:val="24"/>
          <w:vertAlign w:val="subscript"/>
        </w:rPr>
        <w:t>16</w:t>
      </w:r>
      <w:r w:rsidRPr="00530906">
        <w:rPr>
          <w:rFonts w:ascii="Cambria" w:hAnsi="Cambria"/>
          <w:color w:val="000000" w:themeColor="text1"/>
          <w:sz w:val="24"/>
          <w:szCs w:val="24"/>
        </w:rPr>
        <w:t xml:space="preserve"> in a way that it accounts for 20.2% variance (</w:t>
      </w:r>
      <w:r w:rsidR="00B834E9" w:rsidRPr="00530906">
        <w:rPr>
          <w:rFonts w:ascii="Cambria" w:hAnsi="Cambria"/>
          <w:color w:val="000000" w:themeColor="text1"/>
          <w:sz w:val="24"/>
          <w:szCs w:val="24"/>
        </w:rPr>
        <w:t>F (</w:t>
      </w:r>
      <w:r w:rsidRPr="00530906">
        <w:rPr>
          <w:rFonts w:ascii="Cambria" w:hAnsi="Cambria"/>
          <w:color w:val="000000" w:themeColor="text1"/>
          <w:sz w:val="24"/>
          <w:szCs w:val="24"/>
        </w:rPr>
        <w:t xml:space="preserve">1,277) =70.02, p= .000) in ‘informative influence’. The SPSS output </w:t>
      </w:r>
      <w:r w:rsidR="00B834E9" w:rsidRPr="00530906">
        <w:rPr>
          <w:rFonts w:ascii="Cambria" w:hAnsi="Cambria"/>
          <w:color w:val="000000" w:themeColor="text1"/>
          <w:sz w:val="24"/>
          <w:szCs w:val="24"/>
        </w:rPr>
        <w:t>has</w:t>
      </w:r>
      <w:r w:rsidRPr="00530906">
        <w:rPr>
          <w:rFonts w:ascii="Cambria" w:hAnsi="Cambria"/>
          <w:color w:val="000000" w:themeColor="text1"/>
          <w:sz w:val="24"/>
          <w:szCs w:val="24"/>
        </w:rPr>
        <w:t xml:space="preser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6560C429"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Engagement=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information</w:t>
      </w:r>
    </w:p>
    <w:p w14:paraId="4C523DAC"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=2.513+ .481 information</w:t>
      </w:r>
    </w:p>
    <w:p w14:paraId="0A14D517" w14:textId="77777777"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Subsequently ‘informative influence’ has also has positive and significant effect as an independent variable on the ‘purchase intention’ as the dependent variable (β = .388, p = .000), confirming H</w:t>
      </w:r>
      <w:r w:rsidRPr="00530906">
        <w:rPr>
          <w:rFonts w:ascii="Cambria" w:hAnsi="Cambria"/>
          <w:color w:val="000000" w:themeColor="text1"/>
          <w:sz w:val="24"/>
          <w:szCs w:val="24"/>
          <w:vertAlign w:val="subscript"/>
        </w:rPr>
        <w:t>17</w:t>
      </w:r>
      <w:r w:rsidRPr="00530906">
        <w:rPr>
          <w:rFonts w:ascii="Cambria" w:hAnsi="Cambria"/>
          <w:color w:val="000000" w:themeColor="text1"/>
          <w:sz w:val="24"/>
          <w:szCs w:val="24"/>
        </w:rPr>
        <w:t xml:space="preserve"> in a way that it accounts for 15.3% variance (F(1,277) =50.1, p= .000) in ‘purchase intention’.</w:t>
      </w:r>
    </w:p>
    <w:p w14:paraId="5C3F9285"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Information =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Purchase</w:t>
      </w:r>
    </w:p>
    <w:p w14:paraId="0DE4D6E1"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=2.506+ .388 Purchase</w:t>
      </w:r>
    </w:p>
    <w:p w14:paraId="1F14320F" w14:textId="1D47FF91"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Linear regression also showed the causal relationship between independent variable– ‘ad attitude’ and ‘purchase intention’ and confirmed H</w:t>
      </w:r>
      <w:r w:rsidRPr="00530906">
        <w:rPr>
          <w:rFonts w:ascii="Cambria" w:hAnsi="Cambria"/>
          <w:color w:val="000000" w:themeColor="text1"/>
          <w:sz w:val="24"/>
          <w:szCs w:val="24"/>
          <w:vertAlign w:val="subscript"/>
        </w:rPr>
        <w:t>18</w:t>
      </w:r>
      <w:r w:rsidRPr="00530906">
        <w:rPr>
          <w:rFonts w:ascii="Cambria" w:hAnsi="Cambria"/>
          <w:color w:val="000000" w:themeColor="text1"/>
          <w:sz w:val="24"/>
          <w:szCs w:val="24"/>
        </w:rPr>
        <w:t xml:space="preserve"> by showing positive and significant influence of ‘ad attitude’ on ‘purchase intention’ (β = .576 p = .000), in a way that it accounts for 30.8% variance (</w:t>
      </w:r>
      <w:r w:rsidR="00DE0DF7" w:rsidRPr="00530906">
        <w:rPr>
          <w:rFonts w:ascii="Cambria" w:hAnsi="Cambria"/>
          <w:color w:val="000000" w:themeColor="text1"/>
          <w:sz w:val="24"/>
          <w:szCs w:val="24"/>
        </w:rPr>
        <w:t>F (</w:t>
      </w:r>
      <w:r w:rsidRPr="00530906">
        <w:rPr>
          <w:rFonts w:ascii="Cambria" w:hAnsi="Cambria"/>
          <w:color w:val="000000" w:themeColor="text1"/>
          <w:sz w:val="24"/>
          <w:szCs w:val="24"/>
        </w:rPr>
        <w:t xml:space="preserve">1,277) =123.07, p= .000) in ‘purchase intention’. The SPSS output </w:t>
      </w:r>
      <w:r w:rsidR="00DE0DF7" w:rsidRPr="00530906">
        <w:rPr>
          <w:rFonts w:ascii="Cambria" w:hAnsi="Cambria"/>
          <w:color w:val="000000" w:themeColor="text1"/>
          <w:sz w:val="24"/>
          <w:szCs w:val="24"/>
        </w:rPr>
        <w:t>has</w:t>
      </w:r>
      <w:r w:rsidRPr="00530906">
        <w:rPr>
          <w:rFonts w:ascii="Cambria" w:hAnsi="Cambria"/>
          <w:color w:val="000000" w:themeColor="text1"/>
          <w:sz w:val="24"/>
          <w:szCs w:val="24"/>
        </w:rPr>
        <w:t xml:space="preserve"> been reported in Appendix </w:t>
      </w:r>
      <w:r w:rsidR="00384D96">
        <w:rPr>
          <w:rFonts w:ascii="Cambria" w:hAnsi="Cambria"/>
          <w:color w:val="000000" w:themeColor="text1"/>
          <w:sz w:val="24"/>
          <w:szCs w:val="24"/>
        </w:rPr>
        <w:t>4</w:t>
      </w:r>
      <w:r w:rsidRPr="00530906">
        <w:rPr>
          <w:rFonts w:ascii="Cambria" w:hAnsi="Cambria"/>
          <w:color w:val="000000" w:themeColor="text1"/>
          <w:sz w:val="24"/>
          <w:szCs w:val="24"/>
        </w:rPr>
        <w:t>.2.</w:t>
      </w:r>
    </w:p>
    <w:p w14:paraId="64D12564"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Ad attitude=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 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Purchase</w:t>
      </w:r>
    </w:p>
    <w:p w14:paraId="46945328" w14:textId="77777777" w:rsidR="00C7217E" w:rsidRPr="00530906" w:rsidRDefault="00C7217E" w:rsidP="008756B1">
      <w:pPr>
        <w:ind w:left="720" w:firstLine="720"/>
        <w:jc w:val="both"/>
        <w:rPr>
          <w:rFonts w:ascii="Cambria" w:hAnsi="Cambria"/>
          <w:color w:val="000000" w:themeColor="text1"/>
          <w:sz w:val="24"/>
          <w:szCs w:val="24"/>
        </w:rPr>
      </w:pPr>
      <w:r w:rsidRPr="00530906">
        <w:rPr>
          <w:rFonts w:ascii="Cambria" w:hAnsi="Cambria"/>
          <w:color w:val="000000" w:themeColor="text1"/>
          <w:sz w:val="24"/>
          <w:szCs w:val="24"/>
        </w:rPr>
        <w:t>=1.211+ .576 Purchase</w:t>
      </w:r>
    </w:p>
    <w:p w14:paraId="4346F99A" w14:textId="6CA9552B" w:rsidR="00C7217E" w:rsidRPr="00530906" w:rsidRDefault="00C7217E">
      <w:pPr>
        <w:spacing w:line="360" w:lineRule="auto"/>
        <w:jc w:val="both"/>
        <w:rPr>
          <w:rFonts w:ascii="Cambria" w:hAnsi="Cambria"/>
          <w:color w:val="000000" w:themeColor="text1"/>
          <w:sz w:val="24"/>
          <w:szCs w:val="24"/>
        </w:rPr>
      </w:pPr>
      <w:r w:rsidRPr="00530906">
        <w:rPr>
          <w:rFonts w:ascii="Cambria" w:hAnsi="Cambria"/>
          <w:color w:val="000000" w:themeColor="text1"/>
          <w:sz w:val="24"/>
          <w:szCs w:val="24"/>
        </w:rPr>
        <w:t>Lastly causal relationship between independent variable– ‘buying intention’ and dependent variable– ‘sustainable behaviour intention’ was also proved, confirming H</w:t>
      </w:r>
      <w:r w:rsidRPr="00530906">
        <w:rPr>
          <w:rFonts w:ascii="Cambria" w:hAnsi="Cambria"/>
          <w:color w:val="000000" w:themeColor="text1"/>
          <w:sz w:val="24"/>
          <w:szCs w:val="24"/>
          <w:vertAlign w:val="subscript"/>
        </w:rPr>
        <w:t>19</w:t>
      </w:r>
      <w:r w:rsidRPr="00530906">
        <w:rPr>
          <w:rFonts w:ascii="Cambria" w:hAnsi="Cambria"/>
          <w:color w:val="000000" w:themeColor="text1"/>
          <w:sz w:val="24"/>
          <w:szCs w:val="24"/>
        </w:rPr>
        <w:t>. The linear regression function showed positive and significant influence of ‘purchase intention’ on ‘sustainable behaviour intention’ (β = .271 p = .000), in a way that it accounts for 11.3% variance (</w:t>
      </w:r>
      <w:r w:rsidR="00B834E9" w:rsidRPr="00530906">
        <w:rPr>
          <w:rFonts w:ascii="Cambria" w:hAnsi="Cambria"/>
          <w:color w:val="000000" w:themeColor="text1"/>
          <w:sz w:val="24"/>
          <w:szCs w:val="24"/>
        </w:rPr>
        <w:t>F (</w:t>
      </w:r>
      <w:r w:rsidRPr="00530906">
        <w:rPr>
          <w:rFonts w:ascii="Cambria" w:hAnsi="Cambria"/>
          <w:color w:val="000000" w:themeColor="text1"/>
          <w:sz w:val="24"/>
          <w:szCs w:val="24"/>
        </w:rPr>
        <w:t xml:space="preserve">1,277) = 35.39, p = .000) in ‘sustainable behaviour intention’. The SPSS output </w:t>
      </w:r>
      <w:r w:rsidR="00B834E9" w:rsidRPr="00530906">
        <w:rPr>
          <w:rFonts w:ascii="Cambria" w:hAnsi="Cambria"/>
          <w:color w:val="000000" w:themeColor="text1"/>
          <w:sz w:val="24"/>
          <w:szCs w:val="24"/>
        </w:rPr>
        <w:t>has</w:t>
      </w:r>
      <w:r w:rsidRPr="00530906">
        <w:rPr>
          <w:rFonts w:ascii="Cambria" w:hAnsi="Cambria"/>
          <w:color w:val="000000" w:themeColor="text1"/>
          <w:sz w:val="24"/>
          <w:szCs w:val="24"/>
        </w:rPr>
        <w:t xml:space="preserve"> been reported in Appendix </w:t>
      </w:r>
      <w:r w:rsidR="001E4D86" w:rsidRPr="00530906">
        <w:rPr>
          <w:rFonts w:ascii="Cambria" w:hAnsi="Cambria"/>
          <w:color w:val="000000" w:themeColor="text1"/>
          <w:sz w:val="24"/>
          <w:szCs w:val="24"/>
        </w:rPr>
        <w:t>4</w:t>
      </w:r>
      <w:r w:rsidRPr="00530906">
        <w:rPr>
          <w:rFonts w:ascii="Cambria" w:hAnsi="Cambria"/>
          <w:color w:val="000000" w:themeColor="text1"/>
          <w:sz w:val="24"/>
          <w:szCs w:val="24"/>
        </w:rPr>
        <w:t>.2.</w:t>
      </w:r>
    </w:p>
    <w:p w14:paraId="14E25B25" w14:textId="77777777" w:rsidR="00C7217E" w:rsidRPr="00530906" w:rsidRDefault="00C7217E" w:rsidP="008756B1">
      <w:pPr>
        <w:jc w:val="both"/>
        <w:rPr>
          <w:rFonts w:ascii="Cambria" w:hAnsi="Cambria"/>
          <w:color w:val="000000" w:themeColor="text1"/>
          <w:sz w:val="24"/>
          <w:szCs w:val="24"/>
        </w:rPr>
      </w:pPr>
      <w:r w:rsidRPr="00530906">
        <w:rPr>
          <w:rFonts w:ascii="Cambria" w:hAnsi="Cambria"/>
          <w:color w:val="000000" w:themeColor="text1"/>
          <w:sz w:val="24"/>
          <w:szCs w:val="24"/>
        </w:rPr>
        <w:t xml:space="preserve">Purchase = </w:t>
      </w:r>
      <w:r w:rsidRPr="00530906">
        <w:rPr>
          <w:rFonts w:ascii="Cambria" w:hAnsi="Cambria"/>
          <w:color w:val="000000" w:themeColor="text1"/>
          <w:sz w:val="24"/>
          <w:szCs w:val="24"/>
        </w:rPr>
        <w:tab/>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0</w:t>
      </w:r>
      <w:r w:rsidRPr="00530906">
        <w:rPr>
          <w:rFonts w:ascii="Cambria" w:hAnsi="Cambria"/>
          <w:color w:val="000000" w:themeColor="text1"/>
          <w:sz w:val="24"/>
          <w:szCs w:val="24"/>
        </w:rPr>
        <w:t xml:space="preserve"> constant/intercept + </w:t>
      </w:r>
      <w:r w:rsidRPr="00530906">
        <w:rPr>
          <w:rFonts w:ascii="Cambria" w:hAnsi="Cambria"/>
          <w:i/>
          <w:color w:val="000000" w:themeColor="text1"/>
          <w:sz w:val="24"/>
          <w:szCs w:val="24"/>
        </w:rPr>
        <w:t>b</w:t>
      </w:r>
      <w:r w:rsidRPr="00530906">
        <w:rPr>
          <w:rFonts w:ascii="Cambria" w:hAnsi="Cambria"/>
          <w:color w:val="000000" w:themeColor="text1"/>
          <w:sz w:val="24"/>
          <w:szCs w:val="24"/>
          <w:vertAlign w:val="subscript"/>
        </w:rPr>
        <w:t xml:space="preserve">1 </w:t>
      </w:r>
      <w:r w:rsidRPr="00530906">
        <w:rPr>
          <w:rFonts w:ascii="Cambria" w:hAnsi="Cambria"/>
          <w:color w:val="000000" w:themeColor="text1"/>
          <w:sz w:val="24"/>
          <w:szCs w:val="24"/>
        </w:rPr>
        <w:t>Behaviour</w:t>
      </w:r>
    </w:p>
    <w:p w14:paraId="4ACF57E2" w14:textId="77777777" w:rsidR="00C7217E" w:rsidRPr="001435A7" w:rsidRDefault="00C7217E" w:rsidP="008756B1">
      <w:pPr>
        <w:ind w:left="720" w:firstLine="720"/>
        <w:jc w:val="both"/>
        <w:rPr>
          <w:rFonts w:ascii="Cambria" w:hAnsi="Cambria"/>
          <w:sz w:val="24"/>
          <w:szCs w:val="24"/>
        </w:rPr>
      </w:pPr>
      <w:r w:rsidRPr="00530906">
        <w:rPr>
          <w:rFonts w:ascii="Cambria" w:hAnsi="Cambria"/>
          <w:color w:val="000000" w:themeColor="text1"/>
          <w:sz w:val="24"/>
          <w:szCs w:val="24"/>
        </w:rPr>
        <w:t>=4.</w:t>
      </w:r>
      <w:r w:rsidRPr="001435A7">
        <w:rPr>
          <w:rFonts w:ascii="Cambria" w:hAnsi="Cambria"/>
          <w:sz w:val="24"/>
          <w:szCs w:val="24"/>
        </w:rPr>
        <w:t>385 + .271 Behaviour</w:t>
      </w:r>
    </w:p>
    <w:p w14:paraId="0F6B50D9" w14:textId="33180E7D" w:rsidR="00C7217E" w:rsidRPr="001435A7" w:rsidRDefault="00C7217E">
      <w:pPr>
        <w:spacing w:line="360" w:lineRule="auto"/>
        <w:jc w:val="both"/>
        <w:rPr>
          <w:rFonts w:ascii="Cambria" w:hAnsi="Cambria"/>
        </w:rPr>
      </w:pPr>
      <w:r w:rsidRPr="001435A7">
        <w:rPr>
          <w:rFonts w:ascii="Cambria" w:hAnsi="Cambria"/>
          <w:sz w:val="24"/>
          <w:szCs w:val="24"/>
        </w:rPr>
        <w:t>All the causal relationships are summarised in table</w:t>
      </w:r>
      <w:r w:rsidRPr="001435A7">
        <w:rPr>
          <w:rFonts w:ascii="Cambria" w:hAnsi="Cambria"/>
        </w:rPr>
        <w:t xml:space="preserve"> </w:t>
      </w:r>
      <w:r w:rsidR="00D12437" w:rsidRPr="001435A7">
        <w:rPr>
          <w:rFonts w:ascii="Cambria" w:hAnsi="Cambria"/>
        </w:rPr>
        <w:t>23</w:t>
      </w:r>
      <w:r w:rsidRPr="001435A7">
        <w:rPr>
          <w:rFonts w:ascii="Cambria" w:hAnsi="Cambria"/>
        </w:rPr>
        <w:t>.</w:t>
      </w:r>
    </w:p>
    <w:p w14:paraId="60A1DDCF" w14:textId="77777777" w:rsidR="00300FD0" w:rsidRPr="001435A7" w:rsidRDefault="00300FD0">
      <w:pPr>
        <w:spacing w:line="360" w:lineRule="auto"/>
        <w:jc w:val="both"/>
        <w:rPr>
          <w:rFonts w:ascii="Cambria" w:hAnsi="Cambria"/>
        </w:rPr>
      </w:pPr>
    </w:p>
    <w:p w14:paraId="23093CD9" w14:textId="2B81F2AA" w:rsidR="00C7217E" w:rsidRPr="001435A7" w:rsidRDefault="00C7217E">
      <w:pPr>
        <w:spacing w:line="360" w:lineRule="auto"/>
        <w:jc w:val="both"/>
        <w:rPr>
          <w:rFonts w:ascii="Cambria" w:hAnsi="Cambria"/>
        </w:rPr>
      </w:pPr>
      <w:r w:rsidRPr="001435A7">
        <w:rPr>
          <w:rFonts w:ascii="Cambria" w:hAnsi="Cambria"/>
        </w:rPr>
        <w:t>Table</w:t>
      </w:r>
      <w:r w:rsidR="0066234A" w:rsidRPr="001435A7">
        <w:rPr>
          <w:rFonts w:ascii="Cambria" w:hAnsi="Cambria"/>
        </w:rPr>
        <w:t>23</w:t>
      </w:r>
      <w:r w:rsidRPr="001435A7">
        <w:rPr>
          <w:rFonts w:ascii="Cambria" w:hAnsi="Cambria"/>
        </w:rPr>
        <w:t>: Summary of causal relationships</w:t>
      </w:r>
    </w:p>
    <w:tbl>
      <w:tblPr>
        <w:tblStyle w:val="TableGrid"/>
        <w:tblW w:w="9288" w:type="dxa"/>
        <w:tblLayout w:type="fixed"/>
        <w:tblLook w:val="04A0" w:firstRow="1" w:lastRow="0" w:firstColumn="1" w:lastColumn="0" w:noHBand="0" w:noVBand="1"/>
      </w:tblPr>
      <w:tblGrid>
        <w:gridCol w:w="3258"/>
        <w:gridCol w:w="2407"/>
        <w:gridCol w:w="709"/>
        <w:gridCol w:w="709"/>
        <w:gridCol w:w="709"/>
        <w:gridCol w:w="1496"/>
      </w:tblGrid>
      <w:tr w:rsidR="001435A7" w:rsidRPr="001435A7" w14:paraId="70D58F0A" w14:textId="77777777" w:rsidTr="00DF1F25">
        <w:tc>
          <w:tcPr>
            <w:tcW w:w="3258" w:type="dxa"/>
            <w:shd w:val="clear" w:color="auto" w:fill="CCCCFF"/>
          </w:tcPr>
          <w:p w14:paraId="34700429" w14:textId="77777777" w:rsidR="00C7217E" w:rsidRPr="001435A7" w:rsidRDefault="00C7217E" w:rsidP="008756B1">
            <w:pPr>
              <w:jc w:val="both"/>
              <w:rPr>
                <w:rFonts w:ascii="Cambria" w:hAnsi="Cambria"/>
                <w:sz w:val="24"/>
                <w:szCs w:val="24"/>
              </w:rPr>
            </w:pPr>
            <w:r w:rsidRPr="001435A7">
              <w:rPr>
                <w:rFonts w:ascii="Cambria" w:hAnsi="Cambria"/>
                <w:sz w:val="24"/>
                <w:szCs w:val="24"/>
              </w:rPr>
              <w:t>Hypothised relationships</w:t>
            </w:r>
          </w:p>
        </w:tc>
        <w:tc>
          <w:tcPr>
            <w:tcW w:w="2407" w:type="dxa"/>
            <w:shd w:val="clear" w:color="auto" w:fill="CCCCFF"/>
          </w:tcPr>
          <w:p w14:paraId="485C5CA1" w14:textId="77777777" w:rsidR="00C7217E" w:rsidRPr="001435A7" w:rsidRDefault="00C7217E" w:rsidP="008756B1">
            <w:pPr>
              <w:jc w:val="both"/>
              <w:rPr>
                <w:rFonts w:ascii="Cambria" w:hAnsi="Cambria"/>
                <w:sz w:val="24"/>
                <w:szCs w:val="24"/>
              </w:rPr>
            </w:pPr>
            <w:r w:rsidRPr="001435A7">
              <w:rPr>
                <w:rFonts w:ascii="Cambria" w:hAnsi="Cambria"/>
                <w:sz w:val="24"/>
                <w:szCs w:val="24"/>
              </w:rPr>
              <w:t>Beta</w:t>
            </w:r>
          </w:p>
        </w:tc>
        <w:tc>
          <w:tcPr>
            <w:tcW w:w="709" w:type="dxa"/>
            <w:shd w:val="clear" w:color="auto" w:fill="CCCCFF"/>
          </w:tcPr>
          <w:p w14:paraId="1A5A6E1F" w14:textId="77777777" w:rsidR="00C7217E" w:rsidRPr="001435A7" w:rsidRDefault="00C7217E" w:rsidP="008756B1">
            <w:pPr>
              <w:jc w:val="both"/>
              <w:rPr>
                <w:rFonts w:ascii="Cambria" w:hAnsi="Cambria"/>
                <w:sz w:val="24"/>
                <w:szCs w:val="24"/>
              </w:rPr>
            </w:pPr>
            <w:r w:rsidRPr="001435A7">
              <w:rPr>
                <w:rFonts w:ascii="Cambria" w:hAnsi="Cambria"/>
                <w:sz w:val="24"/>
                <w:szCs w:val="24"/>
              </w:rPr>
              <w:t>SE</w:t>
            </w:r>
          </w:p>
        </w:tc>
        <w:tc>
          <w:tcPr>
            <w:tcW w:w="709" w:type="dxa"/>
            <w:shd w:val="clear" w:color="auto" w:fill="CCCCFF"/>
          </w:tcPr>
          <w:p w14:paraId="1A3F68BD" w14:textId="77777777" w:rsidR="00C7217E" w:rsidRPr="001435A7" w:rsidRDefault="00C7217E" w:rsidP="008756B1">
            <w:pPr>
              <w:jc w:val="both"/>
              <w:rPr>
                <w:rFonts w:ascii="Cambria" w:hAnsi="Cambria"/>
                <w:sz w:val="24"/>
                <w:szCs w:val="24"/>
              </w:rPr>
            </w:pPr>
            <w:r w:rsidRPr="001435A7">
              <w:rPr>
                <w:rFonts w:ascii="Cambria" w:hAnsi="Cambria"/>
                <w:sz w:val="24"/>
                <w:szCs w:val="24"/>
              </w:rPr>
              <w:t>Sig</w:t>
            </w:r>
          </w:p>
        </w:tc>
        <w:tc>
          <w:tcPr>
            <w:tcW w:w="709" w:type="dxa"/>
            <w:shd w:val="clear" w:color="auto" w:fill="CCCCFF"/>
          </w:tcPr>
          <w:p w14:paraId="0DA1ED76" w14:textId="77777777" w:rsidR="00C7217E" w:rsidRPr="001435A7" w:rsidRDefault="00C7217E" w:rsidP="008756B1">
            <w:pPr>
              <w:jc w:val="both"/>
              <w:rPr>
                <w:rFonts w:ascii="Cambria" w:hAnsi="Cambria"/>
                <w:sz w:val="24"/>
                <w:szCs w:val="24"/>
              </w:rPr>
            </w:pPr>
            <w:r w:rsidRPr="001435A7">
              <w:rPr>
                <w:rFonts w:ascii="Cambria" w:hAnsi="Cambria"/>
                <w:sz w:val="24"/>
                <w:szCs w:val="24"/>
              </w:rPr>
              <w:t>R</w:t>
            </w:r>
            <w:r w:rsidRPr="001435A7">
              <w:rPr>
                <w:rFonts w:ascii="Cambria" w:hAnsi="Cambria"/>
                <w:sz w:val="24"/>
                <w:szCs w:val="24"/>
                <w:vertAlign w:val="superscript"/>
              </w:rPr>
              <w:t>2</w:t>
            </w:r>
          </w:p>
        </w:tc>
        <w:tc>
          <w:tcPr>
            <w:tcW w:w="1496" w:type="dxa"/>
            <w:shd w:val="clear" w:color="auto" w:fill="CCCCFF"/>
          </w:tcPr>
          <w:p w14:paraId="181F7055" w14:textId="77777777" w:rsidR="00C7217E" w:rsidRPr="001435A7" w:rsidRDefault="00C7217E" w:rsidP="008756B1">
            <w:pPr>
              <w:jc w:val="both"/>
              <w:rPr>
                <w:rFonts w:ascii="Cambria" w:hAnsi="Cambria"/>
                <w:sz w:val="24"/>
                <w:szCs w:val="24"/>
              </w:rPr>
            </w:pPr>
            <w:r w:rsidRPr="001435A7">
              <w:rPr>
                <w:rFonts w:ascii="Cambria" w:hAnsi="Cambria"/>
                <w:sz w:val="24"/>
                <w:szCs w:val="24"/>
              </w:rPr>
              <w:t>Hypothesis</w:t>
            </w:r>
          </w:p>
          <w:p w14:paraId="092523A8" w14:textId="77777777" w:rsidR="00C7217E" w:rsidRPr="001435A7" w:rsidRDefault="00C7217E" w:rsidP="008756B1">
            <w:pPr>
              <w:jc w:val="both"/>
              <w:rPr>
                <w:rFonts w:ascii="Cambria" w:hAnsi="Cambria"/>
                <w:sz w:val="24"/>
                <w:szCs w:val="24"/>
              </w:rPr>
            </w:pPr>
            <w:r w:rsidRPr="001435A7">
              <w:rPr>
                <w:rFonts w:ascii="Cambria" w:hAnsi="Cambria"/>
                <w:sz w:val="24"/>
                <w:szCs w:val="24"/>
              </w:rPr>
              <w:t>Supported?</w:t>
            </w:r>
          </w:p>
        </w:tc>
      </w:tr>
      <w:tr w:rsidR="001435A7" w:rsidRPr="001435A7" w14:paraId="20FDDD5D" w14:textId="77777777" w:rsidTr="00DF1F25">
        <w:tc>
          <w:tcPr>
            <w:tcW w:w="3258" w:type="dxa"/>
            <w:shd w:val="clear" w:color="auto" w:fill="F2F2F2" w:themeFill="background1" w:themeFillShade="F2"/>
          </w:tcPr>
          <w:p w14:paraId="4BDD5683" w14:textId="77777777" w:rsidR="00C7217E" w:rsidRPr="001435A7" w:rsidRDefault="00C7217E" w:rsidP="008756B1">
            <w:pPr>
              <w:jc w:val="both"/>
              <w:rPr>
                <w:rFonts w:ascii="Cambria" w:hAnsi="Cambria" w:cstheme="minorHAnsi"/>
                <w:sz w:val="24"/>
                <w:szCs w:val="24"/>
              </w:rPr>
            </w:pPr>
            <w:r w:rsidRPr="001435A7">
              <w:rPr>
                <w:rFonts w:ascii="Cambria" w:hAnsi="Cambria"/>
                <w:sz w:val="24"/>
                <w:szCs w:val="24"/>
              </w:rPr>
              <w:t>H</w:t>
            </w:r>
            <w:r w:rsidRPr="001435A7">
              <w:rPr>
                <w:rFonts w:ascii="Cambria" w:hAnsi="Cambria"/>
                <w:sz w:val="24"/>
                <w:szCs w:val="24"/>
                <w:vertAlign w:val="subscript"/>
              </w:rPr>
              <w:t>5</w:t>
            </w:r>
            <w:r w:rsidRPr="001435A7">
              <w:rPr>
                <w:rFonts w:ascii="Cambria" w:hAnsi="Cambria"/>
                <w:sz w:val="24"/>
                <w:szCs w:val="24"/>
              </w:rPr>
              <w:t xml:space="preserve">: Involvement </w:t>
            </w:r>
            <w:r w:rsidRPr="001435A7">
              <w:rPr>
                <w:rFonts w:ascii="Cambria" w:hAnsi="Cambria" w:cstheme="minorHAnsi"/>
                <w:sz w:val="24"/>
                <w:szCs w:val="24"/>
              </w:rPr>
              <w:t>→</w:t>
            </w:r>
            <w:r w:rsidRPr="001435A7">
              <w:rPr>
                <w:rFonts w:ascii="Cambria" w:hAnsi="Cambria"/>
                <w:sz w:val="24"/>
                <w:szCs w:val="24"/>
              </w:rPr>
              <w:t xml:space="preserve"> Image quality</w:t>
            </w:r>
          </w:p>
          <w:p w14:paraId="054CBE61" w14:textId="77777777" w:rsidR="00C7217E" w:rsidRPr="001435A7" w:rsidRDefault="00C7217E" w:rsidP="008756B1">
            <w:pPr>
              <w:jc w:val="both"/>
              <w:rPr>
                <w:rFonts w:ascii="Cambria" w:hAnsi="Cambria" w:cstheme="minorHAnsi"/>
                <w:sz w:val="24"/>
                <w:szCs w:val="24"/>
              </w:rPr>
            </w:pPr>
            <w:r w:rsidRPr="001435A7">
              <w:rPr>
                <w:rFonts w:ascii="Cambria" w:hAnsi="Cambria"/>
                <w:sz w:val="24"/>
                <w:szCs w:val="24"/>
              </w:rPr>
              <w:t xml:space="preserve">Involvement </w:t>
            </w:r>
            <w:r w:rsidRPr="001435A7">
              <w:rPr>
                <w:rFonts w:ascii="Cambria" w:hAnsi="Cambria" w:cstheme="minorHAnsi"/>
                <w:sz w:val="24"/>
                <w:szCs w:val="24"/>
              </w:rPr>
              <w:t>→ E</w:t>
            </w:r>
            <w:r w:rsidRPr="001435A7">
              <w:rPr>
                <w:rFonts w:ascii="Cambria" w:hAnsi="Cambria"/>
                <w:sz w:val="24"/>
                <w:szCs w:val="24"/>
              </w:rPr>
              <w:t>ngrossment</w:t>
            </w:r>
          </w:p>
          <w:p w14:paraId="6C303A18" w14:textId="77777777" w:rsidR="00C7217E" w:rsidRPr="001435A7" w:rsidRDefault="00C7217E" w:rsidP="008756B1">
            <w:pPr>
              <w:jc w:val="both"/>
              <w:rPr>
                <w:rFonts w:ascii="Cambria" w:hAnsi="Cambria" w:cstheme="minorHAnsi"/>
                <w:sz w:val="24"/>
                <w:szCs w:val="24"/>
              </w:rPr>
            </w:pPr>
            <w:r w:rsidRPr="001435A7">
              <w:rPr>
                <w:rFonts w:ascii="Cambria" w:hAnsi="Cambria"/>
                <w:sz w:val="24"/>
                <w:szCs w:val="24"/>
              </w:rPr>
              <w:t xml:space="preserve">Involvement </w:t>
            </w:r>
            <w:r w:rsidRPr="001435A7">
              <w:rPr>
                <w:rFonts w:ascii="Cambria" w:hAnsi="Cambria" w:cstheme="minorHAnsi"/>
                <w:sz w:val="24"/>
                <w:szCs w:val="24"/>
              </w:rPr>
              <w:t>→</w:t>
            </w:r>
            <w:r w:rsidRPr="001435A7">
              <w:rPr>
                <w:rFonts w:ascii="Cambria" w:hAnsi="Cambria"/>
                <w:sz w:val="24"/>
                <w:szCs w:val="24"/>
              </w:rPr>
              <w:t xml:space="preserve"> Self–projection</w:t>
            </w:r>
          </w:p>
          <w:p w14:paraId="1131A707" w14:textId="77777777" w:rsidR="00C7217E" w:rsidRPr="001435A7" w:rsidRDefault="00C7217E" w:rsidP="008756B1">
            <w:pPr>
              <w:jc w:val="both"/>
              <w:rPr>
                <w:rFonts w:ascii="Cambria" w:hAnsi="Cambria"/>
                <w:sz w:val="24"/>
                <w:szCs w:val="24"/>
              </w:rPr>
            </w:pPr>
            <w:r w:rsidRPr="001435A7">
              <w:rPr>
                <w:rFonts w:ascii="Cambria" w:hAnsi="Cambria"/>
                <w:sz w:val="24"/>
                <w:szCs w:val="24"/>
              </w:rPr>
              <w:t xml:space="preserve">Involvement </w:t>
            </w:r>
            <w:r w:rsidRPr="001435A7">
              <w:rPr>
                <w:rFonts w:ascii="Cambria" w:hAnsi="Cambria" w:cstheme="minorHAnsi"/>
                <w:sz w:val="24"/>
                <w:szCs w:val="24"/>
              </w:rPr>
              <w:t>→</w:t>
            </w:r>
            <w:r w:rsidRPr="001435A7">
              <w:rPr>
                <w:rFonts w:ascii="Cambria" w:hAnsi="Cambria"/>
                <w:sz w:val="24"/>
                <w:szCs w:val="24"/>
              </w:rPr>
              <w:t xml:space="preserve"> Mental fluency</w:t>
            </w:r>
          </w:p>
        </w:tc>
        <w:tc>
          <w:tcPr>
            <w:tcW w:w="2407" w:type="dxa"/>
          </w:tcPr>
          <w:p w14:paraId="38E17835" w14:textId="77777777" w:rsidR="00C7217E" w:rsidRPr="001435A7" w:rsidRDefault="00C7217E" w:rsidP="008756B1">
            <w:pPr>
              <w:jc w:val="both"/>
              <w:rPr>
                <w:rFonts w:ascii="Cambria" w:hAnsi="Cambria"/>
                <w:sz w:val="24"/>
                <w:szCs w:val="24"/>
              </w:rPr>
            </w:pPr>
            <w:r w:rsidRPr="001435A7">
              <w:rPr>
                <w:rFonts w:ascii="Cambria" w:hAnsi="Cambria"/>
                <w:sz w:val="24"/>
                <w:szCs w:val="24"/>
              </w:rPr>
              <w:t>.722</w:t>
            </w:r>
          </w:p>
          <w:p w14:paraId="3CCD59BA" w14:textId="77777777" w:rsidR="00C7217E" w:rsidRPr="001435A7" w:rsidRDefault="00C7217E" w:rsidP="008756B1">
            <w:pPr>
              <w:jc w:val="both"/>
              <w:rPr>
                <w:rFonts w:ascii="Cambria" w:hAnsi="Cambria"/>
                <w:sz w:val="24"/>
                <w:szCs w:val="24"/>
              </w:rPr>
            </w:pPr>
          </w:p>
          <w:p w14:paraId="2CF8118F" w14:textId="77777777" w:rsidR="00C7217E" w:rsidRPr="001435A7" w:rsidRDefault="00C7217E" w:rsidP="008756B1">
            <w:pPr>
              <w:jc w:val="both"/>
              <w:rPr>
                <w:rFonts w:ascii="Cambria" w:hAnsi="Cambria"/>
                <w:sz w:val="24"/>
                <w:szCs w:val="24"/>
              </w:rPr>
            </w:pPr>
            <w:r w:rsidRPr="001435A7">
              <w:rPr>
                <w:rFonts w:ascii="Cambria" w:hAnsi="Cambria"/>
                <w:sz w:val="24"/>
                <w:szCs w:val="24"/>
              </w:rPr>
              <w:t>.200</w:t>
            </w:r>
          </w:p>
          <w:p w14:paraId="43C65E63" w14:textId="77777777" w:rsidR="00C7217E" w:rsidRPr="001435A7" w:rsidRDefault="00C7217E" w:rsidP="008756B1">
            <w:pPr>
              <w:jc w:val="both"/>
              <w:rPr>
                <w:rFonts w:ascii="Cambria" w:hAnsi="Cambria"/>
                <w:sz w:val="24"/>
                <w:szCs w:val="24"/>
              </w:rPr>
            </w:pPr>
            <w:r w:rsidRPr="001435A7">
              <w:rPr>
                <w:rFonts w:ascii="Cambria" w:hAnsi="Cambria"/>
                <w:sz w:val="24"/>
                <w:szCs w:val="24"/>
              </w:rPr>
              <w:t>.599</w:t>
            </w:r>
          </w:p>
          <w:p w14:paraId="2C1FC1BA" w14:textId="77777777" w:rsidR="00C7217E" w:rsidRPr="001435A7" w:rsidRDefault="00C7217E" w:rsidP="008756B1">
            <w:pPr>
              <w:jc w:val="both"/>
              <w:rPr>
                <w:rFonts w:ascii="Cambria" w:hAnsi="Cambria"/>
                <w:sz w:val="24"/>
                <w:szCs w:val="24"/>
              </w:rPr>
            </w:pPr>
            <w:r w:rsidRPr="001435A7">
              <w:rPr>
                <w:rFonts w:ascii="Cambria" w:hAnsi="Cambria"/>
                <w:sz w:val="24"/>
                <w:szCs w:val="24"/>
              </w:rPr>
              <w:t>.578</w:t>
            </w:r>
          </w:p>
        </w:tc>
        <w:tc>
          <w:tcPr>
            <w:tcW w:w="709" w:type="dxa"/>
          </w:tcPr>
          <w:p w14:paraId="5957B42A" w14:textId="77777777" w:rsidR="00C7217E" w:rsidRPr="001435A7" w:rsidRDefault="00C7217E" w:rsidP="008756B1">
            <w:pPr>
              <w:jc w:val="both"/>
              <w:rPr>
                <w:rFonts w:ascii="Cambria" w:hAnsi="Cambria"/>
                <w:sz w:val="24"/>
                <w:szCs w:val="24"/>
              </w:rPr>
            </w:pPr>
            <w:r w:rsidRPr="001435A7">
              <w:rPr>
                <w:rFonts w:ascii="Cambria" w:hAnsi="Cambria"/>
                <w:sz w:val="24"/>
                <w:szCs w:val="24"/>
              </w:rPr>
              <w:t>.055</w:t>
            </w:r>
          </w:p>
          <w:p w14:paraId="14A7A6EC" w14:textId="77777777" w:rsidR="00C7217E" w:rsidRPr="001435A7" w:rsidRDefault="00C7217E" w:rsidP="008756B1">
            <w:pPr>
              <w:jc w:val="both"/>
              <w:rPr>
                <w:rFonts w:ascii="Cambria" w:hAnsi="Cambria"/>
                <w:sz w:val="24"/>
                <w:szCs w:val="24"/>
              </w:rPr>
            </w:pPr>
            <w:r w:rsidRPr="001435A7">
              <w:rPr>
                <w:rFonts w:ascii="Cambria" w:hAnsi="Cambria"/>
                <w:sz w:val="24"/>
                <w:szCs w:val="24"/>
              </w:rPr>
              <w:t>.055</w:t>
            </w:r>
          </w:p>
          <w:p w14:paraId="7EBB6247" w14:textId="77777777" w:rsidR="00C7217E" w:rsidRPr="001435A7" w:rsidRDefault="00C7217E" w:rsidP="008756B1">
            <w:pPr>
              <w:jc w:val="both"/>
              <w:rPr>
                <w:rFonts w:ascii="Cambria" w:hAnsi="Cambria"/>
                <w:sz w:val="24"/>
                <w:szCs w:val="24"/>
              </w:rPr>
            </w:pPr>
            <w:r w:rsidRPr="001435A7">
              <w:rPr>
                <w:rFonts w:ascii="Cambria" w:hAnsi="Cambria"/>
                <w:sz w:val="24"/>
                <w:szCs w:val="24"/>
              </w:rPr>
              <w:t>.056</w:t>
            </w:r>
          </w:p>
          <w:p w14:paraId="75B646FC" w14:textId="77777777" w:rsidR="00C7217E" w:rsidRPr="001435A7" w:rsidRDefault="00C7217E" w:rsidP="008756B1">
            <w:pPr>
              <w:jc w:val="both"/>
              <w:rPr>
                <w:rFonts w:ascii="Cambria" w:hAnsi="Cambria"/>
                <w:sz w:val="24"/>
                <w:szCs w:val="24"/>
              </w:rPr>
            </w:pPr>
            <w:r w:rsidRPr="001435A7">
              <w:rPr>
                <w:rFonts w:ascii="Cambria" w:hAnsi="Cambria"/>
                <w:sz w:val="24"/>
                <w:szCs w:val="24"/>
              </w:rPr>
              <w:t>.066</w:t>
            </w:r>
          </w:p>
        </w:tc>
        <w:tc>
          <w:tcPr>
            <w:tcW w:w="709" w:type="dxa"/>
          </w:tcPr>
          <w:p w14:paraId="6CCE21DD"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p w14:paraId="3AF5FFEA"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p w14:paraId="0A678BC1"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p w14:paraId="41691320"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770F8C50" w14:textId="77777777" w:rsidR="00C7217E" w:rsidRPr="001435A7" w:rsidRDefault="00C7217E" w:rsidP="008756B1">
            <w:pPr>
              <w:jc w:val="both"/>
              <w:rPr>
                <w:rFonts w:ascii="Cambria" w:hAnsi="Cambria"/>
                <w:sz w:val="24"/>
                <w:szCs w:val="24"/>
              </w:rPr>
            </w:pPr>
            <w:r w:rsidRPr="001435A7">
              <w:rPr>
                <w:rFonts w:ascii="Cambria" w:hAnsi="Cambria"/>
                <w:sz w:val="24"/>
                <w:szCs w:val="24"/>
              </w:rPr>
              <w:t>.384</w:t>
            </w:r>
          </w:p>
          <w:p w14:paraId="2A86C32A" w14:textId="77777777" w:rsidR="00C7217E" w:rsidRPr="001435A7" w:rsidRDefault="00C7217E" w:rsidP="008756B1">
            <w:pPr>
              <w:jc w:val="both"/>
              <w:rPr>
                <w:rFonts w:ascii="Cambria" w:hAnsi="Cambria"/>
                <w:sz w:val="24"/>
                <w:szCs w:val="24"/>
              </w:rPr>
            </w:pPr>
            <w:r w:rsidRPr="001435A7">
              <w:rPr>
                <w:rFonts w:ascii="Cambria" w:hAnsi="Cambria"/>
                <w:sz w:val="24"/>
                <w:szCs w:val="24"/>
              </w:rPr>
              <w:t>.046</w:t>
            </w:r>
          </w:p>
          <w:p w14:paraId="0EF9DD88" w14:textId="77777777" w:rsidR="00C7217E" w:rsidRPr="001435A7" w:rsidRDefault="00C7217E" w:rsidP="008756B1">
            <w:pPr>
              <w:jc w:val="both"/>
              <w:rPr>
                <w:rFonts w:ascii="Cambria" w:hAnsi="Cambria"/>
                <w:sz w:val="24"/>
                <w:szCs w:val="24"/>
              </w:rPr>
            </w:pPr>
            <w:r w:rsidRPr="001435A7">
              <w:rPr>
                <w:rFonts w:ascii="Cambria" w:hAnsi="Cambria"/>
                <w:sz w:val="24"/>
                <w:szCs w:val="24"/>
              </w:rPr>
              <w:t>.290</w:t>
            </w:r>
          </w:p>
          <w:p w14:paraId="22B45185" w14:textId="77777777" w:rsidR="00C7217E" w:rsidRPr="001435A7" w:rsidRDefault="00C7217E" w:rsidP="008756B1">
            <w:pPr>
              <w:jc w:val="both"/>
              <w:rPr>
                <w:rFonts w:ascii="Cambria" w:hAnsi="Cambria"/>
                <w:sz w:val="24"/>
                <w:szCs w:val="24"/>
              </w:rPr>
            </w:pPr>
            <w:r w:rsidRPr="001435A7">
              <w:rPr>
                <w:rFonts w:ascii="Cambria" w:hAnsi="Cambria"/>
                <w:sz w:val="24"/>
                <w:szCs w:val="24"/>
              </w:rPr>
              <w:t>.217</w:t>
            </w:r>
          </w:p>
        </w:tc>
        <w:tc>
          <w:tcPr>
            <w:tcW w:w="1496" w:type="dxa"/>
          </w:tcPr>
          <w:p w14:paraId="7AA82E1C"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3D6C1796" w14:textId="77777777" w:rsidTr="00DF1F25">
        <w:tc>
          <w:tcPr>
            <w:tcW w:w="3258" w:type="dxa"/>
            <w:shd w:val="clear" w:color="auto" w:fill="F2F2F2" w:themeFill="background1" w:themeFillShade="F2"/>
          </w:tcPr>
          <w:p w14:paraId="4621EF8F"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6</w:t>
            </w:r>
            <w:r w:rsidRPr="001435A7">
              <w:rPr>
                <w:rFonts w:ascii="Cambria" w:hAnsi="Cambria"/>
                <w:sz w:val="24"/>
                <w:szCs w:val="24"/>
              </w:rPr>
              <w:t xml:space="preserve">: SCV </w:t>
            </w:r>
            <w:r w:rsidRPr="001435A7">
              <w:rPr>
                <w:rFonts w:ascii="Cambria" w:hAnsi="Cambria" w:cstheme="minorHAnsi"/>
                <w:sz w:val="24"/>
                <w:szCs w:val="24"/>
              </w:rPr>
              <w:t>→</w:t>
            </w:r>
            <w:r w:rsidRPr="001435A7">
              <w:rPr>
                <w:rFonts w:ascii="Cambria" w:hAnsi="Cambria"/>
                <w:sz w:val="24"/>
                <w:szCs w:val="24"/>
              </w:rPr>
              <w:t xml:space="preserve"> Social media engagement</w:t>
            </w:r>
          </w:p>
        </w:tc>
        <w:tc>
          <w:tcPr>
            <w:tcW w:w="2407" w:type="dxa"/>
          </w:tcPr>
          <w:p w14:paraId="1EF01253" w14:textId="77777777" w:rsidR="00C7217E" w:rsidRPr="001435A7" w:rsidRDefault="00C7217E" w:rsidP="008756B1">
            <w:pPr>
              <w:jc w:val="both"/>
              <w:rPr>
                <w:rFonts w:ascii="Cambria" w:hAnsi="Cambria"/>
                <w:sz w:val="24"/>
                <w:szCs w:val="24"/>
              </w:rPr>
            </w:pPr>
            <w:r w:rsidRPr="001435A7">
              <w:rPr>
                <w:rFonts w:ascii="Cambria" w:hAnsi="Cambria"/>
                <w:sz w:val="24"/>
                <w:szCs w:val="24"/>
              </w:rPr>
              <w:t>Image quality (</w:t>
            </w:r>
            <w:r w:rsidRPr="001435A7">
              <w:rPr>
                <w:rFonts w:ascii="Cambria" w:hAnsi="Cambria" w:cstheme="minorHAnsi"/>
                <w:sz w:val="24"/>
                <w:szCs w:val="24"/>
              </w:rPr>
              <w:t>β</w:t>
            </w:r>
            <w:r w:rsidRPr="001435A7">
              <w:rPr>
                <w:rFonts w:ascii="Cambria" w:hAnsi="Cambria"/>
                <w:sz w:val="24"/>
                <w:szCs w:val="24"/>
              </w:rPr>
              <w:t xml:space="preserve"> =.195, p =.001); Engrossment (</w:t>
            </w:r>
            <w:r w:rsidRPr="001435A7">
              <w:rPr>
                <w:rFonts w:ascii="Cambria" w:hAnsi="Cambria" w:cstheme="minorHAnsi"/>
                <w:sz w:val="24"/>
                <w:szCs w:val="24"/>
              </w:rPr>
              <w:t>β</w:t>
            </w:r>
            <w:r w:rsidRPr="001435A7">
              <w:rPr>
                <w:rFonts w:ascii="Cambria" w:hAnsi="Cambria"/>
                <w:sz w:val="24"/>
                <w:szCs w:val="24"/>
              </w:rPr>
              <w:t xml:space="preserve"> =.037, p = .492), Self–projection (</w:t>
            </w:r>
            <w:r w:rsidRPr="001435A7">
              <w:rPr>
                <w:rFonts w:ascii="Cambria" w:hAnsi="Cambria" w:cstheme="minorHAnsi"/>
                <w:sz w:val="24"/>
                <w:szCs w:val="24"/>
              </w:rPr>
              <w:t>β</w:t>
            </w:r>
            <w:r w:rsidRPr="001435A7">
              <w:rPr>
                <w:rFonts w:ascii="Cambria" w:hAnsi="Cambria"/>
                <w:sz w:val="24"/>
                <w:szCs w:val="24"/>
              </w:rPr>
              <w:t xml:space="preserve"> =.339, p = .000), Mental fluency </w:t>
            </w:r>
            <w:r w:rsidRPr="001435A7">
              <w:rPr>
                <w:rFonts w:ascii="Cambria" w:hAnsi="Cambria" w:cstheme="minorHAnsi"/>
                <w:sz w:val="24"/>
                <w:szCs w:val="24"/>
              </w:rPr>
              <w:t>(β</w:t>
            </w:r>
            <w:r w:rsidRPr="001435A7">
              <w:rPr>
                <w:rFonts w:ascii="Cambria" w:hAnsi="Cambria"/>
                <w:sz w:val="24"/>
                <w:szCs w:val="24"/>
              </w:rPr>
              <w:t xml:space="preserve"> =.126, p =.072)</w:t>
            </w:r>
          </w:p>
        </w:tc>
        <w:tc>
          <w:tcPr>
            <w:tcW w:w="709" w:type="dxa"/>
          </w:tcPr>
          <w:p w14:paraId="7AFBB7AA" w14:textId="77777777" w:rsidR="00C7217E" w:rsidRPr="001435A7" w:rsidRDefault="00C7217E" w:rsidP="008756B1">
            <w:pPr>
              <w:jc w:val="both"/>
              <w:rPr>
                <w:rFonts w:ascii="Cambria" w:hAnsi="Cambria"/>
                <w:sz w:val="24"/>
                <w:szCs w:val="24"/>
              </w:rPr>
            </w:pPr>
          </w:p>
          <w:p w14:paraId="25C1F9D5" w14:textId="77777777" w:rsidR="00C7217E" w:rsidRPr="001435A7" w:rsidRDefault="00C7217E" w:rsidP="008756B1">
            <w:pPr>
              <w:jc w:val="both"/>
              <w:rPr>
                <w:rFonts w:ascii="Cambria" w:hAnsi="Cambria"/>
                <w:sz w:val="24"/>
                <w:szCs w:val="24"/>
              </w:rPr>
            </w:pPr>
          </w:p>
        </w:tc>
        <w:tc>
          <w:tcPr>
            <w:tcW w:w="709" w:type="dxa"/>
          </w:tcPr>
          <w:p w14:paraId="1D9A2AA3"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p w14:paraId="3E6262EA" w14:textId="77777777" w:rsidR="00C7217E" w:rsidRPr="001435A7" w:rsidRDefault="00C7217E" w:rsidP="008756B1">
            <w:pPr>
              <w:jc w:val="both"/>
              <w:rPr>
                <w:rFonts w:ascii="Cambria" w:hAnsi="Cambria"/>
                <w:sz w:val="24"/>
                <w:szCs w:val="24"/>
              </w:rPr>
            </w:pPr>
          </w:p>
          <w:p w14:paraId="5F799195" w14:textId="77777777" w:rsidR="00C7217E" w:rsidRPr="001435A7" w:rsidRDefault="00C7217E" w:rsidP="008756B1">
            <w:pPr>
              <w:jc w:val="both"/>
              <w:rPr>
                <w:rFonts w:ascii="Cambria" w:hAnsi="Cambria"/>
                <w:sz w:val="24"/>
                <w:szCs w:val="24"/>
              </w:rPr>
            </w:pPr>
          </w:p>
          <w:p w14:paraId="55D2F484" w14:textId="77777777" w:rsidR="00C7217E" w:rsidRPr="001435A7" w:rsidRDefault="00C7217E" w:rsidP="008756B1">
            <w:pPr>
              <w:jc w:val="both"/>
              <w:rPr>
                <w:rFonts w:ascii="Cambria" w:hAnsi="Cambria"/>
                <w:sz w:val="24"/>
                <w:szCs w:val="24"/>
              </w:rPr>
            </w:pPr>
          </w:p>
        </w:tc>
        <w:tc>
          <w:tcPr>
            <w:tcW w:w="709" w:type="dxa"/>
          </w:tcPr>
          <w:p w14:paraId="18FB61AB" w14:textId="77777777" w:rsidR="00C7217E" w:rsidRPr="001435A7" w:rsidRDefault="00C7217E" w:rsidP="008756B1">
            <w:pPr>
              <w:jc w:val="both"/>
              <w:rPr>
                <w:rFonts w:ascii="Cambria" w:hAnsi="Cambria"/>
                <w:sz w:val="24"/>
                <w:szCs w:val="24"/>
              </w:rPr>
            </w:pPr>
            <w:r w:rsidRPr="001435A7">
              <w:rPr>
                <w:rFonts w:ascii="Cambria" w:hAnsi="Cambria"/>
                <w:sz w:val="24"/>
                <w:szCs w:val="24"/>
              </w:rPr>
              <w:t>.335</w:t>
            </w:r>
          </w:p>
        </w:tc>
        <w:tc>
          <w:tcPr>
            <w:tcW w:w="1496" w:type="dxa"/>
          </w:tcPr>
          <w:p w14:paraId="7EDE9E4E"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7F83212" w14:textId="77777777" w:rsidTr="00DF1F25">
        <w:tc>
          <w:tcPr>
            <w:tcW w:w="3258" w:type="dxa"/>
            <w:shd w:val="clear" w:color="auto" w:fill="F2F2F2" w:themeFill="background1" w:themeFillShade="F2"/>
          </w:tcPr>
          <w:p w14:paraId="76D1BC11"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7</w:t>
            </w:r>
            <w:r w:rsidRPr="001435A7">
              <w:rPr>
                <w:rFonts w:ascii="Cambria" w:hAnsi="Cambria"/>
                <w:sz w:val="24"/>
                <w:szCs w:val="24"/>
              </w:rPr>
              <w:t xml:space="preserve">: SCV </w:t>
            </w:r>
            <w:r w:rsidRPr="001435A7">
              <w:rPr>
                <w:rFonts w:ascii="Cambria" w:hAnsi="Cambria" w:cstheme="minorHAnsi"/>
                <w:sz w:val="24"/>
                <w:szCs w:val="24"/>
              </w:rPr>
              <w:t xml:space="preserve">→ </w:t>
            </w:r>
            <w:r w:rsidRPr="001435A7">
              <w:rPr>
                <w:rFonts w:ascii="Cambria" w:hAnsi="Cambria"/>
                <w:sz w:val="24"/>
                <w:szCs w:val="24"/>
              </w:rPr>
              <w:t>Pleasure</w:t>
            </w:r>
          </w:p>
          <w:p w14:paraId="6728CB90" w14:textId="77777777" w:rsidR="00C7217E" w:rsidRPr="001435A7" w:rsidRDefault="00C7217E" w:rsidP="008756B1">
            <w:pPr>
              <w:jc w:val="both"/>
              <w:rPr>
                <w:rFonts w:ascii="Cambria" w:hAnsi="Cambria"/>
                <w:sz w:val="24"/>
                <w:szCs w:val="24"/>
              </w:rPr>
            </w:pPr>
          </w:p>
          <w:p w14:paraId="23164907" w14:textId="77777777" w:rsidR="00C7217E" w:rsidRPr="001435A7" w:rsidRDefault="00C7217E" w:rsidP="008756B1">
            <w:pPr>
              <w:jc w:val="both"/>
              <w:rPr>
                <w:rFonts w:ascii="Cambria" w:hAnsi="Cambria"/>
                <w:sz w:val="24"/>
                <w:szCs w:val="24"/>
              </w:rPr>
            </w:pPr>
          </w:p>
        </w:tc>
        <w:tc>
          <w:tcPr>
            <w:tcW w:w="2407" w:type="dxa"/>
          </w:tcPr>
          <w:p w14:paraId="28FC52BB" w14:textId="77777777" w:rsidR="00C7217E" w:rsidRPr="001435A7" w:rsidRDefault="00C7217E" w:rsidP="008756B1">
            <w:pPr>
              <w:jc w:val="both"/>
              <w:rPr>
                <w:rFonts w:ascii="Cambria" w:hAnsi="Cambria"/>
                <w:sz w:val="24"/>
                <w:szCs w:val="24"/>
              </w:rPr>
            </w:pPr>
            <w:r w:rsidRPr="001435A7">
              <w:rPr>
                <w:rFonts w:ascii="Cambria" w:hAnsi="Cambria"/>
                <w:sz w:val="24"/>
                <w:szCs w:val="24"/>
              </w:rPr>
              <w:t>Image quality (</w:t>
            </w:r>
            <w:r w:rsidRPr="001435A7">
              <w:rPr>
                <w:rFonts w:ascii="Cambria" w:hAnsi="Cambria" w:cstheme="minorHAnsi"/>
                <w:sz w:val="24"/>
                <w:szCs w:val="24"/>
              </w:rPr>
              <w:t>β</w:t>
            </w:r>
            <w:r w:rsidRPr="001435A7">
              <w:rPr>
                <w:rFonts w:ascii="Cambria" w:hAnsi="Cambria"/>
                <w:sz w:val="24"/>
                <w:szCs w:val="24"/>
              </w:rPr>
              <w:t xml:space="preserve"> =.379, p =.000) Engrossment (</w:t>
            </w:r>
            <w:r w:rsidRPr="001435A7">
              <w:rPr>
                <w:rFonts w:ascii="Cambria" w:hAnsi="Cambria" w:cstheme="minorHAnsi"/>
                <w:sz w:val="24"/>
                <w:szCs w:val="24"/>
              </w:rPr>
              <w:t>β</w:t>
            </w:r>
            <w:r w:rsidRPr="001435A7">
              <w:rPr>
                <w:rFonts w:ascii="Cambria" w:hAnsi="Cambria"/>
                <w:sz w:val="24"/>
                <w:szCs w:val="24"/>
              </w:rPr>
              <w:t xml:space="preserve"> = –.020, p =.689), Self–projection (</w:t>
            </w:r>
            <w:r w:rsidRPr="001435A7">
              <w:rPr>
                <w:rFonts w:ascii="Cambria" w:hAnsi="Cambria" w:cstheme="minorHAnsi"/>
                <w:sz w:val="24"/>
                <w:szCs w:val="24"/>
              </w:rPr>
              <w:t>β</w:t>
            </w:r>
            <w:r w:rsidRPr="001435A7">
              <w:rPr>
                <w:rFonts w:ascii="Cambria" w:hAnsi="Cambria"/>
                <w:sz w:val="24"/>
                <w:szCs w:val="24"/>
              </w:rPr>
              <w:t xml:space="preserve"> =.099, p =.161), Mental fluency </w:t>
            </w:r>
            <w:r w:rsidRPr="001435A7">
              <w:rPr>
                <w:rFonts w:ascii="Cambria" w:hAnsi="Cambria" w:cstheme="minorHAnsi"/>
                <w:sz w:val="24"/>
                <w:szCs w:val="24"/>
              </w:rPr>
              <w:t>(β</w:t>
            </w:r>
            <w:r w:rsidRPr="001435A7">
              <w:rPr>
                <w:rFonts w:ascii="Cambria" w:hAnsi="Cambria"/>
                <w:sz w:val="24"/>
                <w:szCs w:val="24"/>
              </w:rPr>
              <w:t xml:space="preserve"> = .318, p =.000)</w:t>
            </w:r>
          </w:p>
        </w:tc>
        <w:tc>
          <w:tcPr>
            <w:tcW w:w="709" w:type="dxa"/>
          </w:tcPr>
          <w:p w14:paraId="72FEAAD2" w14:textId="77777777" w:rsidR="00C7217E" w:rsidRPr="001435A7" w:rsidRDefault="00C7217E" w:rsidP="008756B1">
            <w:pPr>
              <w:jc w:val="both"/>
              <w:rPr>
                <w:rFonts w:ascii="Cambria" w:hAnsi="Cambria"/>
                <w:sz w:val="24"/>
                <w:szCs w:val="24"/>
              </w:rPr>
            </w:pPr>
          </w:p>
        </w:tc>
        <w:tc>
          <w:tcPr>
            <w:tcW w:w="709" w:type="dxa"/>
          </w:tcPr>
          <w:p w14:paraId="2EEC20CB"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p w14:paraId="33B2D1CE" w14:textId="77777777" w:rsidR="00C7217E" w:rsidRPr="001435A7" w:rsidRDefault="00C7217E" w:rsidP="008756B1">
            <w:pPr>
              <w:jc w:val="both"/>
              <w:rPr>
                <w:rFonts w:ascii="Cambria" w:hAnsi="Cambria"/>
                <w:sz w:val="24"/>
                <w:szCs w:val="24"/>
              </w:rPr>
            </w:pPr>
          </w:p>
        </w:tc>
        <w:tc>
          <w:tcPr>
            <w:tcW w:w="709" w:type="dxa"/>
          </w:tcPr>
          <w:p w14:paraId="6E279F4E" w14:textId="77777777" w:rsidR="00C7217E" w:rsidRPr="001435A7" w:rsidRDefault="00C7217E" w:rsidP="008756B1">
            <w:pPr>
              <w:jc w:val="both"/>
              <w:rPr>
                <w:rFonts w:ascii="Cambria" w:hAnsi="Cambria"/>
                <w:sz w:val="24"/>
                <w:szCs w:val="24"/>
              </w:rPr>
            </w:pPr>
            <w:r w:rsidRPr="001435A7">
              <w:rPr>
                <w:rFonts w:ascii="Cambria" w:hAnsi="Cambria"/>
                <w:sz w:val="24"/>
                <w:szCs w:val="24"/>
              </w:rPr>
              <w:t>.439</w:t>
            </w:r>
          </w:p>
        </w:tc>
        <w:tc>
          <w:tcPr>
            <w:tcW w:w="1496" w:type="dxa"/>
          </w:tcPr>
          <w:p w14:paraId="01175A84" w14:textId="77777777" w:rsidR="00C7217E" w:rsidRPr="001435A7" w:rsidRDefault="00C7217E" w:rsidP="008756B1">
            <w:pPr>
              <w:jc w:val="both"/>
              <w:rPr>
                <w:rFonts w:ascii="Cambria" w:hAnsi="Cambria"/>
                <w:sz w:val="24"/>
                <w:szCs w:val="24"/>
              </w:rPr>
            </w:pPr>
            <w:r w:rsidRPr="001435A7">
              <w:rPr>
                <w:rFonts w:ascii="Cambria" w:hAnsi="Cambria"/>
                <w:sz w:val="24"/>
                <w:szCs w:val="24"/>
              </w:rPr>
              <w:t xml:space="preserve">Yes </w:t>
            </w:r>
          </w:p>
        </w:tc>
      </w:tr>
      <w:tr w:rsidR="001435A7" w:rsidRPr="001435A7" w14:paraId="7EFE3D82" w14:textId="77777777" w:rsidTr="00DF1F25">
        <w:tc>
          <w:tcPr>
            <w:tcW w:w="3258" w:type="dxa"/>
            <w:shd w:val="clear" w:color="auto" w:fill="F2F2F2" w:themeFill="background1" w:themeFillShade="F2"/>
          </w:tcPr>
          <w:p w14:paraId="07A5DE9F"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8</w:t>
            </w:r>
            <w:r w:rsidRPr="001435A7">
              <w:rPr>
                <w:rFonts w:ascii="Cambria" w:hAnsi="Cambria"/>
                <w:sz w:val="24"/>
                <w:szCs w:val="24"/>
              </w:rPr>
              <w:t xml:space="preserve">: SCV </w:t>
            </w:r>
            <w:r w:rsidRPr="001435A7">
              <w:rPr>
                <w:rFonts w:ascii="Cambria" w:hAnsi="Cambria" w:cstheme="minorHAnsi"/>
                <w:sz w:val="24"/>
                <w:szCs w:val="24"/>
              </w:rPr>
              <w:t>→</w:t>
            </w:r>
            <w:r w:rsidRPr="001435A7">
              <w:rPr>
                <w:rFonts w:ascii="Cambria" w:hAnsi="Cambria"/>
                <w:sz w:val="24"/>
                <w:szCs w:val="24"/>
              </w:rPr>
              <w:t xml:space="preserve"> Arousal</w:t>
            </w:r>
          </w:p>
          <w:p w14:paraId="015A1F01" w14:textId="77777777" w:rsidR="00C7217E" w:rsidRPr="001435A7" w:rsidRDefault="00C7217E" w:rsidP="008756B1">
            <w:pPr>
              <w:jc w:val="both"/>
              <w:rPr>
                <w:rFonts w:ascii="Cambria" w:hAnsi="Cambria"/>
                <w:sz w:val="24"/>
                <w:szCs w:val="24"/>
              </w:rPr>
            </w:pPr>
          </w:p>
        </w:tc>
        <w:tc>
          <w:tcPr>
            <w:tcW w:w="2407" w:type="dxa"/>
          </w:tcPr>
          <w:p w14:paraId="79642767" w14:textId="6B7F32DE" w:rsidR="00C7217E" w:rsidRPr="001435A7" w:rsidRDefault="00C7217E" w:rsidP="008756B1">
            <w:pPr>
              <w:jc w:val="both"/>
              <w:rPr>
                <w:rFonts w:ascii="Cambria" w:hAnsi="Cambria"/>
                <w:sz w:val="24"/>
                <w:szCs w:val="24"/>
              </w:rPr>
            </w:pPr>
            <w:r w:rsidRPr="001435A7">
              <w:rPr>
                <w:rFonts w:ascii="Cambria" w:hAnsi="Cambria"/>
                <w:sz w:val="24"/>
                <w:szCs w:val="24"/>
              </w:rPr>
              <w:t>Image quality</w:t>
            </w:r>
            <w:r w:rsidR="002C3C85" w:rsidRPr="001435A7">
              <w:rPr>
                <w:rFonts w:ascii="Cambria" w:hAnsi="Cambria"/>
                <w:sz w:val="24"/>
                <w:szCs w:val="24"/>
              </w:rPr>
              <w:t xml:space="preserve"> </w:t>
            </w:r>
            <w:r w:rsidRPr="001435A7">
              <w:rPr>
                <w:rFonts w:ascii="Cambria" w:hAnsi="Cambria" w:cstheme="minorHAnsi"/>
                <w:sz w:val="24"/>
                <w:szCs w:val="24"/>
              </w:rPr>
              <w:t>β</w:t>
            </w:r>
            <w:r w:rsidRPr="001435A7">
              <w:rPr>
                <w:rFonts w:ascii="Cambria" w:hAnsi="Cambria"/>
                <w:sz w:val="24"/>
                <w:szCs w:val="24"/>
              </w:rPr>
              <w:t xml:space="preserve"> = .195, p =.002; Engrossment </w:t>
            </w:r>
            <w:r w:rsidRPr="001435A7">
              <w:rPr>
                <w:rFonts w:ascii="Cambria" w:hAnsi="Cambria" w:cstheme="minorHAnsi"/>
                <w:sz w:val="24"/>
                <w:szCs w:val="24"/>
              </w:rPr>
              <w:t>β</w:t>
            </w:r>
            <w:r w:rsidRPr="001435A7">
              <w:rPr>
                <w:rFonts w:ascii="Cambria" w:hAnsi="Cambria"/>
                <w:sz w:val="24"/>
                <w:szCs w:val="24"/>
              </w:rPr>
              <w:t xml:space="preserve"> = .059, p =.297, Self–projection</w:t>
            </w:r>
            <w:r w:rsidRPr="001435A7">
              <w:rPr>
                <w:rFonts w:ascii="Cambria" w:hAnsi="Cambria" w:cstheme="minorHAnsi"/>
                <w:sz w:val="24"/>
                <w:szCs w:val="24"/>
              </w:rPr>
              <w:t>β</w:t>
            </w:r>
            <w:r w:rsidRPr="001435A7">
              <w:rPr>
                <w:rFonts w:ascii="Cambria" w:hAnsi="Cambria"/>
                <w:sz w:val="24"/>
                <w:szCs w:val="24"/>
              </w:rPr>
              <w:t xml:space="preserve"> = .266, p =.001, Mental fluency</w:t>
            </w:r>
            <w:r w:rsidRPr="001435A7">
              <w:rPr>
                <w:rFonts w:ascii="Cambria" w:hAnsi="Cambria" w:cstheme="minorHAnsi"/>
                <w:sz w:val="24"/>
                <w:szCs w:val="24"/>
              </w:rPr>
              <w:t xml:space="preserve"> β</w:t>
            </w:r>
            <w:r w:rsidRPr="001435A7">
              <w:rPr>
                <w:rFonts w:ascii="Cambria" w:hAnsi="Cambria"/>
                <w:sz w:val="24"/>
                <w:szCs w:val="24"/>
              </w:rPr>
              <w:t xml:space="preserve"> =.102, p =.166</w:t>
            </w:r>
          </w:p>
        </w:tc>
        <w:tc>
          <w:tcPr>
            <w:tcW w:w="709" w:type="dxa"/>
          </w:tcPr>
          <w:p w14:paraId="1248838C" w14:textId="77777777" w:rsidR="00C7217E" w:rsidRPr="001435A7" w:rsidRDefault="00C7217E" w:rsidP="008756B1">
            <w:pPr>
              <w:jc w:val="both"/>
              <w:rPr>
                <w:rFonts w:ascii="Cambria" w:hAnsi="Cambria"/>
                <w:sz w:val="24"/>
                <w:szCs w:val="24"/>
              </w:rPr>
            </w:pPr>
          </w:p>
          <w:p w14:paraId="02EB4AE2" w14:textId="77777777" w:rsidR="00C7217E" w:rsidRPr="001435A7" w:rsidRDefault="00C7217E" w:rsidP="008756B1">
            <w:pPr>
              <w:jc w:val="both"/>
              <w:rPr>
                <w:rFonts w:ascii="Cambria" w:hAnsi="Cambria"/>
                <w:sz w:val="24"/>
                <w:szCs w:val="24"/>
              </w:rPr>
            </w:pPr>
          </w:p>
        </w:tc>
        <w:tc>
          <w:tcPr>
            <w:tcW w:w="709" w:type="dxa"/>
          </w:tcPr>
          <w:p w14:paraId="17A47C59"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1C431750" w14:textId="77777777" w:rsidR="00C7217E" w:rsidRPr="001435A7" w:rsidRDefault="00C7217E" w:rsidP="008756B1">
            <w:pPr>
              <w:jc w:val="both"/>
              <w:rPr>
                <w:rFonts w:ascii="Cambria" w:hAnsi="Cambria"/>
                <w:sz w:val="24"/>
                <w:szCs w:val="24"/>
              </w:rPr>
            </w:pPr>
            <w:r w:rsidRPr="001435A7">
              <w:rPr>
                <w:rFonts w:ascii="Cambria" w:hAnsi="Cambria"/>
                <w:sz w:val="24"/>
                <w:szCs w:val="24"/>
              </w:rPr>
              <w:t>.252</w:t>
            </w:r>
          </w:p>
        </w:tc>
        <w:tc>
          <w:tcPr>
            <w:tcW w:w="1496" w:type="dxa"/>
          </w:tcPr>
          <w:p w14:paraId="54E20C49"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61D6E6DF" w14:textId="77777777" w:rsidTr="00DF1F25">
        <w:tc>
          <w:tcPr>
            <w:tcW w:w="3258" w:type="dxa"/>
            <w:shd w:val="clear" w:color="auto" w:fill="F2F2F2" w:themeFill="background1" w:themeFillShade="F2"/>
          </w:tcPr>
          <w:p w14:paraId="7A8AA121" w14:textId="77777777" w:rsidR="00C7217E" w:rsidRPr="001435A7" w:rsidRDefault="00C7217E" w:rsidP="008756B1">
            <w:pPr>
              <w:jc w:val="both"/>
              <w:rPr>
                <w:rFonts w:ascii="Cambria" w:hAnsi="Cambria" w:cstheme="minorHAnsi"/>
                <w:sz w:val="24"/>
                <w:szCs w:val="24"/>
              </w:rPr>
            </w:pPr>
            <w:r w:rsidRPr="001435A7">
              <w:rPr>
                <w:rFonts w:ascii="Cambria" w:hAnsi="Cambria"/>
                <w:sz w:val="24"/>
                <w:szCs w:val="24"/>
              </w:rPr>
              <w:t>H</w:t>
            </w:r>
            <w:r w:rsidRPr="001435A7">
              <w:rPr>
                <w:rFonts w:ascii="Cambria" w:hAnsi="Cambria"/>
                <w:sz w:val="24"/>
                <w:szCs w:val="24"/>
                <w:vertAlign w:val="subscript"/>
              </w:rPr>
              <w:t>9</w:t>
            </w:r>
            <w:r w:rsidRPr="001435A7">
              <w:rPr>
                <w:rFonts w:ascii="Cambria" w:hAnsi="Cambria"/>
                <w:sz w:val="24"/>
                <w:szCs w:val="24"/>
              </w:rPr>
              <w:t>: SCV → Dominance</w:t>
            </w:r>
          </w:p>
          <w:p w14:paraId="33546766" w14:textId="77777777" w:rsidR="00C7217E" w:rsidRPr="001435A7" w:rsidRDefault="00C7217E" w:rsidP="008756B1">
            <w:pPr>
              <w:jc w:val="both"/>
              <w:rPr>
                <w:rFonts w:ascii="Cambria" w:hAnsi="Cambria"/>
                <w:sz w:val="24"/>
                <w:szCs w:val="24"/>
              </w:rPr>
            </w:pPr>
          </w:p>
        </w:tc>
        <w:tc>
          <w:tcPr>
            <w:tcW w:w="2407" w:type="dxa"/>
          </w:tcPr>
          <w:p w14:paraId="480F89FF" w14:textId="77777777" w:rsidR="00C7217E" w:rsidRPr="001435A7" w:rsidRDefault="00C7217E" w:rsidP="008756B1">
            <w:pPr>
              <w:jc w:val="both"/>
              <w:rPr>
                <w:rFonts w:ascii="Cambria" w:hAnsi="Cambria"/>
                <w:sz w:val="24"/>
                <w:szCs w:val="24"/>
              </w:rPr>
            </w:pPr>
            <w:r w:rsidRPr="001435A7">
              <w:rPr>
                <w:rFonts w:ascii="Cambria" w:hAnsi="Cambria"/>
                <w:sz w:val="24"/>
                <w:szCs w:val="24"/>
              </w:rPr>
              <w:t>Image quality (</w:t>
            </w:r>
            <w:r w:rsidRPr="001435A7">
              <w:rPr>
                <w:rFonts w:ascii="Cambria" w:hAnsi="Cambria" w:cstheme="minorHAnsi"/>
                <w:sz w:val="24"/>
                <w:szCs w:val="24"/>
              </w:rPr>
              <w:t>β</w:t>
            </w:r>
            <w:r w:rsidRPr="001435A7">
              <w:rPr>
                <w:rFonts w:ascii="Cambria" w:hAnsi="Cambria"/>
                <w:sz w:val="24"/>
                <w:szCs w:val="24"/>
              </w:rPr>
              <w:t xml:space="preserve"> =.169, p=.016); engrossment (</w:t>
            </w:r>
            <w:r w:rsidRPr="001435A7">
              <w:rPr>
                <w:rFonts w:ascii="Cambria" w:hAnsi="Cambria" w:cstheme="minorHAnsi"/>
                <w:sz w:val="24"/>
                <w:szCs w:val="24"/>
              </w:rPr>
              <w:t>β</w:t>
            </w:r>
            <w:r w:rsidRPr="001435A7">
              <w:rPr>
                <w:rFonts w:ascii="Cambria" w:hAnsi="Cambria"/>
                <w:sz w:val="24"/>
                <w:szCs w:val="24"/>
              </w:rPr>
              <w:t xml:space="preserve"> =–.101, p =.109); self–projection</w:t>
            </w:r>
            <w:r w:rsidRPr="001435A7">
              <w:rPr>
                <w:rFonts w:ascii="Cambria" w:hAnsi="Cambria" w:cstheme="minorHAnsi"/>
                <w:sz w:val="24"/>
                <w:szCs w:val="24"/>
              </w:rPr>
              <w:t xml:space="preserve"> (β</w:t>
            </w:r>
            <w:r w:rsidRPr="001435A7">
              <w:rPr>
                <w:rFonts w:ascii="Cambria" w:hAnsi="Cambria"/>
                <w:sz w:val="24"/>
                <w:szCs w:val="24"/>
              </w:rPr>
              <w:t xml:space="preserve"> =.142, p=.119); mental fluency</w:t>
            </w:r>
            <w:r w:rsidRPr="001435A7">
              <w:rPr>
                <w:rFonts w:ascii="Cambria" w:hAnsi="Cambria" w:cstheme="minorHAnsi"/>
                <w:sz w:val="24"/>
                <w:szCs w:val="24"/>
              </w:rPr>
              <w:t xml:space="preserve"> (β</w:t>
            </w:r>
            <w:r w:rsidRPr="001435A7">
              <w:rPr>
                <w:rFonts w:ascii="Cambria" w:hAnsi="Cambria"/>
                <w:sz w:val="24"/>
                <w:szCs w:val="24"/>
              </w:rPr>
              <w:t xml:space="preserve"> = .007, P=.929)</w:t>
            </w:r>
          </w:p>
        </w:tc>
        <w:tc>
          <w:tcPr>
            <w:tcW w:w="709" w:type="dxa"/>
          </w:tcPr>
          <w:p w14:paraId="172DE297" w14:textId="77777777" w:rsidR="00C7217E" w:rsidRPr="001435A7" w:rsidRDefault="00C7217E" w:rsidP="008756B1">
            <w:pPr>
              <w:jc w:val="both"/>
              <w:rPr>
                <w:rFonts w:ascii="Cambria" w:hAnsi="Cambria"/>
                <w:sz w:val="24"/>
                <w:szCs w:val="24"/>
              </w:rPr>
            </w:pPr>
          </w:p>
        </w:tc>
        <w:tc>
          <w:tcPr>
            <w:tcW w:w="709" w:type="dxa"/>
          </w:tcPr>
          <w:p w14:paraId="565A845C" w14:textId="77777777" w:rsidR="00C7217E" w:rsidRPr="001435A7" w:rsidRDefault="00C7217E" w:rsidP="008756B1">
            <w:pPr>
              <w:jc w:val="both"/>
              <w:rPr>
                <w:rFonts w:ascii="Cambria" w:hAnsi="Cambria"/>
                <w:sz w:val="24"/>
                <w:szCs w:val="24"/>
              </w:rPr>
            </w:pPr>
            <w:r w:rsidRPr="001435A7">
              <w:rPr>
                <w:rFonts w:ascii="Cambria" w:hAnsi="Cambria"/>
                <w:sz w:val="24"/>
                <w:szCs w:val="24"/>
              </w:rPr>
              <w:t>.001</w:t>
            </w:r>
          </w:p>
        </w:tc>
        <w:tc>
          <w:tcPr>
            <w:tcW w:w="709" w:type="dxa"/>
          </w:tcPr>
          <w:p w14:paraId="69949E87" w14:textId="77777777" w:rsidR="00C7217E" w:rsidRPr="001435A7" w:rsidRDefault="00C7217E" w:rsidP="008756B1">
            <w:pPr>
              <w:jc w:val="both"/>
              <w:rPr>
                <w:rFonts w:ascii="Cambria" w:hAnsi="Cambria"/>
                <w:sz w:val="24"/>
                <w:szCs w:val="24"/>
              </w:rPr>
            </w:pPr>
            <w:r w:rsidRPr="001435A7">
              <w:rPr>
                <w:rFonts w:ascii="Cambria" w:hAnsi="Cambria"/>
                <w:sz w:val="24"/>
                <w:szCs w:val="24"/>
              </w:rPr>
              <w:t>.069</w:t>
            </w:r>
          </w:p>
        </w:tc>
        <w:tc>
          <w:tcPr>
            <w:tcW w:w="1496" w:type="dxa"/>
          </w:tcPr>
          <w:p w14:paraId="05928A79"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5A782C99" w14:textId="77777777" w:rsidTr="00DF1F25">
        <w:tc>
          <w:tcPr>
            <w:tcW w:w="3258" w:type="dxa"/>
            <w:shd w:val="clear" w:color="auto" w:fill="F2F2F2" w:themeFill="background1" w:themeFillShade="F2"/>
          </w:tcPr>
          <w:p w14:paraId="0C63EB95" w14:textId="77777777" w:rsidR="00C7217E" w:rsidRPr="001435A7" w:rsidRDefault="00C7217E" w:rsidP="008756B1">
            <w:pPr>
              <w:jc w:val="both"/>
              <w:rPr>
                <w:rFonts w:ascii="Cambria" w:hAnsi="Cambria" w:cstheme="minorHAnsi"/>
                <w:sz w:val="24"/>
                <w:szCs w:val="24"/>
              </w:rPr>
            </w:pPr>
            <w:r w:rsidRPr="001435A7">
              <w:rPr>
                <w:rFonts w:ascii="Cambria" w:hAnsi="Cambria"/>
                <w:sz w:val="24"/>
                <w:szCs w:val="24"/>
              </w:rPr>
              <w:t>H</w:t>
            </w:r>
            <w:r w:rsidRPr="001435A7">
              <w:rPr>
                <w:rFonts w:ascii="Cambria" w:hAnsi="Cambria"/>
                <w:sz w:val="24"/>
                <w:szCs w:val="24"/>
                <w:vertAlign w:val="subscript"/>
              </w:rPr>
              <w:t>10</w:t>
            </w:r>
            <w:r w:rsidRPr="001435A7">
              <w:rPr>
                <w:rFonts w:ascii="Cambria" w:hAnsi="Cambria"/>
                <w:sz w:val="24"/>
                <w:szCs w:val="24"/>
              </w:rPr>
              <w:t>: Pleasure</w:t>
            </w:r>
            <w:r w:rsidRPr="001435A7">
              <w:rPr>
                <w:rFonts w:ascii="Cambria" w:hAnsi="Cambria" w:cstheme="minorHAnsi"/>
                <w:sz w:val="24"/>
                <w:szCs w:val="24"/>
              </w:rPr>
              <w:t>→</w:t>
            </w:r>
            <w:r w:rsidRPr="001435A7">
              <w:rPr>
                <w:rFonts w:ascii="Cambria" w:hAnsi="Cambria"/>
                <w:sz w:val="24"/>
                <w:szCs w:val="24"/>
              </w:rPr>
              <w:t xml:space="preserve"> Ad attitude</w:t>
            </w:r>
          </w:p>
        </w:tc>
        <w:tc>
          <w:tcPr>
            <w:tcW w:w="2407" w:type="dxa"/>
          </w:tcPr>
          <w:p w14:paraId="70515C30" w14:textId="77777777" w:rsidR="00C7217E" w:rsidRPr="001435A7" w:rsidRDefault="00C7217E" w:rsidP="008756B1">
            <w:pPr>
              <w:jc w:val="both"/>
              <w:rPr>
                <w:rFonts w:ascii="Cambria" w:hAnsi="Cambria"/>
                <w:sz w:val="24"/>
                <w:szCs w:val="24"/>
              </w:rPr>
            </w:pPr>
            <w:r w:rsidRPr="001435A7">
              <w:rPr>
                <w:rFonts w:ascii="Cambria" w:hAnsi="Cambria"/>
                <w:sz w:val="24"/>
                <w:szCs w:val="24"/>
              </w:rPr>
              <w:t>.876</w:t>
            </w:r>
          </w:p>
        </w:tc>
        <w:tc>
          <w:tcPr>
            <w:tcW w:w="709" w:type="dxa"/>
          </w:tcPr>
          <w:p w14:paraId="7C4A8BF4" w14:textId="77777777" w:rsidR="00C7217E" w:rsidRPr="001435A7" w:rsidRDefault="00C7217E" w:rsidP="008756B1">
            <w:pPr>
              <w:jc w:val="both"/>
              <w:rPr>
                <w:rFonts w:ascii="Cambria" w:hAnsi="Cambria"/>
                <w:sz w:val="24"/>
                <w:szCs w:val="24"/>
              </w:rPr>
            </w:pPr>
            <w:r w:rsidRPr="001435A7">
              <w:rPr>
                <w:rFonts w:ascii="Cambria" w:hAnsi="Cambria"/>
                <w:sz w:val="24"/>
                <w:szCs w:val="24"/>
              </w:rPr>
              <w:t>.045</w:t>
            </w:r>
          </w:p>
        </w:tc>
        <w:tc>
          <w:tcPr>
            <w:tcW w:w="709" w:type="dxa"/>
          </w:tcPr>
          <w:p w14:paraId="52E80CD8"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2B41A864" w14:textId="77777777" w:rsidR="00C7217E" w:rsidRPr="001435A7" w:rsidRDefault="00C7217E" w:rsidP="008756B1">
            <w:pPr>
              <w:jc w:val="both"/>
              <w:rPr>
                <w:rFonts w:ascii="Cambria" w:hAnsi="Cambria"/>
                <w:sz w:val="24"/>
                <w:szCs w:val="24"/>
              </w:rPr>
            </w:pPr>
            <w:r w:rsidRPr="001435A7">
              <w:rPr>
                <w:rFonts w:ascii="Cambria" w:hAnsi="Cambria"/>
                <w:sz w:val="24"/>
                <w:szCs w:val="24"/>
              </w:rPr>
              <w:t>.573</w:t>
            </w:r>
          </w:p>
        </w:tc>
        <w:tc>
          <w:tcPr>
            <w:tcW w:w="1496" w:type="dxa"/>
          </w:tcPr>
          <w:p w14:paraId="10E5C9B7"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8F1B6A8" w14:textId="77777777" w:rsidTr="00DF1F25">
        <w:tc>
          <w:tcPr>
            <w:tcW w:w="3258" w:type="dxa"/>
            <w:shd w:val="clear" w:color="auto" w:fill="F2F2F2" w:themeFill="background1" w:themeFillShade="F2"/>
          </w:tcPr>
          <w:p w14:paraId="4F53CF7C"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11</w:t>
            </w:r>
            <w:r w:rsidRPr="001435A7">
              <w:rPr>
                <w:rFonts w:ascii="Cambria" w:hAnsi="Cambria"/>
                <w:sz w:val="24"/>
                <w:szCs w:val="24"/>
              </w:rPr>
              <w:t xml:space="preserve">: Arousal </w:t>
            </w:r>
            <w:r w:rsidRPr="001435A7">
              <w:rPr>
                <w:rFonts w:ascii="Cambria" w:hAnsi="Cambria" w:cstheme="minorHAnsi"/>
                <w:sz w:val="24"/>
                <w:szCs w:val="24"/>
              </w:rPr>
              <w:t>→</w:t>
            </w:r>
            <w:r w:rsidRPr="001435A7">
              <w:rPr>
                <w:rFonts w:ascii="Cambria" w:hAnsi="Cambria"/>
                <w:sz w:val="24"/>
                <w:szCs w:val="24"/>
              </w:rPr>
              <w:t xml:space="preserve"> Ad attitude</w:t>
            </w:r>
          </w:p>
        </w:tc>
        <w:tc>
          <w:tcPr>
            <w:tcW w:w="2407" w:type="dxa"/>
          </w:tcPr>
          <w:p w14:paraId="5D4BA315" w14:textId="77777777" w:rsidR="00C7217E" w:rsidRPr="001435A7" w:rsidRDefault="00C7217E" w:rsidP="008756B1">
            <w:pPr>
              <w:jc w:val="both"/>
              <w:rPr>
                <w:rFonts w:ascii="Cambria" w:hAnsi="Cambria"/>
                <w:sz w:val="24"/>
                <w:szCs w:val="24"/>
              </w:rPr>
            </w:pPr>
            <w:r w:rsidRPr="001435A7">
              <w:rPr>
                <w:rFonts w:ascii="Cambria" w:hAnsi="Cambria"/>
                <w:sz w:val="24"/>
                <w:szCs w:val="24"/>
              </w:rPr>
              <w:t>.576</w:t>
            </w:r>
          </w:p>
        </w:tc>
        <w:tc>
          <w:tcPr>
            <w:tcW w:w="709" w:type="dxa"/>
          </w:tcPr>
          <w:p w14:paraId="39BC5111" w14:textId="77777777" w:rsidR="00C7217E" w:rsidRPr="001435A7" w:rsidRDefault="00C7217E" w:rsidP="008756B1">
            <w:pPr>
              <w:jc w:val="both"/>
              <w:rPr>
                <w:rFonts w:ascii="Cambria" w:hAnsi="Cambria"/>
                <w:sz w:val="24"/>
                <w:szCs w:val="24"/>
              </w:rPr>
            </w:pPr>
            <w:r w:rsidRPr="001435A7">
              <w:rPr>
                <w:rFonts w:ascii="Cambria" w:hAnsi="Cambria"/>
                <w:sz w:val="24"/>
                <w:szCs w:val="24"/>
              </w:rPr>
              <w:t>.075</w:t>
            </w:r>
          </w:p>
        </w:tc>
        <w:tc>
          <w:tcPr>
            <w:tcW w:w="709" w:type="dxa"/>
          </w:tcPr>
          <w:p w14:paraId="087EDD5C"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05FEC048" w14:textId="77777777" w:rsidR="00C7217E" w:rsidRPr="001435A7" w:rsidRDefault="00C7217E" w:rsidP="008756B1">
            <w:pPr>
              <w:jc w:val="both"/>
              <w:rPr>
                <w:rFonts w:ascii="Cambria" w:hAnsi="Cambria"/>
                <w:sz w:val="24"/>
                <w:szCs w:val="24"/>
              </w:rPr>
            </w:pPr>
            <w:r w:rsidRPr="001435A7">
              <w:rPr>
                <w:rFonts w:ascii="Cambria" w:hAnsi="Cambria"/>
                <w:sz w:val="24"/>
                <w:szCs w:val="24"/>
              </w:rPr>
              <w:t>.177</w:t>
            </w:r>
          </w:p>
        </w:tc>
        <w:tc>
          <w:tcPr>
            <w:tcW w:w="1496" w:type="dxa"/>
          </w:tcPr>
          <w:p w14:paraId="192343EE"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5209B899" w14:textId="77777777" w:rsidTr="00DF1F25">
        <w:tc>
          <w:tcPr>
            <w:tcW w:w="3258" w:type="dxa"/>
            <w:shd w:val="clear" w:color="auto" w:fill="F2F2F2" w:themeFill="background1" w:themeFillShade="F2"/>
          </w:tcPr>
          <w:p w14:paraId="6BF949E2"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12</w:t>
            </w:r>
            <w:r w:rsidRPr="001435A7">
              <w:rPr>
                <w:rFonts w:ascii="Cambria" w:hAnsi="Cambria"/>
                <w:sz w:val="24"/>
                <w:szCs w:val="24"/>
              </w:rPr>
              <w:t xml:space="preserve">: Dominance </w:t>
            </w:r>
            <w:r w:rsidRPr="001435A7">
              <w:rPr>
                <w:rFonts w:ascii="Cambria" w:hAnsi="Cambria" w:cstheme="minorHAnsi"/>
                <w:sz w:val="24"/>
                <w:szCs w:val="24"/>
              </w:rPr>
              <w:t>→</w:t>
            </w:r>
            <w:r w:rsidRPr="001435A7">
              <w:rPr>
                <w:rFonts w:ascii="Cambria" w:hAnsi="Cambria"/>
                <w:sz w:val="24"/>
                <w:szCs w:val="24"/>
              </w:rPr>
              <w:t xml:space="preserve"> Ad attitude</w:t>
            </w:r>
          </w:p>
        </w:tc>
        <w:tc>
          <w:tcPr>
            <w:tcW w:w="2407" w:type="dxa"/>
          </w:tcPr>
          <w:p w14:paraId="559450DF" w14:textId="77777777" w:rsidR="00C7217E" w:rsidRPr="001435A7" w:rsidRDefault="00C7217E" w:rsidP="008756B1">
            <w:pPr>
              <w:jc w:val="both"/>
              <w:rPr>
                <w:rFonts w:ascii="Cambria" w:hAnsi="Cambria"/>
                <w:sz w:val="24"/>
                <w:szCs w:val="24"/>
              </w:rPr>
            </w:pPr>
            <w:r w:rsidRPr="001435A7">
              <w:rPr>
                <w:rFonts w:ascii="Cambria" w:hAnsi="Cambria"/>
                <w:sz w:val="24"/>
                <w:szCs w:val="24"/>
              </w:rPr>
              <w:t>.255</w:t>
            </w:r>
          </w:p>
        </w:tc>
        <w:tc>
          <w:tcPr>
            <w:tcW w:w="709" w:type="dxa"/>
          </w:tcPr>
          <w:p w14:paraId="35EF58E6" w14:textId="77777777" w:rsidR="00C7217E" w:rsidRPr="001435A7" w:rsidRDefault="00C7217E" w:rsidP="008756B1">
            <w:pPr>
              <w:jc w:val="both"/>
              <w:rPr>
                <w:rFonts w:ascii="Cambria" w:hAnsi="Cambria"/>
                <w:sz w:val="24"/>
                <w:szCs w:val="24"/>
              </w:rPr>
            </w:pPr>
            <w:r w:rsidRPr="001435A7">
              <w:rPr>
                <w:rFonts w:ascii="Cambria" w:hAnsi="Cambria"/>
                <w:sz w:val="24"/>
                <w:szCs w:val="24"/>
              </w:rPr>
              <w:t>.092</w:t>
            </w:r>
          </w:p>
        </w:tc>
        <w:tc>
          <w:tcPr>
            <w:tcW w:w="709" w:type="dxa"/>
          </w:tcPr>
          <w:p w14:paraId="3A3239E2" w14:textId="77777777" w:rsidR="00C7217E" w:rsidRPr="001435A7" w:rsidRDefault="00C7217E" w:rsidP="008756B1">
            <w:pPr>
              <w:jc w:val="both"/>
              <w:rPr>
                <w:rFonts w:ascii="Cambria" w:hAnsi="Cambria"/>
                <w:sz w:val="24"/>
                <w:szCs w:val="24"/>
              </w:rPr>
            </w:pPr>
            <w:r w:rsidRPr="001435A7">
              <w:rPr>
                <w:rFonts w:ascii="Cambria" w:hAnsi="Cambria"/>
                <w:sz w:val="24"/>
                <w:szCs w:val="24"/>
              </w:rPr>
              <w:t>.006</w:t>
            </w:r>
          </w:p>
        </w:tc>
        <w:tc>
          <w:tcPr>
            <w:tcW w:w="709" w:type="dxa"/>
          </w:tcPr>
          <w:p w14:paraId="33E37422" w14:textId="77777777" w:rsidR="00C7217E" w:rsidRPr="001435A7" w:rsidRDefault="00C7217E" w:rsidP="008756B1">
            <w:pPr>
              <w:jc w:val="both"/>
              <w:rPr>
                <w:rFonts w:ascii="Cambria" w:hAnsi="Cambria"/>
                <w:sz w:val="24"/>
                <w:szCs w:val="24"/>
              </w:rPr>
            </w:pPr>
            <w:r w:rsidRPr="001435A7">
              <w:rPr>
                <w:rFonts w:ascii="Cambria" w:hAnsi="Cambria"/>
                <w:sz w:val="24"/>
                <w:szCs w:val="24"/>
              </w:rPr>
              <w:t>.027</w:t>
            </w:r>
          </w:p>
        </w:tc>
        <w:tc>
          <w:tcPr>
            <w:tcW w:w="1496" w:type="dxa"/>
          </w:tcPr>
          <w:p w14:paraId="37EB1ECF"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C00435A" w14:textId="77777777" w:rsidTr="00DF1F25">
        <w:tc>
          <w:tcPr>
            <w:tcW w:w="3258" w:type="dxa"/>
            <w:shd w:val="clear" w:color="auto" w:fill="F2F2F2" w:themeFill="background1" w:themeFillShade="F2"/>
          </w:tcPr>
          <w:p w14:paraId="2EAD28C7"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13</w:t>
            </w:r>
            <w:r w:rsidRPr="001435A7">
              <w:rPr>
                <w:rFonts w:ascii="Cambria" w:hAnsi="Cambria"/>
                <w:sz w:val="24"/>
                <w:szCs w:val="24"/>
              </w:rPr>
              <w:t xml:space="preserve">: Ad attitude </w:t>
            </w:r>
            <w:r w:rsidRPr="001435A7">
              <w:rPr>
                <w:rFonts w:ascii="Cambria" w:hAnsi="Cambria" w:cstheme="minorHAnsi"/>
                <w:sz w:val="24"/>
                <w:szCs w:val="24"/>
              </w:rPr>
              <w:t>→</w:t>
            </w:r>
            <w:r w:rsidRPr="001435A7">
              <w:rPr>
                <w:rFonts w:ascii="Cambria" w:hAnsi="Cambria"/>
                <w:sz w:val="24"/>
                <w:szCs w:val="24"/>
              </w:rPr>
              <w:t xml:space="preserve"> Social media engagement</w:t>
            </w:r>
          </w:p>
        </w:tc>
        <w:tc>
          <w:tcPr>
            <w:tcW w:w="2407" w:type="dxa"/>
          </w:tcPr>
          <w:p w14:paraId="44021FCA" w14:textId="77777777" w:rsidR="00C7217E" w:rsidRPr="001435A7" w:rsidRDefault="00C7217E" w:rsidP="008756B1">
            <w:pPr>
              <w:jc w:val="both"/>
              <w:rPr>
                <w:rFonts w:ascii="Cambria" w:hAnsi="Cambria"/>
                <w:sz w:val="24"/>
                <w:szCs w:val="24"/>
              </w:rPr>
            </w:pPr>
            <w:r w:rsidRPr="001435A7">
              <w:rPr>
                <w:rFonts w:ascii="Cambria" w:hAnsi="Cambria"/>
                <w:sz w:val="24"/>
                <w:szCs w:val="24"/>
              </w:rPr>
              <w:t>.526</w:t>
            </w:r>
          </w:p>
        </w:tc>
        <w:tc>
          <w:tcPr>
            <w:tcW w:w="709" w:type="dxa"/>
          </w:tcPr>
          <w:p w14:paraId="208A6123" w14:textId="77777777" w:rsidR="00C7217E" w:rsidRPr="001435A7" w:rsidRDefault="00C7217E" w:rsidP="008756B1">
            <w:pPr>
              <w:jc w:val="both"/>
              <w:rPr>
                <w:rFonts w:ascii="Cambria" w:hAnsi="Cambria"/>
                <w:sz w:val="24"/>
                <w:szCs w:val="24"/>
              </w:rPr>
            </w:pPr>
            <w:r w:rsidRPr="001435A7">
              <w:rPr>
                <w:rFonts w:ascii="Cambria" w:hAnsi="Cambria"/>
                <w:sz w:val="24"/>
                <w:szCs w:val="24"/>
              </w:rPr>
              <w:t>.049</w:t>
            </w:r>
          </w:p>
        </w:tc>
        <w:tc>
          <w:tcPr>
            <w:tcW w:w="709" w:type="dxa"/>
          </w:tcPr>
          <w:p w14:paraId="77BD484A"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338B3126" w14:textId="77777777" w:rsidR="00C7217E" w:rsidRPr="001435A7" w:rsidRDefault="00C7217E" w:rsidP="008756B1">
            <w:pPr>
              <w:jc w:val="both"/>
              <w:rPr>
                <w:rFonts w:ascii="Cambria" w:hAnsi="Cambria"/>
                <w:sz w:val="24"/>
                <w:szCs w:val="24"/>
              </w:rPr>
            </w:pPr>
            <w:r w:rsidRPr="001435A7">
              <w:rPr>
                <w:rFonts w:ascii="Cambria" w:hAnsi="Cambria"/>
                <w:sz w:val="24"/>
                <w:szCs w:val="24"/>
              </w:rPr>
              <w:t>.290</w:t>
            </w:r>
          </w:p>
        </w:tc>
        <w:tc>
          <w:tcPr>
            <w:tcW w:w="1496" w:type="dxa"/>
          </w:tcPr>
          <w:p w14:paraId="7DE958CA"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765967F" w14:textId="77777777" w:rsidTr="00DF1F25">
        <w:tc>
          <w:tcPr>
            <w:tcW w:w="3258" w:type="dxa"/>
            <w:shd w:val="clear" w:color="auto" w:fill="F2F2F2" w:themeFill="background1" w:themeFillShade="F2"/>
          </w:tcPr>
          <w:p w14:paraId="6A2270DD"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14</w:t>
            </w:r>
            <w:r w:rsidRPr="001435A7">
              <w:rPr>
                <w:rFonts w:ascii="Cambria" w:hAnsi="Cambria"/>
                <w:sz w:val="24"/>
                <w:szCs w:val="24"/>
              </w:rPr>
              <w:t xml:space="preserve">: Social media engagement </w:t>
            </w:r>
            <w:r w:rsidRPr="001435A7">
              <w:rPr>
                <w:rFonts w:ascii="Cambria" w:hAnsi="Cambria" w:cstheme="minorHAnsi"/>
                <w:sz w:val="24"/>
                <w:szCs w:val="24"/>
              </w:rPr>
              <w:t>→</w:t>
            </w:r>
            <w:r w:rsidRPr="001435A7">
              <w:rPr>
                <w:rFonts w:ascii="Cambria" w:hAnsi="Cambria"/>
                <w:sz w:val="24"/>
                <w:szCs w:val="24"/>
              </w:rPr>
              <w:t xml:space="preserve"> Normative influence</w:t>
            </w:r>
          </w:p>
        </w:tc>
        <w:tc>
          <w:tcPr>
            <w:tcW w:w="2407" w:type="dxa"/>
          </w:tcPr>
          <w:p w14:paraId="4650CAAB" w14:textId="77777777" w:rsidR="00C7217E" w:rsidRPr="001435A7" w:rsidRDefault="00C7217E" w:rsidP="008756B1">
            <w:pPr>
              <w:jc w:val="both"/>
              <w:rPr>
                <w:rFonts w:ascii="Cambria" w:hAnsi="Cambria"/>
                <w:sz w:val="24"/>
                <w:szCs w:val="24"/>
              </w:rPr>
            </w:pPr>
            <w:r w:rsidRPr="001435A7">
              <w:rPr>
                <w:rFonts w:ascii="Cambria" w:hAnsi="Cambria"/>
                <w:sz w:val="24"/>
                <w:szCs w:val="24"/>
              </w:rPr>
              <w:t>.370</w:t>
            </w:r>
          </w:p>
        </w:tc>
        <w:tc>
          <w:tcPr>
            <w:tcW w:w="709" w:type="dxa"/>
          </w:tcPr>
          <w:p w14:paraId="247BC9AE" w14:textId="77777777" w:rsidR="00C7217E" w:rsidRPr="001435A7" w:rsidRDefault="00C7217E" w:rsidP="008756B1">
            <w:pPr>
              <w:jc w:val="both"/>
              <w:rPr>
                <w:rFonts w:ascii="Cambria" w:hAnsi="Cambria"/>
                <w:sz w:val="24"/>
                <w:szCs w:val="24"/>
              </w:rPr>
            </w:pPr>
            <w:r w:rsidRPr="001435A7">
              <w:rPr>
                <w:rFonts w:ascii="Cambria" w:hAnsi="Cambria"/>
                <w:sz w:val="24"/>
                <w:szCs w:val="24"/>
              </w:rPr>
              <w:t>.057</w:t>
            </w:r>
          </w:p>
        </w:tc>
        <w:tc>
          <w:tcPr>
            <w:tcW w:w="709" w:type="dxa"/>
          </w:tcPr>
          <w:p w14:paraId="3BF4DD98"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3BE5F1B3" w14:textId="77777777" w:rsidR="00C7217E" w:rsidRPr="001435A7" w:rsidRDefault="00C7217E" w:rsidP="008756B1">
            <w:pPr>
              <w:jc w:val="both"/>
              <w:rPr>
                <w:rFonts w:ascii="Cambria" w:hAnsi="Cambria"/>
                <w:sz w:val="24"/>
                <w:szCs w:val="24"/>
              </w:rPr>
            </w:pPr>
            <w:r w:rsidRPr="001435A7">
              <w:rPr>
                <w:rFonts w:ascii="Cambria" w:hAnsi="Cambria"/>
                <w:sz w:val="24"/>
                <w:szCs w:val="24"/>
              </w:rPr>
              <w:t>.133</w:t>
            </w:r>
          </w:p>
        </w:tc>
        <w:tc>
          <w:tcPr>
            <w:tcW w:w="1496" w:type="dxa"/>
          </w:tcPr>
          <w:p w14:paraId="7F7645ED"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6E4E018D" w14:textId="77777777" w:rsidTr="00DF1F25">
        <w:tc>
          <w:tcPr>
            <w:tcW w:w="3258" w:type="dxa"/>
            <w:shd w:val="clear" w:color="auto" w:fill="F2F2F2" w:themeFill="background1" w:themeFillShade="F2"/>
          </w:tcPr>
          <w:p w14:paraId="0F4B7AA7"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15</w:t>
            </w:r>
            <w:r w:rsidRPr="001435A7">
              <w:rPr>
                <w:rFonts w:ascii="Cambria" w:hAnsi="Cambria"/>
                <w:sz w:val="24"/>
                <w:szCs w:val="24"/>
              </w:rPr>
              <w:t xml:space="preserve">: Normative influence </w:t>
            </w:r>
            <w:r w:rsidRPr="001435A7">
              <w:rPr>
                <w:rFonts w:ascii="Cambria" w:hAnsi="Cambria" w:cstheme="minorHAnsi"/>
                <w:sz w:val="24"/>
                <w:szCs w:val="24"/>
              </w:rPr>
              <w:t>→</w:t>
            </w:r>
            <w:r w:rsidRPr="001435A7">
              <w:rPr>
                <w:rFonts w:ascii="Cambria" w:hAnsi="Cambria"/>
                <w:sz w:val="24"/>
                <w:szCs w:val="24"/>
              </w:rPr>
              <w:t>Brand Purchase intention</w:t>
            </w:r>
          </w:p>
        </w:tc>
        <w:tc>
          <w:tcPr>
            <w:tcW w:w="2407" w:type="dxa"/>
          </w:tcPr>
          <w:p w14:paraId="5DAD1D87" w14:textId="77777777" w:rsidR="00C7217E" w:rsidRPr="001435A7" w:rsidRDefault="00C7217E" w:rsidP="008756B1">
            <w:pPr>
              <w:jc w:val="both"/>
              <w:rPr>
                <w:rFonts w:ascii="Cambria" w:hAnsi="Cambria"/>
                <w:sz w:val="24"/>
                <w:szCs w:val="24"/>
              </w:rPr>
            </w:pPr>
            <w:r w:rsidRPr="001435A7">
              <w:rPr>
                <w:rFonts w:ascii="Cambria" w:hAnsi="Cambria"/>
                <w:sz w:val="24"/>
                <w:szCs w:val="24"/>
              </w:rPr>
              <w:t>.338</w:t>
            </w:r>
          </w:p>
        </w:tc>
        <w:tc>
          <w:tcPr>
            <w:tcW w:w="709" w:type="dxa"/>
          </w:tcPr>
          <w:p w14:paraId="55529B1C" w14:textId="77777777" w:rsidR="00C7217E" w:rsidRPr="001435A7" w:rsidRDefault="00C7217E" w:rsidP="008756B1">
            <w:pPr>
              <w:jc w:val="both"/>
              <w:rPr>
                <w:rFonts w:ascii="Cambria" w:hAnsi="Cambria"/>
                <w:sz w:val="24"/>
                <w:szCs w:val="24"/>
              </w:rPr>
            </w:pPr>
            <w:r w:rsidRPr="001435A7">
              <w:rPr>
                <w:rFonts w:ascii="Cambria" w:hAnsi="Cambria"/>
                <w:sz w:val="24"/>
                <w:szCs w:val="24"/>
              </w:rPr>
              <w:t>.06</w:t>
            </w:r>
          </w:p>
        </w:tc>
        <w:tc>
          <w:tcPr>
            <w:tcW w:w="709" w:type="dxa"/>
          </w:tcPr>
          <w:p w14:paraId="5D155D8F"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17B30F5E" w14:textId="77777777" w:rsidR="00C7217E" w:rsidRPr="001435A7" w:rsidRDefault="00C7217E" w:rsidP="008756B1">
            <w:pPr>
              <w:jc w:val="both"/>
              <w:rPr>
                <w:rFonts w:ascii="Cambria" w:hAnsi="Cambria"/>
                <w:sz w:val="24"/>
                <w:szCs w:val="24"/>
              </w:rPr>
            </w:pPr>
            <w:r w:rsidRPr="001435A7">
              <w:rPr>
                <w:rFonts w:ascii="Cambria" w:hAnsi="Cambria"/>
                <w:sz w:val="24"/>
                <w:szCs w:val="24"/>
              </w:rPr>
              <w:t>.104</w:t>
            </w:r>
          </w:p>
        </w:tc>
        <w:tc>
          <w:tcPr>
            <w:tcW w:w="1496" w:type="dxa"/>
          </w:tcPr>
          <w:p w14:paraId="4B614983"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BCF4CEC" w14:textId="77777777" w:rsidTr="00DF1F25">
        <w:tc>
          <w:tcPr>
            <w:tcW w:w="3258" w:type="dxa"/>
            <w:shd w:val="clear" w:color="auto" w:fill="F2F2F2" w:themeFill="background1" w:themeFillShade="F2"/>
          </w:tcPr>
          <w:p w14:paraId="419E6BB1"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16</w:t>
            </w:r>
            <w:r w:rsidRPr="001435A7">
              <w:rPr>
                <w:rFonts w:ascii="Cambria" w:hAnsi="Cambria"/>
                <w:sz w:val="24"/>
                <w:szCs w:val="24"/>
              </w:rPr>
              <w:t xml:space="preserve">: Social media engagement </w:t>
            </w:r>
            <w:r w:rsidRPr="001435A7">
              <w:rPr>
                <w:rFonts w:ascii="Cambria" w:hAnsi="Cambria" w:cstheme="minorHAnsi"/>
                <w:sz w:val="24"/>
                <w:szCs w:val="24"/>
              </w:rPr>
              <w:t>→</w:t>
            </w:r>
            <w:r w:rsidRPr="001435A7">
              <w:rPr>
                <w:rFonts w:ascii="Cambria" w:hAnsi="Cambria"/>
                <w:sz w:val="24"/>
                <w:szCs w:val="24"/>
              </w:rPr>
              <w:t xml:space="preserve"> informational influence</w:t>
            </w:r>
          </w:p>
        </w:tc>
        <w:tc>
          <w:tcPr>
            <w:tcW w:w="2407" w:type="dxa"/>
          </w:tcPr>
          <w:p w14:paraId="75964DAC" w14:textId="77777777" w:rsidR="00C7217E" w:rsidRPr="001435A7" w:rsidRDefault="00C7217E" w:rsidP="008756B1">
            <w:pPr>
              <w:jc w:val="both"/>
              <w:rPr>
                <w:rFonts w:ascii="Cambria" w:hAnsi="Cambria"/>
                <w:sz w:val="24"/>
                <w:szCs w:val="24"/>
              </w:rPr>
            </w:pPr>
            <w:r w:rsidRPr="001435A7">
              <w:rPr>
                <w:rFonts w:ascii="Cambria" w:hAnsi="Cambria"/>
                <w:sz w:val="24"/>
                <w:szCs w:val="24"/>
              </w:rPr>
              <w:t>.481</w:t>
            </w:r>
          </w:p>
        </w:tc>
        <w:tc>
          <w:tcPr>
            <w:tcW w:w="709" w:type="dxa"/>
          </w:tcPr>
          <w:p w14:paraId="222EC0AA" w14:textId="77777777" w:rsidR="00C7217E" w:rsidRPr="001435A7" w:rsidRDefault="00C7217E" w:rsidP="008756B1">
            <w:pPr>
              <w:jc w:val="both"/>
              <w:rPr>
                <w:rFonts w:ascii="Cambria" w:hAnsi="Cambria"/>
                <w:sz w:val="24"/>
                <w:szCs w:val="24"/>
              </w:rPr>
            </w:pPr>
            <w:r w:rsidRPr="001435A7">
              <w:rPr>
                <w:rFonts w:ascii="Cambria" w:hAnsi="Cambria"/>
                <w:sz w:val="24"/>
                <w:szCs w:val="24"/>
              </w:rPr>
              <w:t>.058</w:t>
            </w:r>
          </w:p>
        </w:tc>
        <w:tc>
          <w:tcPr>
            <w:tcW w:w="709" w:type="dxa"/>
          </w:tcPr>
          <w:p w14:paraId="76A1F2ED"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3DF15EA4" w14:textId="77777777" w:rsidR="00C7217E" w:rsidRPr="001435A7" w:rsidRDefault="00C7217E" w:rsidP="008756B1">
            <w:pPr>
              <w:jc w:val="both"/>
              <w:rPr>
                <w:rFonts w:ascii="Cambria" w:hAnsi="Cambria"/>
                <w:sz w:val="24"/>
                <w:szCs w:val="24"/>
              </w:rPr>
            </w:pPr>
            <w:r w:rsidRPr="001435A7">
              <w:rPr>
                <w:rFonts w:ascii="Cambria" w:hAnsi="Cambria"/>
                <w:sz w:val="24"/>
                <w:szCs w:val="24"/>
              </w:rPr>
              <w:t>.202</w:t>
            </w:r>
          </w:p>
        </w:tc>
        <w:tc>
          <w:tcPr>
            <w:tcW w:w="1496" w:type="dxa"/>
          </w:tcPr>
          <w:p w14:paraId="6FC88CD2"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0B6587BA" w14:textId="77777777" w:rsidTr="00DF1F25">
        <w:tc>
          <w:tcPr>
            <w:tcW w:w="3258" w:type="dxa"/>
            <w:shd w:val="clear" w:color="auto" w:fill="F2F2F2" w:themeFill="background1" w:themeFillShade="F2"/>
          </w:tcPr>
          <w:p w14:paraId="5AC6E4A8"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17</w:t>
            </w:r>
            <w:r w:rsidRPr="001435A7">
              <w:rPr>
                <w:rFonts w:ascii="Cambria" w:hAnsi="Cambria"/>
                <w:sz w:val="24"/>
                <w:szCs w:val="24"/>
              </w:rPr>
              <w:t xml:space="preserve">: informational influence </w:t>
            </w:r>
            <w:r w:rsidRPr="001435A7">
              <w:rPr>
                <w:rFonts w:ascii="Cambria" w:hAnsi="Cambria" w:cstheme="minorHAnsi"/>
                <w:sz w:val="24"/>
                <w:szCs w:val="24"/>
              </w:rPr>
              <w:t>→</w:t>
            </w:r>
            <w:r w:rsidRPr="001435A7">
              <w:rPr>
                <w:rFonts w:ascii="Cambria" w:hAnsi="Cambria"/>
                <w:sz w:val="24"/>
                <w:szCs w:val="24"/>
              </w:rPr>
              <w:t xml:space="preserve"> Brand Purchase intention</w:t>
            </w:r>
          </w:p>
        </w:tc>
        <w:tc>
          <w:tcPr>
            <w:tcW w:w="2407" w:type="dxa"/>
          </w:tcPr>
          <w:p w14:paraId="1B3EE2AA" w14:textId="77777777" w:rsidR="00C7217E" w:rsidRPr="001435A7" w:rsidRDefault="00C7217E" w:rsidP="008756B1">
            <w:pPr>
              <w:jc w:val="both"/>
              <w:rPr>
                <w:rFonts w:ascii="Cambria" w:hAnsi="Cambria"/>
                <w:sz w:val="24"/>
                <w:szCs w:val="24"/>
              </w:rPr>
            </w:pPr>
            <w:r w:rsidRPr="001435A7">
              <w:rPr>
                <w:rFonts w:ascii="Cambria" w:hAnsi="Cambria"/>
                <w:sz w:val="24"/>
                <w:szCs w:val="24"/>
              </w:rPr>
              <w:t>.388</w:t>
            </w:r>
          </w:p>
        </w:tc>
        <w:tc>
          <w:tcPr>
            <w:tcW w:w="709" w:type="dxa"/>
          </w:tcPr>
          <w:p w14:paraId="568A613C" w14:textId="77777777" w:rsidR="00C7217E" w:rsidRPr="001435A7" w:rsidRDefault="00C7217E" w:rsidP="008756B1">
            <w:pPr>
              <w:jc w:val="both"/>
              <w:rPr>
                <w:rFonts w:ascii="Cambria" w:hAnsi="Cambria"/>
                <w:sz w:val="24"/>
                <w:szCs w:val="24"/>
              </w:rPr>
            </w:pPr>
            <w:r w:rsidRPr="001435A7">
              <w:rPr>
                <w:rFonts w:ascii="Cambria" w:hAnsi="Cambria"/>
                <w:sz w:val="24"/>
                <w:szCs w:val="24"/>
              </w:rPr>
              <w:t>.055</w:t>
            </w:r>
          </w:p>
        </w:tc>
        <w:tc>
          <w:tcPr>
            <w:tcW w:w="709" w:type="dxa"/>
          </w:tcPr>
          <w:p w14:paraId="15C10D98"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2A334F0C" w14:textId="77777777" w:rsidR="00C7217E" w:rsidRPr="001435A7" w:rsidRDefault="00C7217E" w:rsidP="008756B1">
            <w:pPr>
              <w:jc w:val="both"/>
              <w:rPr>
                <w:rFonts w:ascii="Cambria" w:hAnsi="Cambria"/>
                <w:sz w:val="24"/>
                <w:szCs w:val="24"/>
              </w:rPr>
            </w:pPr>
            <w:r w:rsidRPr="001435A7">
              <w:rPr>
                <w:rFonts w:ascii="Cambria" w:hAnsi="Cambria"/>
                <w:sz w:val="24"/>
                <w:szCs w:val="24"/>
              </w:rPr>
              <w:t>.153</w:t>
            </w:r>
          </w:p>
        </w:tc>
        <w:tc>
          <w:tcPr>
            <w:tcW w:w="1496" w:type="dxa"/>
          </w:tcPr>
          <w:p w14:paraId="0D6C3623"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7058CC1D" w14:textId="77777777" w:rsidTr="00DF1F25">
        <w:tc>
          <w:tcPr>
            <w:tcW w:w="3258" w:type="dxa"/>
            <w:shd w:val="clear" w:color="auto" w:fill="F2F2F2" w:themeFill="background1" w:themeFillShade="F2"/>
          </w:tcPr>
          <w:p w14:paraId="5114A816" w14:textId="77777777"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18</w:t>
            </w:r>
            <w:r w:rsidRPr="001435A7">
              <w:rPr>
                <w:rFonts w:ascii="Cambria" w:hAnsi="Cambria"/>
                <w:sz w:val="24"/>
                <w:szCs w:val="24"/>
              </w:rPr>
              <w:t xml:space="preserve">: Ad attitude </w:t>
            </w:r>
            <w:r w:rsidRPr="001435A7">
              <w:rPr>
                <w:rFonts w:ascii="Cambria" w:hAnsi="Cambria" w:cstheme="minorHAnsi"/>
                <w:sz w:val="24"/>
                <w:szCs w:val="24"/>
              </w:rPr>
              <w:t>→</w:t>
            </w:r>
            <w:r w:rsidRPr="001435A7">
              <w:rPr>
                <w:rFonts w:ascii="Cambria" w:hAnsi="Cambria"/>
                <w:sz w:val="24"/>
                <w:szCs w:val="24"/>
              </w:rPr>
              <w:t xml:space="preserve"> Brand Purchase intention</w:t>
            </w:r>
          </w:p>
        </w:tc>
        <w:tc>
          <w:tcPr>
            <w:tcW w:w="2407" w:type="dxa"/>
          </w:tcPr>
          <w:p w14:paraId="208132B4" w14:textId="77777777" w:rsidR="00C7217E" w:rsidRPr="001435A7" w:rsidRDefault="00C7217E" w:rsidP="008756B1">
            <w:pPr>
              <w:jc w:val="both"/>
              <w:rPr>
                <w:rFonts w:ascii="Cambria" w:hAnsi="Cambria"/>
                <w:sz w:val="24"/>
                <w:szCs w:val="24"/>
              </w:rPr>
            </w:pPr>
            <w:r w:rsidRPr="001435A7">
              <w:rPr>
                <w:rFonts w:ascii="Cambria" w:hAnsi="Cambria"/>
                <w:sz w:val="24"/>
                <w:szCs w:val="24"/>
              </w:rPr>
              <w:t>.576</w:t>
            </w:r>
          </w:p>
        </w:tc>
        <w:tc>
          <w:tcPr>
            <w:tcW w:w="709" w:type="dxa"/>
          </w:tcPr>
          <w:p w14:paraId="1782EDA6" w14:textId="77777777" w:rsidR="00C7217E" w:rsidRPr="001435A7" w:rsidRDefault="00C7217E" w:rsidP="008756B1">
            <w:pPr>
              <w:jc w:val="both"/>
              <w:rPr>
                <w:rFonts w:ascii="Cambria" w:hAnsi="Cambria"/>
                <w:sz w:val="24"/>
                <w:szCs w:val="24"/>
              </w:rPr>
            </w:pPr>
            <w:r w:rsidRPr="001435A7">
              <w:rPr>
                <w:rFonts w:ascii="Cambria" w:hAnsi="Cambria"/>
                <w:sz w:val="24"/>
                <w:szCs w:val="24"/>
              </w:rPr>
              <w:t>.052</w:t>
            </w:r>
          </w:p>
        </w:tc>
        <w:tc>
          <w:tcPr>
            <w:tcW w:w="709" w:type="dxa"/>
          </w:tcPr>
          <w:p w14:paraId="14E3AD02"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7D70E5F0" w14:textId="77777777" w:rsidR="00C7217E" w:rsidRPr="001435A7" w:rsidRDefault="00C7217E" w:rsidP="008756B1">
            <w:pPr>
              <w:jc w:val="both"/>
              <w:rPr>
                <w:rFonts w:ascii="Cambria" w:hAnsi="Cambria"/>
                <w:sz w:val="24"/>
                <w:szCs w:val="24"/>
              </w:rPr>
            </w:pPr>
            <w:r w:rsidRPr="001435A7">
              <w:rPr>
                <w:rFonts w:ascii="Cambria" w:hAnsi="Cambria"/>
                <w:sz w:val="24"/>
                <w:szCs w:val="24"/>
              </w:rPr>
              <w:t>.308</w:t>
            </w:r>
          </w:p>
        </w:tc>
        <w:tc>
          <w:tcPr>
            <w:tcW w:w="1496" w:type="dxa"/>
          </w:tcPr>
          <w:p w14:paraId="6F321B93"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r w:rsidR="001435A7" w:rsidRPr="001435A7" w14:paraId="5974AF5A" w14:textId="77777777" w:rsidTr="00DF1F25">
        <w:tc>
          <w:tcPr>
            <w:tcW w:w="3258" w:type="dxa"/>
            <w:shd w:val="clear" w:color="auto" w:fill="F2F2F2" w:themeFill="background1" w:themeFillShade="F2"/>
          </w:tcPr>
          <w:p w14:paraId="199B5C2A" w14:textId="17E9F185" w:rsidR="00C7217E" w:rsidRPr="001435A7" w:rsidRDefault="00C7217E" w:rsidP="008756B1">
            <w:pPr>
              <w:jc w:val="both"/>
              <w:rPr>
                <w:rFonts w:ascii="Cambria" w:hAnsi="Cambria"/>
                <w:sz w:val="24"/>
                <w:szCs w:val="24"/>
              </w:rPr>
            </w:pPr>
            <w:r w:rsidRPr="001435A7">
              <w:rPr>
                <w:rFonts w:ascii="Cambria" w:hAnsi="Cambria"/>
                <w:sz w:val="24"/>
                <w:szCs w:val="24"/>
              </w:rPr>
              <w:t>H</w:t>
            </w:r>
            <w:r w:rsidRPr="001435A7">
              <w:rPr>
                <w:rFonts w:ascii="Cambria" w:hAnsi="Cambria"/>
                <w:sz w:val="24"/>
                <w:szCs w:val="24"/>
                <w:vertAlign w:val="subscript"/>
              </w:rPr>
              <w:t>19</w:t>
            </w:r>
            <w:r w:rsidRPr="001435A7">
              <w:rPr>
                <w:rFonts w:ascii="Cambria" w:hAnsi="Cambria"/>
                <w:sz w:val="24"/>
                <w:szCs w:val="24"/>
              </w:rPr>
              <w:t xml:space="preserve">: Brand Purchase intention </w:t>
            </w:r>
            <w:r w:rsidRPr="001435A7">
              <w:rPr>
                <w:rFonts w:ascii="Cambria" w:hAnsi="Cambria" w:cstheme="minorHAnsi"/>
                <w:sz w:val="24"/>
                <w:szCs w:val="24"/>
              </w:rPr>
              <w:t>→ Sustainable behavio</w:t>
            </w:r>
            <w:r w:rsidR="00EE655C" w:rsidRPr="001435A7">
              <w:rPr>
                <w:rFonts w:ascii="Cambria" w:hAnsi="Cambria" w:cstheme="minorHAnsi"/>
                <w:sz w:val="24"/>
                <w:szCs w:val="24"/>
              </w:rPr>
              <w:t>u</w:t>
            </w:r>
            <w:r w:rsidRPr="001435A7">
              <w:rPr>
                <w:rFonts w:ascii="Cambria" w:hAnsi="Cambria" w:cstheme="minorHAnsi"/>
                <w:sz w:val="24"/>
                <w:szCs w:val="24"/>
              </w:rPr>
              <w:t>r intention</w:t>
            </w:r>
          </w:p>
        </w:tc>
        <w:tc>
          <w:tcPr>
            <w:tcW w:w="2407" w:type="dxa"/>
          </w:tcPr>
          <w:p w14:paraId="782B72D3" w14:textId="77777777" w:rsidR="00C7217E" w:rsidRPr="001435A7" w:rsidRDefault="00C7217E" w:rsidP="008756B1">
            <w:pPr>
              <w:jc w:val="both"/>
              <w:rPr>
                <w:rFonts w:ascii="Cambria" w:hAnsi="Cambria"/>
                <w:sz w:val="24"/>
                <w:szCs w:val="24"/>
              </w:rPr>
            </w:pPr>
            <w:r w:rsidRPr="001435A7">
              <w:rPr>
                <w:rFonts w:ascii="Cambria" w:hAnsi="Cambria"/>
                <w:sz w:val="24"/>
                <w:szCs w:val="24"/>
              </w:rPr>
              <w:t>.271</w:t>
            </w:r>
          </w:p>
        </w:tc>
        <w:tc>
          <w:tcPr>
            <w:tcW w:w="709" w:type="dxa"/>
          </w:tcPr>
          <w:p w14:paraId="35E0F201" w14:textId="77777777" w:rsidR="00C7217E" w:rsidRPr="001435A7" w:rsidRDefault="00C7217E" w:rsidP="008756B1">
            <w:pPr>
              <w:jc w:val="both"/>
              <w:rPr>
                <w:rFonts w:ascii="Cambria" w:hAnsi="Cambria"/>
                <w:sz w:val="24"/>
                <w:szCs w:val="24"/>
              </w:rPr>
            </w:pPr>
            <w:r w:rsidRPr="001435A7">
              <w:rPr>
                <w:rFonts w:ascii="Cambria" w:hAnsi="Cambria"/>
                <w:sz w:val="24"/>
                <w:szCs w:val="24"/>
              </w:rPr>
              <w:t>.046</w:t>
            </w:r>
          </w:p>
        </w:tc>
        <w:tc>
          <w:tcPr>
            <w:tcW w:w="709" w:type="dxa"/>
          </w:tcPr>
          <w:p w14:paraId="11B0D2D4" w14:textId="77777777" w:rsidR="00C7217E" w:rsidRPr="001435A7" w:rsidRDefault="00C7217E" w:rsidP="008756B1">
            <w:pPr>
              <w:jc w:val="both"/>
              <w:rPr>
                <w:rFonts w:ascii="Cambria" w:hAnsi="Cambria"/>
                <w:sz w:val="24"/>
                <w:szCs w:val="24"/>
              </w:rPr>
            </w:pPr>
            <w:r w:rsidRPr="001435A7">
              <w:rPr>
                <w:rFonts w:ascii="Cambria" w:hAnsi="Cambria"/>
                <w:sz w:val="24"/>
                <w:szCs w:val="24"/>
              </w:rPr>
              <w:t>.000</w:t>
            </w:r>
          </w:p>
        </w:tc>
        <w:tc>
          <w:tcPr>
            <w:tcW w:w="709" w:type="dxa"/>
          </w:tcPr>
          <w:p w14:paraId="4794C6E9" w14:textId="77777777" w:rsidR="00C7217E" w:rsidRPr="001435A7" w:rsidRDefault="00C7217E" w:rsidP="008756B1">
            <w:pPr>
              <w:jc w:val="both"/>
              <w:rPr>
                <w:rFonts w:ascii="Cambria" w:hAnsi="Cambria"/>
                <w:sz w:val="24"/>
                <w:szCs w:val="24"/>
              </w:rPr>
            </w:pPr>
            <w:r w:rsidRPr="001435A7">
              <w:rPr>
                <w:rFonts w:ascii="Cambria" w:hAnsi="Cambria"/>
                <w:sz w:val="24"/>
                <w:szCs w:val="24"/>
              </w:rPr>
              <w:t>.113</w:t>
            </w:r>
          </w:p>
        </w:tc>
        <w:tc>
          <w:tcPr>
            <w:tcW w:w="1496" w:type="dxa"/>
          </w:tcPr>
          <w:p w14:paraId="319FC5D1" w14:textId="77777777" w:rsidR="00C7217E" w:rsidRPr="001435A7" w:rsidRDefault="00C7217E" w:rsidP="008756B1">
            <w:pPr>
              <w:jc w:val="both"/>
              <w:rPr>
                <w:rFonts w:ascii="Cambria" w:hAnsi="Cambria"/>
                <w:sz w:val="24"/>
                <w:szCs w:val="24"/>
              </w:rPr>
            </w:pPr>
            <w:r w:rsidRPr="001435A7">
              <w:rPr>
                <w:rFonts w:ascii="Cambria" w:hAnsi="Cambria"/>
                <w:sz w:val="24"/>
                <w:szCs w:val="24"/>
              </w:rPr>
              <w:t>Yes</w:t>
            </w:r>
          </w:p>
        </w:tc>
      </w:tr>
    </w:tbl>
    <w:p w14:paraId="6C77F406" w14:textId="30D9C9D7" w:rsidR="00C7217E" w:rsidRPr="001435A7" w:rsidRDefault="00C7217E" w:rsidP="00881AA8">
      <w:pPr>
        <w:spacing w:line="360" w:lineRule="auto"/>
        <w:jc w:val="both"/>
        <w:rPr>
          <w:rFonts w:ascii="Cambria" w:hAnsi="Cambria"/>
        </w:rPr>
      </w:pPr>
    </w:p>
    <w:p w14:paraId="66448C5E" w14:textId="35F1C9E6" w:rsidR="00EB60EC" w:rsidRPr="001435A7" w:rsidRDefault="005F02D8" w:rsidP="004C65F4">
      <w:pPr>
        <w:pStyle w:val="Heading2"/>
        <w:jc w:val="both"/>
        <w:rPr>
          <w:rFonts w:ascii="Cambria" w:hAnsi="Cambria"/>
          <w:color w:val="auto"/>
          <w:lang w:val="en-US"/>
        </w:rPr>
      </w:pPr>
      <w:bookmarkStart w:id="94" w:name="_Toc115726268"/>
      <w:r w:rsidRPr="001435A7">
        <w:rPr>
          <w:rFonts w:ascii="Cambria" w:hAnsi="Cambria"/>
          <w:color w:val="auto"/>
          <w:lang w:val="en-US"/>
        </w:rPr>
        <w:t>5.2</w:t>
      </w:r>
      <w:r w:rsidR="003F0920" w:rsidRPr="001435A7">
        <w:rPr>
          <w:rFonts w:ascii="Cambria" w:hAnsi="Cambria"/>
          <w:color w:val="auto"/>
          <w:lang w:val="en-US"/>
        </w:rPr>
        <w:t>.</w:t>
      </w:r>
      <w:r w:rsidRPr="001435A7">
        <w:rPr>
          <w:rFonts w:ascii="Cambria" w:hAnsi="Cambria"/>
          <w:color w:val="auto"/>
          <w:lang w:val="en-US"/>
        </w:rPr>
        <w:t xml:space="preserve"> </w:t>
      </w:r>
      <w:r w:rsidR="00CE4A0C" w:rsidRPr="001435A7">
        <w:rPr>
          <w:rFonts w:ascii="Cambria" w:hAnsi="Cambria"/>
          <w:color w:val="auto"/>
          <w:lang w:val="en-US"/>
        </w:rPr>
        <w:t>T</w:t>
      </w:r>
      <w:r w:rsidRPr="001435A7">
        <w:rPr>
          <w:rFonts w:ascii="Cambria" w:hAnsi="Cambria"/>
          <w:color w:val="auto"/>
          <w:lang w:val="en-US"/>
        </w:rPr>
        <w:t>esting control variables: Age gender and education:</w:t>
      </w:r>
      <w:bookmarkEnd w:id="94"/>
    </w:p>
    <w:p w14:paraId="06A07D06" w14:textId="75BBCECC" w:rsidR="00C869D5" w:rsidRPr="00B834E9" w:rsidRDefault="00C869D5" w:rsidP="00C869D5">
      <w:pPr>
        <w:spacing w:line="360" w:lineRule="auto"/>
        <w:jc w:val="both"/>
        <w:rPr>
          <w:rFonts w:ascii="Cambria" w:hAnsi="Cambria"/>
          <w:sz w:val="24"/>
          <w:szCs w:val="24"/>
        </w:rPr>
      </w:pPr>
      <w:r w:rsidRPr="00B834E9">
        <w:rPr>
          <w:rFonts w:ascii="Cambria" w:hAnsi="Cambria"/>
          <w:sz w:val="24"/>
          <w:szCs w:val="24"/>
        </w:rPr>
        <w:t xml:space="preserve">All the postulated causal relationships </w:t>
      </w:r>
      <w:r w:rsidR="00B834E9" w:rsidRPr="00B834E9">
        <w:rPr>
          <w:rFonts w:ascii="Cambria" w:hAnsi="Cambria"/>
          <w:sz w:val="24"/>
          <w:szCs w:val="24"/>
        </w:rPr>
        <w:t>have</w:t>
      </w:r>
      <w:r w:rsidRPr="00B834E9">
        <w:rPr>
          <w:rFonts w:ascii="Cambria" w:hAnsi="Cambria"/>
          <w:sz w:val="24"/>
          <w:szCs w:val="24"/>
        </w:rPr>
        <w:t xml:space="preserve"> been tested by controlling age, gender and education. Table 2</w:t>
      </w:r>
      <w:r w:rsidR="00255F08" w:rsidRPr="00B834E9">
        <w:rPr>
          <w:rFonts w:ascii="Cambria" w:hAnsi="Cambria"/>
          <w:sz w:val="24"/>
          <w:szCs w:val="24"/>
        </w:rPr>
        <w:t>4</w:t>
      </w:r>
      <w:r w:rsidRPr="00B834E9">
        <w:rPr>
          <w:rFonts w:ascii="Cambria" w:hAnsi="Cambria"/>
          <w:sz w:val="24"/>
          <w:szCs w:val="24"/>
        </w:rPr>
        <w:t xml:space="preserve"> shows that R2 change is significant in all the cases. This implies that</w:t>
      </w:r>
      <w:r w:rsidR="00E70B34" w:rsidRPr="00B834E9">
        <w:rPr>
          <w:rFonts w:ascii="Cambria" w:hAnsi="Cambria"/>
          <w:sz w:val="24"/>
          <w:szCs w:val="24"/>
        </w:rPr>
        <w:t xml:space="preserve"> control variables do not have significant </w:t>
      </w:r>
      <w:r w:rsidR="00A44BF4" w:rsidRPr="00B834E9">
        <w:rPr>
          <w:rFonts w:ascii="Cambria" w:hAnsi="Cambria"/>
          <w:sz w:val="24"/>
          <w:szCs w:val="24"/>
        </w:rPr>
        <w:t xml:space="preserve">R2, but when </w:t>
      </w:r>
      <w:r w:rsidR="00206A13" w:rsidRPr="00B834E9">
        <w:rPr>
          <w:rFonts w:ascii="Cambria" w:hAnsi="Cambria"/>
          <w:sz w:val="24"/>
          <w:szCs w:val="24"/>
        </w:rPr>
        <w:t xml:space="preserve">independent variables are introduced the relationships changed significantly. </w:t>
      </w:r>
      <w:r w:rsidR="00EA1A2B" w:rsidRPr="00B834E9">
        <w:rPr>
          <w:rFonts w:ascii="Cambria" w:hAnsi="Cambria"/>
          <w:sz w:val="24"/>
          <w:szCs w:val="24"/>
        </w:rPr>
        <w:t xml:space="preserve">In other words, </w:t>
      </w:r>
      <w:r w:rsidRPr="00B834E9">
        <w:rPr>
          <w:rFonts w:ascii="Cambria" w:hAnsi="Cambria"/>
          <w:sz w:val="24"/>
          <w:szCs w:val="24"/>
        </w:rPr>
        <w:t xml:space="preserve">the cause of change in dependent variable are due to the independent variables but not due to difference in age, gender or education. </w:t>
      </w:r>
    </w:p>
    <w:p w14:paraId="175C21BE" w14:textId="37ED7BCC" w:rsidR="005F02D8" w:rsidRPr="001435A7" w:rsidRDefault="00D74E12" w:rsidP="00881AA8">
      <w:pPr>
        <w:spacing w:line="360" w:lineRule="auto"/>
        <w:jc w:val="both"/>
        <w:rPr>
          <w:rFonts w:ascii="Cambria" w:hAnsi="Cambria"/>
        </w:rPr>
      </w:pPr>
      <w:r w:rsidRPr="001435A7">
        <w:rPr>
          <w:rFonts w:ascii="Cambria" w:hAnsi="Cambria"/>
        </w:rPr>
        <w:t>Table 2</w:t>
      </w:r>
      <w:r w:rsidR="006321ED" w:rsidRPr="001435A7">
        <w:rPr>
          <w:rFonts w:ascii="Cambria" w:hAnsi="Cambria"/>
        </w:rPr>
        <w:t>4</w:t>
      </w:r>
      <w:r w:rsidRPr="001435A7">
        <w:rPr>
          <w:rFonts w:ascii="Cambria" w:hAnsi="Cambria"/>
        </w:rPr>
        <w:t xml:space="preserve">: </w:t>
      </w:r>
      <w:r w:rsidR="00B834E9">
        <w:rPr>
          <w:rFonts w:ascii="Cambria" w:hAnsi="Cambria"/>
          <w:sz w:val="24"/>
          <w:szCs w:val="24"/>
        </w:rPr>
        <w:t>I</w:t>
      </w:r>
      <w:r w:rsidR="001448DA" w:rsidRPr="00B834E9">
        <w:rPr>
          <w:rFonts w:ascii="Cambria" w:hAnsi="Cambria"/>
          <w:sz w:val="24"/>
          <w:szCs w:val="24"/>
        </w:rPr>
        <w:t>mpact of control variable</w:t>
      </w:r>
      <w:r w:rsidR="001448DA" w:rsidRPr="001435A7">
        <w:rPr>
          <w:rFonts w:ascii="Cambria" w:hAnsi="Cambria"/>
        </w:rPr>
        <w:t xml:space="preserve"> </w:t>
      </w:r>
    </w:p>
    <w:tbl>
      <w:tblPr>
        <w:tblW w:w="7880" w:type="dxa"/>
        <w:tblLook w:val="04A0" w:firstRow="1" w:lastRow="0" w:firstColumn="1" w:lastColumn="0" w:noHBand="0" w:noVBand="1"/>
      </w:tblPr>
      <w:tblGrid>
        <w:gridCol w:w="2684"/>
        <w:gridCol w:w="2714"/>
        <w:gridCol w:w="1031"/>
        <w:gridCol w:w="749"/>
        <w:gridCol w:w="1031"/>
      </w:tblGrid>
      <w:tr w:rsidR="001435A7" w:rsidRPr="001435A7" w14:paraId="2F1EB05A" w14:textId="77777777" w:rsidTr="003F12BA">
        <w:trPr>
          <w:trHeight w:val="280"/>
        </w:trPr>
        <w:tc>
          <w:tcPr>
            <w:tcW w:w="7880"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8542510" w14:textId="77777777" w:rsidR="003F12BA" w:rsidRPr="001435A7" w:rsidRDefault="003F12BA" w:rsidP="003F12BA">
            <w:pPr>
              <w:spacing w:after="0" w:line="240" w:lineRule="auto"/>
              <w:jc w:val="center"/>
              <w:rPr>
                <w:rFonts w:ascii="Cambria" w:eastAsia="Times New Roman" w:hAnsi="Cambria" w:cs="Calibri"/>
                <w:b/>
                <w:bCs/>
                <w:lang w:eastAsia="en-GB"/>
              </w:rPr>
            </w:pPr>
            <w:r w:rsidRPr="001435A7">
              <w:rPr>
                <w:rFonts w:ascii="Cambria" w:eastAsia="Times New Roman" w:hAnsi="Cambria" w:cs="Calibri"/>
                <w:b/>
                <w:bCs/>
                <w:lang w:eastAsia="en-GB"/>
              </w:rPr>
              <w:t>Overall sample of 279</w:t>
            </w:r>
          </w:p>
        </w:tc>
      </w:tr>
      <w:tr w:rsidR="001435A7" w:rsidRPr="001435A7" w14:paraId="53D7E36E" w14:textId="77777777" w:rsidTr="003F12BA">
        <w:trPr>
          <w:trHeight w:val="640"/>
        </w:trPr>
        <w:tc>
          <w:tcPr>
            <w:tcW w:w="7880" w:type="dxa"/>
            <w:gridSpan w:val="5"/>
            <w:tcBorders>
              <w:top w:val="single" w:sz="4" w:space="0" w:color="auto"/>
              <w:left w:val="single" w:sz="4" w:space="0" w:color="auto"/>
              <w:bottom w:val="single" w:sz="4" w:space="0" w:color="auto"/>
              <w:right w:val="single" w:sz="4" w:space="0" w:color="auto"/>
            </w:tcBorders>
            <w:shd w:val="clear" w:color="auto" w:fill="auto"/>
            <w:hideMark/>
          </w:tcPr>
          <w:p w14:paraId="476048DB" w14:textId="1F43ED79" w:rsidR="003F12BA" w:rsidRPr="001435A7" w:rsidRDefault="008F4B95" w:rsidP="003F12BA">
            <w:pPr>
              <w:spacing w:after="0" w:line="240" w:lineRule="auto"/>
              <w:jc w:val="center"/>
              <w:rPr>
                <w:rFonts w:ascii="Cambria" w:eastAsia="Times New Roman" w:hAnsi="Cambria" w:cs="Calibri"/>
                <w:b/>
                <w:bCs/>
                <w:lang w:eastAsia="en-GB"/>
              </w:rPr>
            </w:pPr>
            <w:r w:rsidRPr="001435A7">
              <w:rPr>
                <w:rFonts w:ascii="Cambria" w:eastAsia="Times New Roman" w:hAnsi="Cambria" w:cs="Calibri"/>
                <w:b/>
                <w:bCs/>
                <w:lang w:eastAsia="en-GB"/>
              </w:rPr>
              <w:t>R</w:t>
            </w:r>
            <w:r w:rsidR="003F12BA" w:rsidRPr="001435A7">
              <w:rPr>
                <w:rFonts w:ascii="Cambria" w:eastAsia="Times New Roman" w:hAnsi="Cambria" w:cs="Calibri"/>
                <w:b/>
                <w:bCs/>
                <w:lang w:eastAsia="en-GB"/>
              </w:rPr>
              <w:t xml:space="preserve">esults of regression analysis by controlling variables - age gender and education </w:t>
            </w:r>
          </w:p>
        </w:tc>
      </w:tr>
      <w:tr w:rsidR="001435A7" w:rsidRPr="001435A7" w14:paraId="37002E43" w14:textId="77777777" w:rsidTr="003F12BA">
        <w:trPr>
          <w:trHeight w:val="320"/>
        </w:trPr>
        <w:tc>
          <w:tcPr>
            <w:tcW w:w="2684" w:type="dxa"/>
            <w:tcBorders>
              <w:top w:val="nil"/>
              <w:left w:val="single" w:sz="4" w:space="0" w:color="auto"/>
              <w:bottom w:val="single" w:sz="4" w:space="0" w:color="auto"/>
              <w:right w:val="single" w:sz="4" w:space="0" w:color="auto"/>
            </w:tcBorders>
            <w:shd w:val="clear" w:color="auto" w:fill="auto"/>
            <w:hideMark/>
          </w:tcPr>
          <w:p w14:paraId="1C3CE60E" w14:textId="77777777" w:rsidR="003F12BA" w:rsidRPr="001435A7" w:rsidRDefault="003F12BA" w:rsidP="003F12BA">
            <w:pPr>
              <w:spacing w:after="0" w:line="240" w:lineRule="auto"/>
              <w:rPr>
                <w:rFonts w:ascii="Cambria" w:eastAsia="Times New Roman" w:hAnsi="Cambria" w:cs="Calibri"/>
                <w:b/>
                <w:bCs/>
                <w:lang w:eastAsia="en-GB"/>
              </w:rPr>
            </w:pPr>
            <w:r w:rsidRPr="001435A7">
              <w:rPr>
                <w:rFonts w:ascii="Cambria" w:eastAsia="Times New Roman" w:hAnsi="Cambria" w:cs="Calibri"/>
                <w:b/>
                <w:bCs/>
                <w:lang w:eastAsia="en-GB"/>
              </w:rPr>
              <w:t xml:space="preserve">Dependent variable </w:t>
            </w:r>
          </w:p>
        </w:tc>
        <w:tc>
          <w:tcPr>
            <w:tcW w:w="2714" w:type="dxa"/>
            <w:tcBorders>
              <w:top w:val="nil"/>
              <w:left w:val="nil"/>
              <w:bottom w:val="single" w:sz="4" w:space="0" w:color="auto"/>
              <w:right w:val="single" w:sz="4" w:space="0" w:color="auto"/>
            </w:tcBorders>
            <w:shd w:val="clear" w:color="auto" w:fill="auto"/>
            <w:hideMark/>
          </w:tcPr>
          <w:p w14:paraId="67525A8F" w14:textId="77777777" w:rsidR="003F12BA" w:rsidRPr="001435A7" w:rsidRDefault="003F12BA" w:rsidP="003F12BA">
            <w:pPr>
              <w:spacing w:after="0" w:line="240" w:lineRule="auto"/>
              <w:rPr>
                <w:rFonts w:ascii="Cambria" w:eastAsia="Times New Roman" w:hAnsi="Cambria" w:cs="Calibri"/>
                <w:b/>
                <w:bCs/>
                <w:lang w:eastAsia="en-GB"/>
              </w:rPr>
            </w:pPr>
            <w:r w:rsidRPr="001435A7">
              <w:rPr>
                <w:rFonts w:ascii="Cambria" w:eastAsia="Times New Roman" w:hAnsi="Cambria" w:cs="Calibri"/>
                <w:b/>
                <w:bCs/>
                <w:lang w:eastAsia="en-GB"/>
              </w:rPr>
              <w:t xml:space="preserve">Independent variable </w:t>
            </w:r>
          </w:p>
        </w:tc>
        <w:tc>
          <w:tcPr>
            <w:tcW w:w="931" w:type="dxa"/>
            <w:tcBorders>
              <w:top w:val="nil"/>
              <w:left w:val="nil"/>
              <w:bottom w:val="single" w:sz="4" w:space="0" w:color="auto"/>
              <w:right w:val="single" w:sz="4" w:space="0" w:color="auto"/>
            </w:tcBorders>
            <w:shd w:val="clear" w:color="auto" w:fill="auto"/>
            <w:noWrap/>
            <w:hideMark/>
          </w:tcPr>
          <w:p w14:paraId="5D6917FC" w14:textId="77777777" w:rsidR="003F12BA" w:rsidRPr="001435A7" w:rsidRDefault="003F12BA" w:rsidP="003F12BA">
            <w:pPr>
              <w:spacing w:after="0" w:line="240" w:lineRule="auto"/>
              <w:rPr>
                <w:rFonts w:ascii="Calibri" w:eastAsia="Times New Roman" w:hAnsi="Calibri" w:cs="Calibri"/>
                <w:b/>
                <w:bCs/>
                <w:lang w:eastAsia="en-GB"/>
              </w:rPr>
            </w:pPr>
            <w:r w:rsidRPr="001435A7">
              <w:rPr>
                <w:rFonts w:ascii="Calibri" w:eastAsia="Times New Roman" w:hAnsi="Calibri" w:cs="Calibri"/>
                <w:b/>
                <w:bCs/>
                <w:lang w:eastAsia="en-GB"/>
              </w:rPr>
              <w:t>β</w:t>
            </w:r>
          </w:p>
        </w:tc>
        <w:tc>
          <w:tcPr>
            <w:tcW w:w="620" w:type="dxa"/>
            <w:tcBorders>
              <w:top w:val="nil"/>
              <w:left w:val="nil"/>
              <w:bottom w:val="single" w:sz="4" w:space="0" w:color="auto"/>
              <w:right w:val="single" w:sz="4" w:space="0" w:color="auto"/>
            </w:tcBorders>
            <w:shd w:val="clear" w:color="auto" w:fill="auto"/>
            <w:noWrap/>
            <w:hideMark/>
          </w:tcPr>
          <w:p w14:paraId="23C9F7F0" w14:textId="77777777" w:rsidR="003F12BA" w:rsidRPr="001435A7" w:rsidRDefault="003F12BA" w:rsidP="003F12BA">
            <w:pPr>
              <w:spacing w:after="0" w:line="240" w:lineRule="auto"/>
              <w:rPr>
                <w:rFonts w:ascii="Cambria" w:eastAsia="Times New Roman" w:hAnsi="Cambria" w:cs="Calibri"/>
                <w:b/>
                <w:bCs/>
                <w:lang w:eastAsia="en-GB"/>
              </w:rPr>
            </w:pPr>
            <w:r w:rsidRPr="001435A7">
              <w:rPr>
                <w:rFonts w:ascii="Cambria" w:eastAsia="Times New Roman" w:hAnsi="Cambria" w:cs="Calibri"/>
                <w:b/>
                <w:bCs/>
                <w:lang w:eastAsia="en-GB"/>
              </w:rPr>
              <w:t>R</w:t>
            </w:r>
            <w:r w:rsidRPr="001435A7">
              <w:rPr>
                <w:rFonts w:ascii="Cambria" w:eastAsia="Times New Roman" w:hAnsi="Cambria" w:cs="Calibri"/>
                <w:b/>
                <w:bCs/>
                <w:vertAlign w:val="superscript"/>
                <w:lang w:eastAsia="en-GB"/>
              </w:rPr>
              <w:t>2</w:t>
            </w:r>
          </w:p>
        </w:tc>
        <w:tc>
          <w:tcPr>
            <w:tcW w:w="931" w:type="dxa"/>
            <w:tcBorders>
              <w:top w:val="nil"/>
              <w:left w:val="nil"/>
              <w:bottom w:val="single" w:sz="4" w:space="0" w:color="auto"/>
              <w:right w:val="single" w:sz="4" w:space="0" w:color="auto"/>
            </w:tcBorders>
            <w:shd w:val="clear" w:color="auto" w:fill="auto"/>
            <w:noWrap/>
            <w:hideMark/>
          </w:tcPr>
          <w:p w14:paraId="1639806A" w14:textId="77777777" w:rsidR="003F12BA" w:rsidRPr="001435A7" w:rsidRDefault="003F12BA" w:rsidP="003F12BA">
            <w:pPr>
              <w:spacing w:after="0" w:line="240" w:lineRule="auto"/>
              <w:rPr>
                <w:rFonts w:ascii="Cambria" w:eastAsia="Times New Roman" w:hAnsi="Cambria" w:cs="Calibri"/>
                <w:b/>
                <w:bCs/>
                <w:lang w:eastAsia="en-GB"/>
              </w:rPr>
            </w:pPr>
            <w:r w:rsidRPr="001435A7">
              <w:rPr>
                <w:rFonts w:ascii="Cambria" w:eastAsia="Times New Roman" w:hAnsi="Cambria" w:cs="Calibri"/>
                <w:b/>
                <w:bCs/>
                <w:lang w:eastAsia="en-GB"/>
              </w:rPr>
              <w:t>ΔR</w:t>
            </w:r>
            <w:r w:rsidRPr="001435A7">
              <w:rPr>
                <w:rFonts w:ascii="Cambria" w:eastAsia="Times New Roman" w:hAnsi="Cambria" w:cs="Calibri"/>
                <w:b/>
                <w:bCs/>
                <w:vertAlign w:val="superscript"/>
                <w:lang w:eastAsia="en-GB"/>
              </w:rPr>
              <w:t>2</w:t>
            </w:r>
          </w:p>
        </w:tc>
      </w:tr>
      <w:tr w:rsidR="001435A7" w:rsidRPr="001435A7" w14:paraId="1EE11FE7"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1CFB8C5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7942E04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15A40B3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514F38FC"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0.003</w:t>
            </w:r>
          </w:p>
        </w:tc>
        <w:tc>
          <w:tcPr>
            <w:tcW w:w="931" w:type="dxa"/>
            <w:tcBorders>
              <w:top w:val="nil"/>
              <w:left w:val="nil"/>
              <w:bottom w:val="nil"/>
              <w:right w:val="single" w:sz="4" w:space="0" w:color="auto"/>
            </w:tcBorders>
            <w:shd w:val="clear" w:color="auto" w:fill="auto"/>
            <w:noWrap/>
            <w:hideMark/>
          </w:tcPr>
          <w:p w14:paraId="674A0CF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E84B950"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3D919A2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SCV_image</w:t>
            </w:r>
          </w:p>
        </w:tc>
        <w:tc>
          <w:tcPr>
            <w:tcW w:w="2714" w:type="dxa"/>
            <w:tcBorders>
              <w:top w:val="nil"/>
              <w:left w:val="nil"/>
              <w:bottom w:val="single" w:sz="4" w:space="0" w:color="auto"/>
              <w:right w:val="single" w:sz="4" w:space="0" w:color="auto"/>
            </w:tcBorders>
            <w:shd w:val="clear" w:color="auto" w:fill="auto"/>
            <w:noWrap/>
            <w:hideMark/>
          </w:tcPr>
          <w:p w14:paraId="15D40E6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Involvement</w:t>
            </w:r>
          </w:p>
        </w:tc>
        <w:tc>
          <w:tcPr>
            <w:tcW w:w="931" w:type="dxa"/>
            <w:tcBorders>
              <w:top w:val="nil"/>
              <w:left w:val="nil"/>
              <w:bottom w:val="single" w:sz="4" w:space="0" w:color="auto"/>
              <w:right w:val="single" w:sz="4" w:space="0" w:color="auto"/>
            </w:tcBorders>
            <w:shd w:val="clear" w:color="auto" w:fill="auto"/>
            <w:noWrap/>
            <w:hideMark/>
          </w:tcPr>
          <w:p w14:paraId="03397AC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.723***</w:t>
            </w:r>
          </w:p>
        </w:tc>
        <w:tc>
          <w:tcPr>
            <w:tcW w:w="620" w:type="dxa"/>
            <w:tcBorders>
              <w:top w:val="nil"/>
              <w:left w:val="nil"/>
              <w:bottom w:val="single" w:sz="4" w:space="0" w:color="auto"/>
              <w:right w:val="single" w:sz="4" w:space="0" w:color="auto"/>
            </w:tcBorders>
            <w:shd w:val="clear" w:color="auto" w:fill="auto"/>
            <w:noWrap/>
            <w:hideMark/>
          </w:tcPr>
          <w:p w14:paraId="4F27292F"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0.385</w:t>
            </w:r>
          </w:p>
        </w:tc>
        <w:tc>
          <w:tcPr>
            <w:tcW w:w="931" w:type="dxa"/>
            <w:tcBorders>
              <w:top w:val="nil"/>
              <w:left w:val="nil"/>
              <w:bottom w:val="single" w:sz="4" w:space="0" w:color="auto"/>
              <w:right w:val="single" w:sz="4" w:space="0" w:color="auto"/>
            </w:tcBorders>
            <w:shd w:val="clear" w:color="auto" w:fill="auto"/>
            <w:noWrap/>
            <w:hideMark/>
          </w:tcPr>
          <w:p w14:paraId="2C63DF9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.382***</w:t>
            </w:r>
          </w:p>
        </w:tc>
      </w:tr>
      <w:tr w:rsidR="001435A7" w:rsidRPr="001435A7" w14:paraId="0F0399CD"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14C5DA4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0554843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16609CA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136588E2"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0.014</w:t>
            </w:r>
          </w:p>
        </w:tc>
        <w:tc>
          <w:tcPr>
            <w:tcW w:w="931" w:type="dxa"/>
            <w:tcBorders>
              <w:top w:val="nil"/>
              <w:left w:val="nil"/>
              <w:bottom w:val="nil"/>
              <w:right w:val="single" w:sz="4" w:space="0" w:color="auto"/>
            </w:tcBorders>
            <w:shd w:val="clear" w:color="auto" w:fill="auto"/>
            <w:noWrap/>
            <w:hideMark/>
          </w:tcPr>
          <w:p w14:paraId="3941090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7DE678B4"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182FFB8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SCV_engrossment</w:t>
            </w:r>
          </w:p>
        </w:tc>
        <w:tc>
          <w:tcPr>
            <w:tcW w:w="2714" w:type="dxa"/>
            <w:tcBorders>
              <w:top w:val="nil"/>
              <w:left w:val="nil"/>
              <w:bottom w:val="single" w:sz="4" w:space="0" w:color="auto"/>
              <w:right w:val="single" w:sz="4" w:space="0" w:color="auto"/>
            </w:tcBorders>
            <w:shd w:val="clear" w:color="auto" w:fill="auto"/>
            <w:noWrap/>
            <w:hideMark/>
          </w:tcPr>
          <w:p w14:paraId="03D2454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Involvement</w:t>
            </w:r>
          </w:p>
        </w:tc>
        <w:tc>
          <w:tcPr>
            <w:tcW w:w="931" w:type="dxa"/>
            <w:tcBorders>
              <w:top w:val="nil"/>
              <w:left w:val="nil"/>
              <w:bottom w:val="single" w:sz="4" w:space="0" w:color="auto"/>
              <w:right w:val="single" w:sz="4" w:space="0" w:color="auto"/>
            </w:tcBorders>
            <w:shd w:val="clear" w:color="auto" w:fill="auto"/>
            <w:noWrap/>
            <w:hideMark/>
          </w:tcPr>
          <w:p w14:paraId="34B7EA8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.197***</w:t>
            </w:r>
          </w:p>
        </w:tc>
        <w:tc>
          <w:tcPr>
            <w:tcW w:w="620" w:type="dxa"/>
            <w:tcBorders>
              <w:top w:val="nil"/>
              <w:left w:val="nil"/>
              <w:bottom w:val="single" w:sz="4" w:space="0" w:color="auto"/>
              <w:right w:val="single" w:sz="4" w:space="0" w:color="auto"/>
            </w:tcBorders>
            <w:shd w:val="clear" w:color="auto" w:fill="auto"/>
            <w:noWrap/>
            <w:hideMark/>
          </w:tcPr>
          <w:p w14:paraId="0EAD89C0"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0.059</w:t>
            </w:r>
          </w:p>
        </w:tc>
        <w:tc>
          <w:tcPr>
            <w:tcW w:w="931" w:type="dxa"/>
            <w:tcBorders>
              <w:top w:val="nil"/>
              <w:left w:val="nil"/>
              <w:bottom w:val="single" w:sz="4" w:space="0" w:color="auto"/>
              <w:right w:val="single" w:sz="4" w:space="0" w:color="auto"/>
            </w:tcBorders>
            <w:shd w:val="clear" w:color="auto" w:fill="auto"/>
            <w:noWrap/>
            <w:hideMark/>
          </w:tcPr>
          <w:p w14:paraId="328A478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.045***</w:t>
            </w:r>
          </w:p>
        </w:tc>
      </w:tr>
      <w:tr w:rsidR="001435A7" w:rsidRPr="001435A7" w14:paraId="71B3C7FF"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DB184D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E429BF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0C65A3A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3244FAFE"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0.006</w:t>
            </w:r>
          </w:p>
        </w:tc>
        <w:tc>
          <w:tcPr>
            <w:tcW w:w="931" w:type="dxa"/>
            <w:tcBorders>
              <w:top w:val="nil"/>
              <w:left w:val="nil"/>
              <w:bottom w:val="nil"/>
              <w:right w:val="single" w:sz="4" w:space="0" w:color="auto"/>
            </w:tcBorders>
            <w:shd w:val="clear" w:color="auto" w:fill="auto"/>
            <w:noWrap/>
            <w:hideMark/>
          </w:tcPr>
          <w:p w14:paraId="1B5D9F4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569A8ADA"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190C68B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SCV_self projection</w:t>
            </w:r>
          </w:p>
        </w:tc>
        <w:tc>
          <w:tcPr>
            <w:tcW w:w="2714" w:type="dxa"/>
            <w:tcBorders>
              <w:top w:val="nil"/>
              <w:left w:val="nil"/>
              <w:bottom w:val="single" w:sz="4" w:space="0" w:color="auto"/>
              <w:right w:val="single" w:sz="4" w:space="0" w:color="auto"/>
            </w:tcBorders>
            <w:shd w:val="clear" w:color="auto" w:fill="auto"/>
            <w:noWrap/>
            <w:hideMark/>
          </w:tcPr>
          <w:p w14:paraId="0C1AF21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Involvement</w:t>
            </w:r>
          </w:p>
        </w:tc>
        <w:tc>
          <w:tcPr>
            <w:tcW w:w="931" w:type="dxa"/>
            <w:tcBorders>
              <w:top w:val="nil"/>
              <w:left w:val="nil"/>
              <w:bottom w:val="single" w:sz="4" w:space="0" w:color="auto"/>
              <w:right w:val="single" w:sz="4" w:space="0" w:color="auto"/>
            </w:tcBorders>
            <w:shd w:val="clear" w:color="auto" w:fill="auto"/>
            <w:noWrap/>
            <w:hideMark/>
          </w:tcPr>
          <w:p w14:paraId="00C6A85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.597***</w:t>
            </w:r>
          </w:p>
        </w:tc>
        <w:tc>
          <w:tcPr>
            <w:tcW w:w="620" w:type="dxa"/>
            <w:tcBorders>
              <w:top w:val="nil"/>
              <w:left w:val="nil"/>
              <w:bottom w:val="single" w:sz="4" w:space="0" w:color="auto"/>
              <w:right w:val="single" w:sz="4" w:space="0" w:color="auto"/>
            </w:tcBorders>
            <w:shd w:val="clear" w:color="auto" w:fill="auto"/>
            <w:noWrap/>
            <w:hideMark/>
          </w:tcPr>
          <w:p w14:paraId="6033C8DF"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0.291</w:t>
            </w:r>
          </w:p>
        </w:tc>
        <w:tc>
          <w:tcPr>
            <w:tcW w:w="931" w:type="dxa"/>
            <w:tcBorders>
              <w:top w:val="nil"/>
              <w:left w:val="nil"/>
              <w:bottom w:val="single" w:sz="4" w:space="0" w:color="auto"/>
              <w:right w:val="single" w:sz="4" w:space="0" w:color="auto"/>
            </w:tcBorders>
            <w:shd w:val="clear" w:color="auto" w:fill="auto"/>
            <w:noWrap/>
            <w:hideMark/>
          </w:tcPr>
          <w:p w14:paraId="3DADFB9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0.285***</w:t>
            </w:r>
          </w:p>
        </w:tc>
      </w:tr>
      <w:tr w:rsidR="001435A7" w:rsidRPr="001435A7" w14:paraId="7D33D597"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1CDBEB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4D1A2D1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00400D6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344E9DDB"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0.005</w:t>
            </w:r>
          </w:p>
        </w:tc>
        <w:tc>
          <w:tcPr>
            <w:tcW w:w="931" w:type="dxa"/>
            <w:tcBorders>
              <w:top w:val="nil"/>
              <w:left w:val="nil"/>
              <w:bottom w:val="nil"/>
              <w:right w:val="single" w:sz="4" w:space="0" w:color="auto"/>
            </w:tcBorders>
            <w:shd w:val="clear" w:color="auto" w:fill="auto"/>
            <w:noWrap/>
            <w:hideMark/>
          </w:tcPr>
          <w:p w14:paraId="470A9CF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DE22480"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4895EE5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SCV_mental fluency</w:t>
            </w:r>
          </w:p>
        </w:tc>
        <w:tc>
          <w:tcPr>
            <w:tcW w:w="2714" w:type="dxa"/>
            <w:tcBorders>
              <w:top w:val="nil"/>
              <w:left w:val="nil"/>
              <w:bottom w:val="single" w:sz="4" w:space="0" w:color="auto"/>
              <w:right w:val="single" w:sz="4" w:space="0" w:color="auto"/>
            </w:tcBorders>
            <w:shd w:val="clear" w:color="auto" w:fill="auto"/>
            <w:noWrap/>
            <w:hideMark/>
          </w:tcPr>
          <w:p w14:paraId="3AE5CD2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Involvement</w:t>
            </w:r>
          </w:p>
        </w:tc>
        <w:tc>
          <w:tcPr>
            <w:tcW w:w="931" w:type="dxa"/>
            <w:tcBorders>
              <w:top w:val="nil"/>
              <w:left w:val="nil"/>
              <w:bottom w:val="single" w:sz="4" w:space="0" w:color="auto"/>
              <w:right w:val="single" w:sz="4" w:space="0" w:color="auto"/>
            </w:tcBorders>
            <w:shd w:val="clear" w:color="auto" w:fill="auto"/>
            <w:noWrap/>
            <w:hideMark/>
          </w:tcPr>
          <w:p w14:paraId="1CFB746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.200***</w:t>
            </w:r>
          </w:p>
        </w:tc>
        <w:tc>
          <w:tcPr>
            <w:tcW w:w="620" w:type="dxa"/>
            <w:tcBorders>
              <w:top w:val="nil"/>
              <w:left w:val="nil"/>
              <w:bottom w:val="single" w:sz="4" w:space="0" w:color="auto"/>
              <w:right w:val="single" w:sz="4" w:space="0" w:color="auto"/>
            </w:tcBorders>
            <w:shd w:val="clear" w:color="auto" w:fill="auto"/>
            <w:noWrap/>
            <w:hideMark/>
          </w:tcPr>
          <w:p w14:paraId="75AD9890"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0.053</w:t>
            </w:r>
          </w:p>
        </w:tc>
        <w:tc>
          <w:tcPr>
            <w:tcW w:w="931" w:type="dxa"/>
            <w:tcBorders>
              <w:top w:val="nil"/>
              <w:left w:val="nil"/>
              <w:bottom w:val="single" w:sz="4" w:space="0" w:color="auto"/>
              <w:right w:val="single" w:sz="4" w:space="0" w:color="auto"/>
            </w:tcBorders>
            <w:shd w:val="clear" w:color="auto" w:fill="auto"/>
            <w:noWrap/>
            <w:hideMark/>
          </w:tcPr>
          <w:p w14:paraId="1FC2C3E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.049***</w:t>
            </w:r>
          </w:p>
        </w:tc>
      </w:tr>
      <w:tr w:rsidR="001435A7" w:rsidRPr="001435A7" w14:paraId="3FFD0214"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379F031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A4652D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26E5A30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52AC2CF7"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0.008</w:t>
            </w:r>
          </w:p>
        </w:tc>
        <w:tc>
          <w:tcPr>
            <w:tcW w:w="931" w:type="dxa"/>
            <w:tcBorders>
              <w:top w:val="nil"/>
              <w:left w:val="nil"/>
              <w:bottom w:val="nil"/>
              <w:right w:val="single" w:sz="4" w:space="0" w:color="auto"/>
            </w:tcBorders>
            <w:shd w:val="clear" w:color="auto" w:fill="auto"/>
            <w:noWrap/>
            <w:hideMark/>
          </w:tcPr>
          <w:p w14:paraId="3245EF6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5A384F4" w14:textId="77777777" w:rsidTr="003F12BA">
        <w:trPr>
          <w:trHeight w:val="280"/>
        </w:trPr>
        <w:tc>
          <w:tcPr>
            <w:tcW w:w="2684" w:type="dxa"/>
            <w:vMerge w:val="restart"/>
            <w:tcBorders>
              <w:top w:val="nil"/>
              <w:left w:val="single" w:sz="4" w:space="0" w:color="auto"/>
              <w:bottom w:val="nil"/>
              <w:right w:val="single" w:sz="4" w:space="0" w:color="auto"/>
            </w:tcBorders>
            <w:shd w:val="clear" w:color="auto" w:fill="auto"/>
            <w:hideMark/>
          </w:tcPr>
          <w:p w14:paraId="684588B0" w14:textId="015546F1" w:rsidR="003F12BA" w:rsidRPr="001435A7" w:rsidRDefault="001862B5"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w:t>
            </w:r>
            <w:r w:rsidR="003F12BA" w:rsidRPr="001435A7">
              <w:rPr>
                <w:rFonts w:ascii="Cambria" w:eastAsia="Times New Roman" w:hAnsi="Cambria" w:cs="Calibri"/>
                <w:lang w:eastAsia="en-GB"/>
              </w:rPr>
              <w:t>ocial media engagement</w:t>
            </w:r>
          </w:p>
        </w:tc>
        <w:tc>
          <w:tcPr>
            <w:tcW w:w="2714" w:type="dxa"/>
            <w:tcBorders>
              <w:top w:val="nil"/>
              <w:left w:val="nil"/>
              <w:bottom w:val="nil"/>
              <w:right w:val="single" w:sz="4" w:space="0" w:color="auto"/>
            </w:tcBorders>
            <w:shd w:val="clear" w:color="auto" w:fill="auto"/>
            <w:noWrap/>
            <w:hideMark/>
          </w:tcPr>
          <w:p w14:paraId="4E99B67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SCV_image</w:t>
            </w:r>
          </w:p>
        </w:tc>
        <w:tc>
          <w:tcPr>
            <w:tcW w:w="931" w:type="dxa"/>
            <w:tcBorders>
              <w:top w:val="nil"/>
              <w:left w:val="nil"/>
              <w:bottom w:val="nil"/>
              <w:right w:val="single" w:sz="4" w:space="0" w:color="auto"/>
            </w:tcBorders>
            <w:shd w:val="clear" w:color="auto" w:fill="auto"/>
            <w:noWrap/>
            <w:hideMark/>
          </w:tcPr>
          <w:p w14:paraId="79F97D4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.186***</w:t>
            </w:r>
          </w:p>
        </w:tc>
        <w:tc>
          <w:tcPr>
            <w:tcW w:w="620" w:type="dxa"/>
            <w:tcBorders>
              <w:top w:val="nil"/>
              <w:left w:val="nil"/>
              <w:bottom w:val="nil"/>
              <w:right w:val="single" w:sz="4" w:space="0" w:color="auto"/>
            </w:tcBorders>
            <w:shd w:val="clear" w:color="auto" w:fill="auto"/>
            <w:noWrap/>
            <w:hideMark/>
          </w:tcPr>
          <w:p w14:paraId="7347A6F1"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0.33</w:t>
            </w:r>
          </w:p>
        </w:tc>
        <w:tc>
          <w:tcPr>
            <w:tcW w:w="931" w:type="dxa"/>
            <w:tcBorders>
              <w:top w:val="nil"/>
              <w:left w:val="nil"/>
              <w:bottom w:val="nil"/>
              <w:right w:val="single" w:sz="4" w:space="0" w:color="auto"/>
            </w:tcBorders>
            <w:shd w:val="clear" w:color="auto" w:fill="auto"/>
            <w:noWrap/>
            <w:hideMark/>
          </w:tcPr>
          <w:p w14:paraId="1EDC548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.322***</w:t>
            </w:r>
          </w:p>
        </w:tc>
      </w:tr>
      <w:tr w:rsidR="001435A7" w:rsidRPr="001435A7" w14:paraId="38748732" w14:textId="77777777" w:rsidTr="003F12BA">
        <w:trPr>
          <w:trHeight w:val="280"/>
        </w:trPr>
        <w:tc>
          <w:tcPr>
            <w:tcW w:w="2684" w:type="dxa"/>
            <w:vMerge/>
            <w:tcBorders>
              <w:top w:val="nil"/>
              <w:left w:val="single" w:sz="4" w:space="0" w:color="auto"/>
              <w:bottom w:val="nil"/>
              <w:right w:val="single" w:sz="4" w:space="0" w:color="auto"/>
            </w:tcBorders>
            <w:vAlign w:val="center"/>
            <w:hideMark/>
          </w:tcPr>
          <w:p w14:paraId="6D304A2C" w14:textId="77777777" w:rsidR="003F12BA" w:rsidRPr="001435A7" w:rsidRDefault="003F12BA" w:rsidP="003F12BA">
            <w:pPr>
              <w:spacing w:after="0" w:line="240" w:lineRule="auto"/>
              <w:rPr>
                <w:rFonts w:ascii="Cambria" w:eastAsia="Times New Roman" w:hAnsi="Cambria" w:cs="Calibri"/>
                <w:lang w:eastAsia="en-GB"/>
              </w:rPr>
            </w:pPr>
          </w:p>
        </w:tc>
        <w:tc>
          <w:tcPr>
            <w:tcW w:w="2714" w:type="dxa"/>
            <w:tcBorders>
              <w:top w:val="nil"/>
              <w:left w:val="nil"/>
              <w:bottom w:val="nil"/>
              <w:right w:val="single" w:sz="4" w:space="0" w:color="auto"/>
            </w:tcBorders>
            <w:shd w:val="clear" w:color="auto" w:fill="auto"/>
            <w:noWrap/>
            <w:hideMark/>
          </w:tcPr>
          <w:p w14:paraId="709A696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SCV_engrossment</w:t>
            </w:r>
          </w:p>
        </w:tc>
        <w:tc>
          <w:tcPr>
            <w:tcW w:w="931" w:type="dxa"/>
            <w:tcBorders>
              <w:top w:val="nil"/>
              <w:left w:val="nil"/>
              <w:bottom w:val="nil"/>
              <w:right w:val="single" w:sz="4" w:space="0" w:color="auto"/>
            </w:tcBorders>
            <w:shd w:val="clear" w:color="auto" w:fill="auto"/>
            <w:noWrap/>
            <w:hideMark/>
          </w:tcPr>
          <w:p w14:paraId="6ECA7227"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0.032</w:t>
            </w:r>
          </w:p>
        </w:tc>
        <w:tc>
          <w:tcPr>
            <w:tcW w:w="620" w:type="dxa"/>
            <w:tcBorders>
              <w:top w:val="nil"/>
              <w:left w:val="nil"/>
              <w:bottom w:val="nil"/>
              <w:right w:val="single" w:sz="4" w:space="0" w:color="auto"/>
            </w:tcBorders>
            <w:shd w:val="clear" w:color="auto" w:fill="auto"/>
            <w:noWrap/>
            <w:hideMark/>
          </w:tcPr>
          <w:p w14:paraId="678A24F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39BA3AF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44D57658"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697359D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094B3ED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SCV_self projection</w:t>
            </w:r>
          </w:p>
        </w:tc>
        <w:tc>
          <w:tcPr>
            <w:tcW w:w="931" w:type="dxa"/>
            <w:tcBorders>
              <w:top w:val="nil"/>
              <w:left w:val="nil"/>
              <w:bottom w:val="nil"/>
              <w:right w:val="single" w:sz="4" w:space="0" w:color="auto"/>
            </w:tcBorders>
            <w:shd w:val="clear" w:color="auto" w:fill="auto"/>
            <w:noWrap/>
            <w:hideMark/>
          </w:tcPr>
          <w:p w14:paraId="26B58F0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0.385***</w:t>
            </w:r>
          </w:p>
        </w:tc>
        <w:tc>
          <w:tcPr>
            <w:tcW w:w="620" w:type="dxa"/>
            <w:tcBorders>
              <w:top w:val="nil"/>
              <w:left w:val="nil"/>
              <w:bottom w:val="nil"/>
              <w:right w:val="single" w:sz="4" w:space="0" w:color="auto"/>
            </w:tcBorders>
            <w:shd w:val="clear" w:color="auto" w:fill="auto"/>
            <w:noWrap/>
            <w:hideMark/>
          </w:tcPr>
          <w:p w14:paraId="1E3BB9E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7456E67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0B24EAF"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4C29F08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single" w:sz="4" w:space="0" w:color="auto"/>
              <w:right w:val="single" w:sz="4" w:space="0" w:color="auto"/>
            </w:tcBorders>
            <w:shd w:val="clear" w:color="auto" w:fill="auto"/>
            <w:noWrap/>
            <w:hideMark/>
          </w:tcPr>
          <w:p w14:paraId="7FFC32D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SCV_mental fluency</w:t>
            </w:r>
          </w:p>
        </w:tc>
        <w:tc>
          <w:tcPr>
            <w:tcW w:w="931" w:type="dxa"/>
            <w:tcBorders>
              <w:top w:val="nil"/>
              <w:left w:val="nil"/>
              <w:bottom w:val="single" w:sz="4" w:space="0" w:color="auto"/>
              <w:right w:val="single" w:sz="4" w:space="0" w:color="auto"/>
            </w:tcBorders>
            <w:shd w:val="clear" w:color="auto" w:fill="auto"/>
            <w:noWrap/>
            <w:hideMark/>
          </w:tcPr>
          <w:p w14:paraId="09385CB9"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0.013</w:t>
            </w:r>
          </w:p>
        </w:tc>
        <w:tc>
          <w:tcPr>
            <w:tcW w:w="620" w:type="dxa"/>
            <w:tcBorders>
              <w:top w:val="nil"/>
              <w:left w:val="nil"/>
              <w:bottom w:val="single" w:sz="4" w:space="0" w:color="auto"/>
              <w:right w:val="single" w:sz="4" w:space="0" w:color="auto"/>
            </w:tcBorders>
            <w:shd w:val="clear" w:color="auto" w:fill="auto"/>
            <w:noWrap/>
            <w:hideMark/>
          </w:tcPr>
          <w:p w14:paraId="5249D23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single" w:sz="4" w:space="0" w:color="auto"/>
              <w:right w:val="single" w:sz="4" w:space="0" w:color="auto"/>
            </w:tcBorders>
            <w:shd w:val="clear" w:color="auto" w:fill="auto"/>
            <w:noWrap/>
            <w:hideMark/>
          </w:tcPr>
          <w:p w14:paraId="75134E5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14F3B1CD"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53813DA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202724B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18B80E6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680DF077"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0.002</w:t>
            </w:r>
          </w:p>
        </w:tc>
        <w:tc>
          <w:tcPr>
            <w:tcW w:w="931" w:type="dxa"/>
            <w:tcBorders>
              <w:top w:val="nil"/>
              <w:left w:val="nil"/>
              <w:bottom w:val="nil"/>
              <w:right w:val="single" w:sz="4" w:space="0" w:color="auto"/>
            </w:tcBorders>
            <w:shd w:val="clear" w:color="auto" w:fill="auto"/>
            <w:noWrap/>
            <w:hideMark/>
          </w:tcPr>
          <w:p w14:paraId="79CEFE0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7A6F4407"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63F8D0E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Pleasure</w:t>
            </w:r>
          </w:p>
        </w:tc>
        <w:tc>
          <w:tcPr>
            <w:tcW w:w="2714" w:type="dxa"/>
            <w:tcBorders>
              <w:top w:val="nil"/>
              <w:left w:val="nil"/>
              <w:bottom w:val="nil"/>
              <w:right w:val="single" w:sz="4" w:space="0" w:color="auto"/>
            </w:tcBorders>
            <w:shd w:val="clear" w:color="auto" w:fill="auto"/>
            <w:noWrap/>
            <w:hideMark/>
          </w:tcPr>
          <w:p w14:paraId="5B73EA9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SCV_image</w:t>
            </w:r>
          </w:p>
        </w:tc>
        <w:tc>
          <w:tcPr>
            <w:tcW w:w="931" w:type="dxa"/>
            <w:tcBorders>
              <w:top w:val="nil"/>
              <w:left w:val="nil"/>
              <w:bottom w:val="nil"/>
              <w:right w:val="single" w:sz="4" w:space="0" w:color="auto"/>
            </w:tcBorders>
            <w:shd w:val="clear" w:color="auto" w:fill="auto"/>
            <w:noWrap/>
            <w:hideMark/>
          </w:tcPr>
          <w:p w14:paraId="08FA87A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.328***</w:t>
            </w:r>
          </w:p>
        </w:tc>
        <w:tc>
          <w:tcPr>
            <w:tcW w:w="620" w:type="dxa"/>
            <w:tcBorders>
              <w:top w:val="nil"/>
              <w:left w:val="nil"/>
              <w:bottom w:val="nil"/>
              <w:right w:val="single" w:sz="4" w:space="0" w:color="auto"/>
            </w:tcBorders>
            <w:shd w:val="clear" w:color="auto" w:fill="auto"/>
            <w:noWrap/>
            <w:hideMark/>
          </w:tcPr>
          <w:p w14:paraId="0E33F13C"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0.422</w:t>
            </w:r>
          </w:p>
        </w:tc>
        <w:tc>
          <w:tcPr>
            <w:tcW w:w="931" w:type="dxa"/>
            <w:tcBorders>
              <w:top w:val="nil"/>
              <w:left w:val="nil"/>
              <w:bottom w:val="nil"/>
              <w:right w:val="single" w:sz="4" w:space="0" w:color="auto"/>
            </w:tcBorders>
            <w:shd w:val="clear" w:color="auto" w:fill="auto"/>
            <w:noWrap/>
            <w:hideMark/>
          </w:tcPr>
          <w:p w14:paraId="79BA482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.420***</w:t>
            </w:r>
          </w:p>
        </w:tc>
      </w:tr>
      <w:tr w:rsidR="001435A7" w:rsidRPr="001435A7" w14:paraId="73F16A2D"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1991B98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06883D8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SCV_engrossment</w:t>
            </w:r>
          </w:p>
        </w:tc>
        <w:tc>
          <w:tcPr>
            <w:tcW w:w="931" w:type="dxa"/>
            <w:tcBorders>
              <w:top w:val="nil"/>
              <w:left w:val="nil"/>
              <w:bottom w:val="nil"/>
              <w:right w:val="single" w:sz="4" w:space="0" w:color="auto"/>
            </w:tcBorders>
            <w:shd w:val="clear" w:color="auto" w:fill="auto"/>
            <w:noWrap/>
            <w:hideMark/>
          </w:tcPr>
          <w:p w14:paraId="33AE1035"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-0.039</w:t>
            </w:r>
          </w:p>
        </w:tc>
        <w:tc>
          <w:tcPr>
            <w:tcW w:w="620" w:type="dxa"/>
            <w:tcBorders>
              <w:top w:val="nil"/>
              <w:left w:val="nil"/>
              <w:bottom w:val="nil"/>
              <w:right w:val="single" w:sz="4" w:space="0" w:color="auto"/>
            </w:tcBorders>
            <w:shd w:val="clear" w:color="auto" w:fill="auto"/>
            <w:noWrap/>
            <w:hideMark/>
          </w:tcPr>
          <w:p w14:paraId="37B08DC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0B3B106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66FA753E"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F833EF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3913D5C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SCV_self projection</w:t>
            </w:r>
          </w:p>
        </w:tc>
        <w:tc>
          <w:tcPr>
            <w:tcW w:w="931" w:type="dxa"/>
            <w:tcBorders>
              <w:top w:val="nil"/>
              <w:left w:val="nil"/>
              <w:bottom w:val="nil"/>
              <w:right w:val="single" w:sz="4" w:space="0" w:color="auto"/>
            </w:tcBorders>
            <w:shd w:val="clear" w:color="auto" w:fill="auto"/>
            <w:noWrap/>
            <w:hideMark/>
          </w:tcPr>
          <w:p w14:paraId="48FC649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0.22***</w:t>
            </w:r>
          </w:p>
        </w:tc>
        <w:tc>
          <w:tcPr>
            <w:tcW w:w="620" w:type="dxa"/>
            <w:tcBorders>
              <w:top w:val="nil"/>
              <w:left w:val="nil"/>
              <w:bottom w:val="nil"/>
              <w:right w:val="single" w:sz="4" w:space="0" w:color="auto"/>
            </w:tcBorders>
            <w:shd w:val="clear" w:color="auto" w:fill="auto"/>
            <w:noWrap/>
            <w:hideMark/>
          </w:tcPr>
          <w:p w14:paraId="15ACE5E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24FBB27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7789515"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3170A89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single" w:sz="4" w:space="0" w:color="auto"/>
              <w:right w:val="single" w:sz="4" w:space="0" w:color="auto"/>
            </w:tcBorders>
            <w:shd w:val="clear" w:color="auto" w:fill="auto"/>
            <w:noWrap/>
            <w:hideMark/>
          </w:tcPr>
          <w:p w14:paraId="4A004CE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SCV_mental fluency</w:t>
            </w:r>
          </w:p>
        </w:tc>
        <w:tc>
          <w:tcPr>
            <w:tcW w:w="931" w:type="dxa"/>
            <w:tcBorders>
              <w:top w:val="nil"/>
              <w:left w:val="nil"/>
              <w:bottom w:val="single" w:sz="4" w:space="0" w:color="auto"/>
              <w:right w:val="single" w:sz="4" w:space="0" w:color="auto"/>
            </w:tcBorders>
            <w:shd w:val="clear" w:color="auto" w:fill="auto"/>
            <w:noWrap/>
            <w:hideMark/>
          </w:tcPr>
          <w:p w14:paraId="0892D53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.171***</w:t>
            </w:r>
          </w:p>
        </w:tc>
        <w:tc>
          <w:tcPr>
            <w:tcW w:w="620" w:type="dxa"/>
            <w:tcBorders>
              <w:top w:val="nil"/>
              <w:left w:val="nil"/>
              <w:bottom w:val="single" w:sz="4" w:space="0" w:color="auto"/>
              <w:right w:val="single" w:sz="4" w:space="0" w:color="auto"/>
            </w:tcBorders>
            <w:shd w:val="clear" w:color="auto" w:fill="auto"/>
            <w:noWrap/>
            <w:hideMark/>
          </w:tcPr>
          <w:p w14:paraId="0409972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single" w:sz="4" w:space="0" w:color="auto"/>
              <w:right w:val="single" w:sz="4" w:space="0" w:color="auto"/>
            </w:tcBorders>
            <w:shd w:val="clear" w:color="auto" w:fill="auto"/>
            <w:noWrap/>
            <w:hideMark/>
          </w:tcPr>
          <w:p w14:paraId="7EF7E77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60FA7C57"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37FC050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5A5A5C9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579F3F1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1344F3BC"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0.005</w:t>
            </w:r>
          </w:p>
        </w:tc>
        <w:tc>
          <w:tcPr>
            <w:tcW w:w="931" w:type="dxa"/>
            <w:tcBorders>
              <w:top w:val="nil"/>
              <w:left w:val="nil"/>
              <w:bottom w:val="nil"/>
              <w:right w:val="single" w:sz="4" w:space="0" w:color="auto"/>
            </w:tcBorders>
            <w:shd w:val="clear" w:color="auto" w:fill="auto"/>
            <w:noWrap/>
            <w:hideMark/>
          </w:tcPr>
          <w:p w14:paraId="57472F9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29F72A93"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480FB7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Arousal</w:t>
            </w:r>
          </w:p>
        </w:tc>
        <w:tc>
          <w:tcPr>
            <w:tcW w:w="2714" w:type="dxa"/>
            <w:tcBorders>
              <w:top w:val="nil"/>
              <w:left w:val="nil"/>
              <w:bottom w:val="nil"/>
              <w:right w:val="single" w:sz="4" w:space="0" w:color="auto"/>
            </w:tcBorders>
            <w:shd w:val="clear" w:color="auto" w:fill="auto"/>
            <w:noWrap/>
            <w:hideMark/>
          </w:tcPr>
          <w:p w14:paraId="633AA56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SCV_image</w:t>
            </w:r>
          </w:p>
        </w:tc>
        <w:tc>
          <w:tcPr>
            <w:tcW w:w="931" w:type="dxa"/>
            <w:tcBorders>
              <w:top w:val="nil"/>
              <w:left w:val="nil"/>
              <w:bottom w:val="nil"/>
              <w:right w:val="single" w:sz="4" w:space="0" w:color="auto"/>
            </w:tcBorders>
            <w:shd w:val="clear" w:color="auto" w:fill="auto"/>
            <w:noWrap/>
            <w:hideMark/>
          </w:tcPr>
          <w:p w14:paraId="5BE7E5E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0.136**</w:t>
            </w:r>
          </w:p>
        </w:tc>
        <w:tc>
          <w:tcPr>
            <w:tcW w:w="620" w:type="dxa"/>
            <w:tcBorders>
              <w:top w:val="nil"/>
              <w:left w:val="nil"/>
              <w:bottom w:val="nil"/>
              <w:right w:val="single" w:sz="4" w:space="0" w:color="auto"/>
            </w:tcBorders>
            <w:shd w:val="clear" w:color="auto" w:fill="auto"/>
            <w:noWrap/>
            <w:hideMark/>
          </w:tcPr>
          <w:p w14:paraId="6A6B1944"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0.25</w:t>
            </w:r>
          </w:p>
        </w:tc>
        <w:tc>
          <w:tcPr>
            <w:tcW w:w="931" w:type="dxa"/>
            <w:tcBorders>
              <w:top w:val="nil"/>
              <w:left w:val="nil"/>
              <w:bottom w:val="nil"/>
              <w:right w:val="single" w:sz="4" w:space="0" w:color="auto"/>
            </w:tcBorders>
            <w:shd w:val="clear" w:color="auto" w:fill="auto"/>
            <w:noWrap/>
            <w:hideMark/>
          </w:tcPr>
          <w:p w14:paraId="29B543C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.245***</w:t>
            </w:r>
          </w:p>
        </w:tc>
      </w:tr>
      <w:tr w:rsidR="001435A7" w:rsidRPr="001435A7" w14:paraId="1CAA9798"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A29231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734137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SCV_engrossment</w:t>
            </w:r>
          </w:p>
        </w:tc>
        <w:tc>
          <w:tcPr>
            <w:tcW w:w="931" w:type="dxa"/>
            <w:tcBorders>
              <w:top w:val="nil"/>
              <w:left w:val="nil"/>
              <w:bottom w:val="nil"/>
              <w:right w:val="single" w:sz="4" w:space="0" w:color="auto"/>
            </w:tcBorders>
            <w:shd w:val="clear" w:color="auto" w:fill="auto"/>
            <w:noWrap/>
            <w:hideMark/>
          </w:tcPr>
          <w:p w14:paraId="53DB2AC5"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0.041</w:t>
            </w:r>
          </w:p>
        </w:tc>
        <w:tc>
          <w:tcPr>
            <w:tcW w:w="620" w:type="dxa"/>
            <w:tcBorders>
              <w:top w:val="nil"/>
              <w:left w:val="nil"/>
              <w:bottom w:val="nil"/>
              <w:right w:val="single" w:sz="4" w:space="0" w:color="auto"/>
            </w:tcBorders>
            <w:shd w:val="clear" w:color="auto" w:fill="auto"/>
            <w:noWrap/>
            <w:hideMark/>
          </w:tcPr>
          <w:p w14:paraId="1A04BB6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4296579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6E3782AD"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578658F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5810D9A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SCV_self projection</w:t>
            </w:r>
          </w:p>
        </w:tc>
        <w:tc>
          <w:tcPr>
            <w:tcW w:w="931" w:type="dxa"/>
            <w:tcBorders>
              <w:top w:val="nil"/>
              <w:left w:val="nil"/>
              <w:bottom w:val="nil"/>
              <w:right w:val="single" w:sz="4" w:space="0" w:color="auto"/>
            </w:tcBorders>
            <w:shd w:val="clear" w:color="auto" w:fill="auto"/>
            <w:noWrap/>
            <w:hideMark/>
          </w:tcPr>
          <w:p w14:paraId="197A72D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0.235***</w:t>
            </w:r>
          </w:p>
        </w:tc>
        <w:tc>
          <w:tcPr>
            <w:tcW w:w="620" w:type="dxa"/>
            <w:tcBorders>
              <w:top w:val="nil"/>
              <w:left w:val="nil"/>
              <w:bottom w:val="nil"/>
              <w:right w:val="single" w:sz="4" w:space="0" w:color="auto"/>
            </w:tcBorders>
            <w:shd w:val="clear" w:color="auto" w:fill="auto"/>
            <w:noWrap/>
            <w:hideMark/>
          </w:tcPr>
          <w:p w14:paraId="0993C10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045FE74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37601D68"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629D0D6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single" w:sz="4" w:space="0" w:color="auto"/>
              <w:right w:val="single" w:sz="4" w:space="0" w:color="auto"/>
            </w:tcBorders>
            <w:shd w:val="clear" w:color="auto" w:fill="auto"/>
            <w:noWrap/>
            <w:hideMark/>
          </w:tcPr>
          <w:p w14:paraId="3E18DBB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SCV_mental fluency</w:t>
            </w:r>
          </w:p>
        </w:tc>
        <w:tc>
          <w:tcPr>
            <w:tcW w:w="931" w:type="dxa"/>
            <w:tcBorders>
              <w:top w:val="nil"/>
              <w:left w:val="nil"/>
              <w:bottom w:val="single" w:sz="4" w:space="0" w:color="auto"/>
              <w:right w:val="single" w:sz="4" w:space="0" w:color="auto"/>
            </w:tcBorders>
            <w:shd w:val="clear" w:color="auto" w:fill="auto"/>
            <w:noWrap/>
            <w:hideMark/>
          </w:tcPr>
          <w:p w14:paraId="5AB13858"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-0.017</w:t>
            </w:r>
          </w:p>
        </w:tc>
        <w:tc>
          <w:tcPr>
            <w:tcW w:w="620" w:type="dxa"/>
            <w:tcBorders>
              <w:top w:val="nil"/>
              <w:left w:val="nil"/>
              <w:bottom w:val="single" w:sz="4" w:space="0" w:color="auto"/>
              <w:right w:val="single" w:sz="4" w:space="0" w:color="auto"/>
            </w:tcBorders>
            <w:shd w:val="clear" w:color="auto" w:fill="auto"/>
            <w:noWrap/>
            <w:hideMark/>
          </w:tcPr>
          <w:p w14:paraId="5BCB6B6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single" w:sz="4" w:space="0" w:color="auto"/>
              <w:right w:val="single" w:sz="4" w:space="0" w:color="auto"/>
            </w:tcBorders>
            <w:shd w:val="clear" w:color="auto" w:fill="auto"/>
            <w:noWrap/>
            <w:hideMark/>
          </w:tcPr>
          <w:p w14:paraId="25E4035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735E5AE"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7D54F69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3F8520E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714CF9B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3115B91A"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0.003</w:t>
            </w:r>
          </w:p>
        </w:tc>
        <w:tc>
          <w:tcPr>
            <w:tcW w:w="931" w:type="dxa"/>
            <w:tcBorders>
              <w:top w:val="nil"/>
              <w:left w:val="nil"/>
              <w:bottom w:val="nil"/>
              <w:right w:val="single" w:sz="4" w:space="0" w:color="auto"/>
            </w:tcBorders>
            <w:shd w:val="clear" w:color="auto" w:fill="auto"/>
            <w:noWrap/>
            <w:hideMark/>
          </w:tcPr>
          <w:p w14:paraId="296AF49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42D77229"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39B8E6C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Dominance</w:t>
            </w:r>
          </w:p>
        </w:tc>
        <w:tc>
          <w:tcPr>
            <w:tcW w:w="2714" w:type="dxa"/>
            <w:tcBorders>
              <w:top w:val="nil"/>
              <w:left w:val="nil"/>
              <w:bottom w:val="nil"/>
              <w:right w:val="single" w:sz="4" w:space="0" w:color="auto"/>
            </w:tcBorders>
            <w:shd w:val="clear" w:color="auto" w:fill="auto"/>
            <w:noWrap/>
            <w:hideMark/>
          </w:tcPr>
          <w:p w14:paraId="057949D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SCV_image</w:t>
            </w:r>
          </w:p>
        </w:tc>
        <w:tc>
          <w:tcPr>
            <w:tcW w:w="931" w:type="dxa"/>
            <w:tcBorders>
              <w:top w:val="nil"/>
              <w:left w:val="nil"/>
              <w:bottom w:val="nil"/>
              <w:right w:val="single" w:sz="4" w:space="0" w:color="auto"/>
            </w:tcBorders>
            <w:shd w:val="clear" w:color="auto" w:fill="auto"/>
            <w:noWrap/>
            <w:hideMark/>
          </w:tcPr>
          <w:p w14:paraId="19127AC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0.1*</w:t>
            </w:r>
          </w:p>
        </w:tc>
        <w:tc>
          <w:tcPr>
            <w:tcW w:w="620" w:type="dxa"/>
            <w:tcBorders>
              <w:top w:val="nil"/>
              <w:left w:val="nil"/>
              <w:bottom w:val="nil"/>
              <w:right w:val="single" w:sz="4" w:space="0" w:color="auto"/>
            </w:tcBorders>
            <w:shd w:val="clear" w:color="auto" w:fill="auto"/>
            <w:noWrap/>
            <w:hideMark/>
          </w:tcPr>
          <w:p w14:paraId="74FCC436"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0.078</w:t>
            </w:r>
          </w:p>
        </w:tc>
        <w:tc>
          <w:tcPr>
            <w:tcW w:w="931" w:type="dxa"/>
            <w:tcBorders>
              <w:top w:val="nil"/>
              <w:left w:val="nil"/>
              <w:bottom w:val="nil"/>
              <w:right w:val="single" w:sz="4" w:space="0" w:color="auto"/>
            </w:tcBorders>
            <w:shd w:val="clear" w:color="auto" w:fill="auto"/>
            <w:noWrap/>
            <w:hideMark/>
          </w:tcPr>
          <w:p w14:paraId="200033F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.075***</w:t>
            </w:r>
          </w:p>
        </w:tc>
      </w:tr>
      <w:tr w:rsidR="001435A7" w:rsidRPr="001435A7" w14:paraId="59F8263D"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5E43756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5CFB901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SCV_engrossment</w:t>
            </w:r>
          </w:p>
        </w:tc>
        <w:tc>
          <w:tcPr>
            <w:tcW w:w="931" w:type="dxa"/>
            <w:tcBorders>
              <w:top w:val="nil"/>
              <w:left w:val="nil"/>
              <w:bottom w:val="nil"/>
              <w:right w:val="single" w:sz="4" w:space="0" w:color="auto"/>
            </w:tcBorders>
            <w:shd w:val="clear" w:color="auto" w:fill="auto"/>
            <w:noWrap/>
            <w:hideMark/>
          </w:tcPr>
          <w:p w14:paraId="39D47C02"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-0.075</w:t>
            </w:r>
          </w:p>
        </w:tc>
        <w:tc>
          <w:tcPr>
            <w:tcW w:w="620" w:type="dxa"/>
            <w:tcBorders>
              <w:top w:val="nil"/>
              <w:left w:val="nil"/>
              <w:bottom w:val="nil"/>
              <w:right w:val="single" w:sz="4" w:space="0" w:color="auto"/>
            </w:tcBorders>
            <w:shd w:val="clear" w:color="auto" w:fill="auto"/>
            <w:noWrap/>
            <w:hideMark/>
          </w:tcPr>
          <w:p w14:paraId="27A6198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2A2EA18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72701923"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1FDFDCB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A22F0D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SCV_self projection</w:t>
            </w:r>
          </w:p>
        </w:tc>
        <w:tc>
          <w:tcPr>
            <w:tcW w:w="931" w:type="dxa"/>
            <w:tcBorders>
              <w:top w:val="nil"/>
              <w:left w:val="nil"/>
              <w:bottom w:val="nil"/>
              <w:right w:val="single" w:sz="4" w:space="0" w:color="auto"/>
            </w:tcBorders>
            <w:shd w:val="clear" w:color="auto" w:fill="auto"/>
            <w:noWrap/>
            <w:hideMark/>
          </w:tcPr>
          <w:p w14:paraId="597DF67E"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0.076</w:t>
            </w:r>
          </w:p>
        </w:tc>
        <w:tc>
          <w:tcPr>
            <w:tcW w:w="620" w:type="dxa"/>
            <w:tcBorders>
              <w:top w:val="nil"/>
              <w:left w:val="nil"/>
              <w:bottom w:val="nil"/>
              <w:right w:val="single" w:sz="4" w:space="0" w:color="auto"/>
            </w:tcBorders>
            <w:shd w:val="clear" w:color="auto" w:fill="auto"/>
            <w:noWrap/>
            <w:hideMark/>
          </w:tcPr>
          <w:p w14:paraId="506614D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nil"/>
              <w:right w:val="single" w:sz="4" w:space="0" w:color="auto"/>
            </w:tcBorders>
            <w:shd w:val="clear" w:color="auto" w:fill="auto"/>
            <w:noWrap/>
            <w:hideMark/>
          </w:tcPr>
          <w:p w14:paraId="773975F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463FFF60"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518156C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single" w:sz="4" w:space="0" w:color="auto"/>
              <w:right w:val="single" w:sz="4" w:space="0" w:color="auto"/>
            </w:tcBorders>
            <w:shd w:val="clear" w:color="auto" w:fill="auto"/>
            <w:noWrap/>
            <w:hideMark/>
          </w:tcPr>
          <w:p w14:paraId="69EA6B3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SCV_mental fluency</w:t>
            </w:r>
          </w:p>
        </w:tc>
        <w:tc>
          <w:tcPr>
            <w:tcW w:w="931" w:type="dxa"/>
            <w:tcBorders>
              <w:top w:val="nil"/>
              <w:left w:val="nil"/>
              <w:bottom w:val="single" w:sz="4" w:space="0" w:color="auto"/>
              <w:right w:val="single" w:sz="4" w:space="0" w:color="auto"/>
            </w:tcBorders>
            <w:shd w:val="clear" w:color="auto" w:fill="auto"/>
            <w:noWrap/>
            <w:hideMark/>
          </w:tcPr>
          <w:p w14:paraId="611F871A"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0.058</w:t>
            </w:r>
          </w:p>
        </w:tc>
        <w:tc>
          <w:tcPr>
            <w:tcW w:w="620" w:type="dxa"/>
            <w:tcBorders>
              <w:top w:val="nil"/>
              <w:left w:val="nil"/>
              <w:bottom w:val="single" w:sz="4" w:space="0" w:color="auto"/>
              <w:right w:val="single" w:sz="4" w:space="0" w:color="auto"/>
            </w:tcBorders>
            <w:shd w:val="clear" w:color="auto" w:fill="auto"/>
            <w:noWrap/>
            <w:hideMark/>
          </w:tcPr>
          <w:p w14:paraId="118EC8C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931" w:type="dxa"/>
            <w:tcBorders>
              <w:top w:val="nil"/>
              <w:left w:val="nil"/>
              <w:bottom w:val="single" w:sz="4" w:space="0" w:color="auto"/>
              <w:right w:val="single" w:sz="4" w:space="0" w:color="auto"/>
            </w:tcBorders>
            <w:shd w:val="clear" w:color="auto" w:fill="auto"/>
            <w:noWrap/>
            <w:hideMark/>
          </w:tcPr>
          <w:p w14:paraId="2DB9A6C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36A4A061"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2034F2F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2A59FFE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59BB9C7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0D6E164A"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0.028</w:t>
            </w:r>
          </w:p>
        </w:tc>
        <w:tc>
          <w:tcPr>
            <w:tcW w:w="931" w:type="dxa"/>
            <w:tcBorders>
              <w:top w:val="nil"/>
              <w:left w:val="nil"/>
              <w:bottom w:val="nil"/>
              <w:right w:val="single" w:sz="4" w:space="0" w:color="auto"/>
            </w:tcBorders>
            <w:shd w:val="clear" w:color="auto" w:fill="auto"/>
            <w:noWrap/>
            <w:hideMark/>
          </w:tcPr>
          <w:p w14:paraId="5359C9E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776B307C"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64A978C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Ad attitude</w:t>
            </w:r>
          </w:p>
        </w:tc>
        <w:tc>
          <w:tcPr>
            <w:tcW w:w="2714" w:type="dxa"/>
            <w:tcBorders>
              <w:top w:val="nil"/>
              <w:left w:val="nil"/>
              <w:bottom w:val="single" w:sz="4" w:space="0" w:color="auto"/>
              <w:right w:val="single" w:sz="4" w:space="0" w:color="auto"/>
            </w:tcBorders>
            <w:shd w:val="clear" w:color="auto" w:fill="auto"/>
            <w:noWrap/>
            <w:hideMark/>
          </w:tcPr>
          <w:p w14:paraId="548C99A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Pleasure</w:t>
            </w:r>
          </w:p>
        </w:tc>
        <w:tc>
          <w:tcPr>
            <w:tcW w:w="931" w:type="dxa"/>
            <w:tcBorders>
              <w:top w:val="nil"/>
              <w:left w:val="nil"/>
              <w:bottom w:val="single" w:sz="4" w:space="0" w:color="auto"/>
              <w:right w:val="single" w:sz="4" w:space="0" w:color="auto"/>
            </w:tcBorders>
            <w:shd w:val="clear" w:color="auto" w:fill="auto"/>
            <w:noWrap/>
            <w:hideMark/>
          </w:tcPr>
          <w:p w14:paraId="30EF908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.874***</w:t>
            </w:r>
          </w:p>
        </w:tc>
        <w:tc>
          <w:tcPr>
            <w:tcW w:w="620" w:type="dxa"/>
            <w:tcBorders>
              <w:top w:val="nil"/>
              <w:left w:val="nil"/>
              <w:bottom w:val="single" w:sz="4" w:space="0" w:color="auto"/>
              <w:right w:val="single" w:sz="4" w:space="0" w:color="auto"/>
            </w:tcBorders>
            <w:shd w:val="clear" w:color="auto" w:fill="auto"/>
            <w:noWrap/>
            <w:hideMark/>
          </w:tcPr>
          <w:p w14:paraId="71897F36"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0.598</w:t>
            </w:r>
          </w:p>
        </w:tc>
        <w:tc>
          <w:tcPr>
            <w:tcW w:w="931" w:type="dxa"/>
            <w:tcBorders>
              <w:top w:val="nil"/>
              <w:left w:val="nil"/>
              <w:bottom w:val="single" w:sz="4" w:space="0" w:color="auto"/>
              <w:right w:val="single" w:sz="4" w:space="0" w:color="auto"/>
            </w:tcBorders>
            <w:shd w:val="clear" w:color="auto" w:fill="auto"/>
            <w:noWrap/>
            <w:hideMark/>
          </w:tcPr>
          <w:p w14:paraId="42E21C7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.570***</w:t>
            </w:r>
          </w:p>
        </w:tc>
      </w:tr>
      <w:tr w:rsidR="001435A7" w:rsidRPr="001435A7" w14:paraId="75446BD2"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662FFFC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5A74638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3E1A79D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18C14AD5"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0.028</w:t>
            </w:r>
          </w:p>
        </w:tc>
        <w:tc>
          <w:tcPr>
            <w:tcW w:w="931" w:type="dxa"/>
            <w:tcBorders>
              <w:top w:val="nil"/>
              <w:left w:val="nil"/>
              <w:bottom w:val="nil"/>
              <w:right w:val="single" w:sz="4" w:space="0" w:color="auto"/>
            </w:tcBorders>
            <w:shd w:val="clear" w:color="auto" w:fill="auto"/>
            <w:noWrap/>
            <w:hideMark/>
          </w:tcPr>
          <w:p w14:paraId="4A608E6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3804F9D8"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5CE9460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Ad attitude</w:t>
            </w:r>
          </w:p>
        </w:tc>
        <w:tc>
          <w:tcPr>
            <w:tcW w:w="2714" w:type="dxa"/>
            <w:tcBorders>
              <w:top w:val="nil"/>
              <w:left w:val="nil"/>
              <w:bottom w:val="single" w:sz="4" w:space="0" w:color="auto"/>
              <w:right w:val="single" w:sz="4" w:space="0" w:color="auto"/>
            </w:tcBorders>
            <w:shd w:val="clear" w:color="auto" w:fill="auto"/>
            <w:noWrap/>
            <w:hideMark/>
          </w:tcPr>
          <w:p w14:paraId="7C308CB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Arousal</w:t>
            </w:r>
          </w:p>
        </w:tc>
        <w:tc>
          <w:tcPr>
            <w:tcW w:w="931" w:type="dxa"/>
            <w:tcBorders>
              <w:top w:val="nil"/>
              <w:left w:val="nil"/>
              <w:bottom w:val="single" w:sz="4" w:space="0" w:color="auto"/>
              <w:right w:val="single" w:sz="4" w:space="0" w:color="auto"/>
            </w:tcBorders>
            <w:shd w:val="clear" w:color="auto" w:fill="auto"/>
            <w:noWrap/>
            <w:hideMark/>
          </w:tcPr>
          <w:p w14:paraId="6D93A405"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.579***</w:t>
            </w:r>
          </w:p>
        </w:tc>
        <w:tc>
          <w:tcPr>
            <w:tcW w:w="620" w:type="dxa"/>
            <w:tcBorders>
              <w:top w:val="nil"/>
              <w:left w:val="nil"/>
              <w:bottom w:val="single" w:sz="4" w:space="0" w:color="auto"/>
              <w:right w:val="single" w:sz="4" w:space="0" w:color="auto"/>
            </w:tcBorders>
            <w:shd w:val="clear" w:color="auto" w:fill="auto"/>
            <w:noWrap/>
            <w:hideMark/>
          </w:tcPr>
          <w:p w14:paraId="540835BF"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0.206</w:t>
            </w:r>
          </w:p>
        </w:tc>
        <w:tc>
          <w:tcPr>
            <w:tcW w:w="931" w:type="dxa"/>
            <w:tcBorders>
              <w:top w:val="nil"/>
              <w:left w:val="nil"/>
              <w:bottom w:val="single" w:sz="4" w:space="0" w:color="auto"/>
              <w:right w:val="single" w:sz="4" w:space="0" w:color="auto"/>
            </w:tcBorders>
            <w:shd w:val="clear" w:color="auto" w:fill="auto"/>
            <w:noWrap/>
            <w:hideMark/>
          </w:tcPr>
          <w:p w14:paraId="5A02C9C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.178***</w:t>
            </w:r>
          </w:p>
        </w:tc>
      </w:tr>
      <w:tr w:rsidR="001435A7" w:rsidRPr="001435A7" w14:paraId="776399E8"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31F19FA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1D8758E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6C6AAAC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5327513D"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0.028</w:t>
            </w:r>
          </w:p>
        </w:tc>
        <w:tc>
          <w:tcPr>
            <w:tcW w:w="931" w:type="dxa"/>
            <w:tcBorders>
              <w:top w:val="nil"/>
              <w:left w:val="nil"/>
              <w:bottom w:val="nil"/>
              <w:right w:val="single" w:sz="4" w:space="0" w:color="auto"/>
            </w:tcBorders>
            <w:shd w:val="clear" w:color="auto" w:fill="auto"/>
            <w:noWrap/>
            <w:hideMark/>
          </w:tcPr>
          <w:p w14:paraId="2664783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1E99AE3E"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43145CA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Ad attitude</w:t>
            </w:r>
          </w:p>
        </w:tc>
        <w:tc>
          <w:tcPr>
            <w:tcW w:w="2714" w:type="dxa"/>
            <w:tcBorders>
              <w:top w:val="nil"/>
              <w:left w:val="nil"/>
              <w:bottom w:val="single" w:sz="4" w:space="0" w:color="auto"/>
              <w:right w:val="single" w:sz="4" w:space="0" w:color="auto"/>
            </w:tcBorders>
            <w:shd w:val="clear" w:color="auto" w:fill="auto"/>
            <w:noWrap/>
            <w:hideMark/>
          </w:tcPr>
          <w:p w14:paraId="7F32765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Dominance</w:t>
            </w:r>
          </w:p>
        </w:tc>
        <w:tc>
          <w:tcPr>
            <w:tcW w:w="931" w:type="dxa"/>
            <w:tcBorders>
              <w:top w:val="nil"/>
              <w:left w:val="nil"/>
              <w:bottom w:val="single" w:sz="4" w:space="0" w:color="auto"/>
              <w:right w:val="single" w:sz="4" w:space="0" w:color="auto"/>
            </w:tcBorders>
            <w:shd w:val="clear" w:color="auto" w:fill="auto"/>
            <w:noWrap/>
            <w:hideMark/>
          </w:tcPr>
          <w:p w14:paraId="4DF39A8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.242**</w:t>
            </w:r>
          </w:p>
        </w:tc>
        <w:tc>
          <w:tcPr>
            <w:tcW w:w="620" w:type="dxa"/>
            <w:tcBorders>
              <w:top w:val="nil"/>
              <w:left w:val="nil"/>
              <w:bottom w:val="single" w:sz="4" w:space="0" w:color="auto"/>
              <w:right w:val="single" w:sz="4" w:space="0" w:color="auto"/>
            </w:tcBorders>
            <w:shd w:val="clear" w:color="auto" w:fill="auto"/>
            <w:noWrap/>
            <w:hideMark/>
          </w:tcPr>
          <w:p w14:paraId="157B6D6F"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0.052</w:t>
            </w:r>
          </w:p>
        </w:tc>
        <w:tc>
          <w:tcPr>
            <w:tcW w:w="931" w:type="dxa"/>
            <w:tcBorders>
              <w:top w:val="nil"/>
              <w:left w:val="nil"/>
              <w:bottom w:val="single" w:sz="4" w:space="0" w:color="auto"/>
              <w:right w:val="single" w:sz="4" w:space="0" w:color="auto"/>
            </w:tcBorders>
            <w:shd w:val="clear" w:color="auto" w:fill="auto"/>
            <w:noWrap/>
            <w:hideMark/>
          </w:tcPr>
          <w:p w14:paraId="3B21E6A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.024**</w:t>
            </w:r>
          </w:p>
        </w:tc>
      </w:tr>
      <w:tr w:rsidR="001435A7" w:rsidRPr="001435A7" w14:paraId="723D669A"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8BE4EC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07DFE78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33C10BD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0FF017FE"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0.008</w:t>
            </w:r>
          </w:p>
        </w:tc>
        <w:tc>
          <w:tcPr>
            <w:tcW w:w="931" w:type="dxa"/>
            <w:tcBorders>
              <w:top w:val="nil"/>
              <w:left w:val="nil"/>
              <w:bottom w:val="nil"/>
              <w:right w:val="single" w:sz="4" w:space="0" w:color="auto"/>
            </w:tcBorders>
            <w:shd w:val="clear" w:color="auto" w:fill="auto"/>
            <w:noWrap/>
            <w:hideMark/>
          </w:tcPr>
          <w:p w14:paraId="08D5196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10616015"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3896136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social media engagement</w:t>
            </w:r>
          </w:p>
        </w:tc>
        <w:tc>
          <w:tcPr>
            <w:tcW w:w="2714" w:type="dxa"/>
            <w:tcBorders>
              <w:top w:val="nil"/>
              <w:left w:val="nil"/>
              <w:bottom w:val="single" w:sz="4" w:space="0" w:color="auto"/>
              <w:right w:val="single" w:sz="4" w:space="0" w:color="auto"/>
            </w:tcBorders>
            <w:shd w:val="clear" w:color="auto" w:fill="auto"/>
            <w:noWrap/>
            <w:hideMark/>
          </w:tcPr>
          <w:p w14:paraId="7072971A"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Ad attitude</w:t>
            </w:r>
          </w:p>
        </w:tc>
        <w:tc>
          <w:tcPr>
            <w:tcW w:w="931" w:type="dxa"/>
            <w:tcBorders>
              <w:top w:val="nil"/>
              <w:left w:val="nil"/>
              <w:bottom w:val="single" w:sz="4" w:space="0" w:color="auto"/>
              <w:right w:val="single" w:sz="4" w:space="0" w:color="auto"/>
            </w:tcBorders>
            <w:shd w:val="clear" w:color="auto" w:fill="auto"/>
            <w:noWrap/>
            <w:hideMark/>
          </w:tcPr>
          <w:p w14:paraId="771BADF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.530***</w:t>
            </w:r>
          </w:p>
        </w:tc>
        <w:tc>
          <w:tcPr>
            <w:tcW w:w="620" w:type="dxa"/>
            <w:tcBorders>
              <w:top w:val="nil"/>
              <w:left w:val="nil"/>
              <w:bottom w:val="single" w:sz="4" w:space="0" w:color="auto"/>
              <w:right w:val="single" w:sz="4" w:space="0" w:color="auto"/>
            </w:tcBorders>
            <w:shd w:val="clear" w:color="auto" w:fill="auto"/>
            <w:noWrap/>
            <w:hideMark/>
          </w:tcPr>
          <w:p w14:paraId="7BEEB253"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0.293</w:t>
            </w:r>
          </w:p>
        </w:tc>
        <w:tc>
          <w:tcPr>
            <w:tcW w:w="931" w:type="dxa"/>
            <w:tcBorders>
              <w:top w:val="nil"/>
              <w:left w:val="nil"/>
              <w:bottom w:val="single" w:sz="4" w:space="0" w:color="auto"/>
              <w:right w:val="single" w:sz="4" w:space="0" w:color="auto"/>
            </w:tcBorders>
            <w:shd w:val="clear" w:color="auto" w:fill="auto"/>
            <w:noWrap/>
            <w:hideMark/>
          </w:tcPr>
          <w:p w14:paraId="0F3C1E4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.286***</w:t>
            </w:r>
          </w:p>
        </w:tc>
      </w:tr>
      <w:tr w:rsidR="001435A7" w:rsidRPr="001435A7" w14:paraId="5F354875"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02AFCF8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2DB88BD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1BD87F6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5B9BB4C2"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0.002</w:t>
            </w:r>
          </w:p>
        </w:tc>
        <w:tc>
          <w:tcPr>
            <w:tcW w:w="931" w:type="dxa"/>
            <w:tcBorders>
              <w:top w:val="nil"/>
              <w:left w:val="nil"/>
              <w:bottom w:val="nil"/>
              <w:right w:val="single" w:sz="4" w:space="0" w:color="auto"/>
            </w:tcBorders>
            <w:shd w:val="clear" w:color="auto" w:fill="auto"/>
            <w:noWrap/>
            <w:hideMark/>
          </w:tcPr>
          <w:p w14:paraId="7F724E5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1702330D"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1A29A85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Purchase intention</w:t>
            </w:r>
          </w:p>
        </w:tc>
        <w:tc>
          <w:tcPr>
            <w:tcW w:w="2714" w:type="dxa"/>
            <w:tcBorders>
              <w:top w:val="nil"/>
              <w:left w:val="nil"/>
              <w:bottom w:val="single" w:sz="4" w:space="0" w:color="auto"/>
              <w:right w:val="single" w:sz="4" w:space="0" w:color="auto"/>
            </w:tcBorders>
            <w:shd w:val="clear" w:color="auto" w:fill="auto"/>
            <w:noWrap/>
            <w:hideMark/>
          </w:tcPr>
          <w:p w14:paraId="4B2AEFE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Ad attitude</w:t>
            </w:r>
          </w:p>
        </w:tc>
        <w:tc>
          <w:tcPr>
            <w:tcW w:w="931" w:type="dxa"/>
            <w:tcBorders>
              <w:top w:val="nil"/>
              <w:left w:val="nil"/>
              <w:bottom w:val="single" w:sz="4" w:space="0" w:color="auto"/>
              <w:right w:val="single" w:sz="4" w:space="0" w:color="auto"/>
            </w:tcBorders>
            <w:shd w:val="clear" w:color="auto" w:fill="auto"/>
            <w:noWrap/>
            <w:hideMark/>
          </w:tcPr>
          <w:p w14:paraId="4942983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.595***</w:t>
            </w:r>
          </w:p>
        </w:tc>
        <w:tc>
          <w:tcPr>
            <w:tcW w:w="620" w:type="dxa"/>
            <w:tcBorders>
              <w:top w:val="nil"/>
              <w:left w:val="nil"/>
              <w:bottom w:val="single" w:sz="4" w:space="0" w:color="auto"/>
              <w:right w:val="single" w:sz="4" w:space="0" w:color="auto"/>
            </w:tcBorders>
            <w:shd w:val="clear" w:color="auto" w:fill="auto"/>
            <w:noWrap/>
            <w:hideMark/>
          </w:tcPr>
          <w:p w14:paraId="1AD7006E"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0.32</w:t>
            </w:r>
          </w:p>
        </w:tc>
        <w:tc>
          <w:tcPr>
            <w:tcW w:w="931" w:type="dxa"/>
            <w:tcBorders>
              <w:top w:val="nil"/>
              <w:left w:val="nil"/>
              <w:bottom w:val="single" w:sz="4" w:space="0" w:color="auto"/>
              <w:right w:val="single" w:sz="4" w:space="0" w:color="auto"/>
            </w:tcBorders>
            <w:shd w:val="clear" w:color="auto" w:fill="auto"/>
            <w:noWrap/>
            <w:hideMark/>
          </w:tcPr>
          <w:p w14:paraId="45382C24"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.318***</w:t>
            </w:r>
          </w:p>
        </w:tc>
      </w:tr>
      <w:tr w:rsidR="001435A7" w:rsidRPr="001435A7" w14:paraId="1F7DE90E"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4A6D489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5D87DFD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40A414E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71C29FCE"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0.018</w:t>
            </w:r>
          </w:p>
        </w:tc>
        <w:tc>
          <w:tcPr>
            <w:tcW w:w="931" w:type="dxa"/>
            <w:tcBorders>
              <w:top w:val="nil"/>
              <w:left w:val="nil"/>
              <w:bottom w:val="nil"/>
              <w:right w:val="single" w:sz="4" w:space="0" w:color="auto"/>
            </w:tcBorders>
            <w:shd w:val="clear" w:color="auto" w:fill="auto"/>
            <w:noWrap/>
            <w:hideMark/>
          </w:tcPr>
          <w:p w14:paraId="5279A36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81A7700"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3C627AA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Normative influence</w:t>
            </w:r>
          </w:p>
        </w:tc>
        <w:tc>
          <w:tcPr>
            <w:tcW w:w="2714" w:type="dxa"/>
            <w:tcBorders>
              <w:top w:val="nil"/>
              <w:left w:val="nil"/>
              <w:bottom w:val="single" w:sz="4" w:space="0" w:color="auto"/>
              <w:right w:val="single" w:sz="4" w:space="0" w:color="auto"/>
            </w:tcBorders>
            <w:shd w:val="clear" w:color="auto" w:fill="auto"/>
            <w:noWrap/>
            <w:hideMark/>
          </w:tcPr>
          <w:p w14:paraId="2907435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xml:space="preserve">Social media engagement </w:t>
            </w:r>
          </w:p>
        </w:tc>
        <w:tc>
          <w:tcPr>
            <w:tcW w:w="931" w:type="dxa"/>
            <w:tcBorders>
              <w:top w:val="nil"/>
              <w:left w:val="nil"/>
              <w:bottom w:val="single" w:sz="4" w:space="0" w:color="auto"/>
              <w:right w:val="single" w:sz="4" w:space="0" w:color="auto"/>
            </w:tcBorders>
            <w:shd w:val="clear" w:color="auto" w:fill="auto"/>
            <w:noWrap/>
            <w:hideMark/>
          </w:tcPr>
          <w:p w14:paraId="16AF13B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.372***</w:t>
            </w:r>
          </w:p>
        </w:tc>
        <w:tc>
          <w:tcPr>
            <w:tcW w:w="620" w:type="dxa"/>
            <w:tcBorders>
              <w:top w:val="nil"/>
              <w:left w:val="nil"/>
              <w:bottom w:val="single" w:sz="4" w:space="0" w:color="auto"/>
              <w:right w:val="single" w:sz="4" w:space="0" w:color="auto"/>
            </w:tcBorders>
            <w:shd w:val="clear" w:color="auto" w:fill="auto"/>
            <w:noWrap/>
            <w:hideMark/>
          </w:tcPr>
          <w:p w14:paraId="5593DBF2"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0.151</w:t>
            </w:r>
          </w:p>
        </w:tc>
        <w:tc>
          <w:tcPr>
            <w:tcW w:w="931" w:type="dxa"/>
            <w:tcBorders>
              <w:top w:val="nil"/>
              <w:left w:val="nil"/>
              <w:bottom w:val="single" w:sz="4" w:space="0" w:color="auto"/>
              <w:right w:val="single" w:sz="4" w:space="0" w:color="auto"/>
            </w:tcBorders>
            <w:shd w:val="clear" w:color="auto" w:fill="auto"/>
            <w:noWrap/>
            <w:hideMark/>
          </w:tcPr>
          <w:p w14:paraId="2469C0E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.133***</w:t>
            </w:r>
          </w:p>
        </w:tc>
      </w:tr>
      <w:tr w:rsidR="001435A7" w:rsidRPr="001435A7" w14:paraId="20E7B8F9"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7A53F1F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0177A9E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66BE4D9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2DB3CD63"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0.023</w:t>
            </w:r>
          </w:p>
        </w:tc>
        <w:tc>
          <w:tcPr>
            <w:tcW w:w="931" w:type="dxa"/>
            <w:tcBorders>
              <w:top w:val="nil"/>
              <w:left w:val="nil"/>
              <w:bottom w:val="nil"/>
              <w:right w:val="single" w:sz="4" w:space="0" w:color="auto"/>
            </w:tcBorders>
            <w:shd w:val="clear" w:color="auto" w:fill="auto"/>
            <w:noWrap/>
            <w:hideMark/>
          </w:tcPr>
          <w:p w14:paraId="65DB15F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266FDCCF"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74AFDA0F" w14:textId="1AC41488"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xml:space="preserve">Informative </w:t>
            </w:r>
            <w:r w:rsidR="003C04F3" w:rsidRPr="001435A7">
              <w:rPr>
                <w:rFonts w:ascii="Cambria" w:eastAsia="Times New Roman" w:hAnsi="Cambria" w:cs="Calibri"/>
                <w:lang w:eastAsia="en-GB"/>
              </w:rPr>
              <w:t>influence</w:t>
            </w:r>
          </w:p>
        </w:tc>
        <w:tc>
          <w:tcPr>
            <w:tcW w:w="2714" w:type="dxa"/>
            <w:tcBorders>
              <w:top w:val="nil"/>
              <w:left w:val="nil"/>
              <w:bottom w:val="single" w:sz="4" w:space="0" w:color="auto"/>
              <w:right w:val="single" w:sz="4" w:space="0" w:color="auto"/>
            </w:tcBorders>
            <w:shd w:val="clear" w:color="auto" w:fill="auto"/>
            <w:noWrap/>
            <w:hideMark/>
          </w:tcPr>
          <w:p w14:paraId="194D54B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xml:space="preserve">Social media engagement </w:t>
            </w:r>
          </w:p>
        </w:tc>
        <w:tc>
          <w:tcPr>
            <w:tcW w:w="931" w:type="dxa"/>
            <w:tcBorders>
              <w:top w:val="nil"/>
              <w:left w:val="nil"/>
              <w:bottom w:val="single" w:sz="4" w:space="0" w:color="auto"/>
              <w:right w:val="single" w:sz="4" w:space="0" w:color="auto"/>
            </w:tcBorders>
            <w:shd w:val="clear" w:color="auto" w:fill="auto"/>
            <w:noWrap/>
            <w:hideMark/>
          </w:tcPr>
          <w:p w14:paraId="46B8575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.474***</w:t>
            </w:r>
          </w:p>
        </w:tc>
        <w:tc>
          <w:tcPr>
            <w:tcW w:w="620" w:type="dxa"/>
            <w:tcBorders>
              <w:top w:val="nil"/>
              <w:left w:val="nil"/>
              <w:bottom w:val="single" w:sz="4" w:space="0" w:color="auto"/>
              <w:right w:val="single" w:sz="4" w:space="0" w:color="auto"/>
            </w:tcBorders>
            <w:shd w:val="clear" w:color="auto" w:fill="auto"/>
            <w:noWrap/>
            <w:hideMark/>
          </w:tcPr>
          <w:p w14:paraId="28FB4A12"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0.217</w:t>
            </w:r>
          </w:p>
        </w:tc>
        <w:tc>
          <w:tcPr>
            <w:tcW w:w="931" w:type="dxa"/>
            <w:tcBorders>
              <w:top w:val="nil"/>
              <w:left w:val="nil"/>
              <w:bottom w:val="single" w:sz="4" w:space="0" w:color="auto"/>
              <w:right w:val="single" w:sz="4" w:space="0" w:color="auto"/>
            </w:tcBorders>
            <w:shd w:val="clear" w:color="auto" w:fill="auto"/>
            <w:noWrap/>
            <w:hideMark/>
          </w:tcPr>
          <w:p w14:paraId="4B55677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.194***</w:t>
            </w:r>
          </w:p>
        </w:tc>
      </w:tr>
      <w:tr w:rsidR="001435A7" w:rsidRPr="001435A7" w14:paraId="24E00584"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2C76C61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39A58D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334F0CF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7AB05569"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0.002</w:t>
            </w:r>
          </w:p>
        </w:tc>
        <w:tc>
          <w:tcPr>
            <w:tcW w:w="931" w:type="dxa"/>
            <w:tcBorders>
              <w:top w:val="nil"/>
              <w:left w:val="nil"/>
              <w:bottom w:val="nil"/>
              <w:right w:val="single" w:sz="4" w:space="0" w:color="auto"/>
            </w:tcBorders>
            <w:shd w:val="clear" w:color="auto" w:fill="auto"/>
            <w:noWrap/>
            <w:hideMark/>
          </w:tcPr>
          <w:p w14:paraId="59C99182"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3F09304"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414051E6"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Purchase intention</w:t>
            </w:r>
          </w:p>
        </w:tc>
        <w:tc>
          <w:tcPr>
            <w:tcW w:w="2714" w:type="dxa"/>
            <w:tcBorders>
              <w:top w:val="nil"/>
              <w:left w:val="nil"/>
              <w:bottom w:val="single" w:sz="4" w:space="0" w:color="auto"/>
              <w:right w:val="single" w:sz="4" w:space="0" w:color="auto"/>
            </w:tcBorders>
            <w:shd w:val="clear" w:color="auto" w:fill="auto"/>
            <w:noWrap/>
            <w:hideMark/>
          </w:tcPr>
          <w:p w14:paraId="5B92C03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Normative influence</w:t>
            </w:r>
          </w:p>
        </w:tc>
        <w:tc>
          <w:tcPr>
            <w:tcW w:w="931" w:type="dxa"/>
            <w:tcBorders>
              <w:top w:val="nil"/>
              <w:left w:val="nil"/>
              <w:bottom w:val="single" w:sz="4" w:space="0" w:color="auto"/>
              <w:right w:val="single" w:sz="4" w:space="0" w:color="auto"/>
            </w:tcBorders>
            <w:shd w:val="clear" w:color="auto" w:fill="auto"/>
            <w:noWrap/>
            <w:hideMark/>
          </w:tcPr>
          <w:p w14:paraId="27E3F74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.347***</w:t>
            </w:r>
          </w:p>
        </w:tc>
        <w:tc>
          <w:tcPr>
            <w:tcW w:w="620" w:type="dxa"/>
            <w:tcBorders>
              <w:top w:val="nil"/>
              <w:left w:val="nil"/>
              <w:bottom w:val="single" w:sz="4" w:space="0" w:color="auto"/>
              <w:right w:val="single" w:sz="4" w:space="0" w:color="auto"/>
            </w:tcBorders>
            <w:shd w:val="clear" w:color="auto" w:fill="auto"/>
            <w:noWrap/>
            <w:hideMark/>
          </w:tcPr>
          <w:p w14:paraId="6F91888C"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0.11</w:t>
            </w:r>
          </w:p>
        </w:tc>
        <w:tc>
          <w:tcPr>
            <w:tcW w:w="931" w:type="dxa"/>
            <w:tcBorders>
              <w:top w:val="nil"/>
              <w:left w:val="nil"/>
              <w:bottom w:val="single" w:sz="4" w:space="0" w:color="auto"/>
              <w:right w:val="single" w:sz="4" w:space="0" w:color="auto"/>
            </w:tcBorders>
            <w:shd w:val="clear" w:color="auto" w:fill="auto"/>
            <w:noWrap/>
            <w:hideMark/>
          </w:tcPr>
          <w:p w14:paraId="3D30607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.108***</w:t>
            </w:r>
          </w:p>
        </w:tc>
      </w:tr>
      <w:tr w:rsidR="001435A7" w:rsidRPr="001435A7" w14:paraId="22559969"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3F44AA43"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4844B3D1"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0EB32CD9"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0ACC4518"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0.002</w:t>
            </w:r>
          </w:p>
        </w:tc>
        <w:tc>
          <w:tcPr>
            <w:tcW w:w="931" w:type="dxa"/>
            <w:tcBorders>
              <w:top w:val="nil"/>
              <w:left w:val="nil"/>
              <w:bottom w:val="nil"/>
              <w:right w:val="single" w:sz="4" w:space="0" w:color="auto"/>
            </w:tcBorders>
            <w:shd w:val="clear" w:color="auto" w:fill="auto"/>
            <w:noWrap/>
            <w:hideMark/>
          </w:tcPr>
          <w:p w14:paraId="59836F67"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18824BFE"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48EB269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Purchase intention</w:t>
            </w:r>
          </w:p>
        </w:tc>
        <w:tc>
          <w:tcPr>
            <w:tcW w:w="2714" w:type="dxa"/>
            <w:tcBorders>
              <w:top w:val="nil"/>
              <w:left w:val="nil"/>
              <w:bottom w:val="single" w:sz="4" w:space="0" w:color="auto"/>
              <w:right w:val="single" w:sz="4" w:space="0" w:color="auto"/>
            </w:tcBorders>
            <w:shd w:val="clear" w:color="auto" w:fill="auto"/>
            <w:noWrap/>
            <w:hideMark/>
          </w:tcPr>
          <w:p w14:paraId="00333EDA" w14:textId="4DB52ED4"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Informative inf</w:t>
            </w:r>
            <w:r w:rsidR="004541B6" w:rsidRPr="001435A7">
              <w:rPr>
                <w:rFonts w:ascii="Cambria" w:eastAsia="Times New Roman" w:hAnsi="Cambria" w:cs="Calibri"/>
                <w:lang w:eastAsia="en-GB"/>
              </w:rPr>
              <w:t>lue</w:t>
            </w:r>
            <w:r w:rsidRPr="001435A7">
              <w:rPr>
                <w:rFonts w:ascii="Cambria" w:eastAsia="Times New Roman" w:hAnsi="Cambria" w:cs="Calibri"/>
                <w:lang w:eastAsia="en-GB"/>
              </w:rPr>
              <w:t>nce</w:t>
            </w:r>
          </w:p>
        </w:tc>
        <w:tc>
          <w:tcPr>
            <w:tcW w:w="931" w:type="dxa"/>
            <w:tcBorders>
              <w:top w:val="nil"/>
              <w:left w:val="nil"/>
              <w:bottom w:val="single" w:sz="4" w:space="0" w:color="auto"/>
              <w:right w:val="single" w:sz="4" w:space="0" w:color="auto"/>
            </w:tcBorders>
            <w:shd w:val="clear" w:color="auto" w:fill="auto"/>
            <w:noWrap/>
            <w:hideMark/>
          </w:tcPr>
          <w:p w14:paraId="48FEF12F"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.401***</w:t>
            </w:r>
          </w:p>
        </w:tc>
        <w:tc>
          <w:tcPr>
            <w:tcW w:w="620" w:type="dxa"/>
            <w:tcBorders>
              <w:top w:val="nil"/>
              <w:left w:val="nil"/>
              <w:bottom w:val="single" w:sz="4" w:space="0" w:color="auto"/>
              <w:right w:val="single" w:sz="4" w:space="0" w:color="auto"/>
            </w:tcBorders>
            <w:shd w:val="clear" w:color="auto" w:fill="auto"/>
            <w:noWrap/>
            <w:hideMark/>
          </w:tcPr>
          <w:p w14:paraId="7777768F"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0.161</w:t>
            </w:r>
          </w:p>
        </w:tc>
        <w:tc>
          <w:tcPr>
            <w:tcW w:w="931" w:type="dxa"/>
            <w:tcBorders>
              <w:top w:val="nil"/>
              <w:left w:val="nil"/>
              <w:bottom w:val="single" w:sz="4" w:space="0" w:color="auto"/>
              <w:right w:val="single" w:sz="4" w:space="0" w:color="auto"/>
            </w:tcBorders>
            <w:shd w:val="clear" w:color="auto" w:fill="auto"/>
            <w:noWrap/>
            <w:hideMark/>
          </w:tcPr>
          <w:p w14:paraId="3D0C360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.159***</w:t>
            </w:r>
          </w:p>
        </w:tc>
      </w:tr>
      <w:tr w:rsidR="001435A7" w:rsidRPr="001435A7" w14:paraId="7AE23149" w14:textId="77777777" w:rsidTr="003F12BA">
        <w:trPr>
          <w:trHeight w:val="280"/>
        </w:trPr>
        <w:tc>
          <w:tcPr>
            <w:tcW w:w="2684" w:type="dxa"/>
            <w:tcBorders>
              <w:top w:val="nil"/>
              <w:left w:val="single" w:sz="4" w:space="0" w:color="auto"/>
              <w:bottom w:val="nil"/>
              <w:right w:val="single" w:sz="4" w:space="0" w:color="auto"/>
            </w:tcBorders>
            <w:shd w:val="clear" w:color="auto" w:fill="auto"/>
            <w:noWrap/>
            <w:hideMark/>
          </w:tcPr>
          <w:p w14:paraId="59AA1CC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2714" w:type="dxa"/>
            <w:tcBorders>
              <w:top w:val="nil"/>
              <w:left w:val="nil"/>
              <w:bottom w:val="nil"/>
              <w:right w:val="single" w:sz="4" w:space="0" w:color="auto"/>
            </w:tcBorders>
            <w:shd w:val="clear" w:color="auto" w:fill="auto"/>
            <w:noWrap/>
            <w:hideMark/>
          </w:tcPr>
          <w:p w14:paraId="6E1DC48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Control variables</w:t>
            </w:r>
          </w:p>
        </w:tc>
        <w:tc>
          <w:tcPr>
            <w:tcW w:w="931" w:type="dxa"/>
            <w:tcBorders>
              <w:top w:val="nil"/>
              <w:left w:val="nil"/>
              <w:bottom w:val="nil"/>
              <w:right w:val="single" w:sz="4" w:space="0" w:color="auto"/>
            </w:tcBorders>
            <w:shd w:val="clear" w:color="auto" w:fill="auto"/>
            <w:noWrap/>
            <w:hideMark/>
          </w:tcPr>
          <w:p w14:paraId="0709FDB0"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c>
          <w:tcPr>
            <w:tcW w:w="620" w:type="dxa"/>
            <w:tcBorders>
              <w:top w:val="nil"/>
              <w:left w:val="nil"/>
              <w:bottom w:val="nil"/>
              <w:right w:val="single" w:sz="4" w:space="0" w:color="auto"/>
            </w:tcBorders>
            <w:shd w:val="clear" w:color="auto" w:fill="auto"/>
            <w:noWrap/>
            <w:hideMark/>
          </w:tcPr>
          <w:p w14:paraId="2555FFB6"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0.054</w:t>
            </w:r>
          </w:p>
        </w:tc>
        <w:tc>
          <w:tcPr>
            <w:tcW w:w="931" w:type="dxa"/>
            <w:tcBorders>
              <w:top w:val="nil"/>
              <w:left w:val="nil"/>
              <w:bottom w:val="nil"/>
              <w:right w:val="single" w:sz="4" w:space="0" w:color="auto"/>
            </w:tcBorders>
            <w:shd w:val="clear" w:color="auto" w:fill="auto"/>
            <w:noWrap/>
            <w:hideMark/>
          </w:tcPr>
          <w:p w14:paraId="6F3FBA7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 </w:t>
            </w:r>
          </w:p>
        </w:tc>
      </w:tr>
      <w:tr w:rsidR="001435A7" w:rsidRPr="001435A7" w14:paraId="0BF36C58" w14:textId="77777777" w:rsidTr="003F12BA">
        <w:trPr>
          <w:trHeight w:val="280"/>
        </w:trPr>
        <w:tc>
          <w:tcPr>
            <w:tcW w:w="2684" w:type="dxa"/>
            <w:tcBorders>
              <w:top w:val="nil"/>
              <w:left w:val="single" w:sz="4" w:space="0" w:color="auto"/>
              <w:bottom w:val="single" w:sz="4" w:space="0" w:color="auto"/>
              <w:right w:val="single" w:sz="4" w:space="0" w:color="auto"/>
            </w:tcBorders>
            <w:shd w:val="clear" w:color="auto" w:fill="auto"/>
            <w:noWrap/>
            <w:hideMark/>
          </w:tcPr>
          <w:p w14:paraId="5289C2A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Behavioural intention</w:t>
            </w:r>
          </w:p>
        </w:tc>
        <w:tc>
          <w:tcPr>
            <w:tcW w:w="2714" w:type="dxa"/>
            <w:tcBorders>
              <w:top w:val="nil"/>
              <w:left w:val="nil"/>
              <w:bottom w:val="single" w:sz="4" w:space="0" w:color="auto"/>
              <w:right w:val="single" w:sz="4" w:space="0" w:color="auto"/>
            </w:tcBorders>
            <w:shd w:val="clear" w:color="auto" w:fill="auto"/>
            <w:noWrap/>
            <w:hideMark/>
          </w:tcPr>
          <w:p w14:paraId="09FDEB6C"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Purchase intention</w:t>
            </w:r>
          </w:p>
        </w:tc>
        <w:tc>
          <w:tcPr>
            <w:tcW w:w="931" w:type="dxa"/>
            <w:tcBorders>
              <w:top w:val="nil"/>
              <w:left w:val="nil"/>
              <w:bottom w:val="single" w:sz="4" w:space="0" w:color="auto"/>
              <w:right w:val="single" w:sz="4" w:space="0" w:color="auto"/>
            </w:tcBorders>
            <w:shd w:val="clear" w:color="auto" w:fill="auto"/>
            <w:noWrap/>
            <w:hideMark/>
          </w:tcPr>
          <w:p w14:paraId="6D3D44C8"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.267***</w:t>
            </w:r>
          </w:p>
        </w:tc>
        <w:tc>
          <w:tcPr>
            <w:tcW w:w="620" w:type="dxa"/>
            <w:tcBorders>
              <w:top w:val="nil"/>
              <w:left w:val="nil"/>
              <w:bottom w:val="single" w:sz="4" w:space="0" w:color="auto"/>
              <w:right w:val="single" w:sz="4" w:space="0" w:color="auto"/>
            </w:tcBorders>
            <w:shd w:val="clear" w:color="auto" w:fill="auto"/>
            <w:noWrap/>
            <w:hideMark/>
          </w:tcPr>
          <w:p w14:paraId="62848F7C" w14:textId="77777777" w:rsidR="003F12BA" w:rsidRPr="001435A7" w:rsidRDefault="003F12BA" w:rsidP="003F12BA">
            <w:pPr>
              <w:spacing w:after="0" w:line="240" w:lineRule="auto"/>
              <w:jc w:val="right"/>
              <w:rPr>
                <w:rFonts w:ascii="Cambria" w:eastAsia="Times New Roman" w:hAnsi="Cambria" w:cs="Calibri"/>
                <w:lang w:eastAsia="en-GB"/>
              </w:rPr>
            </w:pPr>
            <w:r w:rsidRPr="001435A7">
              <w:rPr>
                <w:rFonts w:ascii="Cambria" w:eastAsia="Times New Roman" w:hAnsi="Cambria" w:cs="Calibri"/>
                <w:lang w:eastAsia="en-GB"/>
              </w:rPr>
              <w:t>0.164</w:t>
            </w:r>
          </w:p>
        </w:tc>
        <w:tc>
          <w:tcPr>
            <w:tcW w:w="931" w:type="dxa"/>
            <w:tcBorders>
              <w:top w:val="nil"/>
              <w:left w:val="nil"/>
              <w:bottom w:val="single" w:sz="4" w:space="0" w:color="auto"/>
              <w:right w:val="single" w:sz="4" w:space="0" w:color="auto"/>
            </w:tcBorders>
            <w:shd w:val="clear" w:color="auto" w:fill="auto"/>
            <w:noWrap/>
            <w:hideMark/>
          </w:tcPr>
          <w:p w14:paraId="1281785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.110***</w:t>
            </w:r>
          </w:p>
        </w:tc>
      </w:tr>
      <w:tr w:rsidR="001435A7" w:rsidRPr="001435A7" w14:paraId="04B3F0BA" w14:textId="77777777" w:rsidTr="003F12BA">
        <w:trPr>
          <w:trHeight w:val="280"/>
        </w:trPr>
        <w:tc>
          <w:tcPr>
            <w:tcW w:w="2684" w:type="dxa"/>
            <w:tcBorders>
              <w:top w:val="nil"/>
              <w:left w:val="nil"/>
              <w:bottom w:val="nil"/>
              <w:right w:val="nil"/>
            </w:tcBorders>
            <w:shd w:val="clear" w:color="auto" w:fill="auto"/>
            <w:noWrap/>
            <w:hideMark/>
          </w:tcPr>
          <w:p w14:paraId="1490164E"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 &lt; .001</w:t>
            </w:r>
          </w:p>
        </w:tc>
        <w:tc>
          <w:tcPr>
            <w:tcW w:w="5196" w:type="dxa"/>
            <w:gridSpan w:val="4"/>
            <w:vMerge w:val="restart"/>
            <w:tcBorders>
              <w:top w:val="single" w:sz="4" w:space="0" w:color="auto"/>
              <w:left w:val="nil"/>
              <w:bottom w:val="nil"/>
              <w:right w:val="nil"/>
            </w:tcBorders>
            <w:shd w:val="clear" w:color="auto" w:fill="auto"/>
            <w:vAlign w:val="bottom"/>
            <w:hideMark/>
          </w:tcPr>
          <w:p w14:paraId="76B479DC" w14:textId="1C34CE44"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The first of row</w:t>
            </w:r>
            <w:r w:rsidR="00224416" w:rsidRPr="001435A7">
              <w:rPr>
                <w:rFonts w:ascii="Cambria" w:eastAsia="Times New Roman" w:hAnsi="Cambria" w:cs="Calibri"/>
                <w:lang w:eastAsia="en-GB"/>
              </w:rPr>
              <w:t xml:space="preserve"> of</w:t>
            </w:r>
            <w:r w:rsidRPr="001435A7">
              <w:rPr>
                <w:rFonts w:ascii="Cambria" w:eastAsia="Times New Roman" w:hAnsi="Cambria" w:cs="Calibri"/>
                <w:lang w:eastAsia="en-GB"/>
              </w:rPr>
              <w:t xml:space="preserve"> every cell represents model 1with the control variables and the second row represents the model 2 with the independent variables from the model</w:t>
            </w:r>
          </w:p>
        </w:tc>
      </w:tr>
      <w:tr w:rsidR="001435A7" w:rsidRPr="001435A7" w14:paraId="7CE750D8" w14:textId="77777777" w:rsidTr="003F12BA">
        <w:trPr>
          <w:trHeight w:val="280"/>
        </w:trPr>
        <w:tc>
          <w:tcPr>
            <w:tcW w:w="2684" w:type="dxa"/>
            <w:tcBorders>
              <w:top w:val="nil"/>
              <w:left w:val="nil"/>
              <w:bottom w:val="nil"/>
              <w:right w:val="nil"/>
            </w:tcBorders>
            <w:shd w:val="clear" w:color="auto" w:fill="auto"/>
            <w:noWrap/>
            <w:hideMark/>
          </w:tcPr>
          <w:p w14:paraId="0626B02B"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 &lt; .005</w:t>
            </w:r>
          </w:p>
        </w:tc>
        <w:tc>
          <w:tcPr>
            <w:tcW w:w="5196" w:type="dxa"/>
            <w:gridSpan w:val="4"/>
            <w:vMerge/>
            <w:tcBorders>
              <w:top w:val="nil"/>
              <w:left w:val="nil"/>
              <w:bottom w:val="nil"/>
              <w:right w:val="nil"/>
            </w:tcBorders>
            <w:vAlign w:val="center"/>
            <w:hideMark/>
          </w:tcPr>
          <w:p w14:paraId="154115A0" w14:textId="77777777" w:rsidR="003F12BA" w:rsidRPr="001435A7" w:rsidRDefault="003F12BA" w:rsidP="003F12BA">
            <w:pPr>
              <w:spacing w:after="0" w:line="240" w:lineRule="auto"/>
              <w:rPr>
                <w:rFonts w:ascii="Cambria" w:eastAsia="Times New Roman" w:hAnsi="Cambria" w:cs="Calibri"/>
                <w:lang w:eastAsia="en-GB"/>
              </w:rPr>
            </w:pPr>
          </w:p>
        </w:tc>
      </w:tr>
      <w:tr w:rsidR="003F12BA" w:rsidRPr="001435A7" w14:paraId="5FF97AB0" w14:textId="77777777" w:rsidTr="003F12BA">
        <w:trPr>
          <w:trHeight w:val="280"/>
        </w:trPr>
        <w:tc>
          <w:tcPr>
            <w:tcW w:w="2684" w:type="dxa"/>
            <w:tcBorders>
              <w:top w:val="nil"/>
              <w:left w:val="nil"/>
              <w:bottom w:val="nil"/>
              <w:right w:val="nil"/>
            </w:tcBorders>
            <w:shd w:val="clear" w:color="auto" w:fill="auto"/>
            <w:noWrap/>
            <w:hideMark/>
          </w:tcPr>
          <w:p w14:paraId="511577BD" w14:textId="77777777" w:rsidR="003F12BA" w:rsidRPr="001435A7" w:rsidRDefault="003F12BA" w:rsidP="003F12BA">
            <w:pPr>
              <w:spacing w:after="0" w:line="240" w:lineRule="auto"/>
              <w:rPr>
                <w:rFonts w:ascii="Cambria" w:eastAsia="Times New Roman" w:hAnsi="Cambria" w:cs="Calibri"/>
                <w:lang w:eastAsia="en-GB"/>
              </w:rPr>
            </w:pPr>
            <w:r w:rsidRPr="001435A7">
              <w:rPr>
                <w:rFonts w:ascii="Cambria" w:eastAsia="Times New Roman" w:hAnsi="Cambria" w:cs="Calibri"/>
                <w:lang w:eastAsia="en-GB"/>
              </w:rPr>
              <w:t>*p &lt; .05</w:t>
            </w:r>
          </w:p>
        </w:tc>
        <w:tc>
          <w:tcPr>
            <w:tcW w:w="5196" w:type="dxa"/>
            <w:gridSpan w:val="4"/>
            <w:vMerge/>
            <w:tcBorders>
              <w:top w:val="nil"/>
              <w:left w:val="nil"/>
              <w:bottom w:val="nil"/>
              <w:right w:val="nil"/>
            </w:tcBorders>
            <w:vAlign w:val="center"/>
            <w:hideMark/>
          </w:tcPr>
          <w:p w14:paraId="3F9F5E82" w14:textId="77777777" w:rsidR="003F12BA" w:rsidRPr="001435A7" w:rsidRDefault="003F12BA" w:rsidP="003F12BA">
            <w:pPr>
              <w:spacing w:after="0" w:line="240" w:lineRule="auto"/>
              <w:rPr>
                <w:rFonts w:ascii="Cambria" w:eastAsia="Times New Roman" w:hAnsi="Cambria" w:cs="Calibri"/>
                <w:lang w:eastAsia="en-GB"/>
              </w:rPr>
            </w:pPr>
          </w:p>
        </w:tc>
      </w:tr>
    </w:tbl>
    <w:p w14:paraId="1DCDAA0A" w14:textId="37DB460B" w:rsidR="00E67F3C" w:rsidRPr="001435A7" w:rsidRDefault="00E67F3C" w:rsidP="00881AA8">
      <w:pPr>
        <w:spacing w:line="360" w:lineRule="auto"/>
        <w:jc w:val="both"/>
        <w:rPr>
          <w:rFonts w:ascii="Cambria" w:hAnsi="Cambria"/>
        </w:rPr>
      </w:pPr>
    </w:p>
    <w:p w14:paraId="721AEDD5" w14:textId="1B55E84F" w:rsidR="00BE6D31" w:rsidRPr="001435A7" w:rsidRDefault="00BE6D31" w:rsidP="00881AA8">
      <w:pPr>
        <w:spacing w:line="360" w:lineRule="auto"/>
        <w:jc w:val="both"/>
        <w:rPr>
          <w:rFonts w:ascii="Cambria" w:hAnsi="Cambria"/>
        </w:rPr>
      </w:pPr>
      <w:r w:rsidRPr="001435A7">
        <w:rPr>
          <w:rFonts w:ascii="Cambria" w:hAnsi="Cambria"/>
        </w:rPr>
        <w:t xml:space="preserve">In Appendix </w:t>
      </w:r>
      <w:r w:rsidR="00D461CE" w:rsidRPr="001435A7">
        <w:rPr>
          <w:rFonts w:ascii="Cambria" w:hAnsi="Cambria"/>
        </w:rPr>
        <w:t>4</w:t>
      </w:r>
      <w:r w:rsidRPr="001435A7">
        <w:rPr>
          <w:rFonts w:ascii="Cambria" w:hAnsi="Cambria"/>
        </w:rPr>
        <w:t>.4 also shows</w:t>
      </w:r>
      <w:r w:rsidR="00D0388B" w:rsidRPr="001435A7">
        <w:rPr>
          <w:rFonts w:ascii="Cambria" w:hAnsi="Cambria"/>
        </w:rPr>
        <w:t xml:space="preserve"> almost</w:t>
      </w:r>
      <w:r w:rsidRPr="001435A7">
        <w:rPr>
          <w:rFonts w:ascii="Cambria" w:hAnsi="Cambria"/>
        </w:rPr>
        <w:t xml:space="preserve"> the </w:t>
      </w:r>
      <w:r w:rsidR="0029180A" w:rsidRPr="001435A7">
        <w:rPr>
          <w:rFonts w:ascii="Cambria" w:hAnsi="Cambria"/>
        </w:rPr>
        <w:t xml:space="preserve">same </w:t>
      </w:r>
      <w:r w:rsidR="003F582E" w:rsidRPr="001435A7">
        <w:rPr>
          <w:rFonts w:ascii="Cambria" w:hAnsi="Cambria"/>
        </w:rPr>
        <w:t xml:space="preserve">results while the impact of control is tested </w:t>
      </w:r>
      <w:r w:rsidR="00B834E9" w:rsidRPr="001435A7">
        <w:rPr>
          <w:rFonts w:ascii="Cambria" w:hAnsi="Cambria"/>
        </w:rPr>
        <w:t>in</w:t>
      </w:r>
      <w:r w:rsidR="003F582E" w:rsidRPr="001435A7">
        <w:rPr>
          <w:rFonts w:ascii="Cambria" w:hAnsi="Cambria"/>
        </w:rPr>
        <w:t xml:space="preserve"> February and </w:t>
      </w:r>
      <w:r w:rsidR="00EA11C3" w:rsidRPr="001435A7">
        <w:rPr>
          <w:rFonts w:ascii="Cambria" w:hAnsi="Cambria"/>
        </w:rPr>
        <w:t xml:space="preserve">April sample. </w:t>
      </w:r>
      <w:r w:rsidR="00D0388B" w:rsidRPr="001435A7">
        <w:rPr>
          <w:rFonts w:ascii="Cambria" w:hAnsi="Cambria"/>
        </w:rPr>
        <w:t xml:space="preserve">The only exception was the relationship between ad </w:t>
      </w:r>
      <w:r w:rsidR="00AB5F5F" w:rsidRPr="001435A7">
        <w:rPr>
          <w:rFonts w:ascii="Cambria" w:hAnsi="Cambria"/>
        </w:rPr>
        <w:t>‘</w:t>
      </w:r>
      <w:r w:rsidR="00E114EB" w:rsidRPr="001435A7">
        <w:rPr>
          <w:rFonts w:ascii="Cambria" w:hAnsi="Cambria"/>
        </w:rPr>
        <w:t>dominance</w:t>
      </w:r>
      <w:r w:rsidR="00AB5F5F" w:rsidRPr="001435A7">
        <w:rPr>
          <w:rFonts w:ascii="Cambria" w:hAnsi="Cambria"/>
        </w:rPr>
        <w:t>’ and ‘ad attitude’</w:t>
      </w:r>
      <w:r w:rsidR="00D0388B" w:rsidRPr="001435A7">
        <w:rPr>
          <w:rFonts w:ascii="Cambria" w:hAnsi="Cambria"/>
        </w:rPr>
        <w:t xml:space="preserve">. Though there was no </w:t>
      </w:r>
      <w:r w:rsidR="00DD6C6D" w:rsidRPr="001435A7">
        <w:rPr>
          <w:rFonts w:ascii="Cambria" w:hAnsi="Cambria"/>
        </w:rPr>
        <w:t xml:space="preserve">significant </w:t>
      </w:r>
      <w:r w:rsidR="00AB5F5F" w:rsidRPr="001435A7">
        <w:rPr>
          <w:rFonts w:ascii="Cambria" w:hAnsi="Cambria"/>
        </w:rPr>
        <w:t xml:space="preserve">impact of the control variables on </w:t>
      </w:r>
      <w:r w:rsidR="00B81F10" w:rsidRPr="001435A7">
        <w:rPr>
          <w:rFonts w:ascii="Cambria" w:hAnsi="Cambria"/>
        </w:rPr>
        <w:t>‘</w:t>
      </w:r>
      <w:r w:rsidR="00E84440" w:rsidRPr="001435A7">
        <w:rPr>
          <w:rFonts w:ascii="Cambria" w:hAnsi="Cambria"/>
        </w:rPr>
        <w:t>ad attitude</w:t>
      </w:r>
      <w:r w:rsidR="00B81F10" w:rsidRPr="001435A7">
        <w:rPr>
          <w:rFonts w:ascii="Cambria" w:hAnsi="Cambria"/>
        </w:rPr>
        <w:t>’ (</w:t>
      </w:r>
      <w:r w:rsidR="00B834E9" w:rsidRPr="001435A7">
        <w:rPr>
          <w:rFonts w:ascii="Cambria" w:hAnsi="Cambria"/>
        </w:rPr>
        <w:t>non-significant</w:t>
      </w:r>
      <w:r w:rsidR="00632918" w:rsidRPr="001435A7">
        <w:rPr>
          <w:rFonts w:ascii="Cambria" w:hAnsi="Cambria"/>
        </w:rPr>
        <w:t xml:space="preserve"> </w:t>
      </w:r>
      <w:r w:rsidR="009C0A4E" w:rsidRPr="001435A7">
        <w:rPr>
          <w:rFonts w:ascii="Cambria" w:eastAsia="Times New Roman" w:hAnsi="Cambria" w:cs="Calibri"/>
          <w:lang w:eastAsia="en-GB"/>
        </w:rPr>
        <w:t>R</w:t>
      </w:r>
      <w:r w:rsidR="009C0A4E" w:rsidRPr="001435A7">
        <w:rPr>
          <w:rFonts w:ascii="Cambria" w:eastAsia="Times New Roman" w:hAnsi="Cambria" w:cs="Calibri"/>
          <w:vertAlign w:val="superscript"/>
          <w:lang w:eastAsia="en-GB"/>
        </w:rPr>
        <w:t>2</w:t>
      </w:r>
      <w:r w:rsidR="00B81F10" w:rsidRPr="001435A7">
        <w:rPr>
          <w:rFonts w:ascii="Cambria" w:hAnsi="Cambria"/>
        </w:rPr>
        <w:t>)</w:t>
      </w:r>
      <w:r w:rsidR="00632918" w:rsidRPr="001435A7">
        <w:rPr>
          <w:rFonts w:ascii="Cambria" w:hAnsi="Cambria"/>
        </w:rPr>
        <w:t xml:space="preserve">, but introduction of </w:t>
      </w:r>
      <w:r w:rsidR="00E84440" w:rsidRPr="001435A7">
        <w:rPr>
          <w:rFonts w:ascii="Cambria" w:hAnsi="Cambria"/>
        </w:rPr>
        <w:t xml:space="preserve">‘dominance’ did </w:t>
      </w:r>
      <w:r w:rsidR="004541B6" w:rsidRPr="001435A7">
        <w:rPr>
          <w:rFonts w:ascii="Cambria" w:hAnsi="Cambria"/>
        </w:rPr>
        <w:t xml:space="preserve">not change </w:t>
      </w:r>
      <w:r w:rsidR="009C0A4E" w:rsidRPr="001435A7">
        <w:rPr>
          <w:rFonts w:ascii="Cambria" w:hAnsi="Cambria"/>
        </w:rPr>
        <w:t>is significantly either (</w:t>
      </w:r>
      <w:r w:rsidR="00B834E9" w:rsidRPr="001435A7">
        <w:rPr>
          <w:rFonts w:ascii="Cambria" w:hAnsi="Cambria"/>
        </w:rPr>
        <w:t>non-significant</w:t>
      </w:r>
      <w:r w:rsidR="009C0A4E" w:rsidRPr="001435A7">
        <w:rPr>
          <w:rFonts w:ascii="Cambria" w:hAnsi="Cambria"/>
        </w:rPr>
        <w:t xml:space="preserve"> </w:t>
      </w:r>
      <w:r w:rsidR="009C0A4E" w:rsidRPr="001435A7">
        <w:rPr>
          <w:rFonts w:ascii="Cambria" w:eastAsia="Times New Roman" w:hAnsi="Cambria" w:cs="Calibri"/>
          <w:lang w:eastAsia="en-GB"/>
        </w:rPr>
        <w:t>ΔR</w:t>
      </w:r>
      <w:r w:rsidR="009C0A4E" w:rsidRPr="001435A7">
        <w:rPr>
          <w:rFonts w:ascii="Cambria" w:eastAsia="Times New Roman" w:hAnsi="Cambria" w:cs="Calibri"/>
          <w:vertAlign w:val="superscript"/>
          <w:lang w:eastAsia="en-GB"/>
        </w:rPr>
        <w:t>2</w:t>
      </w:r>
      <w:r w:rsidR="009C0A4E" w:rsidRPr="001435A7">
        <w:rPr>
          <w:rFonts w:ascii="Cambria" w:hAnsi="Cambria"/>
        </w:rPr>
        <w:t>)</w:t>
      </w:r>
      <w:r w:rsidR="00D10DF7" w:rsidRPr="001435A7">
        <w:rPr>
          <w:rFonts w:ascii="Cambria" w:hAnsi="Cambria"/>
        </w:rPr>
        <w:t xml:space="preserve">. </w:t>
      </w:r>
      <w:r w:rsidR="008E511D" w:rsidRPr="001435A7">
        <w:rPr>
          <w:rFonts w:ascii="Cambria" w:hAnsi="Cambria"/>
        </w:rPr>
        <w:t>In</w:t>
      </w:r>
      <w:r w:rsidR="00BF784B" w:rsidRPr="001435A7">
        <w:rPr>
          <w:rFonts w:ascii="Cambria" w:hAnsi="Cambria"/>
        </w:rPr>
        <w:t xml:space="preserve"> any case control variables are not showing any significant </w:t>
      </w:r>
      <w:r w:rsidR="00EB60EC" w:rsidRPr="001435A7">
        <w:rPr>
          <w:rFonts w:ascii="Cambria" w:hAnsi="Cambria"/>
        </w:rPr>
        <w:t>impact on any dependent variable.</w:t>
      </w:r>
    </w:p>
    <w:p w14:paraId="1D4C5B6F" w14:textId="40059845" w:rsidR="009E4967" w:rsidRPr="001435A7" w:rsidRDefault="009E4967" w:rsidP="00F442F9">
      <w:pPr>
        <w:pStyle w:val="Heading2"/>
        <w:rPr>
          <w:color w:val="auto"/>
          <w:lang w:val="en-US"/>
        </w:rPr>
      </w:pPr>
      <w:bookmarkStart w:id="95" w:name="_Toc115726269"/>
      <w:r w:rsidRPr="001435A7">
        <w:rPr>
          <w:color w:val="auto"/>
          <w:lang w:val="en-US"/>
        </w:rPr>
        <w:t xml:space="preserve">5.3 Testing </w:t>
      </w:r>
      <w:r w:rsidR="007A352F" w:rsidRPr="001435A7">
        <w:rPr>
          <w:color w:val="auto"/>
          <w:lang w:val="en-US"/>
        </w:rPr>
        <w:t>the impact of COVID-19 lockdown</w:t>
      </w:r>
      <w:bookmarkEnd w:id="95"/>
    </w:p>
    <w:p w14:paraId="0BC3081B" w14:textId="3846E574" w:rsidR="008A120D" w:rsidRPr="00B834E9" w:rsidRDefault="00CF0BCA" w:rsidP="004714EA">
      <w:pPr>
        <w:spacing w:line="360" w:lineRule="auto"/>
        <w:jc w:val="both"/>
        <w:rPr>
          <w:rFonts w:ascii="Cambria" w:hAnsi="Cambria"/>
          <w:sz w:val="24"/>
          <w:szCs w:val="24"/>
        </w:rPr>
      </w:pPr>
      <w:r w:rsidRPr="00B834E9">
        <w:rPr>
          <w:rFonts w:ascii="Cambria" w:hAnsi="Cambria"/>
          <w:sz w:val="24"/>
          <w:szCs w:val="24"/>
        </w:rPr>
        <w:t>Given the special circumstances of this project</w:t>
      </w:r>
      <w:r w:rsidR="00187550" w:rsidRPr="00B834E9">
        <w:rPr>
          <w:rFonts w:ascii="Cambria" w:hAnsi="Cambria"/>
          <w:sz w:val="24"/>
          <w:szCs w:val="24"/>
        </w:rPr>
        <w:t>,</w:t>
      </w:r>
      <w:r w:rsidRPr="00B834E9">
        <w:rPr>
          <w:rFonts w:ascii="Cambria" w:hAnsi="Cambria"/>
          <w:sz w:val="24"/>
          <w:szCs w:val="24"/>
        </w:rPr>
        <w:t xml:space="preserve"> arose from</w:t>
      </w:r>
      <w:r w:rsidR="008B2EA9" w:rsidRPr="00B834E9">
        <w:rPr>
          <w:rFonts w:ascii="Cambria" w:hAnsi="Cambria"/>
          <w:sz w:val="24"/>
          <w:szCs w:val="24"/>
        </w:rPr>
        <w:t xml:space="preserve"> COVID 19</w:t>
      </w:r>
      <w:r w:rsidR="00197769" w:rsidRPr="00B834E9">
        <w:rPr>
          <w:rFonts w:ascii="Cambria" w:hAnsi="Cambria"/>
          <w:sz w:val="24"/>
          <w:szCs w:val="24"/>
        </w:rPr>
        <w:t>,</w:t>
      </w:r>
      <w:r w:rsidR="002979FE" w:rsidRPr="00B834E9">
        <w:rPr>
          <w:rFonts w:ascii="Cambria" w:hAnsi="Cambria"/>
          <w:sz w:val="24"/>
          <w:szCs w:val="24"/>
        </w:rPr>
        <w:t xml:space="preserve"> which compelled </w:t>
      </w:r>
      <w:r w:rsidR="0065255D" w:rsidRPr="00B834E9">
        <w:rPr>
          <w:rFonts w:ascii="Cambria" w:hAnsi="Cambria"/>
          <w:sz w:val="24"/>
          <w:szCs w:val="24"/>
        </w:rPr>
        <w:t xml:space="preserve">the data to be collected </w:t>
      </w:r>
      <w:r w:rsidR="003A144A" w:rsidRPr="00B834E9">
        <w:rPr>
          <w:rFonts w:ascii="Cambria" w:hAnsi="Cambria"/>
          <w:sz w:val="24"/>
          <w:szCs w:val="24"/>
        </w:rPr>
        <w:t xml:space="preserve">two separate manners- </w:t>
      </w:r>
      <w:r w:rsidR="0065255D" w:rsidRPr="00B834E9">
        <w:rPr>
          <w:rFonts w:ascii="Cambria" w:hAnsi="Cambria"/>
          <w:sz w:val="24"/>
          <w:szCs w:val="24"/>
        </w:rPr>
        <w:t xml:space="preserve">in February </w:t>
      </w:r>
      <w:r w:rsidR="00DA3484" w:rsidRPr="00B834E9">
        <w:rPr>
          <w:rFonts w:ascii="Cambria" w:hAnsi="Cambria"/>
          <w:sz w:val="24"/>
          <w:szCs w:val="24"/>
        </w:rPr>
        <w:t xml:space="preserve">2020 </w:t>
      </w:r>
      <w:r w:rsidR="0065255D" w:rsidRPr="00B834E9">
        <w:rPr>
          <w:rFonts w:ascii="Cambria" w:hAnsi="Cambria"/>
          <w:sz w:val="24"/>
          <w:szCs w:val="24"/>
        </w:rPr>
        <w:t>(</w:t>
      </w:r>
      <w:r w:rsidR="00DA3484" w:rsidRPr="00B834E9">
        <w:rPr>
          <w:rFonts w:ascii="Cambria" w:hAnsi="Cambria"/>
          <w:sz w:val="24"/>
          <w:szCs w:val="24"/>
        </w:rPr>
        <w:t>experiment lab</w:t>
      </w:r>
      <w:r w:rsidR="00C370E3" w:rsidRPr="00B834E9">
        <w:rPr>
          <w:rFonts w:ascii="Cambria" w:hAnsi="Cambria"/>
          <w:sz w:val="24"/>
          <w:szCs w:val="24"/>
        </w:rPr>
        <w:t>, before</w:t>
      </w:r>
      <w:r w:rsidR="00DE0DF7" w:rsidRPr="00B834E9">
        <w:rPr>
          <w:rFonts w:ascii="Cambria" w:hAnsi="Cambria"/>
          <w:sz w:val="24"/>
          <w:szCs w:val="24"/>
        </w:rPr>
        <w:t xml:space="preserve"> COVID-19</w:t>
      </w:r>
      <w:r w:rsidR="00C370E3" w:rsidRPr="00B834E9">
        <w:rPr>
          <w:rFonts w:ascii="Cambria" w:hAnsi="Cambria"/>
          <w:sz w:val="24"/>
          <w:szCs w:val="24"/>
        </w:rPr>
        <w:t xml:space="preserve"> lockdown</w:t>
      </w:r>
      <w:r w:rsidR="0065255D" w:rsidRPr="00B834E9">
        <w:rPr>
          <w:rFonts w:ascii="Cambria" w:hAnsi="Cambria"/>
          <w:sz w:val="24"/>
          <w:szCs w:val="24"/>
        </w:rPr>
        <w:t>)</w:t>
      </w:r>
      <w:r w:rsidR="00C370E3" w:rsidRPr="00B834E9">
        <w:rPr>
          <w:rFonts w:ascii="Cambria" w:hAnsi="Cambria"/>
          <w:sz w:val="24"/>
          <w:szCs w:val="24"/>
        </w:rPr>
        <w:t xml:space="preserve"> and in </w:t>
      </w:r>
      <w:r w:rsidR="00BA3630" w:rsidRPr="00B834E9">
        <w:rPr>
          <w:rFonts w:ascii="Cambria" w:hAnsi="Cambria"/>
          <w:sz w:val="24"/>
          <w:szCs w:val="24"/>
        </w:rPr>
        <w:t>April (</w:t>
      </w:r>
      <w:r w:rsidR="00B834E9" w:rsidRPr="00B834E9">
        <w:rPr>
          <w:rFonts w:ascii="Cambria" w:hAnsi="Cambria"/>
          <w:sz w:val="24"/>
          <w:szCs w:val="24"/>
        </w:rPr>
        <w:t>experiment-based</w:t>
      </w:r>
      <w:r w:rsidR="00BA3630" w:rsidRPr="00B834E9">
        <w:rPr>
          <w:rFonts w:ascii="Cambria" w:hAnsi="Cambria"/>
          <w:sz w:val="24"/>
          <w:szCs w:val="24"/>
        </w:rPr>
        <w:t xml:space="preserve"> survey, during lockdown)</w:t>
      </w:r>
      <w:r w:rsidR="00AF3D89" w:rsidRPr="00B834E9">
        <w:rPr>
          <w:rFonts w:ascii="Cambria" w:hAnsi="Cambria"/>
          <w:sz w:val="24"/>
          <w:szCs w:val="24"/>
        </w:rPr>
        <w:t xml:space="preserve">. </w:t>
      </w:r>
      <w:r w:rsidR="00A27FD7" w:rsidRPr="00B834E9">
        <w:rPr>
          <w:rFonts w:ascii="Cambria" w:hAnsi="Cambria"/>
          <w:sz w:val="24"/>
          <w:szCs w:val="24"/>
        </w:rPr>
        <w:t>In order to</w:t>
      </w:r>
      <w:r w:rsidR="00C13514" w:rsidRPr="00B834E9">
        <w:rPr>
          <w:rFonts w:ascii="Cambria" w:hAnsi="Cambria"/>
          <w:sz w:val="24"/>
          <w:szCs w:val="24"/>
        </w:rPr>
        <w:t xml:space="preserve"> check the robustness of the model,</w:t>
      </w:r>
      <w:r w:rsidR="00C63E1D" w:rsidRPr="00B834E9">
        <w:rPr>
          <w:rFonts w:ascii="Cambria" w:hAnsi="Cambria"/>
          <w:sz w:val="24"/>
          <w:szCs w:val="24"/>
        </w:rPr>
        <w:t xml:space="preserve"> all</w:t>
      </w:r>
      <w:r w:rsidR="00C13514" w:rsidRPr="00B834E9">
        <w:rPr>
          <w:rFonts w:ascii="Cambria" w:hAnsi="Cambria"/>
          <w:sz w:val="24"/>
          <w:szCs w:val="24"/>
        </w:rPr>
        <w:t xml:space="preserve"> t</w:t>
      </w:r>
      <w:r w:rsidR="00197769" w:rsidRPr="00B834E9">
        <w:rPr>
          <w:rFonts w:ascii="Cambria" w:hAnsi="Cambria"/>
          <w:sz w:val="24"/>
          <w:szCs w:val="24"/>
        </w:rPr>
        <w:t xml:space="preserve">he </w:t>
      </w:r>
      <w:r w:rsidR="00DE0DF7" w:rsidRPr="00B834E9">
        <w:rPr>
          <w:rFonts w:ascii="Cambria" w:hAnsi="Cambria"/>
          <w:sz w:val="24"/>
          <w:szCs w:val="24"/>
        </w:rPr>
        <w:t>hypotheses</w:t>
      </w:r>
      <w:r w:rsidR="002E37C0" w:rsidRPr="00B834E9">
        <w:rPr>
          <w:rFonts w:ascii="Cambria" w:hAnsi="Cambria"/>
          <w:sz w:val="24"/>
          <w:szCs w:val="24"/>
        </w:rPr>
        <w:t xml:space="preserve"> were tested </w:t>
      </w:r>
      <w:r w:rsidR="00B543EE" w:rsidRPr="00B834E9">
        <w:rPr>
          <w:rFonts w:ascii="Cambria" w:hAnsi="Cambria"/>
          <w:sz w:val="24"/>
          <w:szCs w:val="24"/>
        </w:rPr>
        <w:t xml:space="preserve">separately </w:t>
      </w:r>
      <w:r w:rsidR="00C63E1D" w:rsidRPr="00B834E9">
        <w:rPr>
          <w:rFonts w:ascii="Cambria" w:hAnsi="Cambria"/>
          <w:sz w:val="24"/>
          <w:szCs w:val="24"/>
        </w:rPr>
        <w:t>for two samples (</w:t>
      </w:r>
      <w:r w:rsidR="003A0A5A" w:rsidRPr="00B834E9">
        <w:rPr>
          <w:rFonts w:ascii="Cambria" w:hAnsi="Cambria"/>
          <w:sz w:val="24"/>
          <w:szCs w:val="24"/>
        </w:rPr>
        <w:t>February N = 158 and April N = 121</w:t>
      </w:r>
      <w:r w:rsidR="00C63E1D" w:rsidRPr="00B834E9">
        <w:rPr>
          <w:rFonts w:ascii="Cambria" w:hAnsi="Cambria"/>
          <w:sz w:val="24"/>
          <w:szCs w:val="24"/>
        </w:rPr>
        <w:t>)</w:t>
      </w:r>
      <w:r w:rsidR="003A0A5A" w:rsidRPr="00B834E9">
        <w:rPr>
          <w:rFonts w:ascii="Cambria" w:hAnsi="Cambria"/>
          <w:sz w:val="24"/>
          <w:szCs w:val="24"/>
        </w:rPr>
        <w:t xml:space="preserve">. </w:t>
      </w:r>
      <w:r w:rsidR="00000A53" w:rsidRPr="00B834E9">
        <w:rPr>
          <w:rFonts w:ascii="Cambria" w:hAnsi="Cambria"/>
          <w:sz w:val="24"/>
          <w:szCs w:val="24"/>
        </w:rPr>
        <w:t xml:space="preserve">The results of the </w:t>
      </w:r>
      <w:r w:rsidR="00A34665" w:rsidRPr="00B834E9">
        <w:rPr>
          <w:rFonts w:ascii="Cambria" w:hAnsi="Cambria"/>
          <w:sz w:val="24"/>
          <w:szCs w:val="24"/>
        </w:rPr>
        <w:t>statistical</w:t>
      </w:r>
      <w:r w:rsidR="00000A53" w:rsidRPr="00B834E9">
        <w:rPr>
          <w:rFonts w:ascii="Cambria" w:hAnsi="Cambria"/>
          <w:sz w:val="24"/>
          <w:szCs w:val="24"/>
        </w:rPr>
        <w:t xml:space="preserve"> test</w:t>
      </w:r>
      <w:r w:rsidR="008A7251" w:rsidRPr="00B834E9">
        <w:rPr>
          <w:rFonts w:ascii="Cambria" w:hAnsi="Cambria"/>
          <w:sz w:val="24"/>
          <w:szCs w:val="24"/>
        </w:rPr>
        <w:t>s</w:t>
      </w:r>
      <w:r w:rsidR="00000A53" w:rsidRPr="00B834E9">
        <w:rPr>
          <w:rFonts w:ascii="Cambria" w:hAnsi="Cambria"/>
          <w:sz w:val="24"/>
          <w:szCs w:val="24"/>
        </w:rPr>
        <w:t xml:space="preserve"> </w:t>
      </w:r>
      <w:r w:rsidR="00210E24" w:rsidRPr="00B834E9">
        <w:rPr>
          <w:rFonts w:ascii="Cambria" w:hAnsi="Cambria"/>
          <w:sz w:val="24"/>
          <w:szCs w:val="24"/>
        </w:rPr>
        <w:t xml:space="preserve">of </w:t>
      </w:r>
      <w:r w:rsidR="006922D0" w:rsidRPr="00B834E9">
        <w:rPr>
          <w:rFonts w:ascii="Cambria" w:hAnsi="Cambria"/>
          <w:sz w:val="24"/>
          <w:szCs w:val="24"/>
        </w:rPr>
        <w:t>both</w:t>
      </w:r>
      <w:r w:rsidR="00210E24" w:rsidRPr="00B834E9">
        <w:rPr>
          <w:rFonts w:ascii="Cambria" w:hAnsi="Cambria"/>
          <w:sz w:val="24"/>
          <w:szCs w:val="24"/>
        </w:rPr>
        <w:t xml:space="preserve"> samples are</w:t>
      </w:r>
      <w:r w:rsidR="00000A53" w:rsidRPr="00B834E9">
        <w:rPr>
          <w:rFonts w:ascii="Cambria" w:hAnsi="Cambria"/>
          <w:sz w:val="24"/>
          <w:szCs w:val="24"/>
        </w:rPr>
        <w:t xml:space="preserve"> significantly similar </w:t>
      </w:r>
      <w:r w:rsidR="0085153F" w:rsidRPr="00B834E9">
        <w:rPr>
          <w:rFonts w:ascii="Cambria" w:hAnsi="Cambria"/>
          <w:sz w:val="24"/>
          <w:szCs w:val="24"/>
        </w:rPr>
        <w:t>compare</w:t>
      </w:r>
      <w:r w:rsidR="008A7251" w:rsidRPr="00B834E9">
        <w:rPr>
          <w:rFonts w:ascii="Cambria" w:hAnsi="Cambria"/>
          <w:sz w:val="24"/>
          <w:szCs w:val="24"/>
        </w:rPr>
        <w:t>d</w:t>
      </w:r>
      <w:r w:rsidR="0085153F" w:rsidRPr="00B834E9">
        <w:rPr>
          <w:rFonts w:ascii="Cambria" w:hAnsi="Cambria"/>
          <w:sz w:val="24"/>
          <w:szCs w:val="24"/>
        </w:rPr>
        <w:t xml:space="preserve"> to the </w:t>
      </w:r>
      <w:r w:rsidR="00210E24" w:rsidRPr="00B834E9">
        <w:rPr>
          <w:rFonts w:ascii="Cambria" w:hAnsi="Cambria"/>
          <w:sz w:val="24"/>
          <w:szCs w:val="24"/>
        </w:rPr>
        <w:t xml:space="preserve">overall sample </w:t>
      </w:r>
      <w:r w:rsidR="00DE0DF7" w:rsidRPr="00B834E9">
        <w:rPr>
          <w:rFonts w:ascii="Cambria" w:hAnsi="Cambria"/>
          <w:sz w:val="24"/>
          <w:szCs w:val="24"/>
        </w:rPr>
        <w:t>of N</w:t>
      </w:r>
      <w:r w:rsidR="00210E24" w:rsidRPr="00B834E9">
        <w:rPr>
          <w:rFonts w:ascii="Cambria" w:hAnsi="Cambria"/>
          <w:sz w:val="24"/>
          <w:szCs w:val="24"/>
        </w:rPr>
        <w:t xml:space="preserve"> = 279</w:t>
      </w:r>
      <w:r w:rsidR="00F4607F" w:rsidRPr="00B834E9">
        <w:rPr>
          <w:rFonts w:ascii="Cambria" w:hAnsi="Cambria"/>
          <w:sz w:val="24"/>
          <w:szCs w:val="24"/>
        </w:rPr>
        <w:t xml:space="preserve"> (Table </w:t>
      </w:r>
      <w:r w:rsidR="00FF7AC8" w:rsidRPr="00B834E9">
        <w:rPr>
          <w:rFonts w:ascii="Cambria" w:hAnsi="Cambria"/>
          <w:sz w:val="24"/>
          <w:szCs w:val="24"/>
        </w:rPr>
        <w:t>2</w:t>
      </w:r>
      <w:r w:rsidR="00774134" w:rsidRPr="00B834E9">
        <w:rPr>
          <w:rFonts w:ascii="Cambria" w:hAnsi="Cambria"/>
          <w:sz w:val="24"/>
          <w:szCs w:val="24"/>
        </w:rPr>
        <w:t>5</w:t>
      </w:r>
      <w:r w:rsidR="00F4607F" w:rsidRPr="00B834E9">
        <w:rPr>
          <w:rFonts w:ascii="Cambria" w:hAnsi="Cambria"/>
          <w:sz w:val="24"/>
          <w:szCs w:val="24"/>
        </w:rPr>
        <w:t>)</w:t>
      </w:r>
      <w:r w:rsidR="00F4309E" w:rsidRPr="00B834E9">
        <w:rPr>
          <w:rFonts w:ascii="Cambria" w:hAnsi="Cambria"/>
          <w:sz w:val="24"/>
          <w:szCs w:val="24"/>
        </w:rPr>
        <w:t xml:space="preserve">. </w:t>
      </w:r>
      <w:r w:rsidR="0074626F" w:rsidRPr="00B834E9">
        <w:rPr>
          <w:rFonts w:ascii="Cambria" w:hAnsi="Cambria"/>
          <w:sz w:val="24"/>
          <w:szCs w:val="24"/>
        </w:rPr>
        <w:t xml:space="preserve">17 out of 19 </w:t>
      </w:r>
      <w:r w:rsidR="00DE0DF7" w:rsidRPr="00B834E9">
        <w:rPr>
          <w:rFonts w:ascii="Cambria" w:hAnsi="Cambria"/>
          <w:sz w:val="24"/>
          <w:szCs w:val="24"/>
        </w:rPr>
        <w:t>hypotheses</w:t>
      </w:r>
      <w:r w:rsidR="0074626F" w:rsidRPr="00B834E9">
        <w:rPr>
          <w:rFonts w:ascii="Cambria" w:hAnsi="Cambria"/>
          <w:sz w:val="24"/>
          <w:szCs w:val="24"/>
        </w:rPr>
        <w:t xml:space="preserve"> </w:t>
      </w:r>
      <w:r w:rsidR="009A03F3" w:rsidRPr="00B834E9">
        <w:rPr>
          <w:rFonts w:ascii="Cambria" w:hAnsi="Cambria"/>
          <w:sz w:val="24"/>
          <w:szCs w:val="24"/>
        </w:rPr>
        <w:t xml:space="preserve">have similar result. </w:t>
      </w:r>
      <w:r w:rsidR="002E1266" w:rsidRPr="00B834E9">
        <w:rPr>
          <w:rFonts w:ascii="Cambria" w:hAnsi="Cambria"/>
          <w:sz w:val="24"/>
          <w:szCs w:val="24"/>
        </w:rPr>
        <w:t>For H</w:t>
      </w:r>
      <w:r w:rsidR="002E1266" w:rsidRPr="00B834E9">
        <w:rPr>
          <w:rFonts w:ascii="Cambria" w:hAnsi="Cambria"/>
          <w:sz w:val="24"/>
          <w:szCs w:val="24"/>
          <w:vertAlign w:val="subscript"/>
        </w:rPr>
        <w:t>3</w:t>
      </w:r>
      <w:r w:rsidR="002E1266" w:rsidRPr="00B834E9">
        <w:rPr>
          <w:rFonts w:ascii="Cambria" w:hAnsi="Cambria"/>
          <w:sz w:val="24"/>
          <w:szCs w:val="24"/>
        </w:rPr>
        <w:t xml:space="preserve"> and H</w:t>
      </w:r>
      <w:r w:rsidR="002E1266" w:rsidRPr="00B834E9">
        <w:rPr>
          <w:rFonts w:ascii="Cambria" w:hAnsi="Cambria"/>
          <w:sz w:val="24"/>
          <w:szCs w:val="24"/>
          <w:vertAlign w:val="subscript"/>
        </w:rPr>
        <w:t>4</w:t>
      </w:r>
      <w:r w:rsidR="003E0E70" w:rsidRPr="00B834E9">
        <w:rPr>
          <w:rFonts w:ascii="Cambria" w:hAnsi="Cambria"/>
          <w:sz w:val="24"/>
          <w:szCs w:val="24"/>
        </w:rPr>
        <w:t xml:space="preserve">, </w:t>
      </w:r>
      <w:r w:rsidR="00486A2F" w:rsidRPr="00B834E9">
        <w:rPr>
          <w:rFonts w:ascii="Cambria" w:hAnsi="Cambria"/>
          <w:sz w:val="24"/>
          <w:szCs w:val="24"/>
        </w:rPr>
        <w:t>which were</w:t>
      </w:r>
      <w:r w:rsidR="003E0E70" w:rsidRPr="00B834E9">
        <w:rPr>
          <w:rFonts w:ascii="Cambria" w:hAnsi="Cambria"/>
          <w:sz w:val="24"/>
          <w:szCs w:val="24"/>
        </w:rPr>
        <w:t xml:space="preserve"> </w:t>
      </w:r>
      <w:r w:rsidR="004875F1" w:rsidRPr="00B834E9">
        <w:rPr>
          <w:rFonts w:ascii="Cambria" w:hAnsi="Cambria"/>
          <w:sz w:val="24"/>
          <w:szCs w:val="24"/>
        </w:rPr>
        <w:t>marginally supported</w:t>
      </w:r>
      <w:r w:rsidR="00655F7A" w:rsidRPr="00B834E9">
        <w:rPr>
          <w:rFonts w:ascii="Cambria" w:hAnsi="Cambria"/>
          <w:sz w:val="24"/>
          <w:szCs w:val="24"/>
        </w:rPr>
        <w:t xml:space="preserve"> and partially supported </w:t>
      </w:r>
      <w:r w:rsidR="002B4AF2" w:rsidRPr="00B834E9">
        <w:rPr>
          <w:rFonts w:ascii="Cambria" w:hAnsi="Cambria"/>
          <w:sz w:val="24"/>
          <w:szCs w:val="24"/>
        </w:rPr>
        <w:t>respectively for overall sample of N = 279</w:t>
      </w:r>
      <w:r w:rsidR="00887829" w:rsidRPr="00B834E9">
        <w:rPr>
          <w:rFonts w:ascii="Cambria" w:hAnsi="Cambria"/>
          <w:sz w:val="24"/>
          <w:szCs w:val="24"/>
        </w:rPr>
        <w:t xml:space="preserve">, the February and </w:t>
      </w:r>
      <w:r w:rsidR="00A34665" w:rsidRPr="00B834E9">
        <w:rPr>
          <w:rFonts w:ascii="Cambria" w:hAnsi="Cambria"/>
          <w:sz w:val="24"/>
          <w:szCs w:val="24"/>
        </w:rPr>
        <w:t>April</w:t>
      </w:r>
      <w:r w:rsidR="00887829" w:rsidRPr="00B834E9">
        <w:rPr>
          <w:rFonts w:ascii="Cambria" w:hAnsi="Cambria"/>
          <w:sz w:val="24"/>
          <w:szCs w:val="24"/>
        </w:rPr>
        <w:t xml:space="preserve"> sample </w:t>
      </w:r>
      <w:r w:rsidR="005D0A84" w:rsidRPr="00B834E9">
        <w:rPr>
          <w:rFonts w:ascii="Cambria" w:hAnsi="Cambria"/>
          <w:sz w:val="24"/>
          <w:szCs w:val="24"/>
        </w:rPr>
        <w:t xml:space="preserve">did not agree with the overall sample. </w:t>
      </w:r>
      <w:r w:rsidR="00F93AE4" w:rsidRPr="00B834E9">
        <w:rPr>
          <w:rFonts w:ascii="Cambria" w:hAnsi="Cambria"/>
          <w:sz w:val="24"/>
          <w:szCs w:val="24"/>
        </w:rPr>
        <w:t xml:space="preserve">Apart </w:t>
      </w:r>
      <w:r w:rsidR="00784807" w:rsidRPr="00B834E9">
        <w:rPr>
          <w:rFonts w:ascii="Cambria" w:hAnsi="Cambria"/>
          <w:sz w:val="24"/>
          <w:szCs w:val="24"/>
        </w:rPr>
        <w:t>from that</w:t>
      </w:r>
      <w:r w:rsidR="00AC6EA6" w:rsidRPr="00B834E9">
        <w:rPr>
          <w:rFonts w:ascii="Cambria" w:hAnsi="Cambria"/>
          <w:sz w:val="24"/>
          <w:szCs w:val="24"/>
        </w:rPr>
        <w:t xml:space="preserve">, </w:t>
      </w:r>
      <w:r w:rsidR="00B834E9" w:rsidRPr="00B834E9">
        <w:rPr>
          <w:rFonts w:ascii="Cambria" w:hAnsi="Cambria"/>
          <w:sz w:val="24"/>
          <w:szCs w:val="24"/>
        </w:rPr>
        <w:t>overall,</w:t>
      </w:r>
      <w:r w:rsidR="001A794C" w:rsidRPr="00B834E9">
        <w:rPr>
          <w:rFonts w:ascii="Cambria" w:hAnsi="Cambria"/>
          <w:sz w:val="24"/>
          <w:szCs w:val="24"/>
        </w:rPr>
        <w:t xml:space="preserve"> two way ANOVA</w:t>
      </w:r>
      <w:r w:rsidR="009A3DBB" w:rsidRPr="00B834E9">
        <w:rPr>
          <w:rFonts w:ascii="Cambria" w:hAnsi="Cambria"/>
          <w:sz w:val="24"/>
          <w:szCs w:val="24"/>
        </w:rPr>
        <w:t xml:space="preserve"> result for H</w:t>
      </w:r>
      <w:r w:rsidR="009A3DBB" w:rsidRPr="00B834E9">
        <w:rPr>
          <w:rFonts w:ascii="Cambria" w:hAnsi="Cambria"/>
          <w:sz w:val="24"/>
          <w:szCs w:val="24"/>
          <w:vertAlign w:val="subscript"/>
        </w:rPr>
        <w:t>3</w:t>
      </w:r>
      <w:r w:rsidR="001A794C" w:rsidRPr="00B834E9">
        <w:rPr>
          <w:rFonts w:ascii="Cambria" w:hAnsi="Cambria"/>
          <w:sz w:val="24"/>
          <w:szCs w:val="24"/>
        </w:rPr>
        <w:t xml:space="preserve"> </w:t>
      </w:r>
      <w:r w:rsidR="00B93970" w:rsidRPr="00B834E9">
        <w:rPr>
          <w:rFonts w:ascii="Cambria" w:hAnsi="Cambria"/>
          <w:sz w:val="24"/>
          <w:szCs w:val="24"/>
        </w:rPr>
        <w:t>m</w:t>
      </w:r>
      <w:r w:rsidR="001A794C" w:rsidRPr="00B834E9">
        <w:rPr>
          <w:rFonts w:ascii="Cambria" w:hAnsi="Cambria"/>
          <w:sz w:val="24"/>
          <w:szCs w:val="24"/>
        </w:rPr>
        <w:t>atched with</w:t>
      </w:r>
      <w:r w:rsidR="009A3DBB" w:rsidRPr="00B834E9">
        <w:rPr>
          <w:rFonts w:ascii="Cambria" w:hAnsi="Cambria"/>
          <w:sz w:val="24"/>
          <w:szCs w:val="24"/>
        </w:rPr>
        <w:t xml:space="preserve"> February sample</w:t>
      </w:r>
      <w:r w:rsidR="001A794C" w:rsidRPr="00B834E9">
        <w:rPr>
          <w:rFonts w:ascii="Cambria" w:hAnsi="Cambria"/>
          <w:sz w:val="24"/>
          <w:szCs w:val="24"/>
        </w:rPr>
        <w:t xml:space="preserve">, but not with April </w:t>
      </w:r>
      <w:r w:rsidR="004714EA" w:rsidRPr="00B834E9">
        <w:rPr>
          <w:rFonts w:ascii="Cambria" w:hAnsi="Cambria"/>
          <w:sz w:val="24"/>
          <w:szCs w:val="24"/>
        </w:rPr>
        <w:t xml:space="preserve">sample. </w:t>
      </w:r>
    </w:p>
    <w:p w14:paraId="1B5FE66A" w14:textId="3BBBC765" w:rsidR="008A120D" w:rsidRPr="001435A7" w:rsidRDefault="00F4607F" w:rsidP="008756B1">
      <w:pPr>
        <w:jc w:val="both"/>
        <w:rPr>
          <w:rFonts w:ascii="Cambria" w:hAnsi="Cambria"/>
        </w:rPr>
      </w:pPr>
      <w:r w:rsidRPr="001435A7">
        <w:rPr>
          <w:rFonts w:ascii="Cambria" w:hAnsi="Cambria"/>
        </w:rPr>
        <w:t>Table</w:t>
      </w:r>
      <w:r w:rsidR="00FF7AC8" w:rsidRPr="001435A7">
        <w:rPr>
          <w:rFonts w:ascii="Cambria" w:hAnsi="Cambria"/>
        </w:rPr>
        <w:t xml:space="preserve"> 2</w:t>
      </w:r>
      <w:r w:rsidR="006321ED" w:rsidRPr="001435A7">
        <w:rPr>
          <w:rFonts w:ascii="Cambria" w:hAnsi="Cambria"/>
        </w:rPr>
        <w:t>5</w:t>
      </w:r>
      <w:r w:rsidR="00E337F2" w:rsidRPr="001435A7">
        <w:rPr>
          <w:rFonts w:ascii="Cambria" w:hAnsi="Cambria"/>
        </w:rPr>
        <w:t xml:space="preserve">- </w:t>
      </w:r>
      <w:r w:rsidR="002C581F" w:rsidRPr="001435A7">
        <w:rPr>
          <w:rFonts w:ascii="Cambria" w:hAnsi="Cambria"/>
        </w:rPr>
        <w:t>C</w:t>
      </w:r>
      <w:r w:rsidR="00E337F2" w:rsidRPr="001435A7">
        <w:rPr>
          <w:rFonts w:ascii="Cambria" w:hAnsi="Cambria"/>
        </w:rPr>
        <w:t xml:space="preserve">omparison </w:t>
      </w:r>
      <w:r w:rsidR="00746768" w:rsidRPr="001435A7">
        <w:rPr>
          <w:rFonts w:ascii="Cambria" w:hAnsi="Cambria"/>
        </w:rPr>
        <w:t>of the results of hypothesis testing among the samples</w:t>
      </w:r>
      <w:r w:rsidR="00E81905" w:rsidRPr="001435A7">
        <w:rPr>
          <w:rFonts w:ascii="Cambria" w:hAnsi="Cambria"/>
        </w:rPr>
        <w:t xml:space="preserve"> </w:t>
      </w:r>
    </w:p>
    <w:tbl>
      <w:tblPr>
        <w:tblW w:w="9493" w:type="dxa"/>
        <w:tblLook w:val="04A0" w:firstRow="1" w:lastRow="0" w:firstColumn="1" w:lastColumn="0" w:noHBand="0" w:noVBand="1"/>
      </w:tblPr>
      <w:tblGrid>
        <w:gridCol w:w="1413"/>
        <w:gridCol w:w="2693"/>
        <w:gridCol w:w="2552"/>
        <w:gridCol w:w="2835"/>
      </w:tblGrid>
      <w:tr w:rsidR="001435A7" w:rsidRPr="001435A7" w14:paraId="46FE5065" w14:textId="77777777" w:rsidTr="003E5D8C">
        <w:trPr>
          <w:trHeight w:val="290"/>
        </w:trPr>
        <w:tc>
          <w:tcPr>
            <w:tcW w:w="1413" w:type="dxa"/>
            <w:vMerge w:val="restart"/>
            <w:tcBorders>
              <w:top w:val="single" w:sz="4" w:space="0" w:color="auto"/>
              <w:left w:val="single" w:sz="4" w:space="0" w:color="auto"/>
              <w:right w:val="single" w:sz="4" w:space="0" w:color="auto"/>
            </w:tcBorders>
            <w:shd w:val="clear" w:color="auto" w:fill="auto"/>
            <w:hideMark/>
          </w:tcPr>
          <w:p w14:paraId="4C8AA9F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Hypothesis</w:t>
            </w:r>
          </w:p>
          <w:p w14:paraId="7276383E" w14:textId="6DF2424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 </w:t>
            </w:r>
            <w:r w:rsidR="00F2744D" w:rsidRPr="001435A7">
              <w:rPr>
                <w:rFonts w:ascii="Cambria" w:eastAsia="Times New Roman" w:hAnsi="Cambria" w:cs="Calibri"/>
                <w:lang w:eastAsia="en-GB"/>
              </w:rPr>
              <w:t xml:space="preserve">&amp; </w:t>
            </w:r>
            <w:r w:rsidRPr="001435A7">
              <w:rPr>
                <w:rFonts w:ascii="Cambria" w:eastAsia="Times New Roman" w:hAnsi="Cambria" w:cs="Calibri"/>
                <w:lang w:eastAsia="en-GB"/>
              </w:rPr>
              <w:t>Analysis</w:t>
            </w:r>
          </w:p>
        </w:tc>
        <w:tc>
          <w:tcPr>
            <w:tcW w:w="2693" w:type="dxa"/>
            <w:tcBorders>
              <w:top w:val="single" w:sz="4" w:space="0" w:color="auto"/>
              <w:left w:val="nil"/>
              <w:bottom w:val="single" w:sz="4" w:space="0" w:color="auto"/>
              <w:right w:val="single" w:sz="4" w:space="0" w:color="auto"/>
            </w:tcBorders>
            <w:shd w:val="clear" w:color="auto" w:fill="auto"/>
            <w:hideMark/>
          </w:tcPr>
          <w:p w14:paraId="3C58842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Whole sample </w:t>
            </w:r>
          </w:p>
        </w:tc>
        <w:tc>
          <w:tcPr>
            <w:tcW w:w="2552" w:type="dxa"/>
            <w:tcBorders>
              <w:top w:val="single" w:sz="4" w:space="0" w:color="auto"/>
              <w:left w:val="nil"/>
              <w:bottom w:val="single" w:sz="4" w:space="0" w:color="auto"/>
              <w:right w:val="single" w:sz="4" w:space="0" w:color="auto"/>
            </w:tcBorders>
            <w:shd w:val="clear" w:color="auto" w:fill="auto"/>
            <w:hideMark/>
          </w:tcPr>
          <w:p w14:paraId="2AD2C01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February  </w:t>
            </w:r>
          </w:p>
        </w:tc>
        <w:tc>
          <w:tcPr>
            <w:tcW w:w="2835" w:type="dxa"/>
            <w:tcBorders>
              <w:top w:val="single" w:sz="4" w:space="0" w:color="auto"/>
              <w:left w:val="nil"/>
              <w:bottom w:val="single" w:sz="4" w:space="0" w:color="auto"/>
              <w:right w:val="single" w:sz="4" w:space="0" w:color="auto"/>
            </w:tcBorders>
            <w:shd w:val="clear" w:color="auto" w:fill="auto"/>
            <w:hideMark/>
          </w:tcPr>
          <w:p w14:paraId="721FBF64"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April </w:t>
            </w:r>
          </w:p>
        </w:tc>
      </w:tr>
      <w:tr w:rsidR="001435A7" w:rsidRPr="001435A7" w14:paraId="4162522E" w14:textId="77777777" w:rsidTr="003E5D8C">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255F1047" w14:textId="7896AD55"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4B00489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  N=279</w:t>
            </w:r>
          </w:p>
        </w:tc>
        <w:tc>
          <w:tcPr>
            <w:tcW w:w="2552" w:type="dxa"/>
            <w:tcBorders>
              <w:top w:val="nil"/>
              <w:left w:val="nil"/>
              <w:bottom w:val="single" w:sz="4" w:space="0" w:color="auto"/>
              <w:right w:val="single" w:sz="4" w:space="0" w:color="auto"/>
            </w:tcBorders>
            <w:shd w:val="clear" w:color="auto" w:fill="auto"/>
            <w:hideMark/>
          </w:tcPr>
          <w:p w14:paraId="64EE7A30"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N=158</w:t>
            </w:r>
          </w:p>
        </w:tc>
        <w:tc>
          <w:tcPr>
            <w:tcW w:w="2835" w:type="dxa"/>
            <w:tcBorders>
              <w:top w:val="nil"/>
              <w:left w:val="nil"/>
              <w:bottom w:val="single" w:sz="4" w:space="0" w:color="auto"/>
              <w:right w:val="single" w:sz="4" w:space="0" w:color="auto"/>
            </w:tcBorders>
            <w:shd w:val="clear" w:color="auto" w:fill="auto"/>
            <w:hideMark/>
          </w:tcPr>
          <w:p w14:paraId="2BD2646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N=121</w:t>
            </w:r>
          </w:p>
        </w:tc>
      </w:tr>
      <w:tr w:rsidR="001435A7" w:rsidRPr="001435A7" w14:paraId="04076CB1" w14:textId="77777777" w:rsidTr="00FD1226">
        <w:trPr>
          <w:trHeight w:val="941"/>
        </w:trPr>
        <w:tc>
          <w:tcPr>
            <w:tcW w:w="1413" w:type="dxa"/>
            <w:vMerge w:val="restart"/>
            <w:tcBorders>
              <w:top w:val="nil"/>
              <w:left w:val="single" w:sz="4" w:space="0" w:color="auto"/>
              <w:right w:val="single" w:sz="4" w:space="0" w:color="auto"/>
            </w:tcBorders>
            <w:shd w:val="clear" w:color="auto" w:fill="auto"/>
            <w:hideMark/>
          </w:tcPr>
          <w:p w14:paraId="439AB66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w:t>
            </w:r>
            <w:r w:rsidRPr="001435A7">
              <w:rPr>
                <w:rFonts w:ascii="Cambria" w:eastAsia="Times New Roman" w:hAnsi="Cambria" w:cs="Calibri"/>
                <w:lang w:eastAsia="en-GB"/>
              </w:rPr>
              <w:t xml:space="preserve"> </w:t>
            </w:r>
          </w:p>
          <w:p w14:paraId="73F7803B" w14:textId="2154CA2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ANOVA</w:t>
            </w:r>
          </w:p>
        </w:tc>
        <w:tc>
          <w:tcPr>
            <w:tcW w:w="2693" w:type="dxa"/>
            <w:tcBorders>
              <w:top w:val="nil"/>
              <w:left w:val="nil"/>
              <w:bottom w:val="nil"/>
              <w:right w:val="single" w:sz="4" w:space="0" w:color="auto"/>
            </w:tcBorders>
            <w:shd w:val="clear" w:color="auto" w:fill="auto"/>
            <w:hideMark/>
          </w:tcPr>
          <w:p w14:paraId="78FF493F" w14:textId="0D55AB6A" w:rsidR="007C199B" w:rsidRPr="001435A7" w:rsidRDefault="00B834E9"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Positive Caption</w:t>
            </w:r>
            <w:r w:rsidR="007C199B" w:rsidRPr="001435A7">
              <w:rPr>
                <w:rFonts w:ascii="Cambria" w:eastAsia="Times New Roman" w:hAnsi="Cambria" w:cs="Calibri"/>
                <w:lang w:eastAsia="en-GB"/>
              </w:rPr>
              <w:t xml:space="preserve"> (M= 3.71, SD </w:t>
            </w:r>
            <w:r w:rsidRPr="001435A7">
              <w:rPr>
                <w:rFonts w:ascii="Cambria" w:eastAsia="Times New Roman" w:hAnsi="Cambria" w:cs="Calibri"/>
                <w:lang w:eastAsia="en-GB"/>
              </w:rPr>
              <w:t>= 1.3</w:t>
            </w:r>
            <w:r w:rsidR="007C199B" w:rsidRPr="001435A7">
              <w:rPr>
                <w:rFonts w:ascii="Cambria" w:eastAsia="Times New Roman" w:hAnsi="Cambria" w:cs="Calibri"/>
                <w:lang w:eastAsia="en-GB"/>
              </w:rPr>
              <w:t>); Negative caption (M= 3.56, SD= 1.36)</w:t>
            </w:r>
          </w:p>
        </w:tc>
        <w:tc>
          <w:tcPr>
            <w:tcW w:w="2552" w:type="dxa"/>
            <w:tcBorders>
              <w:top w:val="nil"/>
              <w:left w:val="nil"/>
              <w:bottom w:val="nil"/>
              <w:right w:val="single" w:sz="4" w:space="0" w:color="auto"/>
            </w:tcBorders>
            <w:shd w:val="clear" w:color="auto" w:fill="auto"/>
            <w:hideMark/>
          </w:tcPr>
          <w:p w14:paraId="74A9F2CA" w14:textId="01A4BD29" w:rsidR="007C199B" w:rsidRPr="001435A7" w:rsidRDefault="00B834E9"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Positive Caption</w:t>
            </w:r>
            <w:r w:rsidR="007C199B" w:rsidRPr="001435A7">
              <w:rPr>
                <w:rFonts w:ascii="Cambria" w:eastAsia="Times New Roman" w:hAnsi="Cambria" w:cs="Calibri"/>
                <w:lang w:eastAsia="en-GB"/>
              </w:rPr>
              <w:t xml:space="preserve"> (M= 3.76, SD </w:t>
            </w:r>
            <w:r w:rsidRPr="001435A7">
              <w:rPr>
                <w:rFonts w:ascii="Cambria" w:eastAsia="Times New Roman" w:hAnsi="Cambria" w:cs="Calibri"/>
                <w:lang w:eastAsia="en-GB"/>
              </w:rPr>
              <w:t>= 1.28</w:t>
            </w:r>
            <w:r w:rsidR="007C199B" w:rsidRPr="001435A7">
              <w:rPr>
                <w:rFonts w:ascii="Cambria" w:eastAsia="Times New Roman" w:hAnsi="Cambria" w:cs="Calibri"/>
                <w:lang w:eastAsia="en-GB"/>
              </w:rPr>
              <w:t>); Negative caption (M= 3.79, SD= 1.34)</w:t>
            </w:r>
          </w:p>
        </w:tc>
        <w:tc>
          <w:tcPr>
            <w:tcW w:w="2835" w:type="dxa"/>
            <w:tcBorders>
              <w:top w:val="nil"/>
              <w:left w:val="nil"/>
              <w:bottom w:val="nil"/>
              <w:right w:val="single" w:sz="4" w:space="0" w:color="auto"/>
            </w:tcBorders>
            <w:shd w:val="clear" w:color="auto" w:fill="auto"/>
            <w:hideMark/>
          </w:tcPr>
          <w:p w14:paraId="36D427CB" w14:textId="3ABD0F02" w:rsidR="007C199B" w:rsidRPr="001435A7" w:rsidRDefault="00B834E9"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Positive Caption</w:t>
            </w:r>
            <w:r w:rsidR="007C199B" w:rsidRPr="001435A7">
              <w:rPr>
                <w:rFonts w:ascii="Cambria" w:eastAsia="Times New Roman" w:hAnsi="Cambria" w:cs="Calibri"/>
                <w:lang w:eastAsia="en-GB"/>
              </w:rPr>
              <w:t xml:space="preserve"> (M= 3.65, SD =  1.3); Negative caption (M= 3.25, SD= 1.34)</w:t>
            </w:r>
          </w:p>
        </w:tc>
      </w:tr>
      <w:tr w:rsidR="001435A7" w:rsidRPr="001435A7" w14:paraId="761BC0BC" w14:textId="77777777" w:rsidTr="00FD1226">
        <w:trPr>
          <w:trHeight w:val="299"/>
        </w:trPr>
        <w:tc>
          <w:tcPr>
            <w:tcW w:w="1413" w:type="dxa"/>
            <w:vMerge/>
            <w:tcBorders>
              <w:left w:val="single" w:sz="4" w:space="0" w:color="auto"/>
              <w:bottom w:val="nil"/>
              <w:right w:val="single" w:sz="4" w:space="0" w:color="auto"/>
            </w:tcBorders>
            <w:shd w:val="clear" w:color="auto" w:fill="auto"/>
            <w:hideMark/>
          </w:tcPr>
          <w:p w14:paraId="2BE182E4" w14:textId="1D88DEEB"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05672E56" w14:textId="4DC14A91"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F (</w:t>
            </w:r>
            <w:r w:rsidR="00B834E9" w:rsidRPr="001435A7">
              <w:rPr>
                <w:rFonts w:ascii="Cambria" w:eastAsia="Times New Roman" w:hAnsi="Cambria" w:cs="Calibri"/>
                <w:lang w:eastAsia="en-GB"/>
              </w:rPr>
              <w:t>1,277) =</w:t>
            </w:r>
            <w:r w:rsidRPr="001435A7">
              <w:rPr>
                <w:rFonts w:ascii="Cambria" w:eastAsia="Times New Roman" w:hAnsi="Cambria" w:cs="Calibri"/>
                <w:lang w:eastAsia="en-GB"/>
              </w:rPr>
              <w:t xml:space="preserve"> .87, p= .35</w:t>
            </w:r>
          </w:p>
        </w:tc>
        <w:tc>
          <w:tcPr>
            <w:tcW w:w="2552" w:type="dxa"/>
            <w:tcBorders>
              <w:top w:val="nil"/>
              <w:left w:val="nil"/>
              <w:bottom w:val="nil"/>
              <w:right w:val="single" w:sz="4" w:space="0" w:color="auto"/>
            </w:tcBorders>
            <w:shd w:val="clear" w:color="auto" w:fill="auto"/>
            <w:hideMark/>
          </w:tcPr>
          <w:p w14:paraId="626953FC" w14:textId="140D3C04"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F (</w:t>
            </w:r>
            <w:r w:rsidR="00B834E9" w:rsidRPr="001435A7">
              <w:rPr>
                <w:rFonts w:ascii="Cambria" w:eastAsia="Times New Roman" w:hAnsi="Cambria" w:cs="Calibri"/>
                <w:lang w:eastAsia="en-GB"/>
              </w:rPr>
              <w:t>1,156) =</w:t>
            </w:r>
            <w:r w:rsidRPr="001435A7">
              <w:rPr>
                <w:rFonts w:ascii="Cambria" w:eastAsia="Times New Roman" w:hAnsi="Cambria" w:cs="Calibri"/>
                <w:lang w:eastAsia="en-GB"/>
              </w:rPr>
              <w:t xml:space="preserve"> .029, p= .87</w:t>
            </w:r>
          </w:p>
        </w:tc>
        <w:tc>
          <w:tcPr>
            <w:tcW w:w="2835" w:type="dxa"/>
            <w:tcBorders>
              <w:top w:val="nil"/>
              <w:left w:val="nil"/>
              <w:bottom w:val="nil"/>
              <w:right w:val="single" w:sz="4" w:space="0" w:color="auto"/>
            </w:tcBorders>
            <w:shd w:val="clear" w:color="auto" w:fill="auto"/>
            <w:hideMark/>
          </w:tcPr>
          <w:p w14:paraId="7DC7D3F8" w14:textId="59369A43"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F (</w:t>
            </w:r>
            <w:r w:rsidR="00B834E9" w:rsidRPr="001435A7">
              <w:rPr>
                <w:rFonts w:ascii="Cambria" w:eastAsia="Times New Roman" w:hAnsi="Cambria" w:cs="Calibri"/>
                <w:lang w:eastAsia="en-GB"/>
              </w:rPr>
              <w:t>1,119) =</w:t>
            </w:r>
            <w:r w:rsidRPr="001435A7">
              <w:rPr>
                <w:rFonts w:ascii="Cambria" w:eastAsia="Times New Roman" w:hAnsi="Cambria" w:cs="Calibri"/>
                <w:lang w:eastAsia="en-GB"/>
              </w:rPr>
              <w:t xml:space="preserve"> 2.616, p= .108</w:t>
            </w:r>
          </w:p>
        </w:tc>
      </w:tr>
      <w:tr w:rsidR="001435A7" w:rsidRPr="001435A7" w14:paraId="40BEC50E"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21BDDF04"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0C215387"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Not supported</w:t>
            </w:r>
          </w:p>
        </w:tc>
        <w:tc>
          <w:tcPr>
            <w:tcW w:w="2552" w:type="dxa"/>
            <w:tcBorders>
              <w:top w:val="nil"/>
              <w:left w:val="nil"/>
              <w:bottom w:val="single" w:sz="4" w:space="0" w:color="auto"/>
              <w:right w:val="single" w:sz="4" w:space="0" w:color="auto"/>
            </w:tcBorders>
            <w:shd w:val="clear" w:color="auto" w:fill="auto"/>
            <w:hideMark/>
          </w:tcPr>
          <w:p w14:paraId="758E28EC"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Not supported</w:t>
            </w:r>
          </w:p>
        </w:tc>
        <w:tc>
          <w:tcPr>
            <w:tcW w:w="2835" w:type="dxa"/>
            <w:tcBorders>
              <w:top w:val="nil"/>
              <w:left w:val="nil"/>
              <w:bottom w:val="single" w:sz="4" w:space="0" w:color="auto"/>
              <w:right w:val="single" w:sz="4" w:space="0" w:color="auto"/>
            </w:tcBorders>
            <w:shd w:val="clear" w:color="auto" w:fill="auto"/>
            <w:hideMark/>
          </w:tcPr>
          <w:p w14:paraId="69C4DF7E"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Not supported</w:t>
            </w:r>
          </w:p>
        </w:tc>
      </w:tr>
      <w:tr w:rsidR="001435A7" w:rsidRPr="001435A7" w14:paraId="0E449C33" w14:textId="77777777" w:rsidTr="00B069FD">
        <w:trPr>
          <w:trHeight w:val="539"/>
        </w:trPr>
        <w:tc>
          <w:tcPr>
            <w:tcW w:w="1413" w:type="dxa"/>
            <w:vMerge w:val="restart"/>
            <w:tcBorders>
              <w:top w:val="nil"/>
              <w:left w:val="single" w:sz="4" w:space="0" w:color="auto"/>
              <w:right w:val="single" w:sz="4" w:space="0" w:color="auto"/>
            </w:tcBorders>
            <w:shd w:val="clear" w:color="auto" w:fill="auto"/>
            <w:hideMark/>
          </w:tcPr>
          <w:p w14:paraId="126FB21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2</w:t>
            </w:r>
          </w:p>
          <w:p w14:paraId="620F8773"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Two-way ANOVA</w:t>
            </w:r>
          </w:p>
          <w:p w14:paraId="719A9395" w14:textId="08CC2CF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nil"/>
              <w:right w:val="single" w:sz="4" w:space="0" w:color="auto"/>
            </w:tcBorders>
            <w:shd w:val="clear" w:color="auto" w:fill="auto"/>
            <w:hideMark/>
          </w:tcPr>
          <w:p w14:paraId="521CB1B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Interaction effect F (1, 274) = 7.55; p=.006</w:t>
            </w:r>
          </w:p>
        </w:tc>
        <w:tc>
          <w:tcPr>
            <w:tcW w:w="2552" w:type="dxa"/>
            <w:tcBorders>
              <w:top w:val="nil"/>
              <w:left w:val="nil"/>
              <w:bottom w:val="nil"/>
              <w:right w:val="single" w:sz="4" w:space="0" w:color="auto"/>
            </w:tcBorders>
            <w:shd w:val="clear" w:color="auto" w:fill="auto"/>
            <w:hideMark/>
          </w:tcPr>
          <w:p w14:paraId="31DB8E2E" w14:textId="3CAF6FFF"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Interaction effect F (1, 157) = 6.129; p= .014</w:t>
            </w:r>
          </w:p>
        </w:tc>
        <w:tc>
          <w:tcPr>
            <w:tcW w:w="2835" w:type="dxa"/>
            <w:tcBorders>
              <w:top w:val="nil"/>
              <w:left w:val="nil"/>
              <w:bottom w:val="nil"/>
              <w:right w:val="single" w:sz="4" w:space="0" w:color="auto"/>
            </w:tcBorders>
            <w:shd w:val="clear" w:color="auto" w:fill="auto"/>
            <w:hideMark/>
          </w:tcPr>
          <w:p w14:paraId="4EEA517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Interaction effect F (1, 117) = 1.63; p=.205</w:t>
            </w:r>
          </w:p>
        </w:tc>
      </w:tr>
      <w:tr w:rsidR="001435A7" w:rsidRPr="001435A7" w14:paraId="469C7D93" w14:textId="77777777" w:rsidTr="00B069FD">
        <w:trPr>
          <w:trHeight w:val="571"/>
        </w:trPr>
        <w:tc>
          <w:tcPr>
            <w:tcW w:w="1413" w:type="dxa"/>
            <w:vMerge/>
            <w:tcBorders>
              <w:left w:val="single" w:sz="4" w:space="0" w:color="auto"/>
              <w:right w:val="single" w:sz="4" w:space="0" w:color="auto"/>
            </w:tcBorders>
            <w:shd w:val="clear" w:color="auto" w:fill="auto"/>
            <w:hideMark/>
          </w:tcPr>
          <w:p w14:paraId="7929130F" w14:textId="7091F051"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37CD320B"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F (1, 274) = 1.153; p = .284</w:t>
            </w:r>
          </w:p>
        </w:tc>
        <w:tc>
          <w:tcPr>
            <w:tcW w:w="2552" w:type="dxa"/>
            <w:tcBorders>
              <w:top w:val="nil"/>
              <w:left w:val="nil"/>
              <w:bottom w:val="nil"/>
              <w:right w:val="single" w:sz="4" w:space="0" w:color="auto"/>
            </w:tcBorders>
            <w:shd w:val="clear" w:color="auto" w:fill="auto"/>
            <w:hideMark/>
          </w:tcPr>
          <w:p w14:paraId="560592C2" w14:textId="1C7911B8"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F (1, 157) = .002; p= .963</w:t>
            </w:r>
          </w:p>
        </w:tc>
        <w:tc>
          <w:tcPr>
            <w:tcW w:w="2835" w:type="dxa"/>
            <w:tcBorders>
              <w:top w:val="nil"/>
              <w:left w:val="nil"/>
              <w:bottom w:val="nil"/>
              <w:right w:val="single" w:sz="4" w:space="0" w:color="auto"/>
            </w:tcBorders>
            <w:shd w:val="clear" w:color="auto" w:fill="auto"/>
            <w:hideMark/>
          </w:tcPr>
          <w:p w14:paraId="2EDBF03F" w14:textId="3168564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F (1, 117) = 1.258; p = .111</w:t>
            </w:r>
          </w:p>
        </w:tc>
      </w:tr>
      <w:tr w:rsidR="001435A7" w:rsidRPr="001435A7" w14:paraId="783A8388" w14:textId="77777777" w:rsidTr="00B069FD">
        <w:trPr>
          <w:trHeight w:val="848"/>
        </w:trPr>
        <w:tc>
          <w:tcPr>
            <w:tcW w:w="1413" w:type="dxa"/>
            <w:vMerge/>
            <w:tcBorders>
              <w:left w:val="single" w:sz="4" w:space="0" w:color="auto"/>
              <w:bottom w:val="nil"/>
              <w:right w:val="single" w:sz="4" w:space="0" w:color="auto"/>
            </w:tcBorders>
            <w:shd w:val="clear" w:color="auto" w:fill="auto"/>
            <w:hideMark/>
          </w:tcPr>
          <w:p w14:paraId="7C8A3E53" w14:textId="665B67D7"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5E85F2C2"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Source Expertise's main effect F (1, 274) = 1.34; p= .255</w:t>
            </w:r>
          </w:p>
        </w:tc>
        <w:tc>
          <w:tcPr>
            <w:tcW w:w="2552" w:type="dxa"/>
            <w:tcBorders>
              <w:top w:val="nil"/>
              <w:left w:val="nil"/>
              <w:bottom w:val="nil"/>
              <w:right w:val="single" w:sz="4" w:space="0" w:color="auto"/>
            </w:tcBorders>
            <w:shd w:val="clear" w:color="auto" w:fill="auto"/>
            <w:hideMark/>
          </w:tcPr>
          <w:p w14:paraId="53BED903" w14:textId="5423656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Source Expertise's main effect F (1, 157</w:t>
            </w:r>
            <w:r w:rsidR="00B834E9" w:rsidRPr="001435A7">
              <w:rPr>
                <w:rFonts w:ascii="Cambria" w:eastAsia="Times New Roman" w:hAnsi="Cambria" w:cs="Calibri"/>
                <w:lang w:eastAsia="en-GB"/>
              </w:rPr>
              <w:t>) =</w:t>
            </w:r>
            <w:r w:rsidRPr="001435A7">
              <w:rPr>
                <w:rFonts w:ascii="Cambria" w:eastAsia="Times New Roman" w:hAnsi="Cambria" w:cs="Calibri"/>
                <w:lang w:eastAsia="en-GB"/>
              </w:rPr>
              <w:t xml:space="preserve"> 0.033; p = .856</w:t>
            </w:r>
          </w:p>
        </w:tc>
        <w:tc>
          <w:tcPr>
            <w:tcW w:w="2835" w:type="dxa"/>
            <w:tcBorders>
              <w:top w:val="nil"/>
              <w:left w:val="nil"/>
              <w:bottom w:val="nil"/>
              <w:right w:val="single" w:sz="4" w:space="0" w:color="auto"/>
            </w:tcBorders>
            <w:shd w:val="clear" w:color="auto" w:fill="auto"/>
            <w:hideMark/>
          </w:tcPr>
          <w:p w14:paraId="5B982E7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Source Expertise's main effect F (1, 117) = 2.002; p= .160</w:t>
            </w:r>
          </w:p>
        </w:tc>
      </w:tr>
      <w:tr w:rsidR="001435A7" w:rsidRPr="001435A7" w14:paraId="3AB57C53"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77D4FA7B"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409A271C"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74DB42B2"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1A9AAB97"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highlight w:val="yellow"/>
                <w:lang w:eastAsia="en-GB"/>
              </w:rPr>
              <w:t>Not Supported</w:t>
            </w:r>
          </w:p>
        </w:tc>
      </w:tr>
      <w:tr w:rsidR="001435A7" w:rsidRPr="001435A7" w14:paraId="60BF8378" w14:textId="77777777" w:rsidTr="00DC2DDD">
        <w:trPr>
          <w:trHeight w:val="557"/>
        </w:trPr>
        <w:tc>
          <w:tcPr>
            <w:tcW w:w="1413" w:type="dxa"/>
            <w:vMerge w:val="restart"/>
            <w:tcBorders>
              <w:top w:val="nil"/>
              <w:left w:val="single" w:sz="4" w:space="0" w:color="auto"/>
              <w:right w:val="single" w:sz="4" w:space="0" w:color="auto"/>
            </w:tcBorders>
            <w:shd w:val="clear" w:color="auto" w:fill="auto"/>
            <w:hideMark/>
          </w:tcPr>
          <w:p w14:paraId="2C42447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3</w:t>
            </w:r>
          </w:p>
          <w:p w14:paraId="5F6F4608" w14:textId="054A2F7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MANOVA</w:t>
            </w:r>
          </w:p>
        </w:tc>
        <w:tc>
          <w:tcPr>
            <w:tcW w:w="2693" w:type="dxa"/>
            <w:tcBorders>
              <w:top w:val="nil"/>
              <w:left w:val="nil"/>
              <w:bottom w:val="nil"/>
              <w:right w:val="single" w:sz="4" w:space="0" w:color="auto"/>
            </w:tcBorders>
            <w:shd w:val="clear" w:color="auto" w:fill="auto"/>
            <w:hideMark/>
          </w:tcPr>
          <w:p w14:paraId="4ADE7E7E"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Pillai's test V = .035, F (4, 274) = 2.48, p = .045 </w:t>
            </w:r>
          </w:p>
        </w:tc>
        <w:tc>
          <w:tcPr>
            <w:tcW w:w="2552" w:type="dxa"/>
            <w:tcBorders>
              <w:top w:val="nil"/>
              <w:left w:val="nil"/>
              <w:bottom w:val="nil"/>
              <w:right w:val="single" w:sz="4" w:space="0" w:color="auto"/>
            </w:tcBorders>
            <w:shd w:val="clear" w:color="auto" w:fill="auto"/>
            <w:hideMark/>
          </w:tcPr>
          <w:p w14:paraId="54A77C9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Pillai's test V = .026; F (4, 153) = 1.010; p=.404</w:t>
            </w:r>
          </w:p>
        </w:tc>
        <w:tc>
          <w:tcPr>
            <w:tcW w:w="2835" w:type="dxa"/>
            <w:tcBorders>
              <w:top w:val="nil"/>
              <w:left w:val="nil"/>
              <w:bottom w:val="nil"/>
              <w:right w:val="single" w:sz="4" w:space="0" w:color="auto"/>
            </w:tcBorders>
            <w:shd w:val="clear" w:color="auto" w:fill="auto"/>
            <w:hideMark/>
          </w:tcPr>
          <w:p w14:paraId="38639E5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Pillai's test V = .062; F (4, 116) = 1.902; p = .115</w:t>
            </w:r>
          </w:p>
        </w:tc>
      </w:tr>
      <w:tr w:rsidR="001435A7" w:rsidRPr="001435A7" w14:paraId="4B130070" w14:textId="77777777" w:rsidTr="00DC2DDD">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2E236E15" w14:textId="7F02EEE0"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2042ED2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4290BC9F" w14:textId="77777777" w:rsidR="007C199B" w:rsidRPr="001435A7" w:rsidRDefault="007C199B" w:rsidP="00091AC4">
            <w:pPr>
              <w:spacing w:after="0" w:line="360" w:lineRule="auto"/>
              <w:rPr>
                <w:rFonts w:ascii="Cambria" w:eastAsia="Times New Roman" w:hAnsi="Cambria" w:cs="Calibri"/>
                <w:highlight w:val="yellow"/>
                <w:lang w:eastAsia="en-GB"/>
              </w:rPr>
            </w:pPr>
            <w:r w:rsidRPr="001435A7">
              <w:rPr>
                <w:rFonts w:ascii="Cambria" w:eastAsia="Times New Roman" w:hAnsi="Cambria" w:cs="Calibri"/>
                <w:highlight w:val="yellow"/>
                <w:lang w:eastAsia="en-GB"/>
              </w:rPr>
              <w:t>Not Supported</w:t>
            </w:r>
          </w:p>
        </w:tc>
        <w:tc>
          <w:tcPr>
            <w:tcW w:w="2835" w:type="dxa"/>
            <w:tcBorders>
              <w:top w:val="nil"/>
              <w:left w:val="nil"/>
              <w:bottom w:val="single" w:sz="4" w:space="0" w:color="auto"/>
              <w:right w:val="single" w:sz="4" w:space="0" w:color="auto"/>
            </w:tcBorders>
            <w:shd w:val="clear" w:color="auto" w:fill="auto"/>
            <w:hideMark/>
          </w:tcPr>
          <w:p w14:paraId="45A0F63B" w14:textId="77777777" w:rsidR="007C199B" w:rsidRPr="001435A7" w:rsidRDefault="007C199B" w:rsidP="00091AC4">
            <w:pPr>
              <w:spacing w:after="0" w:line="360" w:lineRule="auto"/>
              <w:rPr>
                <w:rFonts w:ascii="Cambria" w:eastAsia="Times New Roman" w:hAnsi="Cambria" w:cs="Calibri"/>
                <w:highlight w:val="yellow"/>
                <w:lang w:eastAsia="en-GB"/>
              </w:rPr>
            </w:pPr>
            <w:r w:rsidRPr="001435A7">
              <w:rPr>
                <w:rFonts w:ascii="Cambria" w:eastAsia="Times New Roman" w:hAnsi="Cambria" w:cs="Calibri"/>
                <w:highlight w:val="yellow"/>
                <w:lang w:eastAsia="en-GB"/>
              </w:rPr>
              <w:t>Not Supported</w:t>
            </w:r>
          </w:p>
        </w:tc>
      </w:tr>
      <w:tr w:rsidR="001435A7" w:rsidRPr="001435A7" w14:paraId="05B4C157" w14:textId="77777777" w:rsidTr="00F826D8">
        <w:trPr>
          <w:trHeight w:val="838"/>
        </w:trPr>
        <w:tc>
          <w:tcPr>
            <w:tcW w:w="1413" w:type="dxa"/>
            <w:vMerge w:val="restart"/>
            <w:tcBorders>
              <w:top w:val="nil"/>
              <w:left w:val="single" w:sz="4" w:space="0" w:color="auto"/>
              <w:right w:val="single" w:sz="4" w:space="0" w:color="auto"/>
            </w:tcBorders>
            <w:shd w:val="clear" w:color="auto" w:fill="auto"/>
            <w:hideMark/>
          </w:tcPr>
          <w:p w14:paraId="6B50660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4</w:t>
            </w:r>
          </w:p>
          <w:p w14:paraId="06677ED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Two way MANOVA</w:t>
            </w:r>
          </w:p>
          <w:p w14:paraId="33049BB6" w14:textId="4B7A365B"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nil"/>
              <w:right w:val="single" w:sz="4" w:space="0" w:color="auto"/>
            </w:tcBorders>
            <w:shd w:val="clear" w:color="auto" w:fill="auto"/>
            <w:hideMark/>
          </w:tcPr>
          <w:p w14:paraId="52D6527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Interaction effect Pillai's Trace (V= 0.019, F (4, 271) =1.34, p = .254) </w:t>
            </w:r>
          </w:p>
        </w:tc>
        <w:tc>
          <w:tcPr>
            <w:tcW w:w="2552" w:type="dxa"/>
            <w:tcBorders>
              <w:top w:val="nil"/>
              <w:left w:val="nil"/>
              <w:bottom w:val="nil"/>
              <w:right w:val="single" w:sz="4" w:space="0" w:color="auto"/>
            </w:tcBorders>
            <w:shd w:val="clear" w:color="auto" w:fill="auto"/>
            <w:hideMark/>
          </w:tcPr>
          <w:p w14:paraId="03272FD3"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Interaction effect Pillai's Trace (V= 0.004, F (4, 150) =1.54, p = .961) </w:t>
            </w:r>
          </w:p>
        </w:tc>
        <w:tc>
          <w:tcPr>
            <w:tcW w:w="2835" w:type="dxa"/>
            <w:tcBorders>
              <w:top w:val="nil"/>
              <w:left w:val="nil"/>
              <w:bottom w:val="nil"/>
              <w:right w:val="single" w:sz="4" w:space="0" w:color="auto"/>
            </w:tcBorders>
            <w:shd w:val="clear" w:color="auto" w:fill="auto"/>
            <w:hideMark/>
          </w:tcPr>
          <w:p w14:paraId="11625DC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Interaction effect Pillai's Trace (V= 0.057, F (4, 114) =1.737, p = .147) </w:t>
            </w:r>
          </w:p>
        </w:tc>
      </w:tr>
      <w:tr w:rsidR="001435A7" w:rsidRPr="001435A7" w14:paraId="7F21E7E8" w14:textId="77777777" w:rsidTr="00F826D8">
        <w:trPr>
          <w:trHeight w:val="832"/>
        </w:trPr>
        <w:tc>
          <w:tcPr>
            <w:tcW w:w="1413" w:type="dxa"/>
            <w:vMerge/>
            <w:tcBorders>
              <w:left w:val="single" w:sz="4" w:space="0" w:color="auto"/>
              <w:right w:val="single" w:sz="4" w:space="0" w:color="auto"/>
            </w:tcBorders>
            <w:shd w:val="clear" w:color="auto" w:fill="auto"/>
            <w:hideMark/>
          </w:tcPr>
          <w:p w14:paraId="0269DE82" w14:textId="552EF5E0"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3289C1A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(V = .039, F (4, 271) = 2.75, p = .028)</w:t>
            </w:r>
          </w:p>
        </w:tc>
        <w:tc>
          <w:tcPr>
            <w:tcW w:w="2552" w:type="dxa"/>
            <w:tcBorders>
              <w:top w:val="nil"/>
              <w:left w:val="nil"/>
              <w:bottom w:val="nil"/>
              <w:right w:val="single" w:sz="4" w:space="0" w:color="auto"/>
            </w:tcBorders>
            <w:shd w:val="clear" w:color="auto" w:fill="auto"/>
            <w:hideMark/>
          </w:tcPr>
          <w:p w14:paraId="69D7AFE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(V = .032, F (4, 150) = 1.227, p = .302)</w:t>
            </w:r>
          </w:p>
        </w:tc>
        <w:tc>
          <w:tcPr>
            <w:tcW w:w="2835" w:type="dxa"/>
            <w:tcBorders>
              <w:top w:val="nil"/>
              <w:left w:val="nil"/>
              <w:bottom w:val="nil"/>
              <w:right w:val="single" w:sz="4" w:space="0" w:color="auto"/>
            </w:tcBorders>
            <w:shd w:val="clear" w:color="auto" w:fill="auto"/>
            <w:hideMark/>
          </w:tcPr>
          <w:p w14:paraId="128478FB"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Caption's main effect (V = .063, F (4, 114) = 1.918, p = .112)</w:t>
            </w:r>
          </w:p>
        </w:tc>
      </w:tr>
      <w:tr w:rsidR="001435A7" w:rsidRPr="001435A7" w14:paraId="2E7BD866" w14:textId="77777777" w:rsidTr="00F826D8">
        <w:trPr>
          <w:trHeight w:val="858"/>
        </w:trPr>
        <w:tc>
          <w:tcPr>
            <w:tcW w:w="1413" w:type="dxa"/>
            <w:vMerge/>
            <w:tcBorders>
              <w:left w:val="single" w:sz="4" w:space="0" w:color="auto"/>
              <w:bottom w:val="nil"/>
              <w:right w:val="single" w:sz="4" w:space="0" w:color="auto"/>
            </w:tcBorders>
            <w:shd w:val="clear" w:color="auto" w:fill="auto"/>
            <w:hideMark/>
          </w:tcPr>
          <w:p w14:paraId="52CAAE5C" w14:textId="0BE82CC2"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448FDBA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Source Expertise's main effect (V = .013, F (4, 271) = .925, p= .450) </w:t>
            </w:r>
          </w:p>
        </w:tc>
        <w:tc>
          <w:tcPr>
            <w:tcW w:w="2552" w:type="dxa"/>
            <w:tcBorders>
              <w:top w:val="nil"/>
              <w:left w:val="nil"/>
              <w:bottom w:val="nil"/>
              <w:right w:val="single" w:sz="4" w:space="0" w:color="auto"/>
            </w:tcBorders>
            <w:shd w:val="clear" w:color="auto" w:fill="auto"/>
            <w:hideMark/>
          </w:tcPr>
          <w:p w14:paraId="5DEAACD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Source Expertise's main effect (V = .023, F (4, 150) = .895, p= .469) </w:t>
            </w:r>
          </w:p>
        </w:tc>
        <w:tc>
          <w:tcPr>
            <w:tcW w:w="2835" w:type="dxa"/>
            <w:tcBorders>
              <w:top w:val="nil"/>
              <w:left w:val="nil"/>
              <w:bottom w:val="nil"/>
              <w:right w:val="single" w:sz="4" w:space="0" w:color="auto"/>
            </w:tcBorders>
            <w:shd w:val="clear" w:color="auto" w:fill="auto"/>
            <w:hideMark/>
          </w:tcPr>
          <w:p w14:paraId="0EF6D5F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Source Expertise's main effect (V = .014, F (3, 117) = .401, p= .808) </w:t>
            </w:r>
          </w:p>
        </w:tc>
      </w:tr>
      <w:tr w:rsidR="001435A7" w:rsidRPr="001435A7" w14:paraId="1CBAA918"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60298F34"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3567A90A"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Partially supported</w:t>
            </w:r>
          </w:p>
        </w:tc>
        <w:tc>
          <w:tcPr>
            <w:tcW w:w="2552" w:type="dxa"/>
            <w:tcBorders>
              <w:top w:val="nil"/>
              <w:left w:val="nil"/>
              <w:bottom w:val="single" w:sz="4" w:space="0" w:color="auto"/>
              <w:right w:val="single" w:sz="4" w:space="0" w:color="auto"/>
            </w:tcBorders>
            <w:shd w:val="clear" w:color="auto" w:fill="auto"/>
            <w:hideMark/>
          </w:tcPr>
          <w:p w14:paraId="64CCB4BB" w14:textId="77777777" w:rsidR="008A120D" w:rsidRPr="001435A7" w:rsidRDefault="008A120D" w:rsidP="00091AC4">
            <w:pPr>
              <w:spacing w:after="0" w:line="360" w:lineRule="auto"/>
              <w:rPr>
                <w:rFonts w:ascii="Cambria" w:eastAsia="Times New Roman" w:hAnsi="Cambria" w:cs="Calibri"/>
                <w:highlight w:val="yellow"/>
                <w:lang w:eastAsia="en-GB"/>
              </w:rPr>
            </w:pPr>
            <w:r w:rsidRPr="001435A7">
              <w:rPr>
                <w:rFonts w:ascii="Cambria" w:eastAsia="Times New Roman" w:hAnsi="Cambria" w:cs="Calibri"/>
                <w:highlight w:val="yellow"/>
                <w:lang w:eastAsia="en-GB"/>
              </w:rPr>
              <w:t>Not Supported</w:t>
            </w:r>
          </w:p>
        </w:tc>
        <w:tc>
          <w:tcPr>
            <w:tcW w:w="2835" w:type="dxa"/>
            <w:tcBorders>
              <w:top w:val="nil"/>
              <w:left w:val="nil"/>
              <w:bottom w:val="single" w:sz="4" w:space="0" w:color="auto"/>
              <w:right w:val="single" w:sz="4" w:space="0" w:color="auto"/>
            </w:tcBorders>
            <w:shd w:val="clear" w:color="auto" w:fill="auto"/>
            <w:hideMark/>
          </w:tcPr>
          <w:p w14:paraId="1C3E4A72" w14:textId="77777777" w:rsidR="008A120D" w:rsidRPr="001435A7" w:rsidRDefault="008A120D" w:rsidP="00091AC4">
            <w:pPr>
              <w:spacing w:after="0" w:line="360" w:lineRule="auto"/>
              <w:rPr>
                <w:rFonts w:ascii="Cambria" w:eastAsia="Times New Roman" w:hAnsi="Cambria" w:cs="Calibri"/>
                <w:highlight w:val="yellow"/>
                <w:lang w:eastAsia="en-GB"/>
              </w:rPr>
            </w:pPr>
            <w:r w:rsidRPr="001435A7">
              <w:rPr>
                <w:rFonts w:ascii="Cambria" w:eastAsia="Times New Roman" w:hAnsi="Cambria" w:cs="Calibri"/>
                <w:highlight w:val="yellow"/>
                <w:lang w:eastAsia="en-GB"/>
              </w:rPr>
              <w:t>Not Supported</w:t>
            </w:r>
          </w:p>
        </w:tc>
      </w:tr>
      <w:tr w:rsidR="001435A7" w:rsidRPr="001435A7" w14:paraId="4D0D5467" w14:textId="77777777" w:rsidTr="000850B9">
        <w:trPr>
          <w:trHeight w:val="1544"/>
        </w:trPr>
        <w:tc>
          <w:tcPr>
            <w:tcW w:w="1413" w:type="dxa"/>
            <w:vMerge w:val="restart"/>
            <w:tcBorders>
              <w:top w:val="nil"/>
              <w:left w:val="single" w:sz="4" w:space="0" w:color="auto"/>
              <w:right w:val="single" w:sz="4" w:space="0" w:color="auto"/>
            </w:tcBorders>
            <w:shd w:val="clear" w:color="auto" w:fill="auto"/>
            <w:hideMark/>
          </w:tcPr>
          <w:p w14:paraId="302DA31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5</w:t>
            </w:r>
          </w:p>
          <w:p w14:paraId="3FF5C19B" w14:textId="61D674CE"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52112083"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image quality (β = .722, p = .000); Engrossment (β =  .200, p = .000); self–projection (β = .599, p = .000); mental fluency (β = .578, p = .000) </w:t>
            </w:r>
          </w:p>
        </w:tc>
        <w:tc>
          <w:tcPr>
            <w:tcW w:w="2552" w:type="dxa"/>
            <w:tcBorders>
              <w:top w:val="nil"/>
              <w:left w:val="nil"/>
              <w:bottom w:val="nil"/>
              <w:right w:val="single" w:sz="4" w:space="0" w:color="auto"/>
            </w:tcBorders>
            <w:shd w:val="clear" w:color="auto" w:fill="auto"/>
            <w:hideMark/>
          </w:tcPr>
          <w:p w14:paraId="76192D2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Image quality (β = .751, p = .000); Engrossment (β =  .207, p = .009); self–projection (β = .648, p = .000); mental fluency (β = .603, p = .000) </w:t>
            </w:r>
          </w:p>
        </w:tc>
        <w:tc>
          <w:tcPr>
            <w:tcW w:w="2835" w:type="dxa"/>
            <w:tcBorders>
              <w:top w:val="nil"/>
              <w:left w:val="nil"/>
              <w:bottom w:val="nil"/>
              <w:right w:val="single" w:sz="4" w:space="0" w:color="auto"/>
            </w:tcBorders>
            <w:shd w:val="clear" w:color="auto" w:fill="auto"/>
            <w:hideMark/>
          </w:tcPr>
          <w:p w14:paraId="3EE75DF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Image quality (β = .69, p = .000); Engrossment (β =  .186, p = .014); self–projection (β = .545, p = .000); mental fluency (β = .553, p = .000) </w:t>
            </w:r>
          </w:p>
        </w:tc>
      </w:tr>
      <w:tr w:rsidR="001435A7" w:rsidRPr="001435A7" w14:paraId="645FB91C" w14:textId="77777777" w:rsidTr="000850B9">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136BD4AE" w14:textId="7D8CDCDB"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2ACAC1D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3F7B62D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7B8CD1F6"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0C3B5F95" w14:textId="77777777" w:rsidTr="001468E3">
        <w:trPr>
          <w:trHeight w:val="350"/>
        </w:trPr>
        <w:tc>
          <w:tcPr>
            <w:tcW w:w="1413" w:type="dxa"/>
            <w:vMerge w:val="restart"/>
            <w:tcBorders>
              <w:top w:val="nil"/>
              <w:left w:val="single" w:sz="4" w:space="0" w:color="auto"/>
              <w:right w:val="single" w:sz="4" w:space="0" w:color="auto"/>
            </w:tcBorders>
            <w:shd w:val="clear" w:color="auto" w:fill="auto"/>
            <w:hideMark/>
          </w:tcPr>
          <w:p w14:paraId="302A28C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6</w:t>
            </w:r>
          </w:p>
          <w:p w14:paraId="474D52FE" w14:textId="5C6C596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Multiple regression</w:t>
            </w:r>
          </w:p>
        </w:tc>
        <w:tc>
          <w:tcPr>
            <w:tcW w:w="2693" w:type="dxa"/>
            <w:tcBorders>
              <w:top w:val="nil"/>
              <w:left w:val="nil"/>
              <w:bottom w:val="nil"/>
              <w:right w:val="single" w:sz="4" w:space="0" w:color="auto"/>
            </w:tcBorders>
            <w:shd w:val="clear" w:color="auto" w:fill="auto"/>
            <w:hideMark/>
          </w:tcPr>
          <w:p w14:paraId="7C75C2B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Pr="001435A7">
              <w:rPr>
                <w:rFonts w:ascii="Cambria" w:eastAsia="Times New Roman" w:hAnsi="Cambria" w:cs="Calibri"/>
                <w:sz w:val="24"/>
                <w:szCs w:val="24"/>
                <w:lang w:eastAsia="en-GB"/>
              </w:rPr>
              <w:t xml:space="preserve"> = .335, p = .000</w:t>
            </w:r>
          </w:p>
        </w:tc>
        <w:tc>
          <w:tcPr>
            <w:tcW w:w="2552" w:type="dxa"/>
            <w:tcBorders>
              <w:top w:val="nil"/>
              <w:left w:val="nil"/>
              <w:bottom w:val="nil"/>
              <w:right w:val="single" w:sz="4" w:space="0" w:color="auto"/>
            </w:tcBorders>
            <w:shd w:val="clear" w:color="auto" w:fill="auto"/>
            <w:hideMark/>
          </w:tcPr>
          <w:p w14:paraId="4CBC14FD" w14:textId="112CF1E0"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 .373 p = .000</w:t>
            </w:r>
          </w:p>
        </w:tc>
        <w:tc>
          <w:tcPr>
            <w:tcW w:w="2835" w:type="dxa"/>
            <w:tcBorders>
              <w:top w:val="nil"/>
              <w:left w:val="nil"/>
              <w:bottom w:val="nil"/>
              <w:right w:val="single" w:sz="4" w:space="0" w:color="auto"/>
            </w:tcBorders>
            <w:shd w:val="clear" w:color="auto" w:fill="auto"/>
            <w:hideMark/>
          </w:tcPr>
          <w:p w14:paraId="667E0965" w14:textId="54A32ED6"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=.323; p=.000</w:t>
            </w:r>
          </w:p>
        </w:tc>
      </w:tr>
      <w:tr w:rsidR="001435A7" w:rsidRPr="001435A7" w14:paraId="2EF92D57" w14:textId="77777777" w:rsidTr="009E4967">
        <w:trPr>
          <w:trHeight w:val="709"/>
        </w:trPr>
        <w:tc>
          <w:tcPr>
            <w:tcW w:w="1413" w:type="dxa"/>
            <w:vMerge/>
            <w:tcBorders>
              <w:left w:val="single" w:sz="4" w:space="0" w:color="auto"/>
              <w:bottom w:val="nil"/>
              <w:right w:val="single" w:sz="4" w:space="0" w:color="auto"/>
            </w:tcBorders>
            <w:shd w:val="clear" w:color="auto" w:fill="auto"/>
            <w:hideMark/>
          </w:tcPr>
          <w:p w14:paraId="5CCE7C38" w14:textId="6F304CBF"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788046C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=.195, p =.001); Engrossment (β =.037, p = .492), Self–projection (β =.339, p = .000), Mental fluency (β =.126, p =.072)</w:t>
            </w:r>
          </w:p>
        </w:tc>
        <w:tc>
          <w:tcPr>
            <w:tcW w:w="2552" w:type="dxa"/>
            <w:tcBorders>
              <w:top w:val="nil"/>
              <w:left w:val="nil"/>
              <w:bottom w:val="nil"/>
              <w:right w:val="single" w:sz="4" w:space="0" w:color="auto"/>
            </w:tcBorders>
            <w:shd w:val="clear" w:color="auto" w:fill="auto"/>
            <w:hideMark/>
          </w:tcPr>
          <w:p w14:paraId="6C296490"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 .234, p =.001); Engrossment (β =.057, p = .417), Self–projection (β =.192; p = .039), Mental fluency (β =.179; p =.016)</w:t>
            </w:r>
          </w:p>
        </w:tc>
        <w:tc>
          <w:tcPr>
            <w:tcW w:w="2835" w:type="dxa"/>
            <w:tcBorders>
              <w:top w:val="nil"/>
              <w:left w:val="nil"/>
              <w:bottom w:val="nil"/>
              <w:right w:val="single" w:sz="4" w:space="0" w:color="auto"/>
            </w:tcBorders>
            <w:shd w:val="clear" w:color="auto" w:fill="auto"/>
            <w:hideMark/>
          </w:tcPr>
          <w:p w14:paraId="0B03E1C6"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=.119, p =.121); Engrossment (β =-.024, p = .816), Self–projection (β =.459; p = .000), Mental fluency (β =.021; p =.815)</w:t>
            </w:r>
          </w:p>
        </w:tc>
      </w:tr>
      <w:tr w:rsidR="001435A7" w:rsidRPr="001435A7" w14:paraId="6BCEB224"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284D363A"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35261DD2"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1252D776"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0F207900"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596DF6F9" w14:textId="77777777" w:rsidTr="0092247B">
        <w:trPr>
          <w:trHeight w:val="310"/>
        </w:trPr>
        <w:tc>
          <w:tcPr>
            <w:tcW w:w="1413" w:type="dxa"/>
            <w:vMerge w:val="restart"/>
            <w:tcBorders>
              <w:top w:val="nil"/>
              <w:left w:val="single" w:sz="4" w:space="0" w:color="auto"/>
              <w:right w:val="single" w:sz="4" w:space="0" w:color="auto"/>
            </w:tcBorders>
            <w:shd w:val="clear" w:color="auto" w:fill="auto"/>
            <w:hideMark/>
          </w:tcPr>
          <w:p w14:paraId="3D2891CA"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7</w:t>
            </w:r>
          </w:p>
          <w:p w14:paraId="7394F14E" w14:textId="586DCFE4"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Multiple regression</w:t>
            </w:r>
          </w:p>
        </w:tc>
        <w:tc>
          <w:tcPr>
            <w:tcW w:w="2693" w:type="dxa"/>
            <w:tcBorders>
              <w:top w:val="nil"/>
              <w:left w:val="nil"/>
              <w:bottom w:val="nil"/>
              <w:right w:val="single" w:sz="4" w:space="0" w:color="auto"/>
            </w:tcBorders>
            <w:shd w:val="clear" w:color="auto" w:fill="auto"/>
            <w:hideMark/>
          </w:tcPr>
          <w:p w14:paraId="33FA42A2" w14:textId="67821F3C"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sz w:val="24"/>
                <w:szCs w:val="24"/>
                <w:lang w:eastAsia="en-GB"/>
              </w:rPr>
              <w:t>= .439, p = .000</w:t>
            </w:r>
          </w:p>
        </w:tc>
        <w:tc>
          <w:tcPr>
            <w:tcW w:w="2552" w:type="dxa"/>
            <w:tcBorders>
              <w:top w:val="nil"/>
              <w:left w:val="nil"/>
              <w:bottom w:val="nil"/>
              <w:right w:val="single" w:sz="4" w:space="0" w:color="auto"/>
            </w:tcBorders>
            <w:shd w:val="clear" w:color="auto" w:fill="auto"/>
            <w:hideMark/>
          </w:tcPr>
          <w:p w14:paraId="22DB2016" w14:textId="299DF346"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=.433; p = .000</w:t>
            </w:r>
          </w:p>
        </w:tc>
        <w:tc>
          <w:tcPr>
            <w:tcW w:w="2835" w:type="dxa"/>
            <w:tcBorders>
              <w:top w:val="nil"/>
              <w:left w:val="nil"/>
              <w:bottom w:val="nil"/>
              <w:right w:val="single" w:sz="4" w:space="0" w:color="auto"/>
            </w:tcBorders>
            <w:shd w:val="clear" w:color="auto" w:fill="auto"/>
            <w:hideMark/>
          </w:tcPr>
          <w:p w14:paraId="4B6AC0A9" w14:textId="7C62D737"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=.456; p=.000</w:t>
            </w:r>
          </w:p>
        </w:tc>
      </w:tr>
      <w:tr w:rsidR="001435A7" w:rsidRPr="001435A7" w14:paraId="210E9F77" w14:textId="77777777" w:rsidTr="0092247B">
        <w:trPr>
          <w:trHeight w:val="1560"/>
        </w:trPr>
        <w:tc>
          <w:tcPr>
            <w:tcW w:w="1413" w:type="dxa"/>
            <w:vMerge/>
            <w:tcBorders>
              <w:left w:val="single" w:sz="4" w:space="0" w:color="auto"/>
              <w:bottom w:val="nil"/>
              <w:right w:val="single" w:sz="4" w:space="0" w:color="auto"/>
            </w:tcBorders>
            <w:shd w:val="clear" w:color="auto" w:fill="auto"/>
            <w:hideMark/>
          </w:tcPr>
          <w:p w14:paraId="6AA897A7" w14:textId="1CE53609"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60CEE2C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=.379, p =.000) Engrossment (β = –.020, p =.689), Self–projection (β =.099, p =.161), Mental fluency (β = .318, p =.000)</w:t>
            </w:r>
          </w:p>
        </w:tc>
        <w:tc>
          <w:tcPr>
            <w:tcW w:w="2552" w:type="dxa"/>
            <w:tcBorders>
              <w:top w:val="nil"/>
              <w:left w:val="nil"/>
              <w:bottom w:val="nil"/>
              <w:right w:val="single" w:sz="4" w:space="0" w:color="auto"/>
            </w:tcBorders>
            <w:shd w:val="clear" w:color="auto" w:fill="auto"/>
            <w:hideMark/>
          </w:tcPr>
          <w:p w14:paraId="7BDE782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=.321, p =.000); Engrossment (β =.013, p = .825), Self–projection (β =.036; p = .652), Mental fluency (β =.232; p =.000)</w:t>
            </w:r>
          </w:p>
        </w:tc>
        <w:tc>
          <w:tcPr>
            <w:tcW w:w="2835" w:type="dxa"/>
            <w:tcBorders>
              <w:top w:val="nil"/>
              <w:left w:val="nil"/>
              <w:bottom w:val="nil"/>
              <w:right w:val="single" w:sz="4" w:space="0" w:color="auto"/>
            </w:tcBorders>
            <w:shd w:val="clear" w:color="auto" w:fill="auto"/>
            <w:hideMark/>
          </w:tcPr>
          <w:p w14:paraId="20B37EA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=.277, p =.000); Engrossment (β =-.074, p = .372), Self–projection (β =.140; p = .111), Mental fluency (β =.236; p =.001)</w:t>
            </w:r>
          </w:p>
        </w:tc>
      </w:tr>
      <w:tr w:rsidR="001435A7" w:rsidRPr="001435A7" w14:paraId="53030226"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4908670E"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62666138"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0CAC9915"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54797825"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3A084D95" w14:textId="77777777" w:rsidTr="00590A0A">
        <w:trPr>
          <w:trHeight w:val="73"/>
        </w:trPr>
        <w:tc>
          <w:tcPr>
            <w:tcW w:w="1413" w:type="dxa"/>
            <w:vMerge w:val="restart"/>
            <w:tcBorders>
              <w:top w:val="nil"/>
              <w:left w:val="single" w:sz="4" w:space="0" w:color="auto"/>
              <w:right w:val="single" w:sz="4" w:space="0" w:color="auto"/>
            </w:tcBorders>
            <w:shd w:val="clear" w:color="auto" w:fill="auto"/>
            <w:hideMark/>
          </w:tcPr>
          <w:p w14:paraId="185B7BA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8</w:t>
            </w:r>
          </w:p>
          <w:p w14:paraId="35765C6C" w14:textId="08A29999"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Multiple regression</w:t>
            </w:r>
          </w:p>
        </w:tc>
        <w:tc>
          <w:tcPr>
            <w:tcW w:w="2693" w:type="dxa"/>
            <w:tcBorders>
              <w:top w:val="nil"/>
              <w:left w:val="nil"/>
              <w:bottom w:val="nil"/>
              <w:right w:val="single" w:sz="4" w:space="0" w:color="auto"/>
            </w:tcBorders>
            <w:shd w:val="clear" w:color="auto" w:fill="auto"/>
            <w:hideMark/>
          </w:tcPr>
          <w:p w14:paraId="18C4754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 xml:space="preserve">2 </w:t>
            </w:r>
            <w:r w:rsidRPr="001435A7">
              <w:rPr>
                <w:rFonts w:ascii="Cambria" w:eastAsia="Times New Roman" w:hAnsi="Cambria" w:cs="Calibri"/>
                <w:sz w:val="24"/>
                <w:szCs w:val="24"/>
                <w:lang w:eastAsia="en-GB"/>
              </w:rPr>
              <w:t xml:space="preserve">= .252, p = .000 </w:t>
            </w:r>
          </w:p>
        </w:tc>
        <w:tc>
          <w:tcPr>
            <w:tcW w:w="2552" w:type="dxa"/>
            <w:tcBorders>
              <w:top w:val="nil"/>
              <w:left w:val="nil"/>
              <w:bottom w:val="nil"/>
              <w:right w:val="single" w:sz="4" w:space="0" w:color="auto"/>
            </w:tcBorders>
            <w:shd w:val="clear" w:color="auto" w:fill="auto"/>
            <w:hideMark/>
          </w:tcPr>
          <w:p w14:paraId="43D4CB30" w14:textId="22192B7C"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 xml:space="preserve"> = .297; p= .000</w:t>
            </w:r>
          </w:p>
        </w:tc>
        <w:tc>
          <w:tcPr>
            <w:tcW w:w="2835" w:type="dxa"/>
            <w:tcBorders>
              <w:top w:val="nil"/>
              <w:left w:val="nil"/>
              <w:bottom w:val="nil"/>
              <w:right w:val="single" w:sz="4" w:space="0" w:color="auto"/>
            </w:tcBorders>
            <w:shd w:val="clear" w:color="auto" w:fill="auto"/>
            <w:hideMark/>
          </w:tcPr>
          <w:p w14:paraId="5583BD76" w14:textId="0BCC390B"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=.207; p=.000</w:t>
            </w:r>
          </w:p>
        </w:tc>
      </w:tr>
      <w:tr w:rsidR="001435A7" w:rsidRPr="001435A7" w14:paraId="7C5888A8" w14:textId="77777777" w:rsidTr="00590A0A">
        <w:trPr>
          <w:trHeight w:val="1705"/>
        </w:trPr>
        <w:tc>
          <w:tcPr>
            <w:tcW w:w="1413" w:type="dxa"/>
            <w:vMerge/>
            <w:tcBorders>
              <w:left w:val="single" w:sz="4" w:space="0" w:color="auto"/>
              <w:bottom w:val="nil"/>
              <w:right w:val="single" w:sz="4" w:space="0" w:color="auto"/>
            </w:tcBorders>
            <w:shd w:val="clear" w:color="auto" w:fill="auto"/>
            <w:hideMark/>
          </w:tcPr>
          <w:p w14:paraId="6B950E50" w14:textId="5D70AD43"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50531450" w14:textId="0EAF758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 .195, p =.002; Engrossment β = .059, p =.297, Self–projection β = .266, p =.001, Mental fluency β =.102, p = .166</w:t>
            </w:r>
          </w:p>
        </w:tc>
        <w:tc>
          <w:tcPr>
            <w:tcW w:w="2552" w:type="dxa"/>
            <w:tcBorders>
              <w:top w:val="nil"/>
              <w:left w:val="nil"/>
              <w:bottom w:val="nil"/>
              <w:right w:val="single" w:sz="4" w:space="0" w:color="auto"/>
            </w:tcBorders>
            <w:shd w:val="clear" w:color="auto" w:fill="auto"/>
            <w:hideMark/>
          </w:tcPr>
          <w:p w14:paraId="1E3F27A4" w14:textId="7C3D3C12"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 .132, p =.015); Engrossment (β =.055, p = .299), Self–projection (β =.192; p = .007), Mental fluency (β =.054; p = .336)</w:t>
            </w:r>
          </w:p>
        </w:tc>
        <w:tc>
          <w:tcPr>
            <w:tcW w:w="2835" w:type="dxa"/>
            <w:tcBorders>
              <w:top w:val="nil"/>
              <w:left w:val="nil"/>
              <w:bottom w:val="nil"/>
              <w:right w:val="single" w:sz="4" w:space="0" w:color="auto"/>
            </w:tcBorders>
            <w:shd w:val="clear" w:color="auto" w:fill="auto"/>
            <w:hideMark/>
          </w:tcPr>
          <w:p w14:paraId="77E08B9A" w14:textId="543671ED"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=.124, p =.059); Engrossment (β =.031, p =.726), Self–projection (β =.177; p = .062), Mental fluency (β =.077; p = .327)</w:t>
            </w:r>
          </w:p>
        </w:tc>
      </w:tr>
      <w:tr w:rsidR="001435A7" w:rsidRPr="001435A7" w14:paraId="118711C0"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6B7F7CA8"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14DE1AF7"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27BD38CB"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21388D07"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106869C3" w14:textId="77777777" w:rsidTr="00E74CAC">
        <w:trPr>
          <w:trHeight w:val="330"/>
        </w:trPr>
        <w:tc>
          <w:tcPr>
            <w:tcW w:w="1413" w:type="dxa"/>
            <w:vMerge w:val="restart"/>
            <w:tcBorders>
              <w:top w:val="nil"/>
              <w:left w:val="single" w:sz="4" w:space="0" w:color="auto"/>
              <w:right w:val="single" w:sz="4" w:space="0" w:color="auto"/>
            </w:tcBorders>
            <w:shd w:val="clear" w:color="auto" w:fill="auto"/>
            <w:hideMark/>
          </w:tcPr>
          <w:p w14:paraId="7126EF7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9</w:t>
            </w:r>
          </w:p>
          <w:p w14:paraId="05C09BD1" w14:textId="7DBD441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Multiple regression</w:t>
            </w:r>
          </w:p>
        </w:tc>
        <w:tc>
          <w:tcPr>
            <w:tcW w:w="2693" w:type="dxa"/>
            <w:tcBorders>
              <w:top w:val="nil"/>
              <w:left w:val="nil"/>
              <w:bottom w:val="nil"/>
              <w:right w:val="single" w:sz="4" w:space="0" w:color="auto"/>
            </w:tcBorders>
            <w:shd w:val="clear" w:color="auto" w:fill="auto"/>
            <w:hideMark/>
          </w:tcPr>
          <w:p w14:paraId="492642B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vertAlign w:val="superscript"/>
                <w:lang w:eastAsia="en-GB"/>
              </w:rPr>
              <w:t>2</w:t>
            </w:r>
            <w:r w:rsidRPr="001435A7">
              <w:rPr>
                <w:rFonts w:ascii="Cambria" w:eastAsia="Times New Roman" w:hAnsi="Cambria" w:cs="Calibri"/>
                <w:lang w:eastAsia="en-GB"/>
              </w:rPr>
              <w:t>= .069, p= .001</w:t>
            </w:r>
          </w:p>
        </w:tc>
        <w:tc>
          <w:tcPr>
            <w:tcW w:w="2552" w:type="dxa"/>
            <w:tcBorders>
              <w:top w:val="nil"/>
              <w:left w:val="nil"/>
              <w:bottom w:val="nil"/>
              <w:right w:val="single" w:sz="4" w:space="0" w:color="auto"/>
            </w:tcBorders>
            <w:shd w:val="clear" w:color="auto" w:fill="auto"/>
            <w:hideMark/>
          </w:tcPr>
          <w:p w14:paraId="5BDA639C" w14:textId="1FC85757"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 xml:space="preserve"> = .084; p=.009</w:t>
            </w:r>
          </w:p>
        </w:tc>
        <w:tc>
          <w:tcPr>
            <w:tcW w:w="2835" w:type="dxa"/>
            <w:tcBorders>
              <w:top w:val="nil"/>
              <w:left w:val="nil"/>
              <w:bottom w:val="nil"/>
              <w:right w:val="single" w:sz="4" w:space="0" w:color="auto"/>
            </w:tcBorders>
            <w:shd w:val="clear" w:color="auto" w:fill="auto"/>
            <w:hideMark/>
          </w:tcPr>
          <w:p w14:paraId="642C3E8C" w14:textId="0D26D679" w:rsidR="007C199B" w:rsidRPr="001435A7" w:rsidRDefault="00BF65FF"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w:t>
            </w:r>
            <w:r w:rsidRPr="001435A7">
              <w:rPr>
                <w:rFonts w:ascii="Cambria" w:eastAsia="Times New Roman" w:hAnsi="Cambria" w:cs="Calibri"/>
                <w:sz w:val="24"/>
                <w:szCs w:val="24"/>
                <w:vertAlign w:val="superscript"/>
                <w:lang w:eastAsia="en-GB"/>
              </w:rPr>
              <w:t>2</w:t>
            </w:r>
            <w:r w:rsidR="007C199B" w:rsidRPr="001435A7">
              <w:rPr>
                <w:rFonts w:ascii="Cambria" w:eastAsia="Times New Roman" w:hAnsi="Cambria" w:cs="Calibri"/>
                <w:lang w:eastAsia="en-GB"/>
              </w:rPr>
              <w:t>= .086; p = .032</w:t>
            </w:r>
          </w:p>
        </w:tc>
      </w:tr>
      <w:tr w:rsidR="001435A7" w:rsidRPr="001435A7" w14:paraId="2187FFFF" w14:textId="77777777" w:rsidTr="00E74CAC">
        <w:trPr>
          <w:trHeight w:val="1709"/>
        </w:trPr>
        <w:tc>
          <w:tcPr>
            <w:tcW w:w="1413" w:type="dxa"/>
            <w:vMerge/>
            <w:tcBorders>
              <w:left w:val="single" w:sz="4" w:space="0" w:color="auto"/>
              <w:bottom w:val="nil"/>
              <w:right w:val="single" w:sz="4" w:space="0" w:color="auto"/>
            </w:tcBorders>
            <w:shd w:val="clear" w:color="auto" w:fill="auto"/>
            <w:hideMark/>
          </w:tcPr>
          <w:p w14:paraId="10AE1CB5" w14:textId="096326DC"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nil"/>
              <w:right w:val="single" w:sz="4" w:space="0" w:color="auto"/>
            </w:tcBorders>
            <w:shd w:val="clear" w:color="auto" w:fill="auto"/>
            <w:hideMark/>
          </w:tcPr>
          <w:p w14:paraId="02900E72" w14:textId="7CA61615"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=.169, p=.016); engrossment (β = –.101, p =.109); self–projection (β =.142, p=.119); mental fluency (β = .007, P= .929)</w:t>
            </w:r>
          </w:p>
        </w:tc>
        <w:tc>
          <w:tcPr>
            <w:tcW w:w="2552" w:type="dxa"/>
            <w:tcBorders>
              <w:top w:val="nil"/>
              <w:left w:val="nil"/>
              <w:bottom w:val="nil"/>
              <w:right w:val="single" w:sz="4" w:space="0" w:color="auto"/>
            </w:tcBorders>
            <w:shd w:val="clear" w:color="auto" w:fill="auto"/>
            <w:hideMark/>
          </w:tcPr>
          <w:p w14:paraId="6B86D1DA" w14:textId="47BD86CF"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 024, p =.666); Engrossment (β = -.093, p = .098), Self–projection (β =.174; p = .021), Mental fluency (β =-.010; p = .861)</w:t>
            </w:r>
          </w:p>
        </w:tc>
        <w:tc>
          <w:tcPr>
            <w:tcW w:w="2835" w:type="dxa"/>
            <w:tcBorders>
              <w:top w:val="nil"/>
              <w:left w:val="nil"/>
              <w:bottom w:val="nil"/>
              <w:right w:val="single" w:sz="4" w:space="0" w:color="auto"/>
            </w:tcBorders>
            <w:shd w:val="clear" w:color="auto" w:fill="auto"/>
            <w:hideMark/>
          </w:tcPr>
          <w:p w14:paraId="2E2D7902" w14:textId="61AED90B"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Image quality (β =.167, p =.); Engrossment (β =-.035, p = .659), Self–projection (β = -.008; p = .924), Mental fluency (β =.014; p = .840)</w:t>
            </w:r>
          </w:p>
        </w:tc>
      </w:tr>
      <w:tr w:rsidR="001435A7" w:rsidRPr="001435A7" w14:paraId="45703290" w14:textId="77777777" w:rsidTr="00CC2200">
        <w:trPr>
          <w:trHeight w:val="290"/>
        </w:trPr>
        <w:tc>
          <w:tcPr>
            <w:tcW w:w="1413" w:type="dxa"/>
            <w:tcBorders>
              <w:top w:val="nil"/>
              <w:left w:val="single" w:sz="4" w:space="0" w:color="auto"/>
              <w:bottom w:val="single" w:sz="4" w:space="0" w:color="auto"/>
              <w:right w:val="single" w:sz="4" w:space="0" w:color="auto"/>
            </w:tcBorders>
            <w:shd w:val="clear" w:color="auto" w:fill="auto"/>
            <w:hideMark/>
          </w:tcPr>
          <w:p w14:paraId="79748AF0"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w:t>
            </w:r>
          </w:p>
        </w:tc>
        <w:tc>
          <w:tcPr>
            <w:tcW w:w="2693" w:type="dxa"/>
            <w:tcBorders>
              <w:top w:val="nil"/>
              <w:left w:val="nil"/>
              <w:bottom w:val="single" w:sz="4" w:space="0" w:color="auto"/>
              <w:right w:val="single" w:sz="4" w:space="0" w:color="auto"/>
            </w:tcBorders>
            <w:shd w:val="clear" w:color="auto" w:fill="auto"/>
            <w:hideMark/>
          </w:tcPr>
          <w:p w14:paraId="070306F6"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1A2EC2E4"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0EF76F29" w14:textId="77777777" w:rsidR="008A120D" w:rsidRPr="001435A7" w:rsidRDefault="008A120D"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343F60DD" w14:textId="77777777" w:rsidTr="00F45D61">
        <w:trPr>
          <w:trHeight w:val="560"/>
        </w:trPr>
        <w:tc>
          <w:tcPr>
            <w:tcW w:w="1413" w:type="dxa"/>
            <w:vMerge w:val="restart"/>
            <w:tcBorders>
              <w:top w:val="nil"/>
              <w:left w:val="single" w:sz="4" w:space="0" w:color="auto"/>
              <w:right w:val="single" w:sz="4" w:space="0" w:color="auto"/>
            </w:tcBorders>
            <w:shd w:val="clear" w:color="auto" w:fill="auto"/>
            <w:hideMark/>
          </w:tcPr>
          <w:p w14:paraId="1366718E"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10</w:t>
            </w:r>
            <w:r w:rsidRPr="001435A7">
              <w:rPr>
                <w:rFonts w:ascii="Cambria" w:eastAsia="Times New Roman" w:hAnsi="Cambria" w:cs="Calibri"/>
                <w:lang w:eastAsia="en-GB"/>
              </w:rPr>
              <w:t xml:space="preserve">: </w:t>
            </w:r>
          </w:p>
          <w:p w14:paraId="7C50A0C4" w14:textId="5C1F000B"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3C3472F8" w14:textId="41D9F249"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β = .876; SE = 0.045; p = .000;</w:t>
            </w:r>
            <w:r w:rsidR="003B28A6" w:rsidRPr="001435A7">
              <w:rPr>
                <w:rFonts w:ascii="Cambria" w:eastAsia="Times New Roman" w:hAnsi="Cambria" w:cs="Calibri"/>
                <w:lang w:eastAsia="en-GB"/>
              </w:rPr>
              <w:t xml:space="preserve"> R</w:t>
            </w:r>
            <w:r w:rsidR="003B28A6"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0.573</w:t>
            </w:r>
          </w:p>
        </w:tc>
        <w:tc>
          <w:tcPr>
            <w:tcW w:w="2552" w:type="dxa"/>
            <w:tcBorders>
              <w:top w:val="nil"/>
              <w:left w:val="nil"/>
              <w:bottom w:val="nil"/>
              <w:right w:val="single" w:sz="4" w:space="0" w:color="auto"/>
            </w:tcBorders>
            <w:shd w:val="clear" w:color="auto" w:fill="auto"/>
            <w:hideMark/>
          </w:tcPr>
          <w:p w14:paraId="432B5FFF" w14:textId="2333AE3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0.957; SE = .059; p = .000; </w:t>
            </w:r>
            <w:r w:rsidR="003B28A6" w:rsidRPr="001435A7">
              <w:rPr>
                <w:rFonts w:ascii="Cambria" w:eastAsia="Times New Roman" w:hAnsi="Cambria" w:cs="Calibri"/>
                <w:lang w:eastAsia="en-GB"/>
              </w:rPr>
              <w:t>R</w:t>
            </w:r>
            <w:r w:rsidR="003B28A6"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.627.</w:t>
            </w:r>
          </w:p>
        </w:tc>
        <w:tc>
          <w:tcPr>
            <w:tcW w:w="2835" w:type="dxa"/>
            <w:tcBorders>
              <w:top w:val="nil"/>
              <w:left w:val="nil"/>
              <w:bottom w:val="nil"/>
              <w:right w:val="single" w:sz="4" w:space="0" w:color="auto"/>
            </w:tcBorders>
            <w:shd w:val="clear" w:color="auto" w:fill="auto"/>
            <w:hideMark/>
          </w:tcPr>
          <w:p w14:paraId="720E938C" w14:textId="3EFBF9A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.784; SE = .070; p = .000; </w:t>
            </w:r>
            <w:r w:rsidR="003B28A6" w:rsidRPr="001435A7">
              <w:rPr>
                <w:rFonts w:ascii="Cambria" w:eastAsia="Times New Roman" w:hAnsi="Cambria" w:cs="Calibri"/>
                <w:lang w:eastAsia="en-GB"/>
              </w:rPr>
              <w:t>R</w:t>
            </w:r>
            <w:r w:rsidR="003B28A6"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.516</w:t>
            </w:r>
          </w:p>
        </w:tc>
      </w:tr>
      <w:tr w:rsidR="001435A7" w:rsidRPr="001435A7" w14:paraId="5BB6FA77" w14:textId="77777777" w:rsidTr="00F45D61">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7E73D3A0" w14:textId="3329A73A"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3C8A9D0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2CB80CB6"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2BCC67C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64FD499F" w14:textId="77777777" w:rsidTr="000A346B">
        <w:trPr>
          <w:trHeight w:val="610"/>
        </w:trPr>
        <w:tc>
          <w:tcPr>
            <w:tcW w:w="1413" w:type="dxa"/>
            <w:vMerge w:val="restart"/>
            <w:tcBorders>
              <w:top w:val="nil"/>
              <w:left w:val="single" w:sz="4" w:space="0" w:color="auto"/>
              <w:right w:val="single" w:sz="4" w:space="0" w:color="auto"/>
            </w:tcBorders>
            <w:shd w:val="clear" w:color="auto" w:fill="auto"/>
            <w:hideMark/>
          </w:tcPr>
          <w:p w14:paraId="4E57FC7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11</w:t>
            </w:r>
          </w:p>
          <w:p w14:paraId="15B37CA7" w14:textId="207D2ED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21C1C8D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0.576; SE = .075; p = .000; R2 = 0.177 </w:t>
            </w:r>
          </w:p>
        </w:tc>
        <w:tc>
          <w:tcPr>
            <w:tcW w:w="2552" w:type="dxa"/>
            <w:tcBorders>
              <w:top w:val="nil"/>
              <w:left w:val="nil"/>
              <w:bottom w:val="nil"/>
              <w:right w:val="single" w:sz="4" w:space="0" w:color="auto"/>
            </w:tcBorders>
            <w:shd w:val="clear" w:color="auto" w:fill="auto"/>
            <w:hideMark/>
          </w:tcPr>
          <w:p w14:paraId="2242C676"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β = 0.677; SE = .108; p = .000; R2 = 0.203</w:t>
            </w:r>
          </w:p>
        </w:tc>
        <w:tc>
          <w:tcPr>
            <w:tcW w:w="2835" w:type="dxa"/>
            <w:tcBorders>
              <w:top w:val="nil"/>
              <w:left w:val="nil"/>
              <w:bottom w:val="nil"/>
              <w:right w:val="single" w:sz="4" w:space="0" w:color="auto"/>
            </w:tcBorders>
            <w:shd w:val="clear" w:color="auto" w:fill="auto"/>
            <w:hideMark/>
          </w:tcPr>
          <w:p w14:paraId="76C454F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β = .472; SE = .103; p = .000; R2 = .150</w:t>
            </w:r>
          </w:p>
        </w:tc>
      </w:tr>
      <w:tr w:rsidR="001435A7" w:rsidRPr="001435A7" w14:paraId="7304EA6A" w14:textId="77777777" w:rsidTr="000A346B">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63FE3F30" w14:textId="0DE04D9F"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2BCAF9E4"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24E1776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78AF2AAB"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6B91D14F" w14:textId="77777777" w:rsidTr="003A1527">
        <w:trPr>
          <w:trHeight w:val="619"/>
        </w:trPr>
        <w:tc>
          <w:tcPr>
            <w:tcW w:w="1413" w:type="dxa"/>
            <w:vMerge w:val="restart"/>
            <w:tcBorders>
              <w:top w:val="nil"/>
              <w:left w:val="single" w:sz="4" w:space="0" w:color="auto"/>
              <w:right w:val="single" w:sz="4" w:space="0" w:color="auto"/>
            </w:tcBorders>
            <w:shd w:val="clear" w:color="auto" w:fill="auto"/>
            <w:hideMark/>
          </w:tcPr>
          <w:p w14:paraId="1C844AC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12</w:t>
            </w:r>
          </w:p>
          <w:p w14:paraId="1EA1CDEF" w14:textId="1A3576AF"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4066132E" w14:textId="77B1EA1F"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0.255; SE = 0.092; p = 0.006; </w:t>
            </w:r>
            <w:r w:rsidR="003B28A6" w:rsidRPr="001435A7">
              <w:rPr>
                <w:rFonts w:ascii="Cambria" w:eastAsia="Times New Roman" w:hAnsi="Cambria" w:cs="Calibri"/>
                <w:lang w:eastAsia="en-GB"/>
              </w:rPr>
              <w:t>R</w:t>
            </w:r>
            <w:r w:rsidR="003B28A6"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0.027</w:t>
            </w:r>
          </w:p>
        </w:tc>
        <w:tc>
          <w:tcPr>
            <w:tcW w:w="2552" w:type="dxa"/>
            <w:tcBorders>
              <w:top w:val="nil"/>
              <w:left w:val="nil"/>
              <w:bottom w:val="nil"/>
              <w:right w:val="single" w:sz="4" w:space="0" w:color="auto"/>
            </w:tcBorders>
            <w:shd w:val="clear" w:color="auto" w:fill="auto"/>
            <w:hideMark/>
          </w:tcPr>
          <w:p w14:paraId="26FA9EE2" w14:textId="15C15121"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0.267; SE = 0.128; p = .039;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0.027</w:t>
            </w:r>
          </w:p>
        </w:tc>
        <w:tc>
          <w:tcPr>
            <w:tcW w:w="2835" w:type="dxa"/>
            <w:tcBorders>
              <w:top w:val="nil"/>
              <w:left w:val="nil"/>
              <w:bottom w:val="nil"/>
              <w:right w:val="single" w:sz="4" w:space="0" w:color="auto"/>
            </w:tcBorders>
            <w:shd w:val="clear" w:color="auto" w:fill="auto"/>
            <w:hideMark/>
          </w:tcPr>
          <w:p w14:paraId="77AE0F67" w14:textId="4D729BB1"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.239; SE = .133; p = .075;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.026</w:t>
            </w:r>
          </w:p>
        </w:tc>
      </w:tr>
      <w:tr w:rsidR="001435A7" w:rsidRPr="001435A7" w14:paraId="2BEF7705" w14:textId="77777777" w:rsidTr="003A1527">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5417BD4F" w14:textId="53B57190"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2DC6520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2C4661BD"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23205F2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Not supported</w:t>
            </w:r>
          </w:p>
        </w:tc>
      </w:tr>
      <w:tr w:rsidR="001435A7" w:rsidRPr="001435A7" w14:paraId="6605C06E" w14:textId="77777777" w:rsidTr="00211AD1">
        <w:trPr>
          <w:trHeight w:val="546"/>
        </w:trPr>
        <w:tc>
          <w:tcPr>
            <w:tcW w:w="1413" w:type="dxa"/>
            <w:vMerge w:val="restart"/>
            <w:tcBorders>
              <w:top w:val="nil"/>
              <w:left w:val="single" w:sz="4" w:space="0" w:color="auto"/>
              <w:right w:val="single" w:sz="4" w:space="0" w:color="auto"/>
            </w:tcBorders>
            <w:shd w:val="clear" w:color="auto" w:fill="auto"/>
            <w:hideMark/>
          </w:tcPr>
          <w:p w14:paraId="19D8C69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13</w:t>
            </w:r>
          </w:p>
          <w:p w14:paraId="1CB5CD77" w14:textId="2C47AE28"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05980F1F" w14:textId="632CF12D"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0.526; SE = 0.049;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0.29</w:t>
            </w:r>
          </w:p>
        </w:tc>
        <w:tc>
          <w:tcPr>
            <w:tcW w:w="2552" w:type="dxa"/>
            <w:tcBorders>
              <w:top w:val="nil"/>
              <w:left w:val="nil"/>
              <w:bottom w:val="nil"/>
              <w:right w:val="single" w:sz="4" w:space="0" w:color="auto"/>
            </w:tcBorders>
            <w:shd w:val="clear" w:color="auto" w:fill="auto"/>
            <w:hideMark/>
          </w:tcPr>
          <w:p w14:paraId="3588D747" w14:textId="384B4DD4"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0.577; SE = 0.058;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.390.</w:t>
            </w:r>
          </w:p>
        </w:tc>
        <w:tc>
          <w:tcPr>
            <w:tcW w:w="2835" w:type="dxa"/>
            <w:tcBorders>
              <w:top w:val="nil"/>
              <w:left w:val="nil"/>
              <w:bottom w:val="nil"/>
              <w:right w:val="single" w:sz="4" w:space="0" w:color="auto"/>
            </w:tcBorders>
            <w:shd w:val="clear" w:color="auto" w:fill="auto"/>
            <w:hideMark/>
          </w:tcPr>
          <w:p w14:paraId="5DB78F6A" w14:textId="58E9318E"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.442; SE = .086;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.181</w:t>
            </w:r>
          </w:p>
        </w:tc>
      </w:tr>
      <w:tr w:rsidR="001435A7" w:rsidRPr="001435A7" w14:paraId="3FF63D11" w14:textId="77777777" w:rsidTr="00D44409">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05B41D85" w14:textId="392E3AAD"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69DD3DD2"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67999E9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0B65157E"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3FFCF6BE" w14:textId="77777777" w:rsidTr="00CC2200">
        <w:trPr>
          <w:trHeight w:val="610"/>
        </w:trPr>
        <w:tc>
          <w:tcPr>
            <w:tcW w:w="1413" w:type="dxa"/>
            <w:vMerge w:val="restart"/>
            <w:tcBorders>
              <w:top w:val="single" w:sz="4" w:space="0" w:color="auto"/>
              <w:left w:val="single" w:sz="4" w:space="0" w:color="auto"/>
              <w:right w:val="single" w:sz="4" w:space="0" w:color="auto"/>
            </w:tcBorders>
            <w:shd w:val="clear" w:color="auto" w:fill="auto"/>
            <w:hideMark/>
          </w:tcPr>
          <w:p w14:paraId="6F780A4B"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14</w:t>
            </w:r>
          </w:p>
          <w:p w14:paraId="64919B27" w14:textId="6B2FC16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40FA092D" w14:textId="1153FEC0"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0.37; SE = 0.057;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0.133</w:t>
            </w:r>
          </w:p>
        </w:tc>
        <w:tc>
          <w:tcPr>
            <w:tcW w:w="2552" w:type="dxa"/>
            <w:tcBorders>
              <w:top w:val="nil"/>
              <w:left w:val="nil"/>
              <w:bottom w:val="nil"/>
              <w:right w:val="single" w:sz="4" w:space="0" w:color="auto"/>
            </w:tcBorders>
            <w:shd w:val="clear" w:color="auto" w:fill="auto"/>
            <w:hideMark/>
          </w:tcPr>
          <w:p w14:paraId="533ECD4D" w14:textId="443DFB95"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.325.; SE = 0080;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0.095</w:t>
            </w:r>
          </w:p>
        </w:tc>
        <w:tc>
          <w:tcPr>
            <w:tcW w:w="2835" w:type="dxa"/>
            <w:tcBorders>
              <w:top w:val="nil"/>
              <w:left w:val="nil"/>
              <w:bottom w:val="nil"/>
              <w:right w:val="single" w:sz="4" w:space="0" w:color="auto"/>
            </w:tcBorders>
            <w:shd w:val="clear" w:color="auto" w:fill="auto"/>
            <w:hideMark/>
          </w:tcPr>
          <w:p w14:paraId="2B56E787" w14:textId="4B7269D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432.; SE = .081;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0.193</w:t>
            </w:r>
          </w:p>
        </w:tc>
      </w:tr>
      <w:tr w:rsidR="001435A7" w:rsidRPr="001435A7" w14:paraId="335EEEA6" w14:textId="77777777" w:rsidTr="00792DDD">
        <w:trPr>
          <w:trHeight w:val="270"/>
        </w:trPr>
        <w:tc>
          <w:tcPr>
            <w:tcW w:w="1413" w:type="dxa"/>
            <w:vMerge/>
            <w:tcBorders>
              <w:left w:val="single" w:sz="4" w:space="0" w:color="auto"/>
              <w:bottom w:val="single" w:sz="4" w:space="0" w:color="auto"/>
              <w:right w:val="single" w:sz="4" w:space="0" w:color="auto"/>
            </w:tcBorders>
            <w:shd w:val="clear" w:color="auto" w:fill="auto"/>
            <w:hideMark/>
          </w:tcPr>
          <w:p w14:paraId="6692A28D" w14:textId="3338702B"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2272D8A9"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2AEE924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1D6E813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100359C9" w14:textId="77777777" w:rsidTr="00CC2200">
        <w:trPr>
          <w:trHeight w:val="580"/>
        </w:trPr>
        <w:tc>
          <w:tcPr>
            <w:tcW w:w="1413" w:type="dxa"/>
            <w:vMerge w:val="restart"/>
            <w:tcBorders>
              <w:top w:val="single" w:sz="4" w:space="0" w:color="auto"/>
              <w:left w:val="single" w:sz="4" w:space="0" w:color="auto"/>
              <w:right w:val="single" w:sz="4" w:space="0" w:color="auto"/>
            </w:tcBorders>
            <w:shd w:val="clear" w:color="auto" w:fill="auto"/>
            <w:hideMark/>
          </w:tcPr>
          <w:p w14:paraId="605B5D30"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15</w:t>
            </w:r>
          </w:p>
          <w:p w14:paraId="5BF61279" w14:textId="2C12D80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0A2F8054" w14:textId="2F00C933"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0.338; SE = 0.06;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0.104</w:t>
            </w:r>
          </w:p>
        </w:tc>
        <w:tc>
          <w:tcPr>
            <w:tcW w:w="2552" w:type="dxa"/>
            <w:tcBorders>
              <w:top w:val="nil"/>
              <w:left w:val="nil"/>
              <w:bottom w:val="nil"/>
              <w:right w:val="single" w:sz="4" w:space="0" w:color="auto"/>
            </w:tcBorders>
            <w:shd w:val="clear" w:color="auto" w:fill="auto"/>
            <w:hideMark/>
          </w:tcPr>
          <w:p w14:paraId="5B5ADE38" w14:textId="6FD8F818"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0.324; SE = .081;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0.092</w:t>
            </w:r>
          </w:p>
        </w:tc>
        <w:tc>
          <w:tcPr>
            <w:tcW w:w="2835" w:type="dxa"/>
            <w:tcBorders>
              <w:top w:val="nil"/>
              <w:left w:val="nil"/>
              <w:bottom w:val="nil"/>
              <w:right w:val="single" w:sz="4" w:space="0" w:color="auto"/>
            </w:tcBorders>
            <w:shd w:val="clear" w:color="auto" w:fill="auto"/>
            <w:hideMark/>
          </w:tcPr>
          <w:p w14:paraId="480C0407" w14:textId="6BCA870D"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.356; SE =.087;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0.122</w:t>
            </w:r>
          </w:p>
        </w:tc>
      </w:tr>
      <w:tr w:rsidR="001435A7" w:rsidRPr="001435A7" w14:paraId="2286EC5F" w14:textId="77777777" w:rsidTr="00B83A53">
        <w:trPr>
          <w:trHeight w:val="300"/>
        </w:trPr>
        <w:tc>
          <w:tcPr>
            <w:tcW w:w="1413" w:type="dxa"/>
            <w:vMerge/>
            <w:tcBorders>
              <w:left w:val="single" w:sz="4" w:space="0" w:color="auto"/>
              <w:bottom w:val="single" w:sz="4" w:space="0" w:color="auto"/>
              <w:right w:val="single" w:sz="4" w:space="0" w:color="auto"/>
            </w:tcBorders>
            <w:shd w:val="clear" w:color="auto" w:fill="auto"/>
            <w:hideMark/>
          </w:tcPr>
          <w:p w14:paraId="6B98344E" w14:textId="7B204F98"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491B8EB2"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413E0DF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04AAABA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667347E7" w14:textId="77777777" w:rsidTr="00CC2200">
        <w:trPr>
          <w:trHeight w:val="580"/>
        </w:trPr>
        <w:tc>
          <w:tcPr>
            <w:tcW w:w="1413" w:type="dxa"/>
            <w:vMerge w:val="restart"/>
            <w:tcBorders>
              <w:top w:val="single" w:sz="4" w:space="0" w:color="auto"/>
              <w:left w:val="single" w:sz="4" w:space="0" w:color="auto"/>
              <w:right w:val="single" w:sz="4" w:space="0" w:color="auto"/>
            </w:tcBorders>
            <w:shd w:val="clear" w:color="auto" w:fill="auto"/>
            <w:hideMark/>
          </w:tcPr>
          <w:p w14:paraId="253A95D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16</w:t>
            </w:r>
          </w:p>
          <w:p w14:paraId="2D26CAC9" w14:textId="539457E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443E456E" w14:textId="1139DE6D"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β = 0.481; SE = 0.058;</w:t>
            </w:r>
            <w:r w:rsidR="00275988" w:rsidRPr="001435A7">
              <w:rPr>
                <w:rFonts w:ascii="Cambria" w:eastAsia="Times New Roman" w:hAnsi="Cambria" w:cs="Calibri"/>
                <w:lang w:eastAsia="en-GB"/>
              </w:rPr>
              <w:t xml:space="preserve"> 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0.202</w:t>
            </w:r>
          </w:p>
        </w:tc>
        <w:tc>
          <w:tcPr>
            <w:tcW w:w="2552" w:type="dxa"/>
            <w:tcBorders>
              <w:top w:val="nil"/>
              <w:left w:val="nil"/>
              <w:bottom w:val="nil"/>
              <w:right w:val="single" w:sz="4" w:space="0" w:color="auto"/>
            </w:tcBorders>
            <w:shd w:val="clear" w:color="auto" w:fill="auto"/>
            <w:hideMark/>
          </w:tcPr>
          <w:p w14:paraId="23FA6095" w14:textId="3A44EA70"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.476; SE = .078;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0.194</w:t>
            </w:r>
          </w:p>
        </w:tc>
        <w:tc>
          <w:tcPr>
            <w:tcW w:w="2835" w:type="dxa"/>
            <w:tcBorders>
              <w:top w:val="nil"/>
              <w:left w:val="nil"/>
              <w:bottom w:val="nil"/>
              <w:right w:val="single" w:sz="4" w:space="0" w:color="auto"/>
            </w:tcBorders>
            <w:shd w:val="clear" w:color="auto" w:fill="auto"/>
            <w:hideMark/>
          </w:tcPr>
          <w:p w14:paraId="575802E1" w14:textId="2427CA82"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.480; SE = .088;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0.201</w:t>
            </w:r>
          </w:p>
        </w:tc>
      </w:tr>
      <w:tr w:rsidR="001435A7" w:rsidRPr="001435A7" w14:paraId="789ECE9B" w14:textId="77777777" w:rsidTr="0013728C">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6F9A64C6" w14:textId="73DB7D27"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1118E370"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02D9FB8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nil"/>
              <w:right w:val="single" w:sz="4" w:space="0" w:color="auto"/>
            </w:tcBorders>
            <w:shd w:val="clear" w:color="auto" w:fill="auto"/>
            <w:hideMark/>
          </w:tcPr>
          <w:p w14:paraId="7F945571" w14:textId="1ED287A9"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Supported</w:t>
            </w:r>
          </w:p>
        </w:tc>
      </w:tr>
      <w:tr w:rsidR="001435A7" w:rsidRPr="001435A7" w14:paraId="622E9D8F" w14:textId="77777777" w:rsidTr="00367310">
        <w:trPr>
          <w:trHeight w:val="483"/>
        </w:trPr>
        <w:tc>
          <w:tcPr>
            <w:tcW w:w="1413" w:type="dxa"/>
            <w:vMerge w:val="restart"/>
            <w:tcBorders>
              <w:top w:val="single" w:sz="4" w:space="0" w:color="auto"/>
              <w:left w:val="single" w:sz="4" w:space="0" w:color="auto"/>
              <w:right w:val="single" w:sz="4" w:space="0" w:color="auto"/>
            </w:tcBorders>
            <w:shd w:val="clear" w:color="auto" w:fill="auto"/>
            <w:hideMark/>
          </w:tcPr>
          <w:p w14:paraId="0F68D6A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17</w:t>
            </w:r>
          </w:p>
          <w:p w14:paraId="7F68F921" w14:textId="4400AAE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792A6BAF" w14:textId="0F7E7B5C"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0.388; SE = 0.055;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0.153</w:t>
            </w:r>
          </w:p>
        </w:tc>
        <w:tc>
          <w:tcPr>
            <w:tcW w:w="2552" w:type="dxa"/>
            <w:tcBorders>
              <w:top w:val="nil"/>
              <w:left w:val="nil"/>
              <w:bottom w:val="nil"/>
              <w:right w:val="single" w:sz="4" w:space="0" w:color="auto"/>
            </w:tcBorders>
            <w:shd w:val="clear" w:color="auto" w:fill="auto"/>
            <w:hideMark/>
          </w:tcPr>
          <w:p w14:paraId="6B720CC9" w14:textId="33006BF8"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.407.; SE = 0.077;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0.153</w:t>
            </w:r>
          </w:p>
        </w:tc>
        <w:tc>
          <w:tcPr>
            <w:tcW w:w="2835" w:type="dxa"/>
            <w:tcBorders>
              <w:top w:val="single" w:sz="4" w:space="0" w:color="auto"/>
              <w:left w:val="nil"/>
              <w:bottom w:val="nil"/>
              <w:right w:val="single" w:sz="4" w:space="0" w:color="auto"/>
            </w:tcBorders>
            <w:shd w:val="clear" w:color="auto" w:fill="auto"/>
            <w:hideMark/>
          </w:tcPr>
          <w:p w14:paraId="116170BC" w14:textId="17B2287B"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.365; SE = .079;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0.153</w:t>
            </w:r>
          </w:p>
        </w:tc>
      </w:tr>
      <w:tr w:rsidR="001435A7" w:rsidRPr="001435A7" w14:paraId="7C208E17" w14:textId="77777777" w:rsidTr="00D90426">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315F58CF" w14:textId="068E6383"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31DEB938"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48745FC7"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338B253E"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6BF97E74" w14:textId="77777777" w:rsidTr="00211AD1">
        <w:trPr>
          <w:trHeight w:val="419"/>
        </w:trPr>
        <w:tc>
          <w:tcPr>
            <w:tcW w:w="1413" w:type="dxa"/>
            <w:vMerge w:val="restart"/>
            <w:tcBorders>
              <w:top w:val="single" w:sz="4" w:space="0" w:color="auto"/>
              <w:left w:val="single" w:sz="4" w:space="0" w:color="auto"/>
              <w:right w:val="single" w:sz="4" w:space="0" w:color="auto"/>
            </w:tcBorders>
            <w:shd w:val="clear" w:color="auto" w:fill="auto"/>
            <w:hideMark/>
          </w:tcPr>
          <w:p w14:paraId="0D2EFDF3"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18</w:t>
            </w:r>
          </w:p>
          <w:p w14:paraId="07F80F01" w14:textId="5ED107E0"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52645C93" w14:textId="11124EE6"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0.576; SE = 0.052;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0.308</w:t>
            </w:r>
          </w:p>
        </w:tc>
        <w:tc>
          <w:tcPr>
            <w:tcW w:w="2552" w:type="dxa"/>
            <w:tcBorders>
              <w:top w:val="nil"/>
              <w:left w:val="nil"/>
              <w:bottom w:val="nil"/>
              <w:right w:val="single" w:sz="4" w:space="0" w:color="auto"/>
            </w:tcBorders>
            <w:shd w:val="clear" w:color="auto" w:fill="auto"/>
            <w:hideMark/>
          </w:tcPr>
          <w:p w14:paraId="6F404A9E" w14:textId="197AC6A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.586 SE = .069;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0.318</w:t>
            </w:r>
          </w:p>
        </w:tc>
        <w:tc>
          <w:tcPr>
            <w:tcW w:w="2835" w:type="dxa"/>
            <w:tcBorders>
              <w:top w:val="nil"/>
              <w:left w:val="nil"/>
              <w:bottom w:val="nil"/>
              <w:right w:val="single" w:sz="4" w:space="0" w:color="auto"/>
            </w:tcBorders>
            <w:shd w:val="clear" w:color="auto" w:fill="auto"/>
            <w:hideMark/>
          </w:tcPr>
          <w:p w14:paraId="107B79BA" w14:textId="735379E3"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.560; SE = .080;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0.291</w:t>
            </w:r>
          </w:p>
        </w:tc>
      </w:tr>
      <w:tr w:rsidR="001435A7" w:rsidRPr="001435A7" w14:paraId="6AECA44F" w14:textId="77777777" w:rsidTr="00752827">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5D751695" w14:textId="0898F914"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6FF04870"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7017E99F"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606A593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r w:rsidR="001435A7" w:rsidRPr="001435A7" w14:paraId="39752A44" w14:textId="77777777" w:rsidTr="00355195">
        <w:trPr>
          <w:trHeight w:val="574"/>
        </w:trPr>
        <w:tc>
          <w:tcPr>
            <w:tcW w:w="1413" w:type="dxa"/>
            <w:vMerge w:val="restart"/>
            <w:tcBorders>
              <w:top w:val="single" w:sz="4" w:space="0" w:color="auto"/>
              <w:left w:val="single" w:sz="4" w:space="0" w:color="auto"/>
              <w:right w:val="single" w:sz="4" w:space="0" w:color="auto"/>
            </w:tcBorders>
            <w:shd w:val="clear" w:color="auto" w:fill="auto"/>
            <w:hideMark/>
          </w:tcPr>
          <w:p w14:paraId="0824C781"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H</w:t>
            </w:r>
            <w:r w:rsidRPr="001435A7">
              <w:rPr>
                <w:rFonts w:ascii="Cambria" w:hAnsi="Cambria"/>
                <w:vertAlign w:val="subscript"/>
              </w:rPr>
              <w:t>19</w:t>
            </w:r>
          </w:p>
          <w:p w14:paraId="1368600A" w14:textId="06064AE0"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Regression</w:t>
            </w:r>
          </w:p>
        </w:tc>
        <w:tc>
          <w:tcPr>
            <w:tcW w:w="2693" w:type="dxa"/>
            <w:tcBorders>
              <w:top w:val="nil"/>
              <w:left w:val="nil"/>
              <w:bottom w:val="nil"/>
              <w:right w:val="single" w:sz="4" w:space="0" w:color="auto"/>
            </w:tcBorders>
            <w:shd w:val="clear" w:color="auto" w:fill="auto"/>
            <w:hideMark/>
          </w:tcPr>
          <w:p w14:paraId="2639247E" w14:textId="68FB5F0A"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0.271; SE = 0.046;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0.113</w:t>
            </w:r>
          </w:p>
        </w:tc>
        <w:tc>
          <w:tcPr>
            <w:tcW w:w="2552" w:type="dxa"/>
            <w:tcBorders>
              <w:top w:val="nil"/>
              <w:left w:val="nil"/>
              <w:bottom w:val="nil"/>
              <w:right w:val="single" w:sz="4" w:space="0" w:color="auto"/>
            </w:tcBorders>
            <w:shd w:val="clear" w:color="auto" w:fill="auto"/>
            <w:hideMark/>
          </w:tcPr>
          <w:p w14:paraId="7939CCD6" w14:textId="79390402"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.299; SE = .062;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.130</w:t>
            </w:r>
          </w:p>
        </w:tc>
        <w:tc>
          <w:tcPr>
            <w:tcW w:w="2835" w:type="dxa"/>
            <w:tcBorders>
              <w:top w:val="nil"/>
              <w:left w:val="nil"/>
              <w:bottom w:val="nil"/>
              <w:right w:val="single" w:sz="4" w:space="0" w:color="auto"/>
            </w:tcBorders>
            <w:shd w:val="clear" w:color="auto" w:fill="auto"/>
            <w:hideMark/>
          </w:tcPr>
          <w:p w14:paraId="3974307E" w14:textId="26F47F9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 xml:space="preserve">β = .230.; SE = .067; p = .000; </w:t>
            </w:r>
            <w:r w:rsidR="00275988" w:rsidRPr="001435A7">
              <w:rPr>
                <w:rFonts w:ascii="Cambria" w:eastAsia="Times New Roman" w:hAnsi="Cambria" w:cs="Calibri"/>
                <w:lang w:eastAsia="en-GB"/>
              </w:rPr>
              <w:t>R</w:t>
            </w:r>
            <w:r w:rsidR="00275988" w:rsidRPr="001435A7">
              <w:rPr>
                <w:rFonts w:ascii="Cambria" w:eastAsia="Times New Roman" w:hAnsi="Cambria" w:cs="Calibri"/>
                <w:sz w:val="24"/>
                <w:szCs w:val="24"/>
                <w:vertAlign w:val="superscript"/>
                <w:lang w:eastAsia="en-GB"/>
              </w:rPr>
              <w:t>2</w:t>
            </w:r>
            <w:r w:rsidRPr="001435A7">
              <w:rPr>
                <w:rFonts w:ascii="Cambria" w:eastAsia="Times New Roman" w:hAnsi="Cambria" w:cs="Calibri"/>
                <w:lang w:eastAsia="en-GB"/>
              </w:rPr>
              <w:t xml:space="preserve"> = .090</w:t>
            </w:r>
          </w:p>
        </w:tc>
      </w:tr>
      <w:tr w:rsidR="007C199B" w:rsidRPr="001435A7" w14:paraId="0561ED0A" w14:textId="77777777" w:rsidTr="00355195">
        <w:trPr>
          <w:trHeight w:val="290"/>
        </w:trPr>
        <w:tc>
          <w:tcPr>
            <w:tcW w:w="1413" w:type="dxa"/>
            <w:vMerge/>
            <w:tcBorders>
              <w:left w:val="single" w:sz="4" w:space="0" w:color="auto"/>
              <w:bottom w:val="single" w:sz="4" w:space="0" w:color="auto"/>
              <w:right w:val="single" w:sz="4" w:space="0" w:color="auto"/>
            </w:tcBorders>
            <w:shd w:val="clear" w:color="auto" w:fill="auto"/>
            <w:hideMark/>
          </w:tcPr>
          <w:p w14:paraId="5EE33A09" w14:textId="041D340D" w:rsidR="007C199B" w:rsidRPr="001435A7" w:rsidRDefault="007C199B" w:rsidP="00091AC4">
            <w:pPr>
              <w:spacing w:after="0" w:line="360" w:lineRule="auto"/>
              <w:rPr>
                <w:rFonts w:ascii="Cambria" w:eastAsia="Times New Roman" w:hAnsi="Cambria" w:cs="Calibri"/>
                <w:lang w:eastAsia="en-GB"/>
              </w:rPr>
            </w:pPr>
          </w:p>
        </w:tc>
        <w:tc>
          <w:tcPr>
            <w:tcW w:w="2693" w:type="dxa"/>
            <w:tcBorders>
              <w:top w:val="nil"/>
              <w:left w:val="nil"/>
              <w:bottom w:val="single" w:sz="4" w:space="0" w:color="auto"/>
              <w:right w:val="single" w:sz="4" w:space="0" w:color="auto"/>
            </w:tcBorders>
            <w:shd w:val="clear" w:color="auto" w:fill="auto"/>
            <w:hideMark/>
          </w:tcPr>
          <w:p w14:paraId="4E36421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552" w:type="dxa"/>
            <w:tcBorders>
              <w:top w:val="nil"/>
              <w:left w:val="nil"/>
              <w:bottom w:val="single" w:sz="4" w:space="0" w:color="auto"/>
              <w:right w:val="single" w:sz="4" w:space="0" w:color="auto"/>
            </w:tcBorders>
            <w:shd w:val="clear" w:color="auto" w:fill="auto"/>
            <w:hideMark/>
          </w:tcPr>
          <w:p w14:paraId="12931A05"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c>
          <w:tcPr>
            <w:tcW w:w="2835" w:type="dxa"/>
            <w:tcBorders>
              <w:top w:val="nil"/>
              <w:left w:val="nil"/>
              <w:bottom w:val="single" w:sz="4" w:space="0" w:color="auto"/>
              <w:right w:val="single" w:sz="4" w:space="0" w:color="auto"/>
            </w:tcBorders>
            <w:shd w:val="clear" w:color="auto" w:fill="auto"/>
            <w:hideMark/>
          </w:tcPr>
          <w:p w14:paraId="3059F03C" w14:textId="77777777" w:rsidR="007C199B" w:rsidRPr="001435A7" w:rsidRDefault="007C199B" w:rsidP="00091AC4">
            <w:pPr>
              <w:spacing w:after="0" w:line="360" w:lineRule="auto"/>
              <w:rPr>
                <w:rFonts w:ascii="Cambria" w:eastAsia="Times New Roman" w:hAnsi="Cambria" w:cs="Calibri"/>
                <w:lang w:eastAsia="en-GB"/>
              </w:rPr>
            </w:pPr>
            <w:r w:rsidRPr="001435A7">
              <w:rPr>
                <w:rFonts w:ascii="Cambria" w:eastAsia="Times New Roman" w:hAnsi="Cambria" w:cs="Calibri"/>
                <w:lang w:eastAsia="en-GB"/>
              </w:rPr>
              <w:t>Supported</w:t>
            </w:r>
          </w:p>
        </w:tc>
      </w:tr>
    </w:tbl>
    <w:p w14:paraId="176D707D" w14:textId="77777777" w:rsidR="008A120D" w:rsidRPr="001435A7" w:rsidRDefault="008A120D" w:rsidP="008756B1">
      <w:pPr>
        <w:jc w:val="both"/>
        <w:rPr>
          <w:rFonts w:ascii="Cambria" w:hAnsi="Cambria"/>
        </w:rPr>
      </w:pPr>
    </w:p>
    <w:p w14:paraId="664267C7" w14:textId="3DAFF35C" w:rsidR="00EE655C" w:rsidRPr="001435A7" w:rsidRDefault="00F97D39" w:rsidP="00754360">
      <w:pPr>
        <w:spacing w:line="360" w:lineRule="auto"/>
        <w:jc w:val="both"/>
        <w:rPr>
          <w:rFonts w:ascii="Cambria" w:hAnsi="Cambria"/>
        </w:rPr>
      </w:pPr>
      <w:r w:rsidRPr="001435A7">
        <w:rPr>
          <w:rFonts w:ascii="Cambria" w:hAnsi="Cambria"/>
        </w:rPr>
        <w:t xml:space="preserve">As evident from the table that the </w:t>
      </w:r>
      <w:r w:rsidR="002E2D5C" w:rsidRPr="001435A7">
        <w:rPr>
          <w:rFonts w:ascii="Cambria" w:hAnsi="Cambria"/>
        </w:rPr>
        <w:t>con</w:t>
      </w:r>
      <w:r w:rsidR="00642CDA" w:rsidRPr="001435A7">
        <w:rPr>
          <w:rFonts w:ascii="Cambria" w:hAnsi="Cambria"/>
        </w:rPr>
        <w:t xml:space="preserve">ceptual framework </w:t>
      </w:r>
      <w:r w:rsidR="003C708B" w:rsidRPr="001435A7">
        <w:rPr>
          <w:rFonts w:ascii="Cambria" w:hAnsi="Cambria"/>
        </w:rPr>
        <w:t>is substantially r</w:t>
      </w:r>
      <w:r w:rsidR="00400CB7" w:rsidRPr="001435A7">
        <w:rPr>
          <w:rFonts w:ascii="Cambria" w:hAnsi="Cambria"/>
        </w:rPr>
        <w:t>o</w:t>
      </w:r>
      <w:r w:rsidR="003C708B" w:rsidRPr="001435A7">
        <w:rPr>
          <w:rFonts w:ascii="Cambria" w:hAnsi="Cambria"/>
        </w:rPr>
        <w:t xml:space="preserve">bust. </w:t>
      </w:r>
      <w:r w:rsidR="00B957FF" w:rsidRPr="001435A7">
        <w:rPr>
          <w:rFonts w:ascii="Cambria" w:hAnsi="Cambria"/>
        </w:rPr>
        <w:t>The next chapter is dedicated to provide explanation of th</w:t>
      </w:r>
      <w:r w:rsidR="00A4293D" w:rsidRPr="001435A7">
        <w:rPr>
          <w:rFonts w:ascii="Cambria" w:hAnsi="Cambria"/>
        </w:rPr>
        <w:t>e results</w:t>
      </w:r>
    </w:p>
    <w:p w14:paraId="1167F16E" w14:textId="77777777" w:rsidR="00EE655C" w:rsidRPr="001435A7" w:rsidRDefault="00EE655C" w:rsidP="008756B1">
      <w:pPr>
        <w:jc w:val="both"/>
        <w:rPr>
          <w:rFonts w:ascii="Cambria" w:hAnsi="Cambria"/>
        </w:rPr>
      </w:pPr>
    </w:p>
    <w:p w14:paraId="01F87251" w14:textId="77777777" w:rsidR="00EE655C" w:rsidRPr="001435A7" w:rsidRDefault="00EE655C" w:rsidP="008756B1">
      <w:pPr>
        <w:jc w:val="both"/>
        <w:rPr>
          <w:rFonts w:ascii="Cambria" w:hAnsi="Cambria"/>
        </w:rPr>
      </w:pPr>
    </w:p>
    <w:p w14:paraId="50D96C56" w14:textId="1F34B08D" w:rsidR="00C7217E" w:rsidRPr="001435A7" w:rsidRDefault="00C7217E" w:rsidP="008756B1">
      <w:pPr>
        <w:jc w:val="both"/>
        <w:rPr>
          <w:rFonts w:ascii="Cambria" w:hAnsi="Cambria"/>
        </w:rPr>
      </w:pPr>
    </w:p>
    <w:p w14:paraId="324EC38F" w14:textId="12B113ED" w:rsidR="00EE655C" w:rsidRPr="001435A7" w:rsidRDefault="00EE655C" w:rsidP="008756B1">
      <w:pPr>
        <w:jc w:val="both"/>
        <w:rPr>
          <w:rFonts w:ascii="Cambria" w:hAnsi="Cambria"/>
        </w:rPr>
      </w:pPr>
    </w:p>
    <w:p w14:paraId="2E562FCF" w14:textId="1377BB1C" w:rsidR="00EE655C" w:rsidRPr="001435A7" w:rsidRDefault="00EE655C" w:rsidP="008756B1">
      <w:pPr>
        <w:jc w:val="both"/>
        <w:rPr>
          <w:rFonts w:ascii="Cambria" w:hAnsi="Cambria"/>
        </w:rPr>
      </w:pPr>
    </w:p>
    <w:p w14:paraId="7351E893" w14:textId="7F0568C6" w:rsidR="00EE655C" w:rsidRPr="001435A7" w:rsidRDefault="00EE655C" w:rsidP="008756B1">
      <w:pPr>
        <w:jc w:val="both"/>
        <w:rPr>
          <w:rFonts w:ascii="Cambria" w:hAnsi="Cambria"/>
        </w:rPr>
      </w:pPr>
    </w:p>
    <w:p w14:paraId="497648BE" w14:textId="77777777" w:rsidR="0061351F" w:rsidRPr="001435A7" w:rsidRDefault="0061351F" w:rsidP="008756B1">
      <w:pPr>
        <w:jc w:val="both"/>
        <w:rPr>
          <w:rFonts w:ascii="Cambria" w:hAnsi="Cambria"/>
        </w:rPr>
      </w:pPr>
    </w:p>
    <w:p w14:paraId="2F169A27" w14:textId="1BB6526E" w:rsidR="008F0EA2" w:rsidRPr="001435A7" w:rsidRDefault="008F0EA2">
      <w:pPr>
        <w:spacing w:line="259" w:lineRule="auto"/>
        <w:rPr>
          <w:rFonts w:ascii="Cambria" w:hAnsi="Cambria"/>
        </w:rPr>
      </w:pPr>
      <w:r w:rsidRPr="001435A7">
        <w:rPr>
          <w:rFonts w:ascii="Cambria" w:hAnsi="Cambria"/>
        </w:rPr>
        <w:br w:type="page"/>
      </w:r>
    </w:p>
    <w:p w14:paraId="3C85111D" w14:textId="6BCAC40F" w:rsidR="00EE655C" w:rsidRPr="001435A7" w:rsidRDefault="00EE655C" w:rsidP="008756B1">
      <w:pPr>
        <w:jc w:val="both"/>
        <w:rPr>
          <w:rFonts w:ascii="Cambria" w:hAnsi="Cambria"/>
        </w:rPr>
      </w:pPr>
    </w:p>
    <w:p w14:paraId="5CD05408" w14:textId="3F3495FE" w:rsidR="008F0EA2" w:rsidRPr="001435A7" w:rsidRDefault="008F0EA2" w:rsidP="008756B1">
      <w:pPr>
        <w:jc w:val="both"/>
        <w:rPr>
          <w:rFonts w:ascii="Cambria" w:hAnsi="Cambria"/>
        </w:rPr>
      </w:pPr>
    </w:p>
    <w:p w14:paraId="5F6AF801" w14:textId="25B92A30" w:rsidR="008F0EA2" w:rsidRPr="001435A7" w:rsidRDefault="008F0EA2" w:rsidP="008756B1">
      <w:pPr>
        <w:jc w:val="both"/>
        <w:rPr>
          <w:rFonts w:ascii="Cambria" w:hAnsi="Cambria"/>
        </w:rPr>
      </w:pPr>
    </w:p>
    <w:p w14:paraId="4B943586" w14:textId="0FD63777" w:rsidR="008F0EA2" w:rsidRPr="001435A7" w:rsidRDefault="008F0EA2" w:rsidP="008756B1">
      <w:pPr>
        <w:jc w:val="both"/>
        <w:rPr>
          <w:rFonts w:ascii="Cambria" w:hAnsi="Cambria"/>
        </w:rPr>
      </w:pPr>
    </w:p>
    <w:p w14:paraId="281A8548" w14:textId="1C77E5B6" w:rsidR="008F0EA2" w:rsidRPr="001435A7" w:rsidRDefault="008F0EA2" w:rsidP="008756B1">
      <w:pPr>
        <w:jc w:val="both"/>
        <w:rPr>
          <w:rFonts w:ascii="Cambria" w:hAnsi="Cambria"/>
        </w:rPr>
      </w:pPr>
    </w:p>
    <w:p w14:paraId="3EB446B1" w14:textId="2508CA65" w:rsidR="008F0EA2" w:rsidRPr="001435A7" w:rsidRDefault="008F0EA2" w:rsidP="008756B1">
      <w:pPr>
        <w:jc w:val="both"/>
        <w:rPr>
          <w:rFonts w:ascii="Cambria" w:hAnsi="Cambria"/>
        </w:rPr>
      </w:pPr>
    </w:p>
    <w:p w14:paraId="5D495337" w14:textId="610A4C9B" w:rsidR="008F0EA2" w:rsidRPr="001435A7" w:rsidRDefault="008F0EA2" w:rsidP="008756B1">
      <w:pPr>
        <w:jc w:val="both"/>
        <w:rPr>
          <w:rFonts w:ascii="Cambria" w:hAnsi="Cambria"/>
        </w:rPr>
      </w:pPr>
    </w:p>
    <w:p w14:paraId="6329B82A" w14:textId="528B05A3" w:rsidR="008F0EA2" w:rsidRPr="001435A7" w:rsidRDefault="008F0EA2" w:rsidP="008756B1">
      <w:pPr>
        <w:jc w:val="both"/>
        <w:rPr>
          <w:rFonts w:ascii="Cambria" w:hAnsi="Cambria"/>
        </w:rPr>
      </w:pPr>
    </w:p>
    <w:p w14:paraId="3A642B03" w14:textId="77777777" w:rsidR="008F0EA2" w:rsidRPr="001435A7" w:rsidRDefault="008F0EA2" w:rsidP="008756B1">
      <w:pPr>
        <w:jc w:val="both"/>
        <w:rPr>
          <w:rFonts w:ascii="Cambria" w:hAnsi="Cambria"/>
        </w:rPr>
      </w:pPr>
    </w:p>
    <w:p w14:paraId="3579D745" w14:textId="77777777" w:rsidR="00EE655C" w:rsidRPr="001435A7" w:rsidRDefault="00EE655C" w:rsidP="008756B1">
      <w:pPr>
        <w:jc w:val="both"/>
        <w:rPr>
          <w:rFonts w:ascii="Cambria" w:hAnsi="Cambria"/>
        </w:rPr>
      </w:pPr>
    </w:p>
    <w:p w14:paraId="3A9E0A31" w14:textId="112487C3" w:rsidR="00C7217E" w:rsidRPr="001435A7" w:rsidRDefault="004E6135" w:rsidP="008C2238">
      <w:pPr>
        <w:pStyle w:val="Heading1"/>
        <w:rPr>
          <w:rFonts w:eastAsia="Calibri"/>
        </w:rPr>
      </w:pPr>
      <w:bookmarkStart w:id="96" w:name="_Toc115726270"/>
      <w:r w:rsidRPr="001435A7">
        <w:rPr>
          <w:rFonts w:eastAsia="Calibri"/>
        </w:rPr>
        <w:t>6</w:t>
      </w:r>
      <w:r w:rsidR="00C7217E" w:rsidRPr="001435A7">
        <w:rPr>
          <w:rFonts w:eastAsia="Calibri"/>
        </w:rPr>
        <w:t xml:space="preserve">. </w:t>
      </w:r>
      <w:r w:rsidR="00C7217E" w:rsidRPr="008C2238">
        <w:t>Discussion</w:t>
      </w:r>
      <w:r w:rsidR="00C7217E" w:rsidRPr="001435A7">
        <w:rPr>
          <w:rFonts w:eastAsia="Calibri"/>
        </w:rPr>
        <w:t>:</w:t>
      </w:r>
      <w:bookmarkEnd w:id="96"/>
    </w:p>
    <w:p w14:paraId="6AD6B355" w14:textId="77777777" w:rsidR="00EE655C" w:rsidRPr="001435A7" w:rsidRDefault="00EE655C" w:rsidP="008756B1">
      <w:pPr>
        <w:spacing w:line="259" w:lineRule="auto"/>
        <w:jc w:val="both"/>
        <w:rPr>
          <w:rFonts w:ascii="Cambria" w:hAnsi="Cambria"/>
          <w:sz w:val="24"/>
          <w:szCs w:val="24"/>
        </w:rPr>
      </w:pPr>
      <w:r w:rsidRPr="001435A7">
        <w:rPr>
          <w:rFonts w:ascii="Cambria" w:hAnsi="Cambria"/>
          <w:sz w:val="24"/>
          <w:szCs w:val="24"/>
        </w:rPr>
        <w:br w:type="page"/>
      </w:r>
    </w:p>
    <w:p w14:paraId="5BF9BA3D" w14:textId="1EC7CB2F" w:rsidR="00C7217E" w:rsidRPr="001435A7" w:rsidRDefault="00C7217E" w:rsidP="008756B1">
      <w:pPr>
        <w:spacing w:line="360" w:lineRule="auto"/>
        <w:jc w:val="both"/>
        <w:rPr>
          <w:rFonts w:ascii="Cambria" w:hAnsi="Cambria"/>
          <w:sz w:val="24"/>
          <w:szCs w:val="24"/>
        </w:rPr>
      </w:pPr>
      <w:r w:rsidRPr="001435A7">
        <w:rPr>
          <w:rFonts w:ascii="Cambria" w:hAnsi="Cambria"/>
          <w:sz w:val="24"/>
          <w:szCs w:val="24"/>
        </w:rPr>
        <w:t xml:space="preserve">This study represents a unique attempt to understand the impact of other consumers’ positive or negative opinion over social media regarding </w:t>
      </w:r>
      <w:r w:rsidR="002C5DBD" w:rsidRPr="001435A7">
        <w:rPr>
          <w:rFonts w:ascii="Cambria" w:hAnsi="Cambria"/>
          <w:sz w:val="24"/>
          <w:szCs w:val="24"/>
        </w:rPr>
        <w:t xml:space="preserve">ad with </w:t>
      </w:r>
      <w:r w:rsidRPr="001435A7">
        <w:rPr>
          <w:rFonts w:ascii="Cambria" w:hAnsi="Cambria"/>
          <w:sz w:val="24"/>
          <w:szCs w:val="24"/>
        </w:rPr>
        <w:t xml:space="preserve">sustainability </w:t>
      </w:r>
      <w:r w:rsidR="002C5DBD" w:rsidRPr="001435A7">
        <w:rPr>
          <w:rFonts w:ascii="Cambria" w:hAnsi="Cambria"/>
          <w:sz w:val="24"/>
          <w:szCs w:val="24"/>
        </w:rPr>
        <w:t>message</w:t>
      </w:r>
      <w:r w:rsidRPr="001435A7">
        <w:rPr>
          <w:rFonts w:ascii="Cambria" w:hAnsi="Cambria"/>
          <w:sz w:val="24"/>
          <w:szCs w:val="24"/>
        </w:rPr>
        <w:t xml:space="preserve"> on the consumers’ sustainable </w:t>
      </w:r>
      <w:r w:rsidR="007424BD" w:rsidRPr="001435A7">
        <w:rPr>
          <w:rFonts w:ascii="Cambria" w:hAnsi="Cambria"/>
          <w:sz w:val="24"/>
          <w:szCs w:val="24"/>
        </w:rPr>
        <w:t>purchase</w:t>
      </w:r>
      <w:r w:rsidRPr="001435A7">
        <w:rPr>
          <w:rFonts w:ascii="Cambria" w:hAnsi="Cambria"/>
          <w:sz w:val="24"/>
          <w:szCs w:val="24"/>
        </w:rPr>
        <w:t xml:space="preserve"> and subsequent sustainable behaviour. It is postulated that, when one user of social media express</w:t>
      </w:r>
      <w:r w:rsidR="0090410C" w:rsidRPr="001435A7">
        <w:rPr>
          <w:rFonts w:ascii="Cambria" w:hAnsi="Cambria"/>
          <w:sz w:val="24"/>
          <w:szCs w:val="24"/>
        </w:rPr>
        <w:t xml:space="preserve">es </w:t>
      </w:r>
      <w:r w:rsidRPr="001435A7">
        <w:rPr>
          <w:rFonts w:ascii="Cambria" w:hAnsi="Cambria"/>
          <w:sz w:val="24"/>
          <w:szCs w:val="24"/>
        </w:rPr>
        <w:t>his</w:t>
      </w:r>
      <w:r w:rsidR="00CE7919" w:rsidRPr="001435A7">
        <w:rPr>
          <w:rFonts w:ascii="Cambria" w:hAnsi="Cambria"/>
          <w:sz w:val="24"/>
          <w:szCs w:val="24"/>
        </w:rPr>
        <w:t xml:space="preserve"> or</w:t>
      </w:r>
      <w:r w:rsidRPr="001435A7">
        <w:rPr>
          <w:rFonts w:ascii="Cambria" w:hAnsi="Cambria"/>
          <w:sz w:val="24"/>
          <w:szCs w:val="24"/>
        </w:rPr>
        <w:t xml:space="preserve"> her opinion about the </w:t>
      </w:r>
      <w:r w:rsidR="007424BD" w:rsidRPr="001435A7">
        <w:rPr>
          <w:rFonts w:ascii="Cambria" w:hAnsi="Cambria"/>
          <w:sz w:val="24"/>
          <w:szCs w:val="24"/>
        </w:rPr>
        <w:t xml:space="preserve">ad with </w:t>
      </w:r>
      <w:r w:rsidRPr="001435A7">
        <w:rPr>
          <w:rFonts w:ascii="Cambria" w:hAnsi="Cambria"/>
          <w:sz w:val="24"/>
          <w:szCs w:val="24"/>
        </w:rPr>
        <w:t xml:space="preserve">sustainability </w:t>
      </w:r>
      <w:r w:rsidR="007424BD" w:rsidRPr="001435A7">
        <w:rPr>
          <w:rFonts w:ascii="Cambria" w:hAnsi="Cambria"/>
          <w:sz w:val="24"/>
          <w:szCs w:val="24"/>
        </w:rPr>
        <w:t>message</w:t>
      </w:r>
      <w:r w:rsidRPr="001435A7">
        <w:rPr>
          <w:rFonts w:ascii="Cambria" w:hAnsi="Cambria"/>
          <w:sz w:val="24"/>
          <w:szCs w:val="24"/>
        </w:rPr>
        <w:t xml:space="preserve"> as the positive or negative caption while posting the ad on social media, it will motivate other users to engage in social media. This process of being motivated for social media engagement has been explained through self</w:t>
      </w:r>
      <w:r w:rsidR="004179CD" w:rsidRPr="001435A7">
        <w:rPr>
          <w:rFonts w:ascii="Cambria" w:hAnsi="Cambria"/>
          <w:sz w:val="24"/>
          <w:szCs w:val="24"/>
        </w:rPr>
        <w:t>–</w:t>
      </w:r>
      <w:r w:rsidRPr="001435A7">
        <w:rPr>
          <w:rFonts w:ascii="Cambria" w:hAnsi="Cambria"/>
          <w:sz w:val="24"/>
          <w:szCs w:val="24"/>
        </w:rPr>
        <w:t>transformative consumption vision and pleasure</w:t>
      </w:r>
      <w:r w:rsidR="004179CD" w:rsidRPr="001435A7">
        <w:rPr>
          <w:rFonts w:ascii="Cambria" w:hAnsi="Cambria"/>
          <w:sz w:val="24"/>
          <w:szCs w:val="24"/>
        </w:rPr>
        <w:t>–</w:t>
      </w:r>
      <w:r w:rsidRPr="001435A7">
        <w:rPr>
          <w:rFonts w:ascii="Cambria" w:hAnsi="Cambria"/>
          <w:sz w:val="24"/>
          <w:szCs w:val="24"/>
        </w:rPr>
        <w:t>arousal</w:t>
      </w:r>
      <w:r w:rsidR="004179CD" w:rsidRPr="001435A7">
        <w:rPr>
          <w:rFonts w:ascii="Cambria" w:hAnsi="Cambria"/>
          <w:sz w:val="24"/>
          <w:szCs w:val="24"/>
        </w:rPr>
        <w:t>–</w:t>
      </w:r>
      <w:r w:rsidRPr="001435A7">
        <w:rPr>
          <w:rFonts w:ascii="Cambria" w:hAnsi="Cambria"/>
          <w:sz w:val="24"/>
          <w:szCs w:val="24"/>
        </w:rPr>
        <w:t xml:space="preserve">dominance theory of emotion. Furthermore, it is also assumed that consumers’ social media engagement will result into purchase intention of the advertised product </w:t>
      </w:r>
      <w:r w:rsidR="0038487F" w:rsidRPr="001435A7">
        <w:rPr>
          <w:rFonts w:ascii="Cambria" w:hAnsi="Cambria"/>
          <w:sz w:val="24"/>
          <w:szCs w:val="24"/>
        </w:rPr>
        <w:t>with sustainability message</w:t>
      </w:r>
      <w:r w:rsidRPr="001435A7">
        <w:rPr>
          <w:rFonts w:ascii="Cambria" w:hAnsi="Cambria"/>
          <w:sz w:val="24"/>
          <w:szCs w:val="24"/>
        </w:rPr>
        <w:t xml:space="preserve"> and other sustainable beh</w:t>
      </w:r>
      <w:r w:rsidR="0090410C" w:rsidRPr="001435A7">
        <w:rPr>
          <w:rFonts w:ascii="Cambria" w:hAnsi="Cambria"/>
          <w:sz w:val="24"/>
          <w:szCs w:val="24"/>
        </w:rPr>
        <w:t>a</w:t>
      </w:r>
      <w:r w:rsidRPr="001435A7">
        <w:rPr>
          <w:rFonts w:ascii="Cambria" w:hAnsi="Cambria"/>
          <w:sz w:val="24"/>
          <w:szCs w:val="24"/>
        </w:rPr>
        <w:t xml:space="preserve">viour. Social influence theory has been used to explain the phenomenon of being influenced through social media engagement. </w:t>
      </w:r>
    </w:p>
    <w:p w14:paraId="166A9818" w14:textId="3CFC2F21" w:rsidR="00C7217E" w:rsidRPr="001435A7" w:rsidRDefault="004E6135" w:rsidP="006C4265">
      <w:pPr>
        <w:pStyle w:val="Heading2"/>
      </w:pPr>
      <w:bookmarkStart w:id="97" w:name="_Toc115726271"/>
      <w:r w:rsidRPr="001435A7">
        <w:t>6</w:t>
      </w:r>
      <w:r w:rsidR="00C7217E" w:rsidRPr="001435A7">
        <w:t xml:space="preserve">.1. </w:t>
      </w:r>
      <w:r w:rsidR="004F6E51" w:rsidRPr="001435A7">
        <w:t>P</w:t>
      </w:r>
      <w:r w:rsidR="00E65878" w:rsidRPr="001435A7">
        <w:t xml:space="preserve">ositive and negative </w:t>
      </w:r>
      <w:r w:rsidR="00C7217E" w:rsidRPr="006C4265">
        <w:t>caption</w:t>
      </w:r>
      <w:r w:rsidR="00E65878" w:rsidRPr="006C4265">
        <w:t>’s</w:t>
      </w:r>
      <w:r w:rsidR="00E65878" w:rsidRPr="001435A7">
        <w:t xml:space="preserve"> influence on social media engagement</w:t>
      </w:r>
      <w:bookmarkEnd w:id="97"/>
      <w:r w:rsidR="00E65878" w:rsidRPr="001435A7">
        <w:t xml:space="preserve"> </w:t>
      </w:r>
      <w:r w:rsidR="00C7217E" w:rsidRPr="001435A7">
        <w:t xml:space="preserve"> </w:t>
      </w:r>
    </w:p>
    <w:p w14:paraId="125993B5" w14:textId="4266922C" w:rsidR="00C7217E" w:rsidRPr="001435A7" w:rsidRDefault="00EF2C8F">
      <w:pPr>
        <w:autoSpaceDE w:val="0"/>
        <w:autoSpaceDN w:val="0"/>
        <w:adjustRightInd w:val="0"/>
        <w:spacing w:before="240" w:after="0" w:line="360" w:lineRule="auto"/>
        <w:jc w:val="both"/>
        <w:rPr>
          <w:rFonts w:ascii="Cambria" w:hAnsi="Cambria"/>
          <w:sz w:val="24"/>
          <w:szCs w:val="24"/>
        </w:rPr>
      </w:pPr>
      <w:r w:rsidRPr="001435A7">
        <w:rPr>
          <w:rFonts w:ascii="Cambria" w:hAnsi="Cambria"/>
          <w:sz w:val="24"/>
          <w:szCs w:val="24"/>
        </w:rPr>
        <w:t>When</w:t>
      </w:r>
      <w:r w:rsidR="00BB3FF0" w:rsidRPr="001435A7">
        <w:rPr>
          <w:rFonts w:ascii="Cambria" w:hAnsi="Cambria"/>
          <w:sz w:val="24"/>
          <w:szCs w:val="24"/>
        </w:rPr>
        <w:t xml:space="preserve"> </w:t>
      </w:r>
      <w:r w:rsidRPr="001435A7">
        <w:rPr>
          <w:rFonts w:ascii="Cambria" w:eastAsia="Calibri" w:hAnsi="Cambria" w:cs="Times New Roman"/>
          <w:bCs/>
          <w:sz w:val="24"/>
          <w:szCs w:val="24"/>
        </w:rPr>
        <w:t xml:space="preserve">it has been tested that whether </w:t>
      </w:r>
      <w:r w:rsidR="007E1284" w:rsidRPr="001435A7">
        <w:rPr>
          <w:rFonts w:ascii="Cambria" w:eastAsia="Calibri" w:hAnsi="Cambria" w:cs="Times New Roman"/>
          <w:bCs/>
          <w:sz w:val="24"/>
          <w:szCs w:val="24"/>
        </w:rPr>
        <w:t>ad with</w:t>
      </w:r>
      <w:r w:rsidRPr="001435A7">
        <w:rPr>
          <w:rFonts w:ascii="Cambria" w:eastAsia="Calibri" w:hAnsi="Cambria" w:cs="Times New Roman"/>
          <w:bCs/>
          <w:sz w:val="24"/>
          <w:szCs w:val="24"/>
        </w:rPr>
        <w:t xml:space="preserve"> s</w:t>
      </w:r>
      <w:r w:rsidR="001C5BBA" w:rsidRPr="001435A7">
        <w:rPr>
          <w:rFonts w:ascii="Cambria" w:eastAsia="Calibri" w:hAnsi="Cambria" w:cs="Times New Roman"/>
          <w:bCs/>
          <w:sz w:val="24"/>
          <w:szCs w:val="24"/>
        </w:rPr>
        <w:t>ustainability</w:t>
      </w:r>
      <w:r w:rsidR="007E1284" w:rsidRPr="001435A7">
        <w:rPr>
          <w:rFonts w:ascii="Cambria" w:eastAsia="Calibri" w:hAnsi="Cambria" w:cs="Times New Roman"/>
          <w:bCs/>
          <w:sz w:val="24"/>
          <w:szCs w:val="24"/>
        </w:rPr>
        <w:t xml:space="preserve"> message accompanying</w:t>
      </w:r>
      <w:r w:rsidR="001C5BBA" w:rsidRPr="001435A7">
        <w:rPr>
          <w:rFonts w:ascii="Cambria" w:eastAsia="Calibri" w:hAnsi="Cambria" w:cs="Times New Roman"/>
          <w:bCs/>
          <w:sz w:val="24"/>
          <w:szCs w:val="24"/>
        </w:rPr>
        <w:t xml:space="preserve"> positive caption will lead to higher level of social–media–engagement than </w:t>
      </w:r>
      <w:r w:rsidR="0042170C" w:rsidRPr="001435A7">
        <w:rPr>
          <w:rFonts w:ascii="Cambria" w:eastAsia="Calibri" w:hAnsi="Cambria" w:cs="Times New Roman"/>
          <w:bCs/>
          <w:sz w:val="24"/>
          <w:szCs w:val="24"/>
        </w:rPr>
        <w:t>s</w:t>
      </w:r>
      <w:r w:rsidR="001C5BBA" w:rsidRPr="001435A7">
        <w:rPr>
          <w:rFonts w:ascii="Cambria" w:eastAsia="Calibri" w:hAnsi="Cambria" w:cs="Times New Roman"/>
          <w:bCs/>
          <w:sz w:val="24"/>
          <w:szCs w:val="24"/>
        </w:rPr>
        <w:t>ustainability–ad with negative caption</w:t>
      </w:r>
      <w:r w:rsidR="000E20E0" w:rsidRPr="001435A7">
        <w:rPr>
          <w:rFonts w:ascii="Cambria" w:eastAsia="Calibri" w:hAnsi="Cambria" w:cs="Times New Roman"/>
          <w:bCs/>
          <w:sz w:val="24"/>
          <w:szCs w:val="24"/>
        </w:rPr>
        <w:t xml:space="preserve"> (</w:t>
      </w:r>
      <w:r w:rsidR="000E20E0" w:rsidRPr="001435A7">
        <w:rPr>
          <w:rFonts w:ascii="Cambria" w:hAnsi="Cambria"/>
          <w:sz w:val="24"/>
          <w:szCs w:val="24"/>
        </w:rPr>
        <w:t>H</w:t>
      </w:r>
      <w:r w:rsidR="000E20E0" w:rsidRPr="001435A7">
        <w:rPr>
          <w:rFonts w:ascii="Cambria" w:hAnsi="Cambria"/>
          <w:sz w:val="24"/>
          <w:szCs w:val="24"/>
          <w:vertAlign w:val="subscript"/>
        </w:rPr>
        <w:t>1</w:t>
      </w:r>
      <w:r w:rsidR="000E20E0" w:rsidRPr="001435A7">
        <w:rPr>
          <w:rFonts w:ascii="Cambria" w:eastAsia="Calibri" w:hAnsi="Cambria" w:cs="Times New Roman"/>
          <w:bCs/>
          <w:sz w:val="24"/>
          <w:szCs w:val="24"/>
        </w:rPr>
        <w:t>),</w:t>
      </w:r>
      <w:r w:rsidR="000E20E0" w:rsidRPr="001435A7">
        <w:rPr>
          <w:rFonts w:ascii="Cambria" w:hAnsi="Cambria"/>
          <w:sz w:val="24"/>
          <w:szCs w:val="24"/>
        </w:rPr>
        <w:t xml:space="preserve"> t</w:t>
      </w:r>
      <w:r w:rsidR="00C7217E" w:rsidRPr="001435A7">
        <w:rPr>
          <w:rFonts w:ascii="Cambria" w:hAnsi="Cambria"/>
          <w:sz w:val="24"/>
          <w:szCs w:val="24"/>
        </w:rPr>
        <w:t xml:space="preserve">here is no significant differential effect found for positive and negative caption with the </w:t>
      </w:r>
      <w:r w:rsidR="001E528D" w:rsidRPr="001435A7">
        <w:rPr>
          <w:rFonts w:ascii="Cambria" w:eastAsia="Calibri" w:hAnsi="Cambria" w:cs="Times New Roman"/>
          <w:bCs/>
          <w:sz w:val="24"/>
          <w:szCs w:val="24"/>
        </w:rPr>
        <w:t xml:space="preserve">ad with </w:t>
      </w:r>
      <w:r w:rsidR="00C7217E" w:rsidRPr="001435A7">
        <w:rPr>
          <w:rFonts w:ascii="Cambria" w:eastAsia="Calibri" w:hAnsi="Cambria" w:cs="Times New Roman"/>
          <w:sz w:val="24"/>
          <w:szCs w:val="24"/>
        </w:rPr>
        <w:t xml:space="preserve">sustainability </w:t>
      </w:r>
      <w:r w:rsidR="001E528D" w:rsidRPr="001435A7">
        <w:rPr>
          <w:rFonts w:ascii="Cambria" w:eastAsia="Calibri" w:hAnsi="Cambria" w:cs="Times New Roman"/>
          <w:bCs/>
          <w:sz w:val="24"/>
          <w:szCs w:val="24"/>
        </w:rPr>
        <w:t>message</w:t>
      </w:r>
      <w:r w:rsidR="00C7217E" w:rsidRPr="001435A7">
        <w:rPr>
          <w:rFonts w:ascii="Cambria" w:eastAsia="Calibri" w:hAnsi="Cambria" w:cs="Times New Roman"/>
          <w:sz w:val="24"/>
          <w:szCs w:val="24"/>
        </w:rPr>
        <w:t xml:space="preserve"> </w:t>
      </w:r>
      <w:r w:rsidR="00C7217E" w:rsidRPr="001435A7">
        <w:rPr>
          <w:rFonts w:ascii="Cambria" w:hAnsi="Cambria"/>
          <w:sz w:val="24"/>
          <w:szCs w:val="24"/>
        </w:rPr>
        <w:t>on social media engagement. The non–significant difference of positive and negative caption found by testing H</w:t>
      </w:r>
      <w:r w:rsidR="00C7217E" w:rsidRPr="001435A7">
        <w:rPr>
          <w:rFonts w:ascii="Cambria" w:hAnsi="Cambria"/>
          <w:sz w:val="24"/>
          <w:szCs w:val="24"/>
          <w:vertAlign w:val="subscript"/>
        </w:rPr>
        <w:t>1</w:t>
      </w:r>
      <w:r w:rsidR="00C7217E" w:rsidRPr="001435A7">
        <w:rPr>
          <w:rFonts w:ascii="Cambria" w:hAnsi="Cambria"/>
          <w:sz w:val="24"/>
          <w:szCs w:val="24"/>
        </w:rPr>
        <w:t xml:space="preserve"> can be explained from the study on the comments of twitter, which shows that, compared to positive of negative comments, consumers engage in neutral comments more than 80% times (Ibrahim et al 2017). Positive and negative reviews in Amazon failed to have significant difference (Wu 2013). Especially positive or negative execution tone of the ad did not make any difference over the outlook of the consumers if they demonstrate high ad involvement (Andrews et al 1992), which should be the case of high involving issues like sustainability paired with positive or negative caption posted by the social media user with the </w:t>
      </w:r>
      <w:r w:rsidR="001E528D" w:rsidRPr="001435A7">
        <w:rPr>
          <w:rFonts w:ascii="Cambria" w:eastAsia="Calibri" w:hAnsi="Cambria" w:cs="Times New Roman"/>
          <w:bCs/>
          <w:sz w:val="24"/>
          <w:szCs w:val="24"/>
        </w:rPr>
        <w:t xml:space="preserve">ad with </w:t>
      </w:r>
      <w:r w:rsidR="00C7217E" w:rsidRPr="001435A7">
        <w:rPr>
          <w:rFonts w:ascii="Cambria" w:eastAsia="Calibri" w:hAnsi="Cambria" w:cs="Times New Roman"/>
          <w:sz w:val="24"/>
          <w:szCs w:val="24"/>
        </w:rPr>
        <w:t xml:space="preserve">sustainability </w:t>
      </w:r>
      <w:r w:rsidR="001E528D" w:rsidRPr="001435A7">
        <w:rPr>
          <w:rFonts w:ascii="Cambria" w:eastAsia="Calibri" w:hAnsi="Cambria" w:cs="Times New Roman"/>
          <w:bCs/>
          <w:sz w:val="24"/>
          <w:szCs w:val="24"/>
        </w:rPr>
        <w:t>message</w:t>
      </w:r>
      <w:r w:rsidR="00C7217E" w:rsidRPr="001435A7">
        <w:rPr>
          <w:rFonts w:ascii="Cambria" w:hAnsi="Cambria"/>
          <w:sz w:val="24"/>
          <w:szCs w:val="24"/>
        </w:rPr>
        <w:t>.  It is also true for a community with greater number of members (Jin and Phua 2014). As pointed ou</w:t>
      </w:r>
      <w:r w:rsidR="008411B4" w:rsidRPr="001435A7">
        <w:rPr>
          <w:rFonts w:ascii="Cambria" w:hAnsi="Cambria"/>
          <w:sz w:val="24"/>
          <w:szCs w:val="24"/>
        </w:rPr>
        <w:t>t</w:t>
      </w:r>
      <w:r w:rsidR="00C7217E" w:rsidRPr="001435A7">
        <w:rPr>
          <w:rFonts w:ascii="Cambria" w:hAnsi="Cambria"/>
          <w:sz w:val="24"/>
          <w:szCs w:val="24"/>
        </w:rPr>
        <w:t xml:space="preserve"> </w:t>
      </w:r>
      <w:r w:rsidR="009B74F9" w:rsidRPr="001435A7">
        <w:rPr>
          <w:rFonts w:ascii="Cambria" w:eastAsia="Calibri" w:hAnsi="Cambria" w:cs="Times New Roman"/>
          <w:sz w:val="24"/>
          <w:szCs w:val="24"/>
        </w:rPr>
        <w:t>in 2016</w:t>
      </w:r>
      <w:r w:rsidR="00542468" w:rsidRPr="001435A7">
        <w:rPr>
          <w:rFonts w:ascii="Cambria" w:eastAsia="Calibri" w:hAnsi="Cambria" w:cs="Times New Roman"/>
          <w:sz w:val="24"/>
          <w:szCs w:val="24"/>
        </w:rPr>
        <w:t>,</w:t>
      </w:r>
      <w:r w:rsidR="00C7217E" w:rsidRPr="001435A7">
        <w:rPr>
          <w:rFonts w:ascii="Cambria" w:hAnsi="Cambria"/>
          <w:sz w:val="24"/>
          <w:szCs w:val="24"/>
        </w:rPr>
        <w:t xml:space="preserve"> </w:t>
      </w:r>
      <w:r w:rsidR="00C7217E" w:rsidRPr="001435A7">
        <w:rPr>
          <w:rFonts w:ascii="Cambria" w:eastAsia="Calibri" w:hAnsi="Cambria" w:cs="Times New Roman"/>
          <w:sz w:val="24"/>
          <w:szCs w:val="24"/>
        </w:rPr>
        <w:t xml:space="preserve">content engagement </w:t>
      </w:r>
      <w:r w:rsidR="00542468" w:rsidRPr="001435A7">
        <w:rPr>
          <w:rFonts w:ascii="Cambria" w:eastAsia="Calibri" w:hAnsi="Cambria" w:cs="Times New Roman"/>
          <w:sz w:val="24"/>
          <w:szCs w:val="24"/>
        </w:rPr>
        <w:t xml:space="preserve">in social media </w:t>
      </w:r>
      <w:r w:rsidR="00C7217E" w:rsidRPr="001435A7">
        <w:rPr>
          <w:rFonts w:ascii="Cambria" w:eastAsia="Calibri" w:hAnsi="Cambria" w:cs="Times New Roman"/>
          <w:sz w:val="24"/>
          <w:szCs w:val="24"/>
        </w:rPr>
        <w:t xml:space="preserve">decreased by 17%, despite of increment of contents in social–media (Barreto and Ramalho 2019). Users usually do not interact with brand related content in </w:t>
      </w:r>
      <w:r w:rsidR="006922D0" w:rsidRPr="001435A7">
        <w:rPr>
          <w:rFonts w:ascii="Cambria" w:eastAsia="Calibri" w:hAnsi="Cambria" w:cs="Times New Roman"/>
          <w:sz w:val="24"/>
          <w:szCs w:val="24"/>
        </w:rPr>
        <w:t>Facebook</w:t>
      </w:r>
      <w:r w:rsidR="00C7217E" w:rsidRPr="001435A7">
        <w:rPr>
          <w:rFonts w:ascii="Cambria" w:eastAsia="Calibri" w:hAnsi="Cambria" w:cs="Times New Roman"/>
          <w:sz w:val="24"/>
          <w:szCs w:val="24"/>
        </w:rPr>
        <w:t>, unless they are highly involved with the emotional brand (</w:t>
      </w:r>
      <w:r w:rsidR="00C7217E" w:rsidRPr="001435A7">
        <w:rPr>
          <w:rFonts w:ascii="Cambria" w:hAnsi="Cambria"/>
          <w:sz w:val="24"/>
          <w:szCs w:val="24"/>
        </w:rPr>
        <w:t xml:space="preserve">Triantafillidou and Siomkos 2018). Moreover, study shows users do not experience feelings of flow, challenge, </w:t>
      </w:r>
      <w:r w:rsidR="00B834E9" w:rsidRPr="001435A7">
        <w:rPr>
          <w:rFonts w:ascii="Cambria" w:hAnsi="Cambria"/>
          <w:sz w:val="24"/>
          <w:szCs w:val="24"/>
        </w:rPr>
        <w:t>escapism,</w:t>
      </w:r>
      <w:r w:rsidR="00C7217E" w:rsidRPr="001435A7">
        <w:rPr>
          <w:rFonts w:ascii="Cambria" w:hAnsi="Cambria"/>
          <w:sz w:val="24"/>
          <w:szCs w:val="24"/>
        </w:rPr>
        <w:t xml:space="preserve"> and communities while engaging with a brand in </w:t>
      </w:r>
      <w:r w:rsidR="00C35C86" w:rsidRPr="001435A7">
        <w:rPr>
          <w:rFonts w:ascii="Cambria" w:hAnsi="Cambria"/>
          <w:sz w:val="24"/>
          <w:szCs w:val="24"/>
        </w:rPr>
        <w:t>Facebook</w:t>
      </w:r>
      <w:r w:rsidR="00C7217E" w:rsidRPr="001435A7">
        <w:rPr>
          <w:rFonts w:ascii="Cambria" w:hAnsi="Cambria"/>
          <w:sz w:val="24"/>
          <w:szCs w:val="24"/>
        </w:rPr>
        <w:t xml:space="preserve"> </w:t>
      </w:r>
      <w:r w:rsidR="00C7217E" w:rsidRPr="001435A7">
        <w:rPr>
          <w:rFonts w:ascii="Cambria" w:eastAsia="Calibri" w:hAnsi="Cambria" w:cs="Times New Roman"/>
          <w:sz w:val="24"/>
          <w:szCs w:val="24"/>
        </w:rPr>
        <w:t>(</w:t>
      </w:r>
      <w:r w:rsidR="00C7217E" w:rsidRPr="001435A7">
        <w:rPr>
          <w:rFonts w:ascii="Cambria" w:hAnsi="Cambria"/>
          <w:sz w:val="24"/>
          <w:szCs w:val="24"/>
        </w:rPr>
        <w:t>Triantafillidou and Siomkos 2018). Since a fictitious brand has been used as a stimulation, it is natural of not being emotionally involve with the brand. It is also because users of Facebook do not like to be exposed to advertisement on Facebook (Voorveld, et al 2018)</w:t>
      </w:r>
      <w:r w:rsidR="006C01C2" w:rsidRPr="001435A7">
        <w:rPr>
          <w:rFonts w:ascii="Cambria" w:hAnsi="Cambria"/>
          <w:sz w:val="24"/>
          <w:szCs w:val="24"/>
        </w:rPr>
        <w:t xml:space="preserve">. </w:t>
      </w:r>
      <w:r w:rsidR="00340A34" w:rsidRPr="001435A7">
        <w:rPr>
          <w:rFonts w:ascii="Cambria" w:hAnsi="Cambria"/>
          <w:sz w:val="24"/>
          <w:szCs w:val="24"/>
        </w:rPr>
        <w:t>P</w:t>
      </w:r>
      <w:r w:rsidR="006C01C2" w:rsidRPr="001435A7">
        <w:rPr>
          <w:rFonts w:ascii="Cambria" w:hAnsi="Cambria"/>
          <w:sz w:val="24"/>
          <w:szCs w:val="24"/>
        </w:rPr>
        <w:t>revious research ha</w:t>
      </w:r>
      <w:r w:rsidR="00045462" w:rsidRPr="001435A7">
        <w:rPr>
          <w:rFonts w:ascii="Cambria" w:hAnsi="Cambria"/>
          <w:sz w:val="24"/>
          <w:szCs w:val="24"/>
        </w:rPr>
        <w:t>s</w:t>
      </w:r>
      <w:r w:rsidR="006C01C2" w:rsidRPr="001435A7">
        <w:rPr>
          <w:rFonts w:ascii="Cambria" w:hAnsi="Cambria"/>
          <w:sz w:val="24"/>
          <w:szCs w:val="24"/>
        </w:rPr>
        <w:t xml:space="preserve"> </w:t>
      </w:r>
      <w:r w:rsidR="00340A34" w:rsidRPr="001435A7">
        <w:rPr>
          <w:rFonts w:ascii="Cambria" w:hAnsi="Cambria"/>
          <w:sz w:val="24"/>
          <w:szCs w:val="24"/>
        </w:rPr>
        <w:t>found</w:t>
      </w:r>
      <w:r w:rsidR="008027A7" w:rsidRPr="001435A7">
        <w:rPr>
          <w:rFonts w:ascii="Cambria" w:hAnsi="Cambria"/>
          <w:sz w:val="24"/>
          <w:szCs w:val="24"/>
        </w:rPr>
        <w:t xml:space="preserve"> that</w:t>
      </w:r>
      <w:r w:rsidR="00340A34" w:rsidRPr="001435A7">
        <w:rPr>
          <w:rFonts w:ascii="Cambria" w:hAnsi="Cambria"/>
          <w:sz w:val="24"/>
          <w:szCs w:val="24"/>
        </w:rPr>
        <w:t xml:space="preserve"> positive </w:t>
      </w:r>
      <w:r w:rsidR="008027A7" w:rsidRPr="001435A7">
        <w:rPr>
          <w:rFonts w:ascii="Cambria" w:hAnsi="Cambria"/>
          <w:sz w:val="24"/>
          <w:szCs w:val="24"/>
        </w:rPr>
        <w:t>brand post increase</w:t>
      </w:r>
      <w:r w:rsidR="00045462" w:rsidRPr="001435A7">
        <w:rPr>
          <w:rFonts w:ascii="Cambria" w:hAnsi="Cambria"/>
          <w:sz w:val="24"/>
          <w:szCs w:val="24"/>
        </w:rPr>
        <w:t>s</w:t>
      </w:r>
      <w:r w:rsidR="008027A7" w:rsidRPr="001435A7">
        <w:rPr>
          <w:rFonts w:ascii="Cambria" w:hAnsi="Cambria"/>
          <w:sz w:val="24"/>
          <w:szCs w:val="24"/>
        </w:rPr>
        <w:t xml:space="preserve"> the number of likes</w:t>
      </w:r>
      <w:r w:rsidR="00045462" w:rsidRPr="001435A7">
        <w:rPr>
          <w:rFonts w:ascii="Cambria" w:hAnsi="Cambria"/>
          <w:sz w:val="24"/>
          <w:szCs w:val="24"/>
        </w:rPr>
        <w:t xml:space="preserve">. </w:t>
      </w:r>
      <w:r w:rsidR="00362999" w:rsidRPr="001435A7">
        <w:rPr>
          <w:rFonts w:ascii="Cambria" w:hAnsi="Cambria"/>
          <w:sz w:val="24"/>
          <w:szCs w:val="24"/>
        </w:rPr>
        <w:t>Consumers engage into liking the brand post and positively commenting on it,</w:t>
      </w:r>
      <w:r w:rsidR="00045462" w:rsidRPr="001435A7">
        <w:rPr>
          <w:rFonts w:ascii="Cambria" w:hAnsi="Cambria"/>
          <w:sz w:val="24"/>
          <w:szCs w:val="24"/>
        </w:rPr>
        <w:t xml:space="preserve"> when the brand post</w:t>
      </w:r>
      <w:r w:rsidR="00D62476" w:rsidRPr="001435A7">
        <w:rPr>
          <w:rFonts w:ascii="Cambria" w:hAnsi="Cambria"/>
          <w:sz w:val="24"/>
          <w:szCs w:val="24"/>
        </w:rPr>
        <w:t xml:space="preserve"> conveys the sentiment and appraisal</w:t>
      </w:r>
      <w:r w:rsidR="008027A7" w:rsidRPr="001435A7">
        <w:rPr>
          <w:rFonts w:ascii="Cambria" w:hAnsi="Cambria"/>
          <w:sz w:val="24"/>
          <w:szCs w:val="24"/>
        </w:rPr>
        <w:t xml:space="preserve"> (Kim et al 2019)</w:t>
      </w:r>
      <w:r w:rsidR="00D62476" w:rsidRPr="001435A7">
        <w:rPr>
          <w:rFonts w:ascii="Cambria" w:hAnsi="Cambria"/>
          <w:sz w:val="24"/>
          <w:szCs w:val="24"/>
        </w:rPr>
        <w:t xml:space="preserve">. </w:t>
      </w:r>
      <w:r w:rsidR="00362999" w:rsidRPr="001435A7">
        <w:rPr>
          <w:rFonts w:ascii="Cambria" w:hAnsi="Cambria"/>
          <w:sz w:val="24"/>
          <w:szCs w:val="24"/>
        </w:rPr>
        <w:t xml:space="preserve">Point to be noted that </w:t>
      </w:r>
      <w:r w:rsidR="00A40D96" w:rsidRPr="001435A7">
        <w:rPr>
          <w:rFonts w:ascii="Cambria" w:hAnsi="Cambria"/>
          <w:sz w:val="24"/>
          <w:szCs w:val="24"/>
        </w:rPr>
        <w:t>this study revolves around brand circulated positive post, rather than consumer circulated positive or negative opinion</w:t>
      </w:r>
      <w:r w:rsidR="00346D71" w:rsidRPr="001435A7">
        <w:rPr>
          <w:rFonts w:ascii="Cambria" w:hAnsi="Cambria"/>
          <w:sz w:val="24"/>
          <w:szCs w:val="24"/>
        </w:rPr>
        <w:t xml:space="preserve">. </w:t>
      </w:r>
    </w:p>
    <w:p w14:paraId="11844912" w14:textId="1A504A5D" w:rsidR="00C7217E" w:rsidRPr="001435A7" w:rsidRDefault="008C10BE">
      <w:pPr>
        <w:spacing w:line="360" w:lineRule="auto"/>
        <w:jc w:val="both"/>
        <w:rPr>
          <w:rFonts w:ascii="Cambria" w:hAnsi="Cambria"/>
          <w:sz w:val="24"/>
          <w:szCs w:val="24"/>
        </w:rPr>
      </w:pPr>
      <w:r w:rsidRPr="001435A7">
        <w:rPr>
          <w:rFonts w:ascii="Cambria" w:eastAsia="Calibri" w:hAnsi="Cambria" w:cs="Times New Roman"/>
          <w:bCs/>
          <w:sz w:val="24"/>
          <w:szCs w:val="24"/>
        </w:rPr>
        <w:t xml:space="preserve">On the other </w:t>
      </w:r>
      <w:r w:rsidR="00EF6916" w:rsidRPr="001435A7">
        <w:rPr>
          <w:rFonts w:ascii="Cambria" w:eastAsia="Calibri" w:hAnsi="Cambria" w:cs="Times New Roman"/>
          <w:bCs/>
          <w:sz w:val="24"/>
          <w:szCs w:val="24"/>
        </w:rPr>
        <w:t>hand,</w:t>
      </w:r>
      <w:r w:rsidR="00583D60" w:rsidRPr="001435A7">
        <w:rPr>
          <w:rFonts w:ascii="Cambria" w:eastAsia="Calibri" w:hAnsi="Cambria" w:cs="Times New Roman"/>
          <w:bCs/>
          <w:sz w:val="24"/>
          <w:szCs w:val="24"/>
        </w:rPr>
        <w:t xml:space="preserve"> the interaction effect of type of caption (positive and negative) and level of source expertise </w:t>
      </w:r>
      <w:r w:rsidR="000F7FD9" w:rsidRPr="001435A7">
        <w:rPr>
          <w:rFonts w:ascii="Cambria" w:eastAsia="Calibri" w:hAnsi="Cambria" w:cs="Times New Roman"/>
          <w:bCs/>
          <w:sz w:val="24"/>
          <w:szCs w:val="24"/>
        </w:rPr>
        <w:t>(High and low)</w:t>
      </w:r>
      <w:r w:rsidR="00E2733C" w:rsidRPr="001435A7">
        <w:rPr>
          <w:rFonts w:ascii="Cambria" w:eastAsia="Calibri" w:hAnsi="Cambria" w:cs="Times New Roman"/>
          <w:bCs/>
          <w:sz w:val="24"/>
          <w:szCs w:val="24"/>
        </w:rPr>
        <w:t xml:space="preserve"> has been tested by</w:t>
      </w:r>
      <w:r w:rsidRPr="001435A7">
        <w:rPr>
          <w:rFonts w:ascii="Cambria" w:eastAsia="Calibri" w:hAnsi="Cambria" w:cs="Times New Roman"/>
          <w:bCs/>
          <w:sz w:val="24"/>
          <w:szCs w:val="24"/>
        </w:rPr>
        <w:t xml:space="preserve"> </w:t>
      </w:r>
      <w:r w:rsidRPr="001435A7">
        <w:rPr>
          <w:rFonts w:ascii="Cambria" w:hAnsi="Cambria"/>
          <w:bCs/>
          <w:sz w:val="24"/>
          <w:szCs w:val="24"/>
        </w:rPr>
        <w:t>H</w:t>
      </w:r>
      <w:r w:rsidRPr="001435A7">
        <w:rPr>
          <w:rFonts w:ascii="Cambria" w:hAnsi="Cambria"/>
          <w:bCs/>
          <w:sz w:val="24"/>
          <w:szCs w:val="24"/>
          <w:vertAlign w:val="subscript"/>
        </w:rPr>
        <w:t>2</w:t>
      </w:r>
      <w:r w:rsidR="00E2733C" w:rsidRPr="001435A7">
        <w:rPr>
          <w:rFonts w:ascii="Cambria" w:eastAsia="Calibri" w:hAnsi="Cambria" w:cs="Times New Roman"/>
          <w:bCs/>
          <w:sz w:val="24"/>
          <w:szCs w:val="24"/>
        </w:rPr>
        <w:t>. According to this hypothesis,</w:t>
      </w:r>
      <w:r w:rsidRPr="001435A7">
        <w:rPr>
          <w:rFonts w:ascii="Cambria" w:eastAsia="Calibri" w:hAnsi="Cambria" w:cs="Times New Roman"/>
          <w:bCs/>
          <w:sz w:val="24"/>
          <w:szCs w:val="24"/>
        </w:rPr>
        <w:t xml:space="preserve"> negative captioned </w:t>
      </w:r>
      <w:r w:rsidR="00E2733C" w:rsidRPr="001435A7">
        <w:rPr>
          <w:rFonts w:ascii="Cambria" w:eastAsia="Calibri" w:hAnsi="Cambria" w:cs="Times New Roman"/>
          <w:bCs/>
          <w:sz w:val="24"/>
          <w:szCs w:val="24"/>
        </w:rPr>
        <w:t>s</w:t>
      </w:r>
      <w:r w:rsidRPr="001435A7">
        <w:rPr>
          <w:rFonts w:ascii="Cambria" w:eastAsia="Calibri" w:hAnsi="Cambria" w:cs="Times New Roman"/>
          <w:bCs/>
          <w:sz w:val="24"/>
          <w:szCs w:val="24"/>
        </w:rPr>
        <w:t>ustainability–ad</w:t>
      </w:r>
      <w:r w:rsidR="0080157A" w:rsidRPr="001435A7">
        <w:rPr>
          <w:rFonts w:ascii="Cambria" w:eastAsia="Calibri" w:hAnsi="Cambria" w:cs="Times New Roman"/>
          <w:bCs/>
          <w:sz w:val="24"/>
          <w:szCs w:val="24"/>
        </w:rPr>
        <w:t xml:space="preserve"> coupled with high</w:t>
      </w:r>
      <w:r w:rsidRPr="001435A7">
        <w:rPr>
          <w:rFonts w:ascii="Cambria" w:eastAsia="Calibri" w:hAnsi="Cambria" w:cs="Times New Roman"/>
          <w:bCs/>
          <w:sz w:val="24"/>
          <w:szCs w:val="24"/>
        </w:rPr>
        <w:t xml:space="preserve"> source expertise</w:t>
      </w:r>
      <w:r w:rsidR="0080157A" w:rsidRPr="001435A7">
        <w:rPr>
          <w:rFonts w:ascii="Cambria" w:eastAsia="Calibri" w:hAnsi="Cambria" w:cs="Times New Roman"/>
          <w:bCs/>
          <w:sz w:val="24"/>
          <w:szCs w:val="24"/>
        </w:rPr>
        <w:t xml:space="preserve"> will produce</w:t>
      </w:r>
      <w:r w:rsidRPr="001435A7">
        <w:rPr>
          <w:rFonts w:ascii="Cambria" w:eastAsia="Calibri" w:hAnsi="Cambria" w:cs="Times New Roman"/>
          <w:bCs/>
          <w:sz w:val="24"/>
          <w:szCs w:val="24"/>
        </w:rPr>
        <w:t xml:space="preserve"> higher social–media engagement than </w:t>
      </w:r>
      <w:r w:rsidR="0080157A" w:rsidRPr="001435A7">
        <w:rPr>
          <w:rFonts w:ascii="Cambria" w:eastAsia="Calibri" w:hAnsi="Cambria" w:cs="Times New Roman"/>
          <w:bCs/>
          <w:sz w:val="24"/>
          <w:szCs w:val="24"/>
        </w:rPr>
        <w:t>that of with low</w:t>
      </w:r>
      <w:r w:rsidRPr="001435A7">
        <w:rPr>
          <w:rFonts w:ascii="Cambria" w:eastAsia="Calibri" w:hAnsi="Cambria" w:cs="Times New Roman"/>
          <w:bCs/>
          <w:sz w:val="24"/>
          <w:szCs w:val="24"/>
        </w:rPr>
        <w:t xml:space="preserve"> source expertise</w:t>
      </w:r>
      <w:r w:rsidR="0080157A" w:rsidRPr="001435A7">
        <w:rPr>
          <w:rFonts w:ascii="Cambria" w:eastAsia="Calibri" w:hAnsi="Cambria" w:cs="Times New Roman"/>
          <w:bCs/>
          <w:sz w:val="24"/>
          <w:szCs w:val="24"/>
        </w:rPr>
        <w:t>. B</w:t>
      </w:r>
      <w:r w:rsidRPr="001435A7">
        <w:rPr>
          <w:rFonts w:ascii="Cambria" w:eastAsia="Calibri" w:hAnsi="Cambria" w:cs="Times New Roman"/>
          <w:bCs/>
          <w:sz w:val="24"/>
          <w:szCs w:val="24"/>
        </w:rPr>
        <w:t xml:space="preserve">ut the effect </w:t>
      </w:r>
      <w:r w:rsidR="008C5534" w:rsidRPr="001435A7">
        <w:rPr>
          <w:rFonts w:ascii="Cambria" w:eastAsia="Calibri" w:hAnsi="Cambria" w:cs="Times New Roman"/>
          <w:bCs/>
          <w:sz w:val="24"/>
          <w:szCs w:val="24"/>
        </w:rPr>
        <w:t>should</w:t>
      </w:r>
      <w:r w:rsidRPr="001435A7">
        <w:rPr>
          <w:rFonts w:ascii="Cambria" w:eastAsia="Calibri" w:hAnsi="Cambria" w:cs="Times New Roman"/>
          <w:bCs/>
          <w:sz w:val="24"/>
          <w:szCs w:val="24"/>
        </w:rPr>
        <w:t xml:space="preserve"> be </w:t>
      </w:r>
      <w:r w:rsidR="008C5534" w:rsidRPr="001435A7">
        <w:rPr>
          <w:rFonts w:ascii="Cambria" w:eastAsia="Calibri" w:hAnsi="Cambria" w:cs="Times New Roman"/>
          <w:bCs/>
          <w:sz w:val="24"/>
          <w:szCs w:val="24"/>
        </w:rPr>
        <w:t>opposite</w:t>
      </w:r>
      <w:r w:rsidRPr="001435A7">
        <w:rPr>
          <w:rFonts w:ascii="Cambria" w:eastAsia="Calibri" w:hAnsi="Cambria" w:cs="Times New Roman"/>
          <w:bCs/>
          <w:sz w:val="24"/>
          <w:szCs w:val="24"/>
        </w:rPr>
        <w:t xml:space="preserve"> for positive captioned </w:t>
      </w:r>
      <w:r w:rsidR="00EE6D6E" w:rsidRPr="001435A7">
        <w:rPr>
          <w:rFonts w:ascii="Cambria" w:eastAsia="Calibri" w:hAnsi="Cambria" w:cs="Times New Roman"/>
          <w:bCs/>
          <w:sz w:val="24"/>
          <w:szCs w:val="24"/>
        </w:rPr>
        <w:t>s</w:t>
      </w:r>
      <w:r w:rsidRPr="001435A7">
        <w:rPr>
          <w:rFonts w:ascii="Cambria" w:eastAsia="Calibri" w:hAnsi="Cambria" w:cs="Times New Roman"/>
          <w:bCs/>
          <w:sz w:val="24"/>
          <w:szCs w:val="24"/>
        </w:rPr>
        <w:t>ustainability–ad.</w:t>
      </w:r>
      <w:r w:rsidRPr="001435A7">
        <w:rPr>
          <w:rFonts w:ascii="Cambria" w:eastAsia="Calibri" w:hAnsi="Cambria" w:cs="Times New Roman"/>
          <w:b/>
          <w:sz w:val="24"/>
          <w:szCs w:val="24"/>
        </w:rPr>
        <w:t xml:space="preserve"> </w:t>
      </w:r>
      <w:r w:rsidR="00C7217E" w:rsidRPr="001435A7">
        <w:rPr>
          <w:rFonts w:ascii="Cambria" w:hAnsi="Cambria"/>
          <w:sz w:val="24"/>
          <w:szCs w:val="24"/>
        </w:rPr>
        <w:t>H</w:t>
      </w:r>
      <w:r w:rsidR="00C7217E" w:rsidRPr="001435A7">
        <w:rPr>
          <w:rFonts w:ascii="Cambria" w:hAnsi="Cambria"/>
          <w:sz w:val="24"/>
          <w:szCs w:val="24"/>
          <w:vertAlign w:val="subscript"/>
        </w:rPr>
        <w:t>2</w:t>
      </w:r>
      <w:r w:rsidR="00C7217E" w:rsidRPr="001435A7">
        <w:rPr>
          <w:rFonts w:ascii="Cambria" w:hAnsi="Cambria"/>
          <w:sz w:val="24"/>
          <w:szCs w:val="24"/>
        </w:rPr>
        <w:t xml:space="preserve"> hypothesis test reveals that neither type of caption (positive and negative caption), nor the level of source expertise (high and low) have any effect on social media engagement on their own. However, these two constructs have significant combined effect on users’ social media engagement. Common belief suggests that message from high source expertise should affect the consumers more than that of low source expertise. Unfortunately, in the context of </w:t>
      </w:r>
      <w:r w:rsidR="00B67F7C" w:rsidRPr="001435A7">
        <w:rPr>
          <w:rFonts w:ascii="Cambria" w:eastAsia="Calibri" w:hAnsi="Cambria" w:cs="Times New Roman"/>
          <w:bCs/>
          <w:sz w:val="24"/>
          <w:szCs w:val="24"/>
        </w:rPr>
        <w:t xml:space="preserve">ad with </w:t>
      </w:r>
      <w:r w:rsidR="00C7217E" w:rsidRPr="001435A7">
        <w:rPr>
          <w:rFonts w:ascii="Cambria" w:eastAsia="Calibri" w:hAnsi="Cambria" w:cs="Times New Roman"/>
          <w:sz w:val="24"/>
          <w:szCs w:val="24"/>
        </w:rPr>
        <w:t xml:space="preserve">sustainability </w:t>
      </w:r>
      <w:r w:rsidR="00B67F7C" w:rsidRPr="001435A7">
        <w:rPr>
          <w:rFonts w:ascii="Cambria" w:eastAsia="Calibri" w:hAnsi="Cambria" w:cs="Times New Roman"/>
          <w:bCs/>
          <w:sz w:val="24"/>
          <w:szCs w:val="24"/>
        </w:rPr>
        <w:t>message</w:t>
      </w:r>
      <w:r w:rsidR="00C7217E" w:rsidRPr="001435A7">
        <w:rPr>
          <w:rFonts w:ascii="Cambria" w:hAnsi="Cambria"/>
          <w:sz w:val="24"/>
          <w:szCs w:val="24"/>
        </w:rPr>
        <w:t xml:space="preserve">, findings were contrary to this popular belief. Positive caption from high expert source proved to generate low social media engagement. The phenomenon may be explained </w:t>
      </w:r>
      <w:r w:rsidR="00230A16" w:rsidRPr="001435A7">
        <w:rPr>
          <w:rFonts w:ascii="Cambria" w:hAnsi="Cambria"/>
          <w:sz w:val="24"/>
          <w:szCs w:val="24"/>
        </w:rPr>
        <w:t>f</w:t>
      </w:r>
      <w:r w:rsidR="00C7217E" w:rsidRPr="001435A7">
        <w:rPr>
          <w:rFonts w:ascii="Cambria" w:hAnsi="Cambria"/>
          <w:sz w:val="24"/>
          <w:szCs w:val="24"/>
        </w:rPr>
        <w:t>rom the theory of Bishop (2007), who has the doubt of the effectiveness of message to persuade the people who does not participate (lurkers) in online communities. Ibrahim et al (2017) and Wu (2013) have mentioned in their studies that, now a day, online users hardly take any side while confronted by positive or negative content on online community or get affected by positive or negative contents. Non</w:t>
      </w:r>
      <w:r w:rsidR="004179CD" w:rsidRPr="001435A7">
        <w:rPr>
          <w:rFonts w:ascii="Cambria" w:hAnsi="Cambria"/>
          <w:sz w:val="24"/>
          <w:szCs w:val="24"/>
        </w:rPr>
        <w:t>–</w:t>
      </w:r>
      <w:r w:rsidR="00C7217E" w:rsidRPr="001435A7">
        <w:rPr>
          <w:rFonts w:ascii="Cambria" w:hAnsi="Cambria"/>
          <w:sz w:val="24"/>
          <w:szCs w:val="24"/>
        </w:rPr>
        <w:t xml:space="preserve">participants may not engage in the online community if they perceive that the online community environment may not serve them to </w:t>
      </w:r>
      <w:r w:rsidR="00C07A75" w:rsidRPr="001435A7">
        <w:rPr>
          <w:rFonts w:ascii="Cambria" w:hAnsi="Cambria"/>
          <w:sz w:val="24"/>
          <w:szCs w:val="24"/>
        </w:rPr>
        <w:t>fulfil</w:t>
      </w:r>
      <w:r w:rsidR="00C7217E" w:rsidRPr="001435A7">
        <w:rPr>
          <w:rFonts w:ascii="Cambria" w:hAnsi="Cambria"/>
          <w:sz w:val="24"/>
          <w:szCs w:val="24"/>
        </w:rPr>
        <w:t xml:space="preserve"> their goal.  Nevertheless, reliability of the source of the message are deemed to be influential for the message to have impact on the non</w:t>
      </w:r>
      <w:r w:rsidR="004179CD" w:rsidRPr="001435A7">
        <w:rPr>
          <w:rFonts w:ascii="Cambria" w:hAnsi="Cambria"/>
          <w:sz w:val="24"/>
          <w:szCs w:val="24"/>
        </w:rPr>
        <w:t>–</w:t>
      </w:r>
      <w:r w:rsidR="00C7217E" w:rsidRPr="001435A7">
        <w:rPr>
          <w:rFonts w:ascii="Cambria" w:hAnsi="Cambria"/>
          <w:sz w:val="24"/>
          <w:szCs w:val="24"/>
        </w:rPr>
        <w:t>participants group of online community users in terms of accepting new information (Bishop 2007), which complements the result of H</w:t>
      </w:r>
      <w:r w:rsidR="00C7217E" w:rsidRPr="001435A7">
        <w:rPr>
          <w:rFonts w:ascii="Cambria" w:hAnsi="Cambria"/>
          <w:sz w:val="24"/>
          <w:szCs w:val="24"/>
          <w:vertAlign w:val="subscript"/>
        </w:rPr>
        <w:t>2</w:t>
      </w:r>
      <w:r w:rsidR="00C7217E" w:rsidRPr="001435A7">
        <w:rPr>
          <w:rFonts w:ascii="Cambria" w:hAnsi="Cambria"/>
          <w:sz w:val="24"/>
          <w:szCs w:val="24"/>
        </w:rPr>
        <w:t xml:space="preserve">. </w:t>
      </w:r>
      <w:r w:rsidR="00C7217E" w:rsidRPr="001435A7">
        <w:rPr>
          <w:rFonts w:ascii="Cambria" w:eastAsia="Calibri" w:hAnsi="Cambria" w:cs="Times New Roman"/>
          <w:sz w:val="24"/>
          <w:szCs w:val="24"/>
        </w:rPr>
        <w:t xml:space="preserve">Majority of the respondents said </w:t>
      </w:r>
      <w:r w:rsidR="000D1088" w:rsidRPr="001435A7">
        <w:rPr>
          <w:rFonts w:ascii="Cambria" w:eastAsia="Calibri" w:hAnsi="Cambria" w:cs="Times New Roman"/>
          <w:sz w:val="24"/>
          <w:szCs w:val="24"/>
        </w:rPr>
        <w:t>that</w:t>
      </w:r>
      <w:r w:rsidR="00C7217E" w:rsidRPr="001435A7">
        <w:rPr>
          <w:rFonts w:ascii="Cambria" w:eastAsia="Calibri" w:hAnsi="Cambria" w:cs="Times New Roman"/>
          <w:sz w:val="24"/>
          <w:szCs w:val="24"/>
        </w:rPr>
        <w:t xml:space="preserve"> they log into FB for less than 2 hours, which is the world average. Personal nature of social–media instils credibility of the source (Colliander and Dahlén 2011). Though Facebook is mainly used to be connected with the close contacts like friends, it may not be seen as a source of expert information (Chang et al 2013). Hence, an engagement antecedent, source expertise construct, was not proved to be a motivating factor to engage in Facebook. Another wrong assumption is that the online audience is young people, but fastest growing online audience is of 35–54 years old and second fastest growing audience is older than 55 years (Martin and Schouten 2012). The respondents of this study do not represent this group. Though the sample is representative to consumer group, but it turns out their social media usage is skewed away from Facebook, which result into non</w:t>
      </w:r>
      <w:r w:rsidR="004179CD" w:rsidRPr="001435A7">
        <w:rPr>
          <w:rFonts w:ascii="Cambria" w:eastAsia="Calibri" w:hAnsi="Cambria" w:cs="Times New Roman"/>
          <w:sz w:val="24"/>
          <w:szCs w:val="24"/>
        </w:rPr>
        <w:t>–</w:t>
      </w:r>
      <w:r w:rsidR="00C7217E" w:rsidRPr="001435A7">
        <w:rPr>
          <w:rFonts w:ascii="Cambria" w:eastAsia="Calibri" w:hAnsi="Cambria" w:cs="Times New Roman"/>
          <w:sz w:val="24"/>
          <w:szCs w:val="24"/>
        </w:rPr>
        <w:t xml:space="preserve">significant social media engagement behaviour. </w:t>
      </w:r>
      <w:r w:rsidR="00436688" w:rsidRPr="001435A7">
        <w:rPr>
          <w:rFonts w:ascii="Cambria" w:eastAsia="Calibri" w:hAnsi="Cambria" w:cs="Times New Roman"/>
          <w:sz w:val="24"/>
          <w:szCs w:val="24"/>
        </w:rPr>
        <w:t xml:space="preserve">Previous study on </w:t>
      </w:r>
      <w:r w:rsidR="00C174AF" w:rsidRPr="001435A7">
        <w:rPr>
          <w:rFonts w:ascii="Cambria" w:eastAsia="Calibri" w:hAnsi="Cambria" w:cs="Times New Roman"/>
          <w:sz w:val="24"/>
          <w:szCs w:val="24"/>
        </w:rPr>
        <w:t xml:space="preserve">expertise of </w:t>
      </w:r>
      <w:r w:rsidR="00436688" w:rsidRPr="001435A7">
        <w:rPr>
          <w:rFonts w:ascii="Cambria" w:eastAsia="Calibri" w:hAnsi="Cambria" w:cs="Times New Roman"/>
          <w:sz w:val="24"/>
          <w:szCs w:val="24"/>
        </w:rPr>
        <w:t xml:space="preserve">influencers shows that, brand advertisement circulated by them may inspire </w:t>
      </w:r>
      <w:r w:rsidR="00C174AF" w:rsidRPr="001435A7">
        <w:rPr>
          <w:rFonts w:ascii="Cambria" w:eastAsia="Calibri" w:hAnsi="Cambria" w:cs="Times New Roman"/>
          <w:sz w:val="24"/>
          <w:szCs w:val="24"/>
        </w:rPr>
        <w:t xml:space="preserve">even the </w:t>
      </w:r>
      <w:r w:rsidR="00436688" w:rsidRPr="001435A7">
        <w:rPr>
          <w:rFonts w:ascii="Cambria" w:eastAsia="Calibri" w:hAnsi="Cambria" w:cs="Times New Roman"/>
          <w:sz w:val="24"/>
          <w:szCs w:val="24"/>
        </w:rPr>
        <w:t xml:space="preserve">consumers </w:t>
      </w:r>
      <w:r w:rsidR="00C174AF" w:rsidRPr="001435A7">
        <w:rPr>
          <w:rFonts w:ascii="Cambria" w:eastAsia="Calibri" w:hAnsi="Cambria" w:cs="Times New Roman"/>
          <w:sz w:val="24"/>
          <w:szCs w:val="24"/>
        </w:rPr>
        <w:t>with low level of social activi</w:t>
      </w:r>
      <w:r w:rsidR="005608E4" w:rsidRPr="001435A7">
        <w:rPr>
          <w:rFonts w:ascii="Cambria" w:eastAsia="Calibri" w:hAnsi="Cambria" w:cs="Times New Roman"/>
          <w:sz w:val="24"/>
          <w:szCs w:val="24"/>
        </w:rPr>
        <w:t>ties</w:t>
      </w:r>
      <w:r w:rsidR="00392323" w:rsidRPr="001435A7">
        <w:rPr>
          <w:rFonts w:ascii="Cambria" w:eastAsia="Calibri" w:hAnsi="Cambria" w:cs="Times New Roman"/>
          <w:sz w:val="24"/>
          <w:szCs w:val="24"/>
        </w:rPr>
        <w:t xml:space="preserve"> to display favourable behavioural appraisal</w:t>
      </w:r>
      <w:r w:rsidR="005608E4" w:rsidRPr="001435A7">
        <w:rPr>
          <w:rFonts w:ascii="Cambria" w:eastAsia="Calibri" w:hAnsi="Cambria" w:cs="Times New Roman"/>
          <w:sz w:val="24"/>
          <w:szCs w:val="24"/>
        </w:rPr>
        <w:t xml:space="preserve">, but it is subject to influencers’ fit with the advertised brands (Breves et al 2019). </w:t>
      </w:r>
    </w:p>
    <w:p w14:paraId="1AF3E180" w14:textId="352FDB84" w:rsidR="00C7217E" w:rsidRPr="001435A7" w:rsidRDefault="00C7217E">
      <w:pPr>
        <w:spacing w:line="360" w:lineRule="auto"/>
        <w:jc w:val="both"/>
        <w:rPr>
          <w:rFonts w:ascii="Cambria" w:hAnsi="Cambria"/>
          <w:sz w:val="24"/>
          <w:szCs w:val="24"/>
        </w:rPr>
      </w:pPr>
      <w:r w:rsidRPr="001435A7">
        <w:rPr>
          <w:rFonts w:ascii="Cambria" w:hAnsi="Cambria"/>
          <w:sz w:val="24"/>
          <w:szCs w:val="24"/>
        </w:rPr>
        <w:t>Moreover, when SCV is considered as the outcome of the type of caption and level of source expertise in H</w:t>
      </w:r>
      <w:r w:rsidRPr="001435A7">
        <w:rPr>
          <w:rFonts w:ascii="Cambria" w:hAnsi="Cambria"/>
          <w:sz w:val="24"/>
          <w:szCs w:val="24"/>
          <w:vertAlign w:val="subscript"/>
        </w:rPr>
        <w:t>4</w:t>
      </w:r>
      <w:r w:rsidRPr="001435A7">
        <w:rPr>
          <w:rFonts w:ascii="Cambria" w:hAnsi="Cambria"/>
          <w:sz w:val="24"/>
          <w:szCs w:val="24"/>
        </w:rPr>
        <w:t>, it turns out there is no interaction effect between them over SCV, but SCV is influenced by the positive and negative caption. “Differences among profiles are causally attributed to differences in treatments among groups if, and only if, groups are formed by random assignment, levels of IVs manipulated, and proper experimental controls maintained” (Tabachnick and Fidell 2014, p 359). Since it is an experiment, it can be implied that the positive caption is the cause of higher SCV. Visual mental image enhances the salience of judgment for moral actions (Amit and Greene 2012). This should be also true for sustainable products, which is mainly chosen for moral and ethical reasons.  Visual mental image is more active for immediate activities than for the future well</w:t>
      </w:r>
      <w:r w:rsidR="004179CD" w:rsidRPr="001435A7">
        <w:rPr>
          <w:rFonts w:ascii="Cambria" w:hAnsi="Cambria"/>
          <w:sz w:val="24"/>
          <w:szCs w:val="24"/>
        </w:rPr>
        <w:t>–</w:t>
      </w:r>
      <w:r w:rsidRPr="001435A7">
        <w:rPr>
          <w:rFonts w:ascii="Cambria" w:hAnsi="Cambria"/>
          <w:sz w:val="24"/>
          <w:szCs w:val="24"/>
        </w:rPr>
        <w:t>being of greater number of people (Amit and Greene 2012). By definition, sustainability represents the wellbeing to future generation (Middlemiss 2018). Hence, sustainability ad may be believed to be a message focusing on distant future, which may not be able to influence the consumers (Ryoo et al 2017; Line et al 2016) and not generate visual imagery for being deemed as distant future (see Amit and Greene 2012). On the top of this, almost everyone in the modern world has knowledge about sustainability, which implies as a knowledgeable consumer they may be prone to not accept expert source’s opinion (see, Berkowitz 1986). Thus, it can be assumed that information from an expert source regarding sustainability did not have any effect in terms of generating visual mental image (see Amit and Greene 2012; Line et al 2016; Ryoo et al 2017).</w:t>
      </w:r>
    </w:p>
    <w:p w14:paraId="191EBA8D" w14:textId="32B0A79F" w:rsidR="00C7217E" w:rsidRPr="001435A7" w:rsidRDefault="00C7217E">
      <w:pPr>
        <w:spacing w:line="360" w:lineRule="auto"/>
        <w:jc w:val="both"/>
        <w:rPr>
          <w:rFonts w:ascii="Cambria" w:eastAsia="Calibri" w:hAnsi="Cambria" w:cs="Times New Roman"/>
          <w:sz w:val="24"/>
          <w:szCs w:val="24"/>
        </w:rPr>
      </w:pPr>
      <w:r w:rsidRPr="001435A7">
        <w:rPr>
          <w:rFonts w:ascii="Cambria" w:hAnsi="Cambria"/>
          <w:sz w:val="24"/>
          <w:szCs w:val="24"/>
        </w:rPr>
        <w:t>Among the sub</w:t>
      </w:r>
      <w:r w:rsidR="004179CD" w:rsidRPr="001435A7">
        <w:rPr>
          <w:rFonts w:ascii="Cambria" w:hAnsi="Cambria"/>
          <w:sz w:val="24"/>
          <w:szCs w:val="24"/>
        </w:rPr>
        <w:t>–</w:t>
      </w:r>
      <w:r w:rsidRPr="001435A7">
        <w:rPr>
          <w:rFonts w:ascii="Cambria" w:hAnsi="Cambria"/>
          <w:sz w:val="24"/>
          <w:szCs w:val="24"/>
        </w:rPr>
        <w:t>constructs of SCV, image quality, self–projection and mental fluency is more influenced by positive caption than negative one. On the other hand, negative caption causes higher engrossment with the sustainability–ad. However, only the deviance in image quality is significant partially confirming H</w:t>
      </w:r>
      <w:r w:rsidRPr="001435A7">
        <w:rPr>
          <w:rFonts w:ascii="Cambria" w:hAnsi="Cambria"/>
          <w:sz w:val="24"/>
          <w:szCs w:val="24"/>
          <w:vertAlign w:val="subscript"/>
        </w:rPr>
        <w:t>3</w:t>
      </w:r>
      <w:r w:rsidR="007E46BF" w:rsidRPr="001435A7">
        <w:rPr>
          <w:rFonts w:ascii="Cambria" w:hAnsi="Cambria"/>
          <w:sz w:val="24"/>
          <w:szCs w:val="24"/>
        </w:rPr>
        <w:t>, which states that s</w:t>
      </w:r>
      <w:r w:rsidR="007E46BF" w:rsidRPr="001435A7">
        <w:rPr>
          <w:rFonts w:ascii="Cambria" w:eastAsia="Calibri" w:hAnsi="Cambria" w:cs="Times New Roman"/>
          <w:sz w:val="24"/>
          <w:szCs w:val="24"/>
        </w:rPr>
        <w:t>ustainability–ad with positive caption should produce higher level of SCV than the one with a negative caption.</w:t>
      </w:r>
      <w:r w:rsidR="007E46BF" w:rsidRPr="001435A7">
        <w:rPr>
          <w:rFonts w:ascii="Cambria" w:eastAsia="Calibri" w:hAnsi="Cambria" w:cs="Times New Roman"/>
          <w:b/>
          <w:sz w:val="24"/>
          <w:szCs w:val="24"/>
        </w:rPr>
        <w:t xml:space="preserve">  </w:t>
      </w:r>
      <w:r w:rsidRPr="001435A7">
        <w:rPr>
          <w:rFonts w:ascii="Cambria" w:hAnsi="Cambria"/>
          <w:sz w:val="24"/>
          <w:szCs w:val="24"/>
        </w:rPr>
        <w:t>Point to be noted that, non</w:t>
      </w:r>
      <w:r w:rsidR="004179CD" w:rsidRPr="001435A7">
        <w:rPr>
          <w:rFonts w:ascii="Cambria" w:hAnsi="Cambria"/>
          <w:sz w:val="24"/>
          <w:szCs w:val="24"/>
        </w:rPr>
        <w:t>–</w:t>
      </w:r>
      <w:r w:rsidRPr="001435A7">
        <w:rPr>
          <w:rFonts w:ascii="Cambria" w:hAnsi="Cambria"/>
          <w:sz w:val="24"/>
          <w:szCs w:val="24"/>
        </w:rPr>
        <w:t>significant result of ‘mental</w:t>
      </w:r>
      <w:r w:rsidR="004179CD" w:rsidRPr="001435A7">
        <w:rPr>
          <w:rFonts w:ascii="Cambria" w:hAnsi="Cambria"/>
          <w:sz w:val="24"/>
          <w:szCs w:val="24"/>
        </w:rPr>
        <w:t>–</w:t>
      </w:r>
      <w:r w:rsidRPr="001435A7">
        <w:rPr>
          <w:rFonts w:ascii="Cambria" w:hAnsi="Cambria"/>
          <w:sz w:val="24"/>
          <w:szCs w:val="24"/>
        </w:rPr>
        <w:t xml:space="preserve">fluency’ can be explained from the point that, previous experience dictates how fluently consumers generate consumption vision (Yim et al 2018). Having previous experience is impossible for a fictitious brand, which was used as a </w:t>
      </w:r>
      <w:r w:rsidR="00AA167E" w:rsidRPr="001435A7">
        <w:rPr>
          <w:rFonts w:ascii="Cambria" w:hAnsi="Cambria"/>
          <w:sz w:val="24"/>
          <w:szCs w:val="24"/>
        </w:rPr>
        <w:t>stimulus</w:t>
      </w:r>
      <w:r w:rsidRPr="001435A7">
        <w:rPr>
          <w:rFonts w:ascii="Cambria" w:hAnsi="Cambria"/>
          <w:sz w:val="24"/>
          <w:szCs w:val="24"/>
        </w:rPr>
        <w:t xml:space="preserve"> in the experiment. Lastly, the more people give attention to a message the more engross they will be. Since negative eWOM have the capacity to elicit greater interest in people (Trusov et al 2009; Ito et al 1998), it is only natural that consumers were more engrossed by the negative caption than the positive one. Nevertheless, ‘engrossment’ was also non</w:t>
      </w:r>
      <w:r w:rsidR="004179CD" w:rsidRPr="001435A7">
        <w:rPr>
          <w:rFonts w:ascii="Cambria" w:hAnsi="Cambria"/>
          <w:sz w:val="24"/>
          <w:szCs w:val="24"/>
        </w:rPr>
        <w:t>–</w:t>
      </w:r>
      <w:r w:rsidRPr="001435A7">
        <w:rPr>
          <w:rFonts w:ascii="Cambria" w:hAnsi="Cambria"/>
          <w:sz w:val="24"/>
          <w:szCs w:val="24"/>
        </w:rPr>
        <w:t>significant. Apparently, in order to produce significant response to the subconstruct of the SCV, the caption has to stimulate working memory, which is activated to process consumption vision (Yim et al 2018; Barsalou 2008). More elaborately speaking, verbal massage affects</w:t>
      </w:r>
      <w:r w:rsidRPr="001435A7">
        <w:rPr>
          <w:rFonts w:ascii="Cambria" w:eastAsia="Calibri" w:hAnsi="Cambria" w:cs="Times New Roman"/>
          <w:sz w:val="24"/>
          <w:szCs w:val="24"/>
        </w:rPr>
        <w:t xml:space="preserve"> image quality as a subconstruct of SCV along with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projection. As a subconstruct of SCV, image</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quality and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projection</w:t>
      </w:r>
      <w:r w:rsidR="00730A6B" w:rsidRPr="001435A7">
        <w:rPr>
          <w:rFonts w:ascii="Cambria" w:eastAsia="Calibri" w:hAnsi="Cambria" w:cs="Times New Roman"/>
          <w:sz w:val="24"/>
          <w:szCs w:val="24"/>
        </w:rPr>
        <w:t xml:space="preserve"> </w:t>
      </w:r>
      <w:r w:rsidRPr="001435A7">
        <w:rPr>
          <w:rFonts w:ascii="Cambria" w:eastAsia="Calibri" w:hAnsi="Cambria" w:cs="Times New Roman"/>
          <w:sz w:val="24"/>
          <w:szCs w:val="24"/>
        </w:rPr>
        <w:t>are both representation of working memory, which is stimulated by verbal massage like caption on the social</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media (Yim et al 2018; Barsalou 2008). On the other hand, these verbal messages tend to motivate people to adopt a moral judgement which favours the mass rather than the individual (Amit and green 2012). Similarly, consideration for sustainability is deeply associated with the greater good for the future generation rather than the personal good. Hence, the significance of ‘image</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quality’ can be explained from the point that, the positive captions activated working memory of the social media users in greater extent than the negative caption, which caused significant image quality. Though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projection has not been proved significant in H</w:t>
      </w:r>
      <w:r w:rsidRPr="001435A7">
        <w:rPr>
          <w:rFonts w:ascii="Cambria" w:eastAsia="Calibri" w:hAnsi="Cambria" w:cs="Times New Roman"/>
          <w:sz w:val="24"/>
          <w:szCs w:val="24"/>
          <w:vertAlign w:val="subscript"/>
        </w:rPr>
        <w:t>3</w:t>
      </w:r>
      <w:r w:rsidRPr="001435A7">
        <w:rPr>
          <w:rFonts w:ascii="Cambria" w:eastAsia="Calibri" w:hAnsi="Cambria" w:cs="Times New Roman"/>
          <w:sz w:val="24"/>
          <w:szCs w:val="24"/>
        </w:rPr>
        <w:t>, but it was significant in H</w:t>
      </w:r>
      <w:r w:rsidRPr="001435A7">
        <w:rPr>
          <w:rFonts w:ascii="Cambria" w:eastAsia="Calibri" w:hAnsi="Cambria" w:cs="Times New Roman"/>
          <w:sz w:val="24"/>
          <w:szCs w:val="24"/>
          <w:vertAlign w:val="subscript"/>
        </w:rPr>
        <w:t>6</w:t>
      </w:r>
      <w:r w:rsidR="00460D97" w:rsidRPr="001435A7">
        <w:rPr>
          <w:rFonts w:ascii="Cambria" w:eastAsia="Calibri" w:hAnsi="Cambria" w:cs="Times New Roman"/>
          <w:sz w:val="24"/>
          <w:szCs w:val="24"/>
        </w:rPr>
        <w:t>, which states that social media engagement will be positively influenced by SCV</w:t>
      </w:r>
      <w:r w:rsidR="00460D97" w:rsidRPr="001435A7">
        <w:rPr>
          <w:rFonts w:ascii="Cambria" w:eastAsia="Calibri" w:hAnsi="Cambria" w:cs="Times New Roman"/>
          <w:b/>
          <w:sz w:val="24"/>
          <w:szCs w:val="24"/>
        </w:rPr>
        <w:t xml:space="preserve">. </w:t>
      </w:r>
      <w:r w:rsidRPr="001435A7">
        <w:rPr>
          <w:rFonts w:ascii="Cambria" w:eastAsia="Calibri" w:hAnsi="Cambria" w:cs="Times New Roman"/>
          <w:sz w:val="24"/>
          <w:szCs w:val="24"/>
        </w:rPr>
        <w:t>Point to be noted that for H</w:t>
      </w:r>
      <w:r w:rsidRPr="001435A7">
        <w:rPr>
          <w:rFonts w:ascii="Cambria" w:eastAsia="Calibri" w:hAnsi="Cambria" w:cs="Times New Roman"/>
          <w:sz w:val="24"/>
          <w:szCs w:val="24"/>
          <w:vertAlign w:val="subscript"/>
        </w:rPr>
        <w:t>6</w:t>
      </w:r>
      <w:r w:rsidRPr="001435A7">
        <w:rPr>
          <w:rFonts w:ascii="Cambria" w:eastAsia="Calibri" w:hAnsi="Cambria" w:cs="Times New Roman"/>
          <w:sz w:val="24"/>
          <w:szCs w:val="24"/>
        </w:rPr>
        <w:t>, SCV is the predictor of social media engagement. Significance of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projection’ dimension of SCV complements the proposition that consumers engage over a brand when their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 xml:space="preserve">image is lined with the product (Crosby and Taylor 1983; Bowden 2009). In other words, consumers are inclined to engage in social media depending on the extent they can project themselves consuming sustainability product and the quality of that image. All the dimensions of SCV </w:t>
      </w:r>
      <w:r w:rsidR="00775512" w:rsidRPr="001435A7">
        <w:rPr>
          <w:rFonts w:ascii="Cambria" w:eastAsia="Calibri" w:hAnsi="Cambria" w:cs="Times New Roman"/>
          <w:sz w:val="24"/>
          <w:szCs w:val="24"/>
        </w:rPr>
        <w:t>are</w:t>
      </w:r>
      <w:r w:rsidRPr="001435A7">
        <w:rPr>
          <w:rFonts w:ascii="Cambria" w:eastAsia="Calibri" w:hAnsi="Cambria" w:cs="Times New Roman"/>
          <w:sz w:val="24"/>
          <w:szCs w:val="24"/>
        </w:rPr>
        <w:t xml:space="preserve"> significantly influenced by ‘ad involvement’ proving H</w:t>
      </w:r>
      <w:r w:rsidRPr="001435A7">
        <w:rPr>
          <w:rFonts w:ascii="Cambria" w:eastAsia="Calibri" w:hAnsi="Cambria" w:cs="Times New Roman"/>
          <w:sz w:val="24"/>
          <w:szCs w:val="24"/>
          <w:vertAlign w:val="subscript"/>
        </w:rPr>
        <w:t>5</w:t>
      </w:r>
      <w:r w:rsidRPr="001435A7">
        <w:rPr>
          <w:rFonts w:ascii="Cambria" w:eastAsia="Calibri" w:hAnsi="Cambria" w:cs="Times New Roman"/>
          <w:sz w:val="24"/>
          <w:szCs w:val="24"/>
        </w:rPr>
        <w:t xml:space="preserve"> cannot be rejected. As seen in other hypotheses regarding SCV, ‘image quality’ and self</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projection proved to be most affected by ad involvement. As a predictor, SCV has significantly influenced all emotional dimensions</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 xml:space="preserve"> pleasure (H</w:t>
      </w:r>
      <w:r w:rsidRPr="001435A7">
        <w:rPr>
          <w:rFonts w:ascii="Cambria" w:eastAsia="Calibri" w:hAnsi="Cambria" w:cs="Times New Roman"/>
          <w:sz w:val="24"/>
          <w:szCs w:val="24"/>
          <w:vertAlign w:val="subscript"/>
        </w:rPr>
        <w:t>7</w:t>
      </w:r>
      <w:r w:rsidRPr="001435A7">
        <w:rPr>
          <w:rFonts w:ascii="Cambria" w:eastAsia="Calibri" w:hAnsi="Cambria" w:cs="Times New Roman"/>
          <w:sz w:val="24"/>
          <w:szCs w:val="24"/>
        </w:rPr>
        <w:t>), arousal (H</w:t>
      </w:r>
      <w:r w:rsidRPr="001435A7">
        <w:rPr>
          <w:rFonts w:ascii="Cambria" w:eastAsia="Calibri" w:hAnsi="Cambria" w:cs="Times New Roman"/>
          <w:sz w:val="24"/>
          <w:szCs w:val="24"/>
          <w:vertAlign w:val="subscript"/>
        </w:rPr>
        <w:t>8</w:t>
      </w:r>
      <w:r w:rsidRPr="001435A7">
        <w:rPr>
          <w:rFonts w:ascii="Cambria" w:eastAsia="Calibri" w:hAnsi="Cambria" w:cs="Times New Roman"/>
          <w:sz w:val="24"/>
          <w:szCs w:val="24"/>
        </w:rPr>
        <w:t>), and dominance (H</w:t>
      </w:r>
      <w:r w:rsidRPr="001435A7">
        <w:rPr>
          <w:rFonts w:ascii="Cambria" w:eastAsia="Calibri" w:hAnsi="Cambria" w:cs="Times New Roman"/>
          <w:sz w:val="24"/>
          <w:szCs w:val="24"/>
          <w:vertAlign w:val="subscript"/>
        </w:rPr>
        <w:t>9</w:t>
      </w:r>
      <w:r w:rsidRPr="001435A7">
        <w:rPr>
          <w:rFonts w:ascii="Cambria" w:eastAsia="Calibri" w:hAnsi="Cambria" w:cs="Times New Roman"/>
          <w:sz w:val="24"/>
          <w:szCs w:val="24"/>
        </w:rPr>
        <w:t xml:space="preserve">). Even in this case, ‘image quality’ is the most significantly influence all the dimensions of emotion. Apparently, ‘image quality’ is the major dimension that represents SCV.  </w:t>
      </w:r>
    </w:p>
    <w:p w14:paraId="2DFC28EE" w14:textId="71E576E2" w:rsidR="00C7217E" w:rsidRPr="001435A7" w:rsidRDefault="00C7217E">
      <w:pPr>
        <w:spacing w:line="360" w:lineRule="auto"/>
        <w:jc w:val="both"/>
        <w:rPr>
          <w:rFonts w:ascii="Cambria" w:eastAsia="Calibri" w:hAnsi="Cambria" w:cs="Times New Roman"/>
          <w:sz w:val="24"/>
          <w:szCs w:val="24"/>
        </w:rPr>
      </w:pPr>
      <w:r w:rsidRPr="001435A7">
        <w:rPr>
          <w:rFonts w:ascii="Cambria" w:eastAsia="Calibri" w:hAnsi="Cambria" w:cs="Times New Roman"/>
          <w:sz w:val="24"/>
          <w:szCs w:val="24"/>
        </w:rPr>
        <w:t>Significant H</w:t>
      </w:r>
      <w:r w:rsidRPr="001435A7">
        <w:rPr>
          <w:rFonts w:ascii="Cambria" w:eastAsia="Calibri" w:hAnsi="Cambria" w:cs="Times New Roman"/>
          <w:sz w:val="24"/>
          <w:szCs w:val="24"/>
          <w:vertAlign w:val="subscript"/>
        </w:rPr>
        <w:t>10</w:t>
      </w:r>
      <w:r w:rsidRPr="001435A7">
        <w:rPr>
          <w:rFonts w:ascii="Cambria" w:eastAsia="Calibri" w:hAnsi="Cambria" w:cs="Times New Roman"/>
          <w:sz w:val="24"/>
          <w:szCs w:val="24"/>
        </w:rPr>
        <w:t>, H</w:t>
      </w:r>
      <w:r w:rsidRPr="001435A7">
        <w:rPr>
          <w:rFonts w:ascii="Cambria" w:eastAsia="Calibri" w:hAnsi="Cambria" w:cs="Times New Roman"/>
          <w:sz w:val="24"/>
          <w:szCs w:val="24"/>
          <w:vertAlign w:val="subscript"/>
        </w:rPr>
        <w:t>11</w:t>
      </w:r>
      <w:r w:rsidRPr="001435A7">
        <w:rPr>
          <w:rFonts w:ascii="Cambria" w:eastAsia="Calibri" w:hAnsi="Cambria" w:cs="Times New Roman"/>
          <w:sz w:val="24"/>
          <w:szCs w:val="24"/>
        </w:rPr>
        <w:t xml:space="preserve"> and H</w:t>
      </w:r>
      <w:r w:rsidRPr="001435A7">
        <w:rPr>
          <w:rFonts w:ascii="Cambria" w:eastAsia="Calibri" w:hAnsi="Cambria" w:cs="Times New Roman"/>
          <w:sz w:val="24"/>
          <w:szCs w:val="24"/>
          <w:vertAlign w:val="subscript"/>
        </w:rPr>
        <w:t>12</w:t>
      </w:r>
      <w:r w:rsidRPr="001435A7">
        <w:rPr>
          <w:rFonts w:ascii="Cambria" w:eastAsia="Calibri" w:hAnsi="Cambria" w:cs="Times New Roman"/>
          <w:sz w:val="24"/>
          <w:szCs w:val="24"/>
        </w:rPr>
        <w:t>’s result shows that emotional responses from sustainability ad affect attitude towards that ad, which results into social media engagement. Choice of sustainable product is deemed as an emotional choice (Bansal and Roth 2000). Effect of specific emotions have been discussed in the context of sustainability, like</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 xml:space="preserve"> guilt, pride and confidence (Luchs and Kumar 2017; Luchs et al. 2012; Steenhaut and Kenhove 2006; Rowe et al 2019), Anger and compassion (Antonetti and Danae 2016). Yet, there is room for a comprehensive understanding of emotional influence on the acceptance of </w:t>
      </w:r>
      <w:r w:rsidR="001F2362" w:rsidRPr="001435A7">
        <w:rPr>
          <w:rFonts w:ascii="Cambria" w:eastAsia="Calibri" w:hAnsi="Cambria" w:cs="Times New Roman"/>
          <w:bCs/>
          <w:sz w:val="24"/>
          <w:szCs w:val="24"/>
        </w:rPr>
        <w:t xml:space="preserve">ad with </w:t>
      </w:r>
      <w:r w:rsidRPr="001435A7">
        <w:rPr>
          <w:rFonts w:ascii="Cambria" w:eastAsia="Calibri" w:hAnsi="Cambria" w:cs="Times New Roman"/>
          <w:sz w:val="24"/>
          <w:szCs w:val="24"/>
        </w:rPr>
        <w:t xml:space="preserve">sustainability </w:t>
      </w:r>
      <w:r w:rsidR="001F2362" w:rsidRPr="001435A7">
        <w:rPr>
          <w:rFonts w:ascii="Cambria" w:eastAsia="Calibri" w:hAnsi="Cambria" w:cs="Times New Roman"/>
          <w:bCs/>
          <w:sz w:val="24"/>
          <w:szCs w:val="24"/>
        </w:rPr>
        <w:t>message</w:t>
      </w:r>
      <w:r w:rsidRPr="001435A7">
        <w:rPr>
          <w:rFonts w:ascii="Cambria" w:eastAsia="Calibri" w:hAnsi="Cambria" w:cs="Times New Roman"/>
          <w:sz w:val="24"/>
          <w:szCs w:val="24"/>
        </w:rPr>
        <w:t xml:space="preserve">. The study shows that, when consumers can visualize themselves by being exposed to the </w:t>
      </w:r>
      <w:r w:rsidR="00B01B53" w:rsidRPr="001435A7">
        <w:rPr>
          <w:rFonts w:ascii="Cambria" w:eastAsia="Calibri" w:hAnsi="Cambria" w:cs="Times New Roman"/>
          <w:bCs/>
          <w:sz w:val="24"/>
          <w:szCs w:val="24"/>
        </w:rPr>
        <w:t xml:space="preserve">ad with </w:t>
      </w:r>
      <w:r w:rsidRPr="001435A7">
        <w:rPr>
          <w:rFonts w:ascii="Cambria" w:eastAsia="Calibri" w:hAnsi="Cambria" w:cs="Times New Roman"/>
          <w:sz w:val="24"/>
          <w:szCs w:val="24"/>
        </w:rPr>
        <w:t xml:space="preserve">sustainability </w:t>
      </w:r>
      <w:r w:rsidR="00B01B53" w:rsidRPr="001435A7">
        <w:rPr>
          <w:rFonts w:ascii="Cambria" w:eastAsia="Calibri" w:hAnsi="Cambria" w:cs="Times New Roman"/>
          <w:bCs/>
          <w:sz w:val="24"/>
          <w:szCs w:val="24"/>
        </w:rPr>
        <w:t>message</w:t>
      </w:r>
      <w:r w:rsidRPr="001435A7">
        <w:rPr>
          <w:rFonts w:ascii="Cambria" w:eastAsia="Calibri" w:hAnsi="Cambria" w:cs="Times New Roman"/>
          <w:sz w:val="24"/>
          <w:szCs w:val="24"/>
        </w:rPr>
        <w:t xml:space="preserve">, consumers mostly feel pleasure; closely followed arousal. The least affected dimension is dominance. This denotes that, consumers are appreciate the sustainability initiative by the company and they become alert when they are exposed to the information. </w:t>
      </w:r>
      <w:r w:rsidR="00AF54B5" w:rsidRPr="001435A7">
        <w:rPr>
          <w:rFonts w:ascii="Cambria" w:eastAsia="Calibri" w:hAnsi="Cambria" w:cs="Times New Roman"/>
          <w:sz w:val="24"/>
          <w:szCs w:val="24"/>
        </w:rPr>
        <w:t>However,</w:t>
      </w:r>
      <w:r w:rsidRPr="001435A7">
        <w:rPr>
          <w:rFonts w:ascii="Cambria" w:eastAsia="Calibri" w:hAnsi="Cambria" w:cs="Times New Roman"/>
          <w:sz w:val="24"/>
          <w:szCs w:val="24"/>
        </w:rPr>
        <w:t xml:space="preserve"> they have limited idea of how their action can have any impact. This result aligns with the fact that, pleasure and arousal dimensions </w:t>
      </w:r>
      <w:r w:rsidR="00AF54B5" w:rsidRPr="001435A7">
        <w:rPr>
          <w:rFonts w:ascii="Cambria" w:eastAsia="Calibri" w:hAnsi="Cambria" w:cs="Times New Roman"/>
          <w:sz w:val="24"/>
          <w:szCs w:val="24"/>
        </w:rPr>
        <w:t>act</w:t>
      </w:r>
      <w:r w:rsidRPr="001435A7">
        <w:rPr>
          <w:rFonts w:ascii="Cambria" w:eastAsia="Calibri" w:hAnsi="Cambria" w:cs="Times New Roman"/>
          <w:sz w:val="24"/>
          <w:szCs w:val="24"/>
        </w:rPr>
        <w:t xml:space="preserve"> more similarly than the dominance dimension (Russel et al 1981; Poel and Dewitte 2008; Desmet 2010). This also explains sustainability ad generates emotions those are highly pleasurable and make the consumer aware and represents to some extent of dominance. For example, feeling of ‘pride’ can be attributed as positive in pleasure, alertness (arousal) and control (dominance). Rowe </w:t>
      </w:r>
      <w:r w:rsidR="006F5B39" w:rsidRPr="001435A7">
        <w:rPr>
          <w:rFonts w:ascii="Cambria" w:eastAsia="Calibri" w:hAnsi="Cambria" w:cs="Times New Roman"/>
          <w:sz w:val="24"/>
          <w:szCs w:val="24"/>
        </w:rPr>
        <w:t>e</w:t>
      </w:r>
      <w:r w:rsidRPr="001435A7">
        <w:rPr>
          <w:rFonts w:ascii="Cambria" w:eastAsia="Calibri" w:hAnsi="Cambria" w:cs="Times New Roman"/>
          <w:sz w:val="24"/>
          <w:szCs w:val="24"/>
        </w:rPr>
        <w:t xml:space="preserve">t al (2019) study found that, when consumers are feeling proud of past sustainability related behaviour, it increases their sustainable purchase intention. On the other </w:t>
      </w:r>
      <w:r w:rsidR="00AF54B5" w:rsidRPr="001435A7">
        <w:rPr>
          <w:rFonts w:ascii="Cambria" w:eastAsia="Calibri" w:hAnsi="Cambria" w:cs="Times New Roman"/>
          <w:sz w:val="24"/>
          <w:szCs w:val="24"/>
        </w:rPr>
        <w:t>hand,</w:t>
      </w:r>
      <w:r w:rsidRPr="001435A7">
        <w:rPr>
          <w:rFonts w:ascii="Cambria" w:eastAsia="Calibri" w:hAnsi="Cambria" w:cs="Times New Roman"/>
          <w:sz w:val="24"/>
          <w:szCs w:val="24"/>
        </w:rPr>
        <w:t xml:space="preserve"> where emotion like ‘anger’ arouse due to the misconduct of the companies, can be registered in negative in pleasure and dominance dimension along with positive in arousal dimension, since they are not happy about it and they have no control over the situation, but they are highly aware of the situation. This leads the consumer to engage in negative word of mouth (Antonetti and Danae 2016). This implies that if the </w:t>
      </w:r>
      <w:r w:rsidR="00B01B53" w:rsidRPr="001435A7">
        <w:rPr>
          <w:rFonts w:ascii="Cambria" w:eastAsia="Calibri" w:hAnsi="Cambria" w:cs="Times New Roman"/>
          <w:bCs/>
          <w:sz w:val="24"/>
          <w:szCs w:val="24"/>
        </w:rPr>
        <w:t>ad with</w:t>
      </w:r>
      <w:r w:rsidRPr="001435A7">
        <w:rPr>
          <w:rFonts w:ascii="Cambria" w:eastAsia="Calibri" w:hAnsi="Cambria" w:cs="Times New Roman"/>
          <w:sz w:val="24"/>
          <w:szCs w:val="24"/>
        </w:rPr>
        <w:t xml:space="preserve"> sustainability </w:t>
      </w:r>
      <w:r w:rsidR="00B01B53" w:rsidRPr="001435A7">
        <w:rPr>
          <w:rFonts w:ascii="Cambria" w:eastAsia="Calibri" w:hAnsi="Cambria" w:cs="Times New Roman"/>
          <w:bCs/>
          <w:sz w:val="24"/>
          <w:szCs w:val="24"/>
        </w:rPr>
        <w:t>message</w:t>
      </w:r>
      <w:r w:rsidRPr="001435A7">
        <w:rPr>
          <w:rFonts w:ascii="Cambria" w:eastAsia="Calibri" w:hAnsi="Cambria" w:cs="Times New Roman"/>
          <w:sz w:val="24"/>
          <w:szCs w:val="24"/>
        </w:rPr>
        <w:t xml:space="preserve"> generates the emotions those are positive in the pleasure</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arousal</w:t>
      </w:r>
      <w:r w:rsidR="004179CD" w:rsidRPr="001435A7">
        <w:rPr>
          <w:rFonts w:ascii="Cambria" w:eastAsia="Calibri" w:hAnsi="Cambria" w:cs="Times New Roman"/>
          <w:sz w:val="24"/>
          <w:szCs w:val="24"/>
        </w:rPr>
        <w:t>–</w:t>
      </w:r>
      <w:r w:rsidRPr="001435A7">
        <w:rPr>
          <w:rFonts w:ascii="Cambria" w:eastAsia="Calibri" w:hAnsi="Cambria" w:cs="Times New Roman"/>
          <w:sz w:val="24"/>
          <w:szCs w:val="24"/>
        </w:rPr>
        <w:t xml:space="preserve">and dominance dimensions, there is a possibility that it will inspire favourable sustainable purchase intention among the consumers. On the contrary, if the sustainability ad </w:t>
      </w:r>
      <w:r w:rsidR="00AF54B5" w:rsidRPr="001435A7">
        <w:rPr>
          <w:rFonts w:ascii="Cambria" w:eastAsia="Calibri" w:hAnsi="Cambria" w:cs="Times New Roman"/>
          <w:sz w:val="24"/>
          <w:szCs w:val="24"/>
        </w:rPr>
        <w:t>generates</w:t>
      </w:r>
      <w:r w:rsidRPr="001435A7">
        <w:rPr>
          <w:rFonts w:ascii="Cambria" w:eastAsia="Calibri" w:hAnsi="Cambria" w:cs="Times New Roman"/>
          <w:sz w:val="24"/>
          <w:szCs w:val="24"/>
        </w:rPr>
        <w:t xml:space="preserve"> emotions those registered on the negative region of the dimensions, consumers may have negative reaction.</w:t>
      </w:r>
    </w:p>
    <w:p w14:paraId="3DBAF11A" w14:textId="05576C70" w:rsidR="00C7217E" w:rsidRPr="001435A7" w:rsidRDefault="00C7217E">
      <w:pPr>
        <w:spacing w:line="360" w:lineRule="auto"/>
        <w:jc w:val="both"/>
        <w:rPr>
          <w:rFonts w:ascii="Cambria" w:hAnsi="Cambria"/>
        </w:rPr>
      </w:pPr>
      <w:r w:rsidRPr="001435A7">
        <w:rPr>
          <w:rFonts w:ascii="Cambria" w:eastAsia="Calibri" w:hAnsi="Cambria" w:cs="Times New Roman"/>
          <w:sz w:val="24"/>
          <w:szCs w:val="24"/>
        </w:rPr>
        <w:t xml:space="preserve">Relationship between ad attitude and </w:t>
      </w:r>
      <w:r w:rsidR="00ED419B" w:rsidRPr="001435A7">
        <w:rPr>
          <w:rFonts w:ascii="Cambria" w:eastAsia="Calibri" w:hAnsi="Cambria" w:cs="Times New Roman"/>
          <w:sz w:val="24"/>
          <w:szCs w:val="24"/>
        </w:rPr>
        <w:t>behavioural</w:t>
      </w:r>
      <w:r w:rsidRPr="001435A7">
        <w:rPr>
          <w:rFonts w:ascii="Cambria" w:eastAsia="Calibri" w:hAnsi="Cambria" w:cs="Times New Roman"/>
          <w:sz w:val="24"/>
          <w:szCs w:val="24"/>
        </w:rPr>
        <w:t xml:space="preserve"> intention is a well</w:t>
      </w:r>
      <w:r w:rsidR="00ED419B" w:rsidRPr="001435A7">
        <w:rPr>
          <w:rFonts w:ascii="Cambria" w:eastAsia="Calibri" w:hAnsi="Cambria" w:cs="Times New Roman"/>
          <w:sz w:val="24"/>
          <w:szCs w:val="24"/>
        </w:rPr>
        <w:t>-</w:t>
      </w:r>
      <w:r w:rsidRPr="001435A7">
        <w:rPr>
          <w:rFonts w:ascii="Cambria" w:eastAsia="Calibri" w:hAnsi="Cambria" w:cs="Times New Roman"/>
          <w:sz w:val="24"/>
          <w:szCs w:val="24"/>
        </w:rPr>
        <w:t xml:space="preserve">established phenomenon. Attitude towards the brand </w:t>
      </w:r>
      <w:r w:rsidRPr="001435A7">
        <w:rPr>
          <w:rFonts w:ascii="Cambria" w:hAnsi="Cambria"/>
          <w:sz w:val="24"/>
          <w:szCs w:val="24"/>
        </w:rPr>
        <w:t xml:space="preserve">(Nikolonakou and King 2018), the source (Ki et al 2019), and platform’ privacy policy (Lin et al 2019) </w:t>
      </w:r>
      <w:r w:rsidR="00AF54B5" w:rsidRPr="001435A7">
        <w:rPr>
          <w:rFonts w:ascii="Cambria" w:hAnsi="Cambria"/>
          <w:sz w:val="24"/>
          <w:szCs w:val="24"/>
        </w:rPr>
        <w:t>has</w:t>
      </w:r>
      <w:r w:rsidRPr="001435A7">
        <w:rPr>
          <w:rFonts w:ascii="Cambria" w:hAnsi="Cambria"/>
          <w:sz w:val="24"/>
          <w:szCs w:val="24"/>
        </w:rPr>
        <w:t xml:space="preserve"> been studied in relationship with social media engagement. B</w:t>
      </w:r>
      <w:r w:rsidRPr="001435A7">
        <w:rPr>
          <w:rFonts w:ascii="Cambria" w:eastAsia="Calibri" w:hAnsi="Cambria" w:cs="Times New Roman"/>
          <w:sz w:val="24"/>
          <w:szCs w:val="24"/>
        </w:rPr>
        <w:t xml:space="preserve">ut, to the best of knowledge, impact of ad attitude in social media engagement behaviour has not been explored much. </w:t>
      </w:r>
      <w:r w:rsidRPr="001435A7">
        <w:rPr>
          <w:rFonts w:ascii="Cambria" w:hAnsi="Cambria"/>
          <w:sz w:val="24"/>
          <w:szCs w:val="24"/>
        </w:rPr>
        <w:t xml:space="preserve">This research demonstrated that </w:t>
      </w:r>
      <w:r w:rsidR="00ED419B" w:rsidRPr="001435A7">
        <w:rPr>
          <w:rFonts w:ascii="Cambria" w:eastAsia="Calibri" w:hAnsi="Cambria" w:cs="Times New Roman"/>
          <w:bCs/>
          <w:sz w:val="24"/>
          <w:szCs w:val="24"/>
        </w:rPr>
        <w:t xml:space="preserve">ad with </w:t>
      </w:r>
      <w:r w:rsidRPr="001435A7">
        <w:rPr>
          <w:rFonts w:ascii="Cambria" w:eastAsia="Calibri" w:hAnsi="Cambria" w:cs="Times New Roman"/>
          <w:sz w:val="24"/>
          <w:szCs w:val="24"/>
        </w:rPr>
        <w:t xml:space="preserve">sustainability </w:t>
      </w:r>
      <w:r w:rsidR="00ED419B" w:rsidRPr="001435A7">
        <w:rPr>
          <w:rFonts w:ascii="Cambria" w:eastAsia="Calibri" w:hAnsi="Cambria" w:cs="Times New Roman"/>
          <w:bCs/>
          <w:sz w:val="24"/>
          <w:szCs w:val="24"/>
        </w:rPr>
        <w:t>message</w:t>
      </w:r>
      <w:r w:rsidRPr="001435A7">
        <w:rPr>
          <w:rFonts w:ascii="Cambria" w:eastAsia="Calibri" w:hAnsi="Cambria" w:cs="Times New Roman"/>
          <w:sz w:val="24"/>
          <w:szCs w:val="24"/>
        </w:rPr>
        <w:t xml:space="preserve"> </w:t>
      </w:r>
      <w:r w:rsidRPr="001435A7">
        <w:rPr>
          <w:rFonts w:ascii="Cambria" w:hAnsi="Cambria"/>
          <w:sz w:val="24"/>
          <w:szCs w:val="24"/>
        </w:rPr>
        <w:t>generates complementary social media engagement behaviour</w:t>
      </w:r>
      <w:r w:rsidRPr="001435A7">
        <w:rPr>
          <w:rFonts w:ascii="Cambria" w:hAnsi="Cambria"/>
        </w:rPr>
        <w:t xml:space="preserve">.  </w:t>
      </w:r>
    </w:p>
    <w:p w14:paraId="47C04697" w14:textId="3D243BE3" w:rsidR="00C7217E" w:rsidRPr="001435A7" w:rsidRDefault="004E6135" w:rsidP="006C4265">
      <w:pPr>
        <w:pStyle w:val="Heading2"/>
      </w:pPr>
      <w:bookmarkStart w:id="98" w:name="_Toc115726272"/>
      <w:r w:rsidRPr="001435A7">
        <w:t>6</w:t>
      </w:r>
      <w:r w:rsidR="00C7217E" w:rsidRPr="001435A7">
        <w:t>.</w:t>
      </w:r>
      <w:r w:rsidR="00E65878" w:rsidRPr="001435A7">
        <w:t>2</w:t>
      </w:r>
      <w:r w:rsidR="00C7217E" w:rsidRPr="001435A7">
        <w:t xml:space="preserve">. </w:t>
      </w:r>
      <w:r w:rsidR="00452A66" w:rsidRPr="001435A7">
        <w:t xml:space="preserve">Social media engagement’s </w:t>
      </w:r>
      <w:r w:rsidR="00452A66" w:rsidRPr="006C4265">
        <w:t>influence</w:t>
      </w:r>
      <w:r w:rsidR="00452A66" w:rsidRPr="001435A7">
        <w:t xml:space="preserve"> on sustainable behaviour</w:t>
      </w:r>
      <w:bookmarkEnd w:id="98"/>
    </w:p>
    <w:p w14:paraId="3660E805" w14:textId="4E855980" w:rsidR="00C7217E" w:rsidRPr="00530906" w:rsidRDefault="00017812">
      <w:pPr>
        <w:spacing w:line="360" w:lineRule="auto"/>
        <w:jc w:val="both"/>
        <w:rPr>
          <w:rFonts w:ascii="Cambria" w:hAnsi="Cambria"/>
          <w:sz w:val="24"/>
          <w:szCs w:val="24"/>
        </w:rPr>
      </w:pPr>
      <w:r w:rsidRPr="001435A7">
        <w:rPr>
          <w:rFonts w:ascii="Cambria" w:hAnsi="Cambria"/>
          <w:sz w:val="24"/>
          <w:szCs w:val="24"/>
        </w:rPr>
        <w:t>Previous study showed that, normative influence enforce</w:t>
      </w:r>
      <w:r w:rsidR="00297F25" w:rsidRPr="001435A7">
        <w:rPr>
          <w:rFonts w:ascii="Cambria" w:hAnsi="Cambria"/>
          <w:sz w:val="24"/>
          <w:szCs w:val="24"/>
        </w:rPr>
        <w:t>s</w:t>
      </w:r>
      <w:r w:rsidRPr="001435A7">
        <w:rPr>
          <w:rFonts w:ascii="Cambria" w:hAnsi="Cambria"/>
          <w:sz w:val="24"/>
          <w:szCs w:val="24"/>
        </w:rPr>
        <w:t xml:space="preserve"> social media users’ own norm, which increases social media engagement </w:t>
      </w:r>
      <w:r w:rsidR="00B708DB" w:rsidRPr="001435A7">
        <w:rPr>
          <w:rFonts w:ascii="Cambria" w:hAnsi="Cambria"/>
          <w:sz w:val="24"/>
          <w:szCs w:val="24"/>
        </w:rPr>
        <w:t xml:space="preserve">over the advertisement </w:t>
      </w:r>
      <w:r w:rsidR="00DF4EE8" w:rsidRPr="001435A7">
        <w:rPr>
          <w:rFonts w:ascii="Cambria" w:hAnsi="Cambria"/>
          <w:sz w:val="24"/>
          <w:szCs w:val="24"/>
        </w:rPr>
        <w:t xml:space="preserve">circulated </w:t>
      </w:r>
      <w:r w:rsidR="009B1CBA" w:rsidRPr="001435A7">
        <w:rPr>
          <w:rFonts w:ascii="Cambria" w:hAnsi="Cambria"/>
          <w:sz w:val="24"/>
          <w:szCs w:val="24"/>
        </w:rPr>
        <w:t>in the social media</w:t>
      </w:r>
      <w:r w:rsidR="008B1A59" w:rsidRPr="001435A7">
        <w:rPr>
          <w:rFonts w:ascii="Cambria" w:hAnsi="Cambria"/>
          <w:sz w:val="24"/>
          <w:szCs w:val="24"/>
        </w:rPr>
        <w:t xml:space="preserve"> (Gironda </w:t>
      </w:r>
      <w:r w:rsidR="001F3B0D" w:rsidRPr="001435A7">
        <w:rPr>
          <w:rFonts w:ascii="Cambria" w:hAnsi="Cambria"/>
          <w:sz w:val="24"/>
          <w:szCs w:val="24"/>
        </w:rPr>
        <w:t>and Korgaonkar</w:t>
      </w:r>
      <w:r w:rsidR="008B1A59" w:rsidRPr="001435A7">
        <w:rPr>
          <w:rFonts w:ascii="Cambria" w:hAnsi="Cambria"/>
          <w:sz w:val="24"/>
          <w:szCs w:val="24"/>
        </w:rPr>
        <w:t xml:space="preserve"> 2014)</w:t>
      </w:r>
      <w:r w:rsidR="009B1CBA" w:rsidRPr="001435A7">
        <w:rPr>
          <w:rFonts w:ascii="Cambria" w:hAnsi="Cambria"/>
          <w:sz w:val="24"/>
          <w:szCs w:val="24"/>
        </w:rPr>
        <w:t xml:space="preserve">. </w:t>
      </w:r>
      <w:r w:rsidR="001F3B0D" w:rsidRPr="001435A7">
        <w:rPr>
          <w:rFonts w:ascii="Cambria" w:hAnsi="Cambria"/>
          <w:sz w:val="24"/>
          <w:szCs w:val="24"/>
        </w:rPr>
        <w:t>Contrary to that, t</w:t>
      </w:r>
      <w:r w:rsidR="008838C7" w:rsidRPr="001435A7">
        <w:rPr>
          <w:rFonts w:ascii="Cambria" w:hAnsi="Cambria"/>
          <w:sz w:val="24"/>
          <w:szCs w:val="24"/>
        </w:rPr>
        <w:t>his study</w:t>
      </w:r>
      <w:r w:rsidR="00DF4EE8" w:rsidRPr="001435A7">
        <w:rPr>
          <w:rFonts w:ascii="Cambria" w:hAnsi="Cambria"/>
          <w:sz w:val="24"/>
          <w:szCs w:val="24"/>
        </w:rPr>
        <w:t xml:space="preserve"> examines social media </w:t>
      </w:r>
      <w:r w:rsidR="00003AF3" w:rsidRPr="001435A7">
        <w:rPr>
          <w:rFonts w:ascii="Cambria" w:hAnsi="Cambria"/>
          <w:sz w:val="24"/>
          <w:szCs w:val="24"/>
        </w:rPr>
        <w:t xml:space="preserve">engagement as </w:t>
      </w:r>
      <w:r w:rsidR="00297F25" w:rsidRPr="001435A7">
        <w:rPr>
          <w:rFonts w:ascii="Cambria" w:hAnsi="Cambria"/>
          <w:sz w:val="24"/>
          <w:szCs w:val="24"/>
        </w:rPr>
        <w:t>an antecedent of social influence of product choice. The experiment shows that, a</w:t>
      </w:r>
      <w:r w:rsidR="00DF4EE8" w:rsidRPr="001435A7">
        <w:rPr>
          <w:rFonts w:ascii="Cambria" w:hAnsi="Cambria"/>
          <w:sz w:val="24"/>
          <w:szCs w:val="24"/>
        </w:rPr>
        <w:t xml:space="preserve">s </w:t>
      </w:r>
      <w:r w:rsidR="00C7217E" w:rsidRPr="001435A7">
        <w:rPr>
          <w:rFonts w:ascii="Cambria" w:hAnsi="Cambria"/>
          <w:sz w:val="24"/>
          <w:szCs w:val="24"/>
        </w:rPr>
        <w:t>a consequence of social media engagement, the consumers are influenced in two aspects</w:t>
      </w:r>
      <w:r w:rsidR="004179CD" w:rsidRPr="001435A7">
        <w:rPr>
          <w:rFonts w:ascii="Cambria" w:hAnsi="Cambria"/>
          <w:sz w:val="24"/>
          <w:szCs w:val="24"/>
        </w:rPr>
        <w:t>–</w:t>
      </w:r>
      <w:r w:rsidR="00C7217E" w:rsidRPr="001435A7">
        <w:rPr>
          <w:rFonts w:ascii="Cambria" w:hAnsi="Cambria"/>
          <w:sz w:val="24"/>
          <w:szCs w:val="24"/>
        </w:rPr>
        <w:t xml:space="preserve"> normative influence</w:t>
      </w:r>
      <w:r w:rsidR="00DB5573" w:rsidRPr="001435A7">
        <w:rPr>
          <w:rFonts w:ascii="Cambria" w:hAnsi="Cambria"/>
          <w:sz w:val="24"/>
          <w:szCs w:val="24"/>
        </w:rPr>
        <w:t xml:space="preserve"> (H</w:t>
      </w:r>
      <w:r w:rsidR="00DB5573" w:rsidRPr="001435A7">
        <w:rPr>
          <w:rFonts w:ascii="Cambria" w:hAnsi="Cambria"/>
          <w:sz w:val="24"/>
          <w:szCs w:val="24"/>
          <w:vertAlign w:val="subscript"/>
        </w:rPr>
        <w:t>14</w:t>
      </w:r>
      <w:r w:rsidR="00DB5573" w:rsidRPr="001435A7">
        <w:rPr>
          <w:rFonts w:ascii="Cambria" w:hAnsi="Cambria"/>
          <w:sz w:val="24"/>
          <w:szCs w:val="24"/>
        </w:rPr>
        <w:t>)</w:t>
      </w:r>
      <w:r w:rsidR="00C7217E" w:rsidRPr="001435A7">
        <w:rPr>
          <w:rFonts w:ascii="Cambria" w:hAnsi="Cambria"/>
          <w:sz w:val="24"/>
          <w:szCs w:val="24"/>
        </w:rPr>
        <w:t xml:space="preserve"> and informational influence</w:t>
      </w:r>
      <w:r w:rsidR="00CE0B1A" w:rsidRPr="001435A7">
        <w:rPr>
          <w:rFonts w:ascii="Cambria" w:hAnsi="Cambria"/>
          <w:sz w:val="24"/>
          <w:szCs w:val="24"/>
        </w:rPr>
        <w:t xml:space="preserve"> (H</w:t>
      </w:r>
      <w:r w:rsidR="00CE0B1A" w:rsidRPr="001435A7">
        <w:rPr>
          <w:rFonts w:ascii="Cambria" w:hAnsi="Cambria"/>
          <w:sz w:val="24"/>
          <w:szCs w:val="24"/>
          <w:vertAlign w:val="subscript"/>
        </w:rPr>
        <w:t>16</w:t>
      </w:r>
      <w:r w:rsidR="00CE0B1A" w:rsidRPr="001435A7">
        <w:rPr>
          <w:rFonts w:ascii="Cambria" w:hAnsi="Cambria"/>
          <w:sz w:val="24"/>
          <w:szCs w:val="24"/>
        </w:rPr>
        <w:t>)</w:t>
      </w:r>
      <w:r w:rsidR="00C7217E" w:rsidRPr="001435A7">
        <w:rPr>
          <w:rFonts w:ascii="Cambria" w:hAnsi="Cambria"/>
          <w:sz w:val="24"/>
          <w:szCs w:val="24"/>
        </w:rPr>
        <w:t>.</w:t>
      </w:r>
      <w:r w:rsidR="00F864A5" w:rsidRPr="001435A7">
        <w:rPr>
          <w:rFonts w:ascii="Cambria" w:hAnsi="Cambria"/>
          <w:sz w:val="24"/>
          <w:szCs w:val="24"/>
        </w:rPr>
        <w:t xml:space="preserve"> </w:t>
      </w:r>
      <w:r w:rsidR="00EF6916" w:rsidRPr="001435A7">
        <w:rPr>
          <w:rFonts w:ascii="Cambria" w:hAnsi="Cambria"/>
          <w:sz w:val="24"/>
          <w:szCs w:val="24"/>
        </w:rPr>
        <w:t xml:space="preserve"> Specially</w:t>
      </w:r>
      <w:r w:rsidR="009E43C4" w:rsidRPr="001435A7">
        <w:rPr>
          <w:rFonts w:ascii="Cambria" w:hAnsi="Cambria"/>
          <w:sz w:val="24"/>
          <w:szCs w:val="24"/>
        </w:rPr>
        <w:t>,</w:t>
      </w:r>
      <w:r w:rsidR="00EF6916" w:rsidRPr="001435A7">
        <w:rPr>
          <w:rFonts w:ascii="Cambria" w:hAnsi="Cambria"/>
          <w:sz w:val="24"/>
          <w:szCs w:val="24"/>
        </w:rPr>
        <w:t xml:space="preserve"> when the social media influence is directed towards a product or brand, c</w:t>
      </w:r>
      <w:r w:rsidR="00C7217E" w:rsidRPr="001435A7">
        <w:rPr>
          <w:rFonts w:ascii="Cambria" w:hAnsi="Cambria"/>
          <w:sz w:val="24"/>
          <w:szCs w:val="24"/>
        </w:rPr>
        <w:t>onsumers</w:t>
      </w:r>
      <w:r w:rsidR="00EF6916" w:rsidRPr="001435A7">
        <w:rPr>
          <w:rFonts w:ascii="Cambria" w:hAnsi="Cambria"/>
          <w:sz w:val="24"/>
          <w:szCs w:val="24"/>
        </w:rPr>
        <w:t>’</w:t>
      </w:r>
      <w:r w:rsidR="00C7217E" w:rsidRPr="001435A7">
        <w:rPr>
          <w:rFonts w:ascii="Cambria" w:hAnsi="Cambria"/>
          <w:sz w:val="24"/>
          <w:szCs w:val="24"/>
        </w:rPr>
        <w:t xml:space="preserve"> purchase behaviour is influenced by other consumers’ opinion over online (Huang and Chen 2006). </w:t>
      </w:r>
      <w:r w:rsidR="00037DDB" w:rsidRPr="001435A7">
        <w:rPr>
          <w:rFonts w:ascii="Cambria" w:hAnsi="Cambria"/>
          <w:sz w:val="24"/>
          <w:szCs w:val="24"/>
        </w:rPr>
        <w:t>This has</w:t>
      </w:r>
      <w:r w:rsidR="007C50DA" w:rsidRPr="001435A7">
        <w:rPr>
          <w:rFonts w:ascii="Cambria" w:hAnsi="Cambria"/>
          <w:sz w:val="24"/>
          <w:szCs w:val="24"/>
        </w:rPr>
        <w:t xml:space="preserve"> also</w:t>
      </w:r>
      <w:r w:rsidR="00037DDB" w:rsidRPr="001435A7">
        <w:rPr>
          <w:rFonts w:ascii="Cambria" w:hAnsi="Cambria"/>
          <w:sz w:val="24"/>
          <w:szCs w:val="24"/>
        </w:rPr>
        <w:t xml:space="preserve"> been observed through the significant result of H</w:t>
      </w:r>
      <w:r w:rsidR="00037DDB" w:rsidRPr="001435A7">
        <w:rPr>
          <w:rFonts w:ascii="Cambria" w:hAnsi="Cambria"/>
          <w:sz w:val="24"/>
          <w:szCs w:val="24"/>
          <w:vertAlign w:val="subscript"/>
        </w:rPr>
        <w:t>15</w:t>
      </w:r>
      <w:r w:rsidR="00037DDB" w:rsidRPr="001435A7">
        <w:rPr>
          <w:rFonts w:ascii="Cambria" w:hAnsi="Cambria"/>
          <w:sz w:val="24"/>
          <w:szCs w:val="24"/>
        </w:rPr>
        <w:t xml:space="preserve"> and H</w:t>
      </w:r>
      <w:r w:rsidR="00037DDB" w:rsidRPr="001435A7">
        <w:rPr>
          <w:rFonts w:ascii="Cambria" w:hAnsi="Cambria"/>
          <w:sz w:val="24"/>
          <w:szCs w:val="24"/>
          <w:vertAlign w:val="subscript"/>
        </w:rPr>
        <w:t>17</w:t>
      </w:r>
      <w:r w:rsidR="00037DDB" w:rsidRPr="001435A7">
        <w:rPr>
          <w:rFonts w:ascii="Cambria" w:hAnsi="Cambria"/>
          <w:sz w:val="24"/>
          <w:szCs w:val="24"/>
        </w:rPr>
        <w:t>, where it is</w:t>
      </w:r>
      <w:r w:rsidR="007C50DA" w:rsidRPr="001435A7">
        <w:rPr>
          <w:rFonts w:ascii="Cambria" w:hAnsi="Cambria"/>
          <w:sz w:val="24"/>
          <w:szCs w:val="24"/>
        </w:rPr>
        <w:t xml:space="preserve"> </w:t>
      </w:r>
      <w:r w:rsidR="00037DDB" w:rsidRPr="001435A7">
        <w:rPr>
          <w:rFonts w:ascii="Cambria" w:hAnsi="Cambria"/>
          <w:sz w:val="24"/>
          <w:szCs w:val="24"/>
        </w:rPr>
        <w:t>suggested that</w:t>
      </w:r>
      <w:r w:rsidR="007C50DA" w:rsidRPr="001435A7">
        <w:rPr>
          <w:rFonts w:ascii="Cambria" w:hAnsi="Cambria"/>
          <w:sz w:val="24"/>
          <w:szCs w:val="24"/>
        </w:rPr>
        <w:t xml:space="preserve"> normative and informational influence inspired by the sustainability ad cause increase in sustainable product purchase intention. </w:t>
      </w:r>
      <w:r w:rsidR="00037DDB" w:rsidRPr="001435A7">
        <w:rPr>
          <w:rFonts w:ascii="Cambria" w:hAnsi="Cambria"/>
          <w:sz w:val="24"/>
          <w:szCs w:val="24"/>
        </w:rPr>
        <w:t xml:space="preserve"> </w:t>
      </w:r>
      <w:r w:rsidR="00C7217E" w:rsidRPr="001435A7">
        <w:rPr>
          <w:rFonts w:ascii="Cambria" w:hAnsi="Cambria"/>
          <w:sz w:val="24"/>
          <w:szCs w:val="24"/>
        </w:rPr>
        <w:t xml:space="preserve">Consumers engage in social media to </w:t>
      </w:r>
      <w:r w:rsidR="00443647" w:rsidRPr="001435A7">
        <w:rPr>
          <w:rFonts w:ascii="Cambria" w:hAnsi="Cambria"/>
          <w:sz w:val="24"/>
          <w:szCs w:val="24"/>
        </w:rPr>
        <w:t>fulfil</w:t>
      </w:r>
      <w:r w:rsidR="00C7217E" w:rsidRPr="001435A7">
        <w:rPr>
          <w:rFonts w:ascii="Cambria" w:hAnsi="Cambria"/>
          <w:sz w:val="24"/>
          <w:szCs w:val="24"/>
        </w:rPr>
        <w:t xml:space="preserve"> the need of conformity as well as for social reward through information sharing (Hamilton et al 2017; Chen et al 2019; Raghunathan and Corfman 2006). More importantly, group’s opinion has the ability to influence the purchase decision by altering information. Due to informational influence, consumers filter the information from other sources and accept the information from the group as more accurate information. On the other hand, due to normative influence, consumers feel </w:t>
      </w:r>
      <w:r w:rsidR="00C7217E" w:rsidRPr="00530906">
        <w:rPr>
          <w:rFonts w:ascii="Cambria" w:hAnsi="Cambria"/>
          <w:sz w:val="24"/>
          <w:szCs w:val="24"/>
        </w:rPr>
        <w:t>similar and superior among group members (Harmeling et al 2017; Huang et al 2012; Raghunathan and Corfman 2006). Both of the influences proved to be effective when consumers preferences are not well</w:t>
      </w:r>
      <w:r w:rsidR="004179CD" w:rsidRPr="00530906">
        <w:rPr>
          <w:rFonts w:ascii="Cambria" w:hAnsi="Cambria"/>
          <w:sz w:val="24"/>
          <w:szCs w:val="24"/>
        </w:rPr>
        <w:t>–</w:t>
      </w:r>
      <w:r w:rsidR="00C7217E" w:rsidRPr="00530906">
        <w:rPr>
          <w:rFonts w:ascii="Cambria" w:hAnsi="Cambria"/>
          <w:sz w:val="24"/>
          <w:szCs w:val="24"/>
        </w:rPr>
        <w:t xml:space="preserve">defined and they have lack of information. In this situation, they choose an option by observing other people (Huh et al 2014). This may be the case for sustainable products. General consumers also do not have proper information about sustainable product, which impede the purchase (Peattie and Crane 2005; Davari and Strutton 2014; Luchs and Kusmar 2017). Yet, consumers ethical or sustainable product purchase intention is influenced by other consumers (Shang and Peloza 2016; Johnstone and Hooper 2016). </w:t>
      </w:r>
      <w:r w:rsidR="00C7217E" w:rsidRPr="00530906">
        <w:rPr>
          <w:rFonts w:ascii="Cambria" w:eastAsia="Calibri" w:hAnsi="Cambria" w:cs="Times New Roman"/>
          <w:sz w:val="24"/>
          <w:szCs w:val="24"/>
        </w:rPr>
        <w:t>As the hypothesis supports the social influence theory, it can be explained from the point of research</w:t>
      </w:r>
      <w:r w:rsidR="00C7217E" w:rsidRPr="00530906">
        <w:rPr>
          <w:rFonts w:ascii="Cambria" w:hAnsi="Cambria"/>
          <w:sz w:val="24"/>
          <w:szCs w:val="24"/>
        </w:rPr>
        <w:t xml:space="preserve"> that shows that green consumption behaviour is adopted to be socially fit rather than to be distinguished (Brooks and Wilson 2015; Aagerup and Nilsson, 2016). Antonetti and Danae (2017) has observed that, consumers’ those who express their dissatisfaction on the corporations’ sustainability related misconduct over online media, will also expand their behaviour over offline negative word of mouth. Similarly, consumers’ specific sustainability related behaviour (</w:t>
      </w:r>
      <w:r w:rsidR="00B834E9" w:rsidRPr="00530906">
        <w:rPr>
          <w:rFonts w:ascii="Cambria" w:hAnsi="Cambria"/>
          <w:sz w:val="24"/>
          <w:szCs w:val="24"/>
        </w:rPr>
        <w:t>i.e.,</w:t>
      </w:r>
      <w:r w:rsidR="00C7217E" w:rsidRPr="00530906">
        <w:rPr>
          <w:rFonts w:ascii="Cambria" w:hAnsi="Cambria"/>
          <w:sz w:val="24"/>
          <w:szCs w:val="24"/>
        </w:rPr>
        <w:t xml:space="preserve"> purchase) can also expand in other sustainability related behaviour. H</w:t>
      </w:r>
      <w:r w:rsidR="00C7217E" w:rsidRPr="00530906">
        <w:rPr>
          <w:rFonts w:ascii="Cambria" w:hAnsi="Cambria"/>
          <w:sz w:val="24"/>
          <w:szCs w:val="24"/>
          <w:vertAlign w:val="subscript"/>
        </w:rPr>
        <w:t>19</w:t>
      </w:r>
      <w:r w:rsidR="00C7217E" w:rsidRPr="00530906">
        <w:rPr>
          <w:rFonts w:ascii="Cambria" w:hAnsi="Cambria"/>
          <w:sz w:val="24"/>
          <w:szCs w:val="24"/>
        </w:rPr>
        <w:t xml:space="preserve"> has supported the same phenomenon</w:t>
      </w:r>
      <w:r w:rsidR="004179CD" w:rsidRPr="00530906">
        <w:rPr>
          <w:rFonts w:ascii="Cambria" w:hAnsi="Cambria"/>
          <w:sz w:val="24"/>
          <w:szCs w:val="24"/>
        </w:rPr>
        <w:t>–</w:t>
      </w:r>
      <w:r w:rsidR="00C7217E" w:rsidRPr="00530906">
        <w:rPr>
          <w:rFonts w:ascii="Cambria" w:hAnsi="Cambria"/>
          <w:sz w:val="24"/>
          <w:szCs w:val="24"/>
        </w:rPr>
        <w:t xml:space="preserve"> consumers’ sustainable product purchase intention which generated by being exposed to a </w:t>
      </w:r>
      <w:r w:rsidR="00F20AE1">
        <w:rPr>
          <w:rFonts w:ascii="Cambria" w:eastAsia="Calibri" w:hAnsi="Cambria" w:cs="Times New Roman"/>
          <w:bCs/>
          <w:sz w:val="24"/>
          <w:szCs w:val="24"/>
        </w:rPr>
        <w:t>ad with</w:t>
      </w:r>
      <w:r w:rsidR="00F20AE1" w:rsidRPr="00530906">
        <w:rPr>
          <w:rFonts w:ascii="Cambria" w:eastAsia="Calibri" w:hAnsi="Cambria" w:cs="Times New Roman"/>
          <w:bCs/>
          <w:sz w:val="24"/>
          <w:szCs w:val="24"/>
        </w:rPr>
        <w:t xml:space="preserve"> sustainabilit</w:t>
      </w:r>
      <w:r w:rsidR="00F20AE1">
        <w:rPr>
          <w:rFonts w:ascii="Cambria" w:eastAsia="Calibri" w:hAnsi="Cambria" w:cs="Times New Roman"/>
          <w:bCs/>
          <w:sz w:val="24"/>
          <w:szCs w:val="24"/>
        </w:rPr>
        <w:t>y message</w:t>
      </w:r>
      <w:r w:rsidR="00C7217E">
        <w:rPr>
          <w:rFonts w:ascii="Cambria" w:eastAsia="Calibri" w:hAnsi="Cambria" w:cs="Times New Roman"/>
          <w:sz w:val="24"/>
          <w:szCs w:val="24"/>
        </w:rPr>
        <w:t xml:space="preserve"> </w:t>
      </w:r>
      <w:r w:rsidR="00C7217E" w:rsidRPr="00530906">
        <w:rPr>
          <w:rFonts w:ascii="Cambria" w:hAnsi="Cambria"/>
          <w:sz w:val="24"/>
          <w:szCs w:val="24"/>
        </w:rPr>
        <w:t xml:space="preserve">on social media and shaped by other consumers’ opinion, also influence other sustainable behaviour intention. </w:t>
      </w:r>
    </w:p>
    <w:p w14:paraId="26575614" w14:textId="670C6519" w:rsidR="00330EAA" w:rsidRDefault="004E6135" w:rsidP="00330EAA">
      <w:pPr>
        <w:pStyle w:val="Heading2"/>
        <w:jc w:val="both"/>
        <w:rPr>
          <w:rFonts w:ascii="Cambria" w:hAnsi="Cambria"/>
        </w:rPr>
      </w:pPr>
      <w:bookmarkStart w:id="99" w:name="_Toc115726273"/>
      <w:r w:rsidRPr="00530906">
        <w:rPr>
          <w:rFonts w:ascii="Cambria" w:hAnsi="Cambria"/>
        </w:rPr>
        <w:t>6</w:t>
      </w:r>
      <w:r w:rsidR="00C7217E" w:rsidRPr="00530906">
        <w:rPr>
          <w:rFonts w:ascii="Cambria" w:hAnsi="Cambria"/>
        </w:rPr>
        <w:t>.</w:t>
      </w:r>
      <w:r w:rsidR="00E65878" w:rsidRPr="00530906">
        <w:rPr>
          <w:rFonts w:ascii="Cambria" w:hAnsi="Cambria"/>
        </w:rPr>
        <w:t>3</w:t>
      </w:r>
      <w:r w:rsidR="00C7217E" w:rsidRPr="00530906">
        <w:rPr>
          <w:rFonts w:ascii="Cambria" w:hAnsi="Cambria"/>
        </w:rPr>
        <w:t xml:space="preserve">. </w:t>
      </w:r>
      <w:r w:rsidR="005A6996">
        <w:rPr>
          <w:rFonts w:ascii="Cambria" w:hAnsi="Cambria"/>
        </w:rPr>
        <w:t>C</w:t>
      </w:r>
      <w:r w:rsidR="00330EAA">
        <w:rPr>
          <w:rFonts w:ascii="Cambria" w:hAnsi="Cambria"/>
        </w:rPr>
        <w:t>ontribution to theory</w:t>
      </w:r>
      <w:bookmarkEnd w:id="99"/>
      <w:r w:rsidR="00330EAA">
        <w:rPr>
          <w:rFonts w:ascii="Cambria" w:hAnsi="Cambria"/>
        </w:rPr>
        <w:t xml:space="preserve"> </w:t>
      </w:r>
    </w:p>
    <w:p w14:paraId="5BD36609" w14:textId="386B1BF8" w:rsidR="009113A2" w:rsidRPr="00C92A39" w:rsidRDefault="00CD5071" w:rsidP="004B25CF">
      <w:pPr>
        <w:spacing w:line="360" w:lineRule="auto"/>
        <w:jc w:val="both"/>
        <w:rPr>
          <w:rFonts w:ascii="Cambria" w:hAnsi="Cambria"/>
          <w:sz w:val="24"/>
          <w:szCs w:val="24"/>
        </w:rPr>
      </w:pPr>
      <w:r w:rsidRPr="00C92A39">
        <w:rPr>
          <w:rFonts w:ascii="Cambria" w:hAnsi="Cambria"/>
          <w:sz w:val="24"/>
          <w:szCs w:val="24"/>
        </w:rPr>
        <w:t xml:space="preserve">Robust sustainable communication theories that focus on engendering positive sustainable change, is the crying need of the hour (McDonagh 1998). </w:t>
      </w:r>
      <w:r w:rsidR="004B25CF" w:rsidRPr="00C92A39">
        <w:rPr>
          <w:rFonts w:ascii="Cambria" w:hAnsi="Cambria"/>
          <w:sz w:val="24"/>
          <w:szCs w:val="24"/>
        </w:rPr>
        <w:t xml:space="preserve">This study advances the theoretical understanding of social media engagement from the context of ad with </w:t>
      </w:r>
      <w:r w:rsidR="0071389E" w:rsidRPr="00C92A39">
        <w:rPr>
          <w:rFonts w:ascii="Cambria" w:hAnsi="Cambria"/>
          <w:sz w:val="24"/>
          <w:szCs w:val="24"/>
        </w:rPr>
        <w:t>sustainability</w:t>
      </w:r>
      <w:r w:rsidR="004B25CF" w:rsidRPr="00C92A39">
        <w:rPr>
          <w:rFonts w:ascii="Cambria" w:hAnsi="Cambria"/>
          <w:sz w:val="24"/>
          <w:szCs w:val="24"/>
        </w:rPr>
        <w:t xml:space="preserve"> message.</w:t>
      </w:r>
      <w:r w:rsidR="00EC35D1" w:rsidRPr="00C92A39">
        <w:rPr>
          <w:rFonts w:ascii="Cambria" w:hAnsi="Cambria"/>
          <w:sz w:val="24"/>
          <w:szCs w:val="24"/>
        </w:rPr>
        <w:t xml:space="preserve"> </w:t>
      </w:r>
      <w:r w:rsidR="003C79F0" w:rsidRPr="00C92A39">
        <w:rPr>
          <w:rFonts w:ascii="Cambria" w:hAnsi="Cambria"/>
          <w:sz w:val="24"/>
          <w:szCs w:val="24"/>
        </w:rPr>
        <w:t>The</w:t>
      </w:r>
      <w:r w:rsidR="00F654E9" w:rsidRPr="00C92A39">
        <w:rPr>
          <w:rFonts w:ascii="Cambria" w:hAnsi="Cambria"/>
          <w:sz w:val="24"/>
          <w:szCs w:val="24"/>
        </w:rPr>
        <w:t xml:space="preserve"> emphasis on the interacti</w:t>
      </w:r>
      <w:r w:rsidR="007142FB" w:rsidRPr="00C92A39">
        <w:rPr>
          <w:rFonts w:ascii="Cambria" w:hAnsi="Cambria"/>
          <w:sz w:val="24"/>
          <w:szCs w:val="24"/>
        </w:rPr>
        <w:t>ve characteristics of social media has s</w:t>
      </w:r>
      <w:r w:rsidR="003C79F0" w:rsidRPr="00C92A39">
        <w:rPr>
          <w:rFonts w:ascii="Cambria" w:hAnsi="Cambria"/>
          <w:sz w:val="24"/>
          <w:szCs w:val="24"/>
        </w:rPr>
        <w:t>et this study a</w:t>
      </w:r>
      <w:r w:rsidR="003045BA" w:rsidRPr="00C92A39">
        <w:rPr>
          <w:rFonts w:ascii="Cambria" w:hAnsi="Cambria"/>
          <w:sz w:val="24"/>
          <w:szCs w:val="24"/>
        </w:rPr>
        <w:t>part</w:t>
      </w:r>
      <w:r w:rsidR="003C79F0" w:rsidRPr="00C92A39">
        <w:rPr>
          <w:rFonts w:ascii="Cambria" w:hAnsi="Cambria"/>
          <w:sz w:val="24"/>
          <w:szCs w:val="24"/>
        </w:rPr>
        <w:t xml:space="preserve"> from the </w:t>
      </w:r>
      <w:r w:rsidR="005325C4" w:rsidRPr="00C92A39">
        <w:rPr>
          <w:rFonts w:ascii="Cambria" w:hAnsi="Cambria"/>
          <w:sz w:val="24"/>
          <w:szCs w:val="24"/>
        </w:rPr>
        <w:t xml:space="preserve">other </w:t>
      </w:r>
      <w:r w:rsidR="00846347" w:rsidRPr="00C92A39">
        <w:rPr>
          <w:rFonts w:ascii="Cambria" w:hAnsi="Cambria"/>
          <w:sz w:val="24"/>
          <w:szCs w:val="24"/>
        </w:rPr>
        <w:t xml:space="preserve">advertisement related </w:t>
      </w:r>
      <w:r w:rsidR="003045BA" w:rsidRPr="00C92A39">
        <w:rPr>
          <w:rFonts w:ascii="Cambria" w:hAnsi="Cambria"/>
          <w:sz w:val="24"/>
          <w:szCs w:val="24"/>
        </w:rPr>
        <w:t>s</w:t>
      </w:r>
      <w:r w:rsidR="00846347" w:rsidRPr="00C92A39">
        <w:rPr>
          <w:rFonts w:ascii="Cambria" w:hAnsi="Cambria"/>
          <w:sz w:val="24"/>
          <w:szCs w:val="24"/>
        </w:rPr>
        <w:t>tudies on</w:t>
      </w:r>
      <w:r w:rsidR="003045BA" w:rsidRPr="00C92A39">
        <w:rPr>
          <w:rFonts w:ascii="Cambria" w:hAnsi="Cambria"/>
          <w:sz w:val="24"/>
          <w:szCs w:val="24"/>
        </w:rPr>
        <w:t xml:space="preserve"> focused on </w:t>
      </w:r>
      <w:r w:rsidR="00846347" w:rsidRPr="00C92A39">
        <w:rPr>
          <w:rFonts w:ascii="Cambria" w:hAnsi="Cambria"/>
          <w:sz w:val="24"/>
          <w:szCs w:val="24"/>
        </w:rPr>
        <w:t>mass media</w:t>
      </w:r>
      <w:r w:rsidR="003045BA" w:rsidRPr="00C92A39">
        <w:rPr>
          <w:rFonts w:ascii="Cambria" w:hAnsi="Cambria"/>
          <w:sz w:val="24"/>
          <w:szCs w:val="24"/>
        </w:rPr>
        <w:t>.</w:t>
      </w:r>
      <w:r w:rsidR="00846347" w:rsidRPr="00C92A39">
        <w:rPr>
          <w:rFonts w:ascii="Cambria" w:hAnsi="Cambria"/>
          <w:sz w:val="24"/>
          <w:szCs w:val="24"/>
        </w:rPr>
        <w:t xml:space="preserve"> </w:t>
      </w:r>
      <w:r w:rsidR="00DF5297" w:rsidRPr="00C92A39">
        <w:rPr>
          <w:rFonts w:ascii="Cambria" w:hAnsi="Cambria"/>
          <w:sz w:val="24"/>
          <w:szCs w:val="24"/>
        </w:rPr>
        <w:t>This contribution is essential because</w:t>
      </w:r>
      <w:r w:rsidR="004A1F8C" w:rsidRPr="00C92A39">
        <w:rPr>
          <w:rFonts w:ascii="Cambria" w:hAnsi="Cambria"/>
          <w:sz w:val="24"/>
          <w:szCs w:val="24"/>
        </w:rPr>
        <w:t>, customer to customer inte</w:t>
      </w:r>
      <w:r w:rsidR="00017987" w:rsidRPr="00C92A39">
        <w:rPr>
          <w:rFonts w:ascii="Cambria" w:hAnsi="Cambria"/>
          <w:sz w:val="24"/>
          <w:szCs w:val="24"/>
        </w:rPr>
        <w:t xml:space="preserve">raction has more influence </w:t>
      </w:r>
      <w:r w:rsidR="00525F7D" w:rsidRPr="00C92A39">
        <w:rPr>
          <w:rFonts w:ascii="Cambria" w:hAnsi="Cambria"/>
          <w:sz w:val="24"/>
          <w:szCs w:val="24"/>
        </w:rPr>
        <w:t xml:space="preserve">on </w:t>
      </w:r>
      <w:r w:rsidR="00017987" w:rsidRPr="00C92A39">
        <w:rPr>
          <w:rFonts w:ascii="Cambria" w:hAnsi="Cambria"/>
          <w:sz w:val="24"/>
          <w:szCs w:val="24"/>
        </w:rPr>
        <w:t>the revenue of the brand than the company led advertisement</w:t>
      </w:r>
      <w:r w:rsidR="00345403" w:rsidRPr="00C92A39">
        <w:rPr>
          <w:rFonts w:ascii="Cambria" w:hAnsi="Cambria"/>
          <w:sz w:val="24"/>
          <w:szCs w:val="24"/>
        </w:rPr>
        <w:t xml:space="preserve"> on </w:t>
      </w:r>
      <w:r w:rsidR="00F15D83" w:rsidRPr="00C92A39">
        <w:rPr>
          <w:rFonts w:ascii="Cambria" w:hAnsi="Cambria"/>
          <w:sz w:val="24"/>
          <w:szCs w:val="24"/>
        </w:rPr>
        <w:t>mainstream</w:t>
      </w:r>
      <w:r w:rsidR="00345403" w:rsidRPr="00C92A39">
        <w:rPr>
          <w:rFonts w:ascii="Cambria" w:hAnsi="Cambria"/>
          <w:sz w:val="24"/>
          <w:szCs w:val="24"/>
        </w:rPr>
        <w:t xml:space="preserve"> media (</w:t>
      </w:r>
      <w:r w:rsidR="00345403" w:rsidRPr="00C92A39">
        <w:rPr>
          <w:rFonts w:ascii="Cambria" w:eastAsia="Calibri" w:hAnsi="Cambria" w:cs="Times New Roman"/>
          <w:sz w:val="24"/>
          <w:szCs w:val="24"/>
        </w:rPr>
        <w:t>Habibi et al 2014)</w:t>
      </w:r>
      <w:r w:rsidR="00017987" w:rsidRPr="00C92A39">
        <w:rPr>
          <w:rFonts w:ascii="Cambria" w:hAnsi="Cambria"/>
          <w:sz w:val="24"/>
          <w:szCs w:val="24"/>
        </w:rPr>
        <w:t xml:space="preserve">. </w:t>
      </w:r>
      <w:r w:rsidR="004B25CF" w:rsidRPr="00C92A39">
        <w:rPr>
          <w:rFonts w:ascii="Cambria" w:hAnsi="Cambria"/>
          <w:sz w:val="24"/>
          <w:szCs w:val="24"/>
        </w:rPr>
        <w:t>According to the available data, only Minton et al (2012) has considered impact of social media on</w:t>
      </w:r>
      <w:r w:rsidR="00A22BD7" w:rsidRPr="00C92A39">
        <w:rPr>
          <w:rFonts w:ascii="Cambria" w:hAnsi="Cambria"/>
          <w:sz w:val="24"/>
          <w:szCs w:val="24"/>
        </w:rPr>
        <w:t xml:space="preserve"> ad with</w:t>
      </w:r>
      <w:r w:rsidR="004B25CF" w:rsidRPr="00C92A39">
        <w:rPr>
          <w:rFonts w:ascii="Cambria" w:hAnsi="Cambria"/>
          <w:sz w:val="24"/>
          <w:szCs w:val="24"/>
        </w:rPr>
        <w:t xml:space="preserve"> sustainability</w:t>
      </w:r>
      <w:r w:rsidR="00A22BD7" w:rsidRPr="00C92A39">
        <w:rPr>
          <w:rFonts w:ascii="Cambria" w:hAnsi="Cambria"/>
          <w:sz w:val="24"/>
          <w:szCs w:val="24"/>
        </w:rPr>
        <w:t xml:space="preserve"> message</w:t>
      </w:r>
      <w:r w:rsidR="004B25CF" w:rsidRPr="00C92A39">
        <w:rPr>
          <w:rFonts w:ascii="Cambria" w:hAnsi="Cambria"/>
          <w:sz w:val="24"/>
          <w:szCs w:val="24"/>
        </w:rPr>
        <w:t xml:space="preserve">, but the focus of their study is cross cultural impact of different social media platforms. Another study took only the negative electronic word of mouth into account (Antonetti and Manika 2017). However, their study is about the ethical malpractice of the organisations rather than </w:t>
      </w:r>
      <w:r w:rsidR="00A22BD7" w:rsidRPr="00C92A39">
        <w:rPr>
          <w:rFonts w:ascii="Cambria" w:hAnsi="Cambria"/>
          <w:sz w:val="24"/>
          <w:szCs w:val="24"/>
        </w:rPr>
        <w:t xml:space="preserve">ad with </w:t>
      </w:r>
      <w:r w:rsidR="004B25CF" w:rsidRPr="00C92A39">
        <w:rPr>
          <w:rFonts w:ascii="Cambria" w:hAnsi="Cambria"/>
          <w:sz w:val="24"/>
          <w:szCs w:val="24"/>
        </w:rPr>
        <w:t>sustainabilit</w:t>
      </w:r>
      <w:r w:rsidR="00A22BD7" w:rsidRPr="00C92A39">
        <w:rPr>
          <w:rFonts w:ascii="Cambria" w:hAnsi="Cambria"/>
          <w:sz w:val="24"/>
          <w:szCs w:val="24"/>
        </w:rPr>
        <w:t>y message</w:t>
      </w:r>
      <w:r w:rsidR="004B25CF" w:rsidRPr="00C92A39">
        <w:rPr>
          <w:rFonts w:ascii="Cambria" w:hAnsi="Cambria"/>
          <w:sz w:val="24"/>
          <w:szCs w:val="24"/>
        </w:rPr>
        <w:t xml:space="preserve">. This thesis emphasises on how one consumer’s positive or negative opinion shapes the social media engagement behaviour of other consumers. </w:t>
      </w:r>
    </w:p>
    <w:p w14:paraId="1822E63C" w14:textId="77777777" w:rsidR="00F93DFA" w:rsidRPr="00C92A39" w:rsidRDefault="004B25CF" w:rsidP="004B25CF">
      <w:pPr>
        <w:spacing w:line="360" w:lineRule="auto"/>
        <w:jc w:val="both"/>
        <w:rPr>
          <w:rFonts w:ascii="Cambria" w:hAnsi="Cambria"/>
          <w:sz w:val="24"/>
          <w:szCs w:val="24"/>
        </w:rPr>
      </w:pPr>
      <w:r w:rsidRPr="00C92A39">
        <w:rPr>
          <w:rFonts w:ascii="Cambria" w:hAnsi="Cambria"/>
          <w:sz w:val="24"/>
          <w:szCs w:val="24"/>
        </w:rPr>
        <w:t>This study addresses the necessity of better understanding the process of encouraging sustainable thoughts and behaviour among the consumers and the consequence of it. In other words, this study has extended the literature of</w:t>
      </w:r>
      <w:r w:rsidR="00F84433" w:rsidRPr="00C92A39">
        <w:rPr>
          <w:rFonts w:ascii="Cambria" w:hAnsi="Cambria"/>
          <w:sz w:val="24"/>
          <w:szCs w:val="24"/>
        </w:rPr>
        <w:t xml:space="preserve"> ad with </w:t>
      </w:r>
      <w:r w:rsidRPr="00C92A39">
        <w:rPr>
          <w:rFonts w:ascii="Cambria" w:hAnsi="Cambria"/>
          <w:sz w:val="24"/>
          <w:szCs w:val="24"/>
        </w:rPr>
        <w:t>sustainabilit</w:t>
      </w:r>
      <w:r w:rsidR="005760CB" w:rsidRPr="00C92A39">
        <w:rPr>
          <w:rFonts w:ascii="Cambria" w:hAnsi="Cambria"/>
          <w:sz w:val="24"/>
          <w:szCs w:val="24"/>
        </w:rPr>
        <w:t>y</w:t>
      </w:r>
      <w:r w:rsidR="00F84433" w:rsidRPr="00C92A39">
        <w:rPr>
          <w:rFonts w:ascii="Cambria" w:hAnsi="Cambria"/>
          <w:sz w:val="24"/>
          <w:szCs w:val="24"/>
        </w:rPr>
        <w:t xml:space="preserve"> message</w:t>
      </w:r>
      <w:r w:rsidR="009113A2" w:rsidRPr="00C92A39">
        <w:rPr>
          <w:rFonts w:ascii="Cambria" w:hAnsi="Cambria"/>
          <w:sz w:val="24"/>
          <w:szCs w:val="24"/>
        </w:rPr>
        <w:t>/ sustainability ad</w:t>
      </w:r>
      <w:r w:rsidRPr="00C92A39">
        <w:rPr>
          <w:rFonts w:ascii="Cambria" w:hAnsi="Cambria"/>
          <w:sz w:val="24"/>
          <w:szCs w:val="24"/>
        </w:rPr>
        <w:t xml:space="preserve"> by incorporating emotion and SCV to examine the effectiveness of it in terms of arousing purchase intention and other sustainable behaviour intention. More specifically speaking, this thesis underlines the consequence of social media engagement on the sustainable behaviour intention of the consumers. </w:t>
      </w:r>
    </w:p>
    <w:p w14:paraId="022541BC" w14:textId="65D42F2E" w:rsidR="004B25CF" w:rsidRPr="009A7B8F" w:rsidRDefault="004B25CF" w:rsidP="004B25CF">
      <w:pPr>
        <w:spacing w:line="360" w:lineRule="auto"/>
        <w:jc w:val="both"/>
        <w:rPr>
          <w:rFonts w:ascii="Cambria" w:hAnsi="Cambria"/>
          <w:color w:val="538135" w:themeColor="accent6" w:themeShade="BF"/>
        </w:rPr>
      </w:pPr>
      <w:r w:rsidRPr="00C92A39">
        <w:rPr>
          <w:rFonts w:ascii="Cambria" w:hAnsi="Cambria"/>
          <w:sz w:val="24"/>
          <w:szCs w:val="24"/>
        </w:rPr>
        <w:t>Only Antonetti and Manika (2017) has researched the consequence of negative online engagement, on negative offline engagement, but not on sustainable purchase intention. On the other hand, Discetti (2021) has studied consumer movement on sustainability certification and used netnography as a means to collect data. Nevertheless, the study has dealt with certification bodies and consumers of a specific community, which cannot be generalized to the purchase behaviour of mass consumers. As far as is known, the impact of social media engagement has never been studied on sustainable purchase intention or other sustainable behaviour</w:t>
      </w:r>
      <w:r w:rsidRPr="00C92A39">
        <w:rPr>
          <w:rFonts w:ascii="Cambria" w:hAnsi="Cambria"/>
        </w:rPr>
        <w:t xml:space="preserve">. </w:t>
      </w:r>
    </w:p>
    <w:p w14:paraId="2831823E" w14:textId="04C9CEFB" w:rsidR="00C7217E" w:rsidRPr="00530906" w:rsidRDefault="00330EAA" w:rsidP="008756B1">
      <w:pPr>
        <w:pStyle w:val="Heading2"/>
        <w:jc w:val="both"/>
        <w:rPr>
          <w:rFonts w:ascii="Cambria" w:hAnsi="Cambria"/>
        </w:rPr>
      </w:pPr>
      <w:bookmarkStart w:id="100" w:name="_Toc115726274"/>
      <w:r>
        <w:rPr>
          <w:rFonts w:ascii="Cambria" w:hAnsi="Cambria"/>
        </w:rPr>
        <w:t>6.4.</w:t>
      </w:r>
      <w:r w:rsidR="00C7217E" w:rsidRPr="00530906">
        <w:rPr>
          <w:rFonts w:ascii="Cambria" w:hAnsi="Cambria"/>
        </w:rPr>
        <w:t xml:space="preserve"> Managerial contribution</w:t>
      </w:r>
      <w:bookmarkEnd w:id="100"/>
      <w:r w:rsidR="00C7217E" w:rsidRPr="00530906">
        <w:rPr>
          <w:rFonts w:ascii="Cambria" w:hAnsi="Cambria"/>
        </w:rPr>
        <w:t xml:space="preserve"> </w:t>
      </w:r>
    </w:p>
    <w:p w14:paraId="0DCC9DE8" w14:textId="77777777" w:rsidR="00040752" w:rsidRDefault="00C7217E">
      <w:pPr>
        <w:spacing w:line="360" w:lineRule="auto"/>
        <w:jc w:val="both"/>
        <w:rPr>
          <w:rFonts w:ascii="Cambria" w:hAnsi="Cambria"/>
          <w:sz w:val="24"/>
          <w:szCs w:val="24"/>
        </w:rPr>
      </w:pPr>
      <w:r w:rsidRPr="00530906">
        <w:rPr>
          <w:rFonts w:ascii="Cambria" w:hAnsi="Cambria"/>
          <w:sz w:val="24"/>
          <w:szCs w:val="24"/>
        </w:rPr>
        <w:t>This research gives a guideline for success of sustainable ad to the marketers. For example, recently, ASDA is taking initiative of selling second</w:t>
      </w:r>
      <w:r w:rsidR="004179CD" w:rsidRPr="00530906">
        <w:rPr>
          <w:rFonts w:ascii="Cambria" w:hAnsi="Cambria"/>
          <w:sz w:val="24"/>
          <w:szCs w:val="24"/>
        </w:rPr>
        <w:t>–</w:t>
      </w:r>
      <w:r w:rsidRPr="00530906">
        <w:rPr>
          <w:rFonts w:ascii="Cambria" w:hAnsi="Cambria"/>
          <w:sz w:val="24"/>
          <w:szCs w:val="24"/>
        </w:rPr>
        <w:t>hand clothes to prevent old (Bbc.co.uk 2021) and Co</w:t>
      </w:r>
      <w:r w:rsidR="004179CD" w:rsidRPr="00530906">
        <w:rPr>
          <w:rFonts w:ascii="Cambria" w:hAnsi="Cambria"/>
          <w:sz w:val="24"/>
          <w:szCs w:val="24"/>
        </w:rPr>
        <w:t>–</w:t>
      </w:r>
      <w:r w:rsidRPr="00530906">
        <w:rPr>
          <w:rFonts w:ascii="Cambria" w:hAnsi="Cambria"/>
          <w:sz w:val="24"/>
          <w:szCs w:val="24"/>
        </w:rPr>
        <w:t xml:space="preserve">op is stopping to sell plastic ‘bag for life’ as an initiative to reduce plastic pollution  </w:t>
      </w:r>
      <w:hyperlink r:id="rId63" w:history="1">
        <w:r w:rsidRPr="00530906">
          <w:rPr>
            <w:rStyle w:val="Hyperlink"/>
            <w:rFonts w:ascii="Cambria" w:hAnsi="Cambria"/>
            <w:sz w:val="24"/>
            <w:szCs w:val="24"/>
          </w:rPr>
          <w:t>(theguardian.com</w:t>
        </w:r>
      </w:hyperlink>
      <w:r w:rsidRPr="00530906">
        <w:rPr>
          <w:rFonts w:ascii="Cambria" w:hAnsi="Cambria"/>
          <w:sz w:val="24"/>
          <w:szCs w:val="24"/>
        </w:rPr>
        <w:t xml:space="preserve"> 2021). But there is no guarantee of how consumers will perceive it.  Moreover, number of general people it will reach is also uncertain if it is circulating in mass media, since daily usage of social media is increasing and daily usage of TV is decreasing (Statista 2021</w:t>
      </w:r>
      <w:r w:rsidRPr="00530906">
        <w:rPr>
          <w:rFonts w:ascii="Cambria" w:hAnsi="Cambria"/>
          <w:sz w:val="24"/>
          <w:szCs w:val="24"/>
          <w:vertAlign w:val="superscript"/>
        </w:rPr>
        <w:t>1</w:t>
      </w:r>
      <w:r w:rsidRPr="00530906">
        <w:rPr>
          <w:rFonts w:ascii="Cambria" w:hAnsi="Cambria"/>
          <w:sz w:val="24"/>
          <w:szCs w:val="24"/>
        </w:rPr>
        <w:t xml:space="preserve"> and Statista 2021</w:t>
      </w:r>
      <w:r w:rsidRPr="00530906">
        <w:rPr>
          <w:rFonts w:ascii="Cambria" w:hAnsi="Cambria"/>
          <w:sz w:val="24"/>
          <w:szCs w:val="24"/>
          <w:vertAlign w:val="superscript"/>
        </w:rPr>
        <w:t>2</w:t>
      </w:r>
      <w:r w:rsidRPr="00530906">
        <w:rPr>
          <w:rFonts w:ascii="Cambria" w:hAnsi="Cambria"/>
          <w:sz w:val="24"/>
          <w:szCs w:val="24"/>
        </w:rPr>
        <w:t>). The argument should also be true for the ad</w:t>
      </w:r>
      <w:r w:rsidR="00DC0F3D">
        <w:rPr>
          <w:rFonts w:ascii="Cambria" w:hAnsi="Cambria"/>
          <w:sz w:val="24"/>
          <w:szCs w:val="24"/>
        </w:rPr>
        <w:t xml:space="preserve"> with </w:t>
      </w:r>
      <w:r w:rsidRPr="00530906">
        <w:rPr>
          <w:rFonts w:ascii="Cambria" w:hAnsi="Cambria"/>
          <w:sz w:val="24"/>
          <w:szCs w:val="24"/>
        </w:rPr>
        <w:t xml:space="preserve">sustainability </w:t>
      </w:r>
      <w:r w:rsidR="00AF2370">
        <w:rPr>
          <w:rFonts w:ascii="Cambria" w:hAnsi="Cambria"/>
          <w:sz w:val="24"/>
          <w:szCs w:val="24"/>
        </w:rPr>
        <w:t>message</w:t>
      </w:r>
      <w:r w:rsidRPr="00530906">
        <w:rPr>
          <w:rFonts w:ascii="Cambria" w:hAnsi="Cambria"/>
          <w:sz w:val="24"/>
          <w:szCs w:val="24"/>
        </w:rPr>
        <w:t xml:space="preserve">. Ad about company’s sustainability </w:t>
      </w:r>
      <w:r w:rsidR="00985723">
        <w:rPr>
          <w:rFonts w:ascii="Cambria" w:hAnsi="Cambria"/>
          <w:sz w:val="24"/>
          <w:szCs w:val="24"/>
        </w:rPr>
        <w:t>effort</w:t>
      </w:r>
      <w:r w:rsidRPr="00530906">
        <w:rPr>
          <w:rFonts w:ascii="Cambria" w:hAnsi="Cambria"/>
          <w:sz w:val="24"/>
          <w:szCs w:val="24"/>
        </w:rPr>
        <w:t xml:space="preserve"> is susceptible to the acceptance by the consumers.</w:t>
      </w:r>
    </w:p>
    <w:p w14:paraId="3A283885" w14:textId="77777777" w:rsidR="005B6533" w:rsidRDefault="00C7217E">
      <w:pPr>
        <w:spacing w:line="360" w:lineRule="auto"/>
        <w:jc w:val="both"/>
        <w:rPr>
          <w:rFonts w:ascii="Cambria" w:hAnsi="Cambria"/>
          <w:sz w:val="24"/>
          <w:szCs w:val="24"/>
        </w:rPr>
      </w:pPr>
      <w:r w:rsidRPr="00530906">
        <w:rPr>
          <w:rFonts w:ascii="Cambria" w:hAnsi="Cambria"/>
          <w:sz w:val="24"/>
          <w:szCs w:val="24"/>
        </w:rPr>
        <w:t xml:space="preserve"> A study by Yannopoulou et al (2018) has explored the phenomenon, how social media facilitates the social movement when people are dissatisfied with political parties. In this case, social media empowered the people by giving them a voice and a means for social mobilization, which is inspired by anger, frustration and disbelief for the institution and their gratification found through engaging in social media and acting on their emotions. Likewise, consumers may initiate a post on social media depending on their positive or negative belief regarding the ad</w:t>
      </w:r>
      <w:r w:rsidR="00A46D58">
        <w:rPr>
          <w:rFonts w:ascii="Cambria" w:hAnsi="Cambria"/>
          <w:sz w:val="24"/>
          <w:szCs w:val="24"/>
        </w:rPr>
        <w:t xml:space="preserve"> with </w:t>
      </w:r>
      <w:r w:rsidRPr="00530906">
        <w:rPr>
          <w:rFonts w:ascii="Cambria" w:hAnsi="Cambria"/>
          <w:sz w:val="24"/>
          <w:szCs w:val="24"/>
        </w:rPr>
        <w:t xml:space="preserve">sustainability </w:t>
      </w:r>
      <w:r w:rsidR="00A46D58">
        <w:rPr>
          <w:rFonts w:ascii="Cambria" w:hAnsi="Cambria"/>
          <w:sz w:val="24"/>
          <w:szCs w:val="24"/>
        </w:rPr>
        <w:t>message</w:t>
      </w:r>
      <w:r w:rsidRPr="00530906">
        <w:rPr>
          <w:rFonts w:ascii="Cambria" w:hAnsi="Cambria"/>
          <w:sz w:val="24"/>
          <w:szCs w:val="24"/>
        </w:rPr>
        <w:t xml:space="preserve">. This may encourage other consumers and to change their behaviour towards sustainable behaviour (see Yannopoulou et al 2018).  Managers should understand the impact of consumers’ opinion of social media on the success of sustainability ad to motivate consumers for adopting the advertised sustainable product and other sustainable behaviour. </w:t>
      </w:r>
    </w:p>
    <w:p w14:paraId="4A0AF19E" w14:textId="3F2E1464" w:rsidR="00C7217E" w:rsidRPr="00530906" w:rsidRDefault="00C7217E">
      <w:pPr>
        <w:spacing w:line="360" w:lineRule="auto"/>
        <w:jc w:val="both"/>
        <w:rPr>
          <w:rFonts w:ascii="Cambria" w:hAnsi="Cambria"/>
          <w:sz w:val="24"/>
          <w:szCs w:val="24"/>
        </w:rPr>
      </w:pPr>
      <w:r w:rsidRPr="00530906">
        <w:rPr>
          <w:rFonts w:ascii="Cambria" w:hAnsi="Cambria"/>
          <w:sz w:val="24"/>
          <w:szCs w:val="24"/>
        </w:rPr>
        <w:t>The positive or negative opinion of one consumer on social media has the possibility to influence the sales and revenue generating from a group of consumers exposed to the opinion of that. Recent years have seen surge of companies’ sustainable initiatives. Marketers have struggled to promote sustainable products because of the lack of guideline to be successful. Due to lack of prior research, empirical knowledge about social media’s role in promoting ad</w:t>
      </w:r>
      <w:r w:rsidR="005B6533">
        <w:rPr>
          <w:rFonts w:ascii="Cambria" w:hAnsi="Cambria"/>
          <w:sz w:val="24"/>
          <w:szCs w:val="24"/>
        </w:rPr>
        <w:t xml:space="preserve"> with </w:t>
      </w:r>
      <w:r w:rsidRPr="00530906">
        <w:rPr>
          <w:rFonts w:ascii="Cambria" w:hAnsi="Cambria"/>
          <w:sz w:val="24"/>
          <w:szCs w:val="24"/>
        </w:rPr>
        <w:t xml:space="preserve">sustainability </w:t>
      </w:r>
      <w:r w:rsidR="005B6533">
        <w:rPr>
          <w:rFonts w:ascii="Cambria" w:hAnsi="Cambria"/>
          <w:sz w:val="24"/>
          <w:szCs w:val="24"/>
        </w:rPr>
        <w:t>message</w:t>
      </w:r>
      <w:r w:rsidRPr="00530906">
        <w:rPr>
          <w:rFonts w:ascii="Cambria" w:hAnsi="Cambria"/>
          <w:sz w:val="24"/>
          <w:szCs w:val="24"/>
        </w:rPr>
        <w:t xml:space="preserve"> is limited. This gap is fulfilled by the current study, where it has been examined who to focus while attempting to influence the intention of adopting sustainable product and subsequent sustainable behavioural intention. This research proposes that, consumers’ acceptancy of sustainability ad depends on other people. Marketers should be vigilant of the early signs of negative public opinion in the social media, especially, of the social media users with perceived expertise on sustainability. </w:t>
      </w:r>
    </w:p>
    <w:p w14:paraId="66AA53B2" w14:textId="4738FF00" w:rsidR="00C7217E" w:rsidRPr="00530906" w:rsidRDefault="004E6135" w:rsidP="008756B1">
      <w:pPr>
        <w:pStyle w:val="Heading2"/>
        <w:jc w:val="both"/>
        <w:rPr>
          <w:rFonts w:ascii="Cambria" w:eastAsia="Calibri" w:hAnsi="Cambria"/>
        </w:rPr>
      </w:pPr>
      <w:bookmarkStart w:id="101" w:name="_Toc115726275"/>
      <w:r w:rsidRPr="00530906">
        <w:rPr>
          <w:rFonts w:ascii="Cambria" w:eastAsia="Calibri" w:hAnsi="Cambria"/>
        </w:rPr>
        <w:t>6</w:t>
      </w:r>
      <w:r w:rsidR="00C7217E" w:rsidRPr="00530906">
        <w:rPr>
          <w:rFonts w:ascii="Cambria" w:eastAsia="Calibri" w:hAnsi="Cambria"/>
        </w:rPr>
        <w:t>.</w:t>
      </w:r>
      <w:r w:rsidR="005A6996">
        <w:rPr>
          <w:rFonts w:ascii="Cambria" w:eastAsia="Calibri" w:hAnsi="Cambria"/>
        </w:rPr>
        <w:t>5</w:t>
      </w:r>
      <w:r w:rsidR="00C7217E" w:rsidRPr="00530906">
        <w:rPr>
          <w:rFonts w:ascii="Cambria" w:eastAsia="Calibri" w:hAnsi="Cambria"/>
        </w:rPr>
        <w:t xml:space="preserve">. Limitation of the study and </w:t>
      </w:r>
      <w:r w:rsidR="005A6996">
        <w:rPr>
          <w:rFonts w:ascii="Cambria" w:eastAsia="Calibri" w:hAnsi="Cambria"/>
        </w:rPr>
        <w:t xml:space="preserve">direction for </w:t>
      </w:r>
      <w:r w:rsidR="009A1DCB">
        <w:rPr>
          <w:rFonts w:ascii="Cambria" w:eastAsia="Calibri" w:hAnsi="Cambria"/>
        </w:rPr>
        <w:t xml:space="preserve">the </w:t>
      </w:r>
      <w:r w:rsidR="00C7217E" w:rsidRPr="00530906">
        <w:rPr>
          <w:rFonts w:ascii="Cambria" w:eastAsia="Calibri" w:hAnsi="Cambria"/>
        </w:rPr>
        <w:t>future research</w:t>
      </w:r>
      <w:bookmarkEnd w:id="101"/>
    </w:p>
    <w:p w14:paraId="7EEC48FC" w14:textId="37B04990" w:rsidR="00E867A1" w:rsidRPr="00C92A39" w:rsidRDefault="002C21B5">
      <w:pPr>
        <w:spacing w:line="360" w:lineRule="auto"/>
        <w:jc w:val="both"/>
        <w:rPr>
          <w:rFonts w:ascii="Cambria" w:hAnsi="Cambria"/>
          <w:sz w:val="24"/>
          <w:szCs w:val="24"/>
        </w:rPr>
      </w:pPr>
      <w:r w:rsidRPr="00B834E9">
        <w:rPr>
          <w:rFonts w:ascii="Cambria" w:hAnsi="Cambria"/>
          <w:sz w:val="24"/>
          <w:szCs w:val="24"/>
        </w:rPr>
        <w:t>In</w:t>
      </w:r>
      <w:r w:rsidRPr="00411A86">
        <w:rPr>
          <w:rFonts w:ascii="Cambria" w:hAnsi="Cambria"/>
          <w:color w:val="538135" w:themeColor="accent6" w:themeShade="BF"/>
          <w:sz w:val="24"/>
          <w:szCs w:val="24"/>
        </w:rPr>
        <w:t xml:space="preserve"> </w:t>
      </w:r>
      <w:r w:rsidRPr="00C92A39">
        <w:rPr>
          <w:rFonts w:ascii="Cambria" w:hAnsi="Cambria"/>
          <w:sz w:val="24"/>
          <w:szCs w:val="24"/>
        </w:rPr>
        <w:t xml:space="preserve">order to </w:t>
      </w:r>
      <w:r w:rsidR="00EF13AA" w:rsidRPr="00C92A39">
        <w:rPr>
          <w:rFonts w:ascii="Cambria" w:hAnsi="Cambria"/>
          <w:sz w:val="24"/>
          <w:szCs w:val="24"/>
        </w:rPr>
        <w:t>explore</w:t>
      </w:r>
      <w:r w:rsidRPr="00C92A39">
        <w:rPr>
          <w:rFonts w:ascii="Cambria" w:hAnsi="Cambria"/>
          <w:sz w:val="24"/>
          <w:szCs w:val="24"/>
        </w:rPr>
        <w:t xml:space="preserve"> the future research aspect,</w:t>
      </w:r>
      <w:r w:rsidR="00554D4F" w:rsidRPr="00C92A39">
        <w:rPr>
          <w:rFonts w:ascii="Cambria" w:hAnsi="Cambria"/>
          <w:sz w:val="24"/>
          <w:szCs w:val="24"/>
        </w:rPr>
        <w:t xml:space="preserve"> it is necessary to have a thorough understanding of social media engagement and sustainable purchase behaviour</w:t>
      </w:r>
      <w:r w:rsidR="008110CC" w:rsidRPr="00C92A39">
        <w:rPr>
          <w:rFonts w:ascii="Cambria" w:hAnsi="Cambria"/>
          <w:sz w:val="24"/>
          <w:szCs w:val="24"/>
        </w:rPr>
        <w:t xml:space="preserve"> (</w:t>
      </w:r>
      <w:r w:rsidR="00BC758A" w:rsidRPr="00C92A39">
        <w:rPr>
          <w:rFonts w:ascii="Cambria" w:hAnsi="Cambria"/>
          <w:sz w:val="24"/>
          <w:szCs w:val="24"/>
        </w:rPr>
        <w:t xml:space="preserve">is a </w:t>
      </w:r>
      <w:r w:rsidR="00B560C5" w:rsidRPr="00C92A39">
        <w:rPr>
          <w:rFonts w:ascii="Cambria" w:hAnsi="Cambria"/>
          <w:sz w:val="24"/>
          <w:szCs w:val="24"/>
        </w:rPr>
        <w:t>part</w:t>
      </w:r>
      <w:r w:rsidR="00BC758A" w:rsidRPr="00C92A39">
        <w:rPr>
          <w:rFonts w:ascii="Cambria" w:hAnsi="Cambria"/>
          <w:sz w:val="24"/>
          <w:szCs w:val="24"/>
        </w:rPr>
        <w:t xml:space="preserve"> of broader </w:t>
      </w:r>
      <w:r w:rsidR="00244117" w:rsidRPr="00C92A39">
        <w:rPr>
          <w:rFonts w:ascii="Cambria" w:hAnsi="Cambria"/>
          <w:sz w:val="24"/>
          <w:szCs w:val="24"/>
        </w:rPr>
        <w:t>field- ‘sustainable consumption’</w:t>
      </w:r>
      <w:r w:rsidR="008110CC" w:rsidRPr="00C92A39">
        <w:rPr>
          <w:rFonts w:ascii="Cambria" w:hAnsi="Cambria"/>
          <w:sz w:val="24"/>
          <w:szCs w:val="24"/>
        </w:rPr>
        <w:t>)</w:t>
      </w:r>
      <w:r w:rsidR="00554D4F" w:rsidRPr="00C92A39">
        <w:rPr>
          <w:rFonts w:ascii="Cambria" w:hAnsi="Cambria"/>
          <w:sz w:val="24"/>
          <w:szCs w:val="24"/>
        </w:rPr>
        <w:t>.</w:t>
      </w:r>
      <w:r w:rsidR="004573C8" w:rsidRPr="00C92A39">
        <w:rPr>
          <w:rFonts w:ascii="Cambria" w:hAnsi="Cambria"/>
          <w:sz w:val="24"/>
          <w:szCs w:val="24"/>
        </w:rPr>
        <w:t xml:space="preserve"> </w:t>
      </w:r>
    </w:p>
    <w:p w14:paraId="54D48688" w14:textId="567EE2C9" w:rsidR="00E867A1" w:rsidRPr="00C92A39" w:rsidRDefault="00FF5261">
      <w:pPr>
        <w:spacing w:line="360" w:lineRule="auto"/>
        <w:jc w:val="both"/>
        <w:rPr>
          <w:rFonts w:ascii="Cambria" w:hAnsi="Cambria"/>
          <w:sz w:val="24"/>
          <w:szCs w:val="24"/>
        </w:rPr>
      </w:pPr>
      <w:r w:rsidRPr="00C92A39">
        <w:rPr>
          <w:rFonts w:ascii="Cambria" w:hAnsi="Cambria"/>
          <w:sz w:val="24"/>
          <w:szCs w:val="24"/>
        </w:rPr>
        <w:t>R</w:t>
      </w:r>
      <w:r w:rsidR="00EB7405" w:rsidRPr="00C92A39">
        <w:rPr>
          <w:rFonts w:ascii="Cambria" w:hAnsi="Cambria"/>
          <w:sz w:val="24"/>
          <w:szCs w:val="24"/>
        </w:rPr>
        <w:t xml:space="preserve">esearch regarding online engagement is being shifted </w:t>
      </w:r>
      <w:r w:rsidR="00C7217E" w:rsidRPr="00C92A39">
        <w:rPr>
          <w:rFonts w:ascii="Cambria" w:hAnsi="Cambria"/>
          <w:sz w:val="24"/>
          <w:szCs w:val="24"/>
        </w:rPr>
        <w:t>towards social–media from virtual communities in recent years. The recent research on social network should be more reliable, because in social media, even the fan pages of brands on social networks, allow interaction of the general people. Unlike virtual communities, which mainly consists of small groups of heavy users, and mediated by the organisation itself (Dholakia et al., 2004). This mirrors the findings of Dessart (2017), which shows, community members of the facebook pages of the brand have significant brand engagement. Moreover, brands usually solicit with the brand community members, who have long term positive satisfactory relationship and make substantial engagement (Tsai et al., 2012). So rather than studying brand community or brand pages in social media, the research should be about the brand on the social–media platform itself.</w:t>
      </w:r>
      <w:r w:rsidR="00CE06B8" w:rsidRPr="00C92A39">
        <w:rPr>
          <w:rFonts w:ascii="Cambria" w:hAnsi="Cambria"/>
          <w:sz w:val="24"/>
          <w:szCs w:val="24"/>
        </w:rPr>
        <w:t xml:space="preserve"> </w:t>
      </w:r>
    </w:p>
    <w:p w14:paraId="7DCA50D0" w14:textId="6D7704A6" w:rsidR="009D09D8" w:rsidRPr="00C92A39" w:rsidRDefault="00C7217E" w:rsidP="009D09D8">
      <w:pPr>
        <w:spacing w:line="360" w:lineRule="auto"/>
        <w:jc w:val="both"/>
        <w:rPr>
          <w:rFonts w:ascii="Cambria" w:hAnsi="Cambria"/>
          <w:sz w:val="24"/>
          <w:szCs w:val="24"/>
        </w:rPr>
      </w:pPr>
      <w:r w:rsidRPr="00C92A39">
        <w:rPr>
          <w:rFonts w:ascii="Cambria" w:hAnsi="Cambria"/>
          <w:sz w:val="24"/>
          <w:szCs w:val="24"/>
        </w:rPr>
        <w:t xml:space="preserve">On the top of that, Voorveld et al. (2018) have stated that the engagement depends on the type of social–media platform too. </w:t>
      </w:r>
      <w:r w:rsidR="0031381D" w:rsidRPr="00C92A39">
        <w:rPr>
          <w:rFonts w:ascii="Cambria" w:eastAsia="Calibri" w:hAnsi="Cambria" w:cs="Times New Roman"/>
          <w:sz w:val="24"/>
          <w:szCs w:val="24"/>
        </w:rPr>
        <w:t xml:space="preserve">Study on social media– youtube, shows that, the more frequently people visit the more engaging behaviour they demonstrate (Escobar et al 2014). </w:t>
      </w:r>
      <w:r w:rsidR="009D09D8" w:rsidRPr="00C92A39">
        <w:rPr>
          <w:rFonts w:ascii="Cambria" w:hAnsi="Cambria"/>
          <w:sz w:val="24"/>
          <w:szCs w:val="24"/>
        </w:rPr>
        <w:t>Since the respondents showed substantial difference in preference of social media platform use rate, future research should consider other social media platforms to assess the impact of social ties on the mechanism of choosing sustainable products.</w:t>
      </w:r>
    </w:p>
    <w:p w14:paraId="2119A03E" w14:textId="6B5017BB" w:rsidR="00C7217E" w:rsidRPr="00C92A39" w:rsidRDefault="009D09D8">
      <w:pPr>
        <w:spacing w:line="360" w:lineRule="auto"/>
        <w:jc w:val="both"/>
        <w:rPr>
          <w:rFonts w:ascii="Cambria" w:hAnsi="Cambria"/>
          <w:sz w:val="24"/>
          <w:szCs w:val="24"/>
        </w:rPr>
      </w:pPr>
      <w:r w:rsidRPr="00C92A39">
        <w:rPr>
          <w:rFonts w:ascii="Cambria" w:hAnsi="Cambria"/>
          <w:sz w:val="24"/>
          <w:szCs w:val="24"/>
        </w:rPr>
        <w:t>In addition to that</w:t>
      </w:r>
      <w:r w:rsidR="00C7217E" w:rsidRPr="00C92A39">
        <w:rPr>
          <w:rFonts w:ascii="Cambria" w:hAnsi="Cambria"/>
          <w:sz w:val="24"/>
          <w:szCs w:val="24"/>
        </w:rPr>
        <w:t xml:space="preserve">, the results derived from different matrices used by different media cannot be attributed to all social medias. </w:t>
      </w:r>
      <w:r w:rsidR="00722123" w:rsidRPr="00C92A39">
        <w:rPr>
          <w:rFonts w:ascii="Cambria" w:hAnsi="Cambria"/>
          <w:sz w:val="24"/>
          <w:szCs w:val="24"/>
        </w:rPr>
        <w:t xml:space="preserve">Very limited </w:t>
      </w:r>
      <w:r w:rsidR="006E27B1" w:rsidRPr="00C92A39">
        <w:rPr>
          <w:rFonts w:ascii="Cambria" w:hAnsi="Cambria"/>
          <w:sz w:val="24"/>
          <w:szCs w:val="24"/>
        </w:rPr>
        <w:t>number</w:t>
      </w:r>
      <w:r w:rsidR="00C7217E" w:rsidRPr="00C92A39">
        <w:rPr>
          <w:rFonts w:ascii="Cambria" w:hAnsi="Cambria"/>
          <w:sz w:val="24"/>
          <w:szCs w:val="24"/>
        </w:rPr>
        <w:t xml:space="preserve"> of </w:t>
      </w:r>
      <w:r w:rsidR="00722123" w:rsidRPr="00C92A39">
        <w:rPr>
          <w:rFonts w:ascii="Cambria" w:hAnsi="Cambria"/>
          <w:sz w:val="24"/>
          <w:szCs w:val="24"/>
        </w:rPr>
        <w:t>arti</w:t>
      </w:r>
      <w:r w:rsidR="00DF05CD" w:rsidRPr="00C92A39">
        <w:rPr>
          <w:rFonts w:ascii="Cambria" w:hAnsi="Cambria"/>
          <w:sz w:val="24"/>
          <w:szCs w:val="24"/>
        </w:rPr>
        <w:t>c</w:t>
      </w:r>
      <w:r w:rsidR="00722123" w:rsidRPr="00C92A39">
        <w:rPr>
          <w:rFonts w:ascii="Cambria" w:hAnsi="Cambria"/>
          <w:sz w:val="24"/>
          <w:szCs w:val="24"/>
        </w:rPr>
        <w:t>les have taken</w:t>
      </w:r>
      <w:r w:rsidR="0025320A" w:rsidRPr="00C92A39">
        <w:rPr>
          <w:rFonts w:ascii="Cambria" w:hAnsi="Cambria"/>
          <w:sz w:val="24"/>
          <w:szCs w:val="24"/>
        </w:rPr>
        <w:t xml:space="preserve"> into account </w:t>
      </w:r>
      <w:r w:rsidR="00AC4C54" w:rsidRPr="00C92A39">
        <w:rPr>
          <w:rFonts w:ascii="Cambria" w:hAnsi="Cambria"/>
          <w:sz w:val="24"/>
          <w:szCs w:val="24"/>
        </w:rPr>
        <w:t xml:space="preserve">social media metrics and no </w:t>
      </w:r>
      <w:r w:rsidR="00C7217E" w:rsidRPr="00C92A39">
        <w:rPr>
          <w:rFonts w:ascii="Cambria" w:hAnsi="Cambria"/>
          <w:sz w:val="24"/>
          <w:szCs w:val="24"/>
        </w:rPr>
        <w:t xml:space="preserve">articles </w:t>
      </w:r>
      <w:r w:rsidR="00897963" w:rsidRPr="00C92A39">
        <w:rPr>
          <w:rFonts w:ascii="Cambria" w:hAnsi="Cambria"/>
          <w:sz w:val="24"/>
          <w:szCs w:val="24"/>
        </w:rPr>
        <w:t>have considered all of the social media.</w:t>
      </w:r>
      <w:r w:rsidR="00722123" w:rsidRPr="00C92A39">
        <w:rPr>
          <w:rFonts w:ascii="Cambria" w:hAnsi="Cambria"/>
          <w:sz w:val="24"/>
          <w:szCs w:val="24"/>
        </w:rPr>
        <w:t xml:space="preserve"> </w:t>
      </w:r>
      <w:r w:rsidR="00C7217E" w:rsidRPr="00C92A39">
        <w:rPr>
          <w:rFonts w:ascii="Cambria" w:hAnsi="Cambria"/>
          <w:sz w:val="24"/>
          <w:szCs w:val="24"/>
        </w:rPr>
        <w:t xml:space="preserve"> Barry and Graça (2018) have taken the matrices of youtube, (comment and views) as a measure of engagement</w:t>
      </w:r>
      <w:r w:rsidR="005E3274" w:rsidRPr="00C92A39">
        <w:rPr>
          <w:rFonts w:ascii="Cambria" w:hAnsi="Cambria"/>
          <w:sz w:val="24"/>
          <w:szCs w:val="24"/>
        </w:rPr>
        <w:t>.</w:t>
      </w:r>
      <w:r w:rsidR="00C7217E" w:rsidRPr="00C92A39">
        <w:rPr>
          <w:rFonts w:ascii="Cambria" w:hAnsi="Cambria"/>
          <w:sz w:val="24"/>
          <w:szCs w:val="24"/>
        </w:rPr>
        <w:t xml:space="preserve"> Khan (2017) and Triantafillidou and Siomkos (2018) have included questions regarding </w:t>
      </w:r>
      <w:r w:rsidR="00B834E9" w:rsidRPr="00C92A39">
        <w:rPr>
          <w:rFonts w:ascii="Cambria" w:hAnsi="Cambria"/>
          <w:sz w:val="24"/>
          <w:szCs w:val="24"/>
        </w:rPr>
        <w:t>YouTube</w:t>
      </w:r>
      <w:r w:rsidR="00C7217E" w:rsidRPr="00C92A39">
        <w:rPr>
          <w:rFonts w:ascii="Cambria" w:hAnsi="Cambria"/>
          <w:sz w:val="24"/>
          <w:szCs w:val="24"/>
        </w:rPr>
        <w:t xml:space="preserve"> and </w:t>
      </w:r>
      <w:r w:rsidR="00B834E9" w:rsidRPr="00C92A39">
        <w:rPr>
          <w:rFonts w:ascii="Cambria" w:hAnsi="Cambria"/>
          <w:sz w:val="24"/>
          <w:szCs w:val="24"/>
        </w:rPr>
        <w:t>Facebook</w:t>
      </w:r>
      <w:r w:rsidR="00C7217E" w:rsidRPr="00C92A39">
        <w:rPr>
          <w:rFonts w:ascii="Cambria" w:hAnsi="Cambria"/>
          <w:sz w:val="24"/>
          <w:szCs w:val="24"/>
        </w:rPr>
        <w:t xml:space="preserve"> engagement matrices respectively in their survey questionnaire. So, articles of social–media–engagement have shown that there is an enormous gap of research those take into account the measurement of actual social–media–engagement behaviour rather than self–reported survey questionnaire.</w:t>
      </w:r>
    </w:p>
    <w:p w14:paraId="6B811F11" w14:textId="64B02134" w:rsidR="00454739" w:rsidRPr="00C92A39" w:rsidRDefault="00486DCE" w:rsidP="00454739">
      <w:pPr>
        <w:spacing w:line="360" w:lineRule="auto"/>
        <w:jc w:val="both"/>
        <w:rPr>
          <w:rFonts w:ascii="Cambria" w:hAnsi="Cambria"/>
          <w:sz w:val="24"/>
          <w:szCs w:val="24"/>
        </w:rPr>
      </w:pPr>
      <w:r w:rsidRPr="00C92A39">
        <w:rPr>
          <w:rFonts w:ascii="Cambria" w:hAnsi="Cambria"/>
          <w:sz w:val="24"/>
          <w:szCs w:val="24"/>
        </w:rPr>
        <w:t>Inconsistency occurs when it comes to sustainable–</w:t>
      </w:r>
      <w:r w:rsidR="005242F8" w:rsidRPr="00C92A39">
        <w:rPr>
          <w:rFonts w:ascii="Cambria" w:hAnsi="Cambria"/>
          <w:sz w:val="24"/>
          <w:szCs w:val="24"/>
        </w:rPr>
        <w:t>behaviour</w:t>
      </w:r>
      <w:r w:rsidRPr="00C92A39">
        <w:rPr>
          <w:rFonts w:ascii="Cambria" w:hAnsi="Cambria"/>
          <w:sz w:val="24"/>
          <w:szCs w:val="24"/>
        </w:rPr>
        <w:t xml:space="preserve"> in relation to </w:t>
      </w:r>
      <w:r w:rsidR="00C7217E" w:rsidRPr="00C92A39">
        <w:rPr>
          <w:rFonts w:ascii="Cambria" w:hAnsi="Cambria"/>
          <w:sz w:val="24"/>
          <w:szCs w:val="24"/>
        </w:rPr>
        <w:t>Environmental performance index (EPI) ranking</w:t>
      </w:r>
      <w:r w:rsidR="00A83D48" w:rsidRPr="00C92A39">
        <w:rPr>
          <w:rFonts w:ascii="Cambria" w:hAnsi="Cambria"/>
          <w:sz w:val="24"/>
          <w:szCs w:val="24"/>
        </w:rPr>
        <w:t xml:space="preserve"> </w:t>
      </w:r>
      <w:r w:rsidR="00F82F62" w:rsidRPr="00C92A39">
        <w:rPr>
          <w:rFonts w:ascii="Cambria" w:hAnsi="Cambria"/>
          <w:sz w:val="24"/>
          <w:szCs w:val="24"/>
        </w:rPr>
        <w:t>(</w:t>
      </w:r>
      <w:r w:rsidR="00A83D48" w:rsidRPr="00C92A39">
        <w:rPr>
          <w:rFonts w:ascii="Cambria" w:hAnsi="Cambria"/>
          <w:sz w:val="24"/>
          <w:szCs w:val="24"/>
        </w:rPr>
        <w:t>Dermody et al. 2015</w:t>
      </w:r>
      <w:r w:rsidR="003E6123" w:rsidRPr="00C92A39">
        <w:rPr>
          <w:rFonts w:ascii="Cambria" w:hAnsi="Cambria"/>
          <w:sz w:val="24"/>
          <w:szCs w:val="24"/>
        </w:rPr>
        <w:t xml:space="preserve">; Dermody et al. (2018; </w:t>
      </w:r>
      <w:r w:rsidR="00FD5F28" w:rsidRPr="00C92A39">
        <w:rPr>
          <w:rFonts w:ascii="Cambria" w:hAnsi="Cambria"/>
          <w:sz w:val="24"/>
          <w:szCs w:val="24"/>
        </w:rPr>
        <w:t>Minton et al. 2015; Jung et al. 2016</w:t>
      </w:r>
      <w:r w:rsidR="00FB5A87" w:rsidRPr="00C92A39">
        <w:rPr>
          <w:rFonts w:ascii="Cambria" w:hAnsi="Cambria"/>
          <w:sz w:val="24"/>
          <w:szCs w:val="24"/>
        </w:rPr>
        <w:t>; Liobikiene et al. 2016</w:t>
      </w:r>
      <w:r w:rsidR="004A38EB" w:rsidRPr="00C92A39">
        <w:rPr>
          <w:rFonts w:ascii="Cambria" w:hAnsi="Cambria"/>
          <w:sz w:val="24"/>
          <w:szCs w:val="24"/>
        </w:rPr>
        <w:t>; Minton et al. (2018</w:t>
      </w:r>
      <w:r w:rsidR="00A83D48" w:rsidRPr="00C92A39">
        <w:rPr>
          <w:rFonts w:ascii="Cambria" w:hAnsi="Cambria"/>
          <w:sz w:val="24"/>
          <w:szCs w:val="24"/>
        </w:rPr>
        <w:t xml:space="preserve">) </w:t>
      </w:r>
      <w:r w:rsidR="004A38EB" w:rsidRPr="00C92A39">
        <w:rPr>
          <w:rFonts w:ascii="Cambria" w:hAnsi="Cambria"/>
          <w:sz w:val="24"/>
          <w:szCs w:val="24"/>
        </w:rPr>
        <w:t xml:space="preserve">Dermody et al. (2015) </w:t>
      </w:r>
      <w:r w:rsidR="00A83D48" w:rsidRPr="00C92A39">
        <w:rPr>
          <w:rFonts w:ascii="Cambria" w:hAnsi="Cambria"/>
          <w:sz w:val="24"/>
          <w:szCs w:val="24"/>
        </w:rPr>
        <w:t>studied difference in self–identity between UK and China; so did Dermody et al. (2018) on Poland (EPI: 50) and China; Minton et al. (2015) tried to figure out the difference between religions of  US and South Korea (EPI: 60); Jung et al. (2016) studied China and South Korea to investigate whether ethical consumption is different between cultures; Liobikiene et al. (2016) have compared the culture of the European Union to find its’ effect on Planned behaviour; lastly Minton et al. (2018) researched whether cultural determinates have any influence on sustainable behaviour</w:t>
      </w:r>
      <w:r w:rsidR="00703699" w:rsidRPr="00C92A39">
        <w:rPr>
          <w:rFonts w:ascii="Cambria" w:hAnsi="Cambria"/>
          <w:sz w:val="24"/>
          <w:szCs w:val="24"/>
        </w:rPr>
        <w:t xml:space="preserve"> (EPI 2020)</w:t>
      </w:r>
      <w:r w:rsidR="00A83D48" w:rsidRPr="00C92A39">
        <w:rPr>
          <w:rFonts w:ascii="Cambria" w:hAnsi="Cambria"/>
          <w:sz w:val="24"/>
          <w:szCs w:val="24"/>
        </w:rPr>
        <w:t>.</w:t>
      </w:r>
      <w:r w:rsidR="0080472E" w:rsidRPr="00C92A39">
        <w:rPr>
          <w:rFonts w:ascii="Cambria" w:hAnsi="Cambria"/>
          <w:sz w:val="24"/>
          <w:szCs w:val="24"/>
        </w:rPr>
        <w:t xml:space="preserve"> </w:t>
      </w:r>
      <w:r w:rsidR="005F2485" w:rsidRPr="00C92A39">
        <w:rPr>
          <w:rFonts w:ascii="Cambria" w:hAnsi="Cambria"/>
          <w:sz w:val="24"/>
          <w:szCs w:val="24"/>
        </w:rPr>
        <w:t xml:space="preserve">There is no concrete evidence found regarding the </w:t>
      </w:r>
      <w:r w:rsidR="00C96B4D" w:rsidRPr="00C92A39">
        <w:rPr>
          <w:rFonts w:ascii="Cambria" w:hAnsi="Cambria"/>
          <w:sz w:val="24"/>
          <w:szCs w:val="24"/>
        </w:rPr>
        <w:t xml:space="preserve">antecedents </w:t>
      </w:r>
      <w:r w:rsidR="000E5336" w:rsidRPr="00C92A39">
        <w:rPr>
          <w:rFonts w:ascii="Cambria" w:hAnsi="Cambria"/>
          <w:sz w:val="24"/>
          <w:szCs w:val="24"/>
        </w:rPr>
        <w:t xml:space="preserve">of sustainable behaviour. </w:t>
      </w:r>
      <w:r w:rsidR="00454739" w:rsidRPr="00C92A39">
        <w:rPr>
          <w:rFonts w:ascii="Cambria" w:hAnsi="Cambria"/>
          <w:sz w:val="24"/>
          <w:szCs w:val="24"/>
        </w:rPr>
        <w:t xml:space="preserve">The results will be different </w:t>
      </w:r>
      <w:r w:rsidR="006D62B9" w:rsidRPr="00C92A39">
        <w:rPr>
          <w:rFonts w:ascii="Cambria" w:hAnsi="Cambria"/>
          <w:sz w:val="24"/>
          <w:szCs w:val="24"/>
        </w:rPr>
        <w:t>depending on</w:t>
      </w:r>
      <w:r w:rsidR="00454739" w:rsidRPr="00C92A39">
        <w:rPr>
          <w:rFonts w:ascii="Cambria" w:hAnsi="Cambria"/>
          <w:sz w:val="24"/>
          <w:szCs w:val="24"/>
        </w:rPr>
        <w:t xml:space="preserve"> the countries of study.</w:t>
      </w:r>
      <w:r w:rsidR="00454739" w:rsidRPr="00C92A39">
        <w:t xml:space="preserve"> </w:t>
      </w:r>
      <w:r w:rsidR="00454739" w:rsidRPr="00C92A39">
        <w:rPr>
          <w:rFonts w:ascii="Cambria" w:hAnsi="Cambria"/>
          <w:sz w:val="24"/>
          <w:szCs w:val="24"/>
        </w:rPr>
        <w:t>Depending on the socio–economic perspective the response of different economy is compelled to be different. Apparently, unlike developed markets, government policy for environmental protection is not a priority for emerging markets. This should also reflect on the mind set of citizens of those countries.</w:t>
      </w:r>
    </w:p>
    <w:p w14:paraId="41AA1577" w14:textId="586DB800" w:rsidR="00E7571F" w:rsidRPr="00C92A39" w:rsidRDefault="006D62B9">
      <w:pPr>
        <w:spacing w:line="360" w:lineRule="auto"/>
        <w:jc w:val="both"/>
        <w:rPr>
          <w:rFonts w:ascii="Cambria" w:hAnsi="Cambria"/>
          <w:sz w:val="24"/>
          <w:szCs w:val="24"/>
        </w:rPr>
      </w:pPr>
      <w:r w:rsidRPr="00C92A39">
        <w:rPr>
          <w:rFonts w:ascii="Cambria" w:hAnsi="Cambria"/>
          <w:sz w:val="24"/>
          <w:szCs w:val="24"/>
        </w:rPr>
        <w:t>Moreover,</w:t>
      </w:r>
      <w:r w:rsidR="00454739" w:rsidRPr="00C92A39">
        <w:rPr>
          <w:rFonts w:ascii="Cambria" w:hAnsi="Cambria"/>
          <w:sz w:val="24"/>
          <w:szCs w:val="24"/>
        </w:rPr>
        <w:t xml:space="preserve"> i</w:t>
      </w:r>
      <w:r w:rsidR="00F9742C" w:rsidRPr="00C92A39">
        <w:rPr>
          <w:rFonts w:ascii="Cambria" w:hAnsi="Cambria"/>
          <w:sz w:val="24"/>
          <w:szCs w:val="24"/>
        </w:rPr>
        <w:t>t</w:t>
      </w:r>
      <w:r w:rsidR="000E5336" w:rsidRPr="00C92A39">
        <w:rPr>
          <w:rFonts w:ascii="Cambria" w:hAnsi="Cambria"/>
          <w:sz w:val="24"/>
          <w:szCs w:val="24"/>
        </w:rPr>
        <w:t xml:space="preserve"> is clear that the meaning of sustainable behaviour </w:t>
      </w:r>
      <w:r w:rsidR="00703699" w:rsidRPr="00C92A39">
        <w:rPr>
          <w:rFonts w:ascii="Cambria" w:hAnsi="Cambria"/>
          <w:sz w:val="24"/>
          <w:szCs w:val="24"/>
        </w:rPr>
        <w:t xml:space="preserve">is different in different countries. </w:t>
      </w:r>
      <w:r w:rsidR="001A2ACE" w:rsidRPr="00C92A39">
        <w:rPr>
          <w:rFonts w:ascii="Cambria" w:hAnsi="Cambria"/>
          <w:sz w:val="24"/>
          <w:szCs w:val="24"/>
        </w:rPr>
        <w:t xml:space="preserve">For example, </w:t>
      </w:r>
      <w:r w:rsidR="00C7217E" w:rsidRPr="00C92A39">
        <w:rPr>
          <w:rFonts w:ascii="Cambria" w:hAnsi="Cambria"/>
          <w:sz w:val="24"/>
          <w:szCs w:val="24"/>
        </w:rPr>
        <w:t>Polish respondents were having lower post–environmental self–identity than that of Chinese respondents</w:t>
      </w:r>
      <w:r w:rsidR="00893DFD" w:rsidRPr="00C92A39">
        <w:rPr>
          <w:rFonts w:ascii="Cambria" w:hAnsi="Cambria"/>
          <w:sz w:val="24"/>
          <w:szCs w:val="24"/>
        </w:rPr>
        <w:t>.</w:t>
      </w:r>
      <w:r w:rsidR="00C7217E" w:rsidRPr="00C92A39">
        <w:rPr>
          <w:rFonts w:ascii="Cambria" w:hAnsi="Cambria"/>
          <w:sz w:val="24"/>
          <w:szCs w:val="24"/>
        </w:rPr>
        <w:t xml:space="preserve"> The reason for this may be</w:t>
      </w:r>
      <w:r w:rsidR="00893DFD" w:rsidRPr="00C92A39">
        <w:rPr>
          <w:rFonts w:ascii="Cambria" w:hAnsi="Cambria"/>
          <w:sz w:val="24"/>
          <w:szCs w:val="24"/>
        </w:rPr>
        <w:t xml:space="preserve">, Unlike Chinese </w:t>
      </w:r>
      <w:r w:rsidR="00F9742C" w:rsidRPr="00C92A39">
        <w:rPr>
          <w:rFonts w:ascii="Cambria" w:hAnsi="Cambria"/>
          <w:sz w:val="24"/>
          <w:szCs w:val="24"/>
        </w:rPr>
        <w:t>respondents,</w:t>
      </w:r>
      <w:r w:rsidR="00C7217E" w:rsidRPr="00C92A39">
        <w:rPr>
          <w:rFonts w:ascii="Cambria" w:hAnsi="Cambria"/>
          <w:sz w:val="24"/>
          <w:szCs w:val="24"/>
        </w:rPr>
        <w:t xml:space="preserve"> Polish respondents perceived </w:t>
      </w:r>
      <w:r w:rsidR="009B6182" w:rsidRPr="00C92A39">
        <w:rPr>
          <w:rFonts w:ascii="Cambria" w:hAnsi="Cambria"/>
          <w:sz w:val="24"/>
          <w:szCs w:val="24"/>
        </w:rPr>
        <w:t>sustainable consumption</w:t>
      </w:r>
      <w:r w:rsidR="00C7217E" w:rsidRPr="00C92A39">
        <w:rPr>
          <w:rFonts w:ascii="Cambria" w:hAnsi="Cambria"/>
          <w:sz w:val="24"/>
          <w:szCs w:val="24"/>
        </w:rPr>
        <w:t xml:space="preserve"> </w:t>
      </w:r>
      <w:r w:rsidR="001A2ACE" w:rsidRPr="00C92A39">
        <w:rPr>
          <w:rFonts w:ascii="Cambria" w:hAnsi="Cambria"/>
          <w:sz w:val="24"/>
          <w:szCs w:val="24"/>
        </w:rPr>
        <w:t>mean</w:t>
      </w:r>
      <w:r w:rsidR="00893DFD" w:rsidRPr="00C92A39">
        <w:rPr>
          <w:rFonts w:ascii="Cambria" w:hAnsi="Cambria"/>
          <w:sz w:val="24"/>
          <w:szCs w:val="24"/>
        </w:rPr>
        <w:t>s</w:t>
      </w:r>
      <w:r w:rsidR="00C7217E" w:rsidRPr="00C92A39">
        <w:rPr>
          <w:rFonts w:ascii="Cambria" w:hAnsi="Cambria"/>
          <w:sz w:val="24"/>
          <w:szCs w:val="24"/>
        </w:rPr>
        <w:t xml:space="preserve"> consuming less (Dermody et al., 2018). </w:t>
      </w:r>
    </w:p>
    <w:p w14:paraId="4EC022E0" w14:textId="0E3954B6" w:rsidR="00C7217E" w:rsidRPr="00C92A39" w:rsidRDefault="00C7217E">
      <w:pPr>
        <w:spacing w:line="360" w:lineRule="auto"/>
        <w:jc w:val="both"/>
        <w:rPr>
          <w:rFonts w:ascii="Cambria" w:hAnsi="Cambria"/>
          <w:sz w:val="24"/>
          <w:szCs w:val="24"/>
        </w:rPr>
      </w:pPr>
      <w:r w:rsidRPr="00C92A39">
        <w:rPr>
          <w:rFonts w:ascii="Cambria" w:hAnsi="Cambria"/>
          <w:sz w:val="24"/>
          <w:szCs w:val="24"/>
        </w:rPr>
        <w:t>This result complements with the criticism that</w:t>
      </w:r>
      <w:r w:rsidR="00D763E0" w:rsidRPr="00C92A39">
        <w:rPr>
          <w:rFonts w:ascii="Cambria" w:hAnsi="Cambria"/>
          <w:sz w:val="24"/>
          <w:szCs w:val="24"/>
        </w:rPr>
        <w:t>,</w:t>
      </w:r>
      <w:r w:rsidRPr="00C92A39">
        <w:rPr>
          <w:rFonts w:ascii="Cambria" w:hAnsi="Cambria"/>
          <w:sz w:val="24"/>
          <w:szCs w:val="24"/>
        </w:rPr>
        <w:t xml:space="preserve"> definition of </w:t>
      </w:r>
      <w:r w:rsidR="009B6182" w:rsidRPr="00C92A39">
        <w:rPr>
          <w:rFonts w:ascii="Cambria" w:hAnsi="Cambria"/>
          <w:sz w:val="24"/>
          <w:szCs w:val="24"/>
        </w:rPr>
        <w:t>sustainable consumption</w:t>
      </w:r>
      <w:r w:rsidRPr="00C92A39">
        <w:rPr>
          <w:rFonts w:ascii="Cambria" w:hAnsi="Cambria"/>
          <w:sz w:val="24"/>
          <w:szCs w:val="24"/>
        </w:rPr>
        <w:t>, which is perceived as ‘minimisation of consumption’</w:t>
      </w:r>
      <w:r w:rsidR="00B13D3D" w:rsidRPr="00C92A39">
        <w:rPr>
          <w:rFonts w:ascii="Cambria" w:hAnsi="Cambria"/>
          <w:sz w:val="24"/>
          <w:szCs w:val="24"/>
        </w:rPr>
        <w:t>,</w:t>
      </w:r>
      <w:r w:rsidRPr="00C92A39">
        <w:rPr>
          <w:rFonts w:ascii="Cambria" w:hAnsi="Cambria"/>
          <w:sz w:val="24"/>
          <w:szCs w:val="24"/>
        </w:rPr>
        <w:t xml:space="preserve"> </w:t>
      </w:r>
      <w:r w:rsidR="00D763E0" w:rsidRPr="00C92A39">
        <w:rPr>
          <w:rFonts w:ascii="Cambria" w:hAnsi="Cambria"/>
          <w:sz w:val="24"/>
          <w:szCs w:val="24"/>
        </w:rPr>
        <w:t xml:space="preserve">is not helpful to promote sustainability related behaviour. One reason may be because, if ‘sustainable consumption’ is associated with ‘consuming less’, it will </w:t>
      </w:r>
      <w:r w:rsidRPr="00C92A39">
        <w:rPr>
          <w:rFonts w:ascii="Cambria" w:hAnsi="Cambria"/>
          <w:sz w:val="24"/>
          <w:szCs w:val="24"/>
        </w:rPr>
        <w:t xml:space="preserve">contradict with consumption theories (Banbury et al., 2012). Definition of ‘sustainability’ is also not consistent in </w:t>
      </w:r>
      <w:r w:rsidR="00D763E0" w:rsidRPr="00C92A39">
        <w:rPr>
          <w:rFonts w:ascii="Cambria" w:hAnsi="Cambria"/>
          <w:sz w:val="24"/>
          <w:szCs w:val="24"/>
        </w:rPr>
        <w:t>‘sustainability consumption’</w:t>
      </w:r>
      <w:r w:rsidRPr="00C92A39">
        <w:rPr>
          <w:rFonts w:ascii="Cambria" w:hAnsi="Cambria"/>
          <w:sz w:val="24"/>
          <w:szCs w:val="24"/>
        </w:rPr>
        <w:t xml:space="preserve"> literature. </w:t>
      </w:r>
      <w:r w:rsidR="00A70CAA" w:rsidRPr="00C92A39">
        <w:rPr>
          <w:rFonts w:ascii="Cambria" w:hAnsi="Cambria"/>
          <w:sz w:val="24"/>
          <w:szCs w:val="24"/>
        </w:rPr>
        <w:t>Majority</w:t>
      </w:r>
      <w:r w:rsidR="00FD58C9" w:rsidRPr="00C92A39">
        <w:rPr>
          <w:rFonts w:ascii="Cambria" w:hAnsi="Cambria"/>
          <w:sz w:val="24"/>
          <w:szCs w:val="24"/>
        </w:rPr>
        <w:t xml:space="preserve"> </w:t>
      </w:r>
      <w:r w:rsidRPr="00C92A39">
        <w:rPr>
          <w:rFonts w:ascii="Cambria" w:hAnsi="Cambria"/>
          <w:sz w:val="24"/>
          <w:szCs w:val="24"/>
        </w:rPr>
        <w:t xml:space="preserve">of </w:t>
      </w:r>
      <w:r w:rsidR="00FD58C9" w:rsidRPr="00C92A39">
        <w:rPr>
          <w:rFonts w:ascii="Cambria" w:hAnsi="Cambria"/>
          <w:sz w:val="24"/>
          <w:szCs w:val="24"/>
        </w:rPr>
        <w:t>sustainable</w:t>
      </w:r>
      <w:r w:rsidR="0069525E" w:rsidRPr="00C92A39">
        <w:rPr>
          <w:rFonts w:ascii="Cambria" w:hAnsi="Cambria"/>
          <w:sz w:val="24"/>
          <w:szCs w:val="24"/>
        </w:rPr>
        <w:t xml:space="preserve"> b</w:t>
      </w:r>
      <w:r w:rsidR="00AD6A4E" w:rsidRPr="00C92A39">
        <w:rPr>
          <w:rFonts w:ascii="Cambria" w:hAnsi="Cambria"/>
          <w:sz w:val="24"/>
          <w:szCs w:val="24"/>
        </w:rPr>
        <w:t>e</w:t>
      </w:r>
      <w:r w:rsidR="0069525E" w:rsidRPr="00C92A39">
        <w:rPr>
          <w:rFonts w:ascii="Cambria" w:hAnsi="Cambria"/>
          <w:sz w:val="24"/>
          <w:szCs w:val="24"/>
        </w:rPr>
        <w:t>haviour</w:t>
      </w:r>
      <w:r w:rsidR="00FD58C9" w:rsidRPr="00C92A39">
        <w:rPr>
          <w:rFonts w:ascii="Cambria" w:hAnsi="Cambria"/>
          <w:sz w:val="24"/>
          <w:szCs w:val="24"/>
        </w:rPr>
        <w:t xml:space="preserve"> research have</w:t>
      </w:r>
      <w:r w:rsidRPr="00C92A39">
        <w:rPr>
          <w:rFonts w:ascii="Cambria" w:hAnsi="Cambria"/>
          <w:sz w:val="24"/>
          <w:szCs w:val="24"/>
        </w:rPr>
        <w:t xml:space="preserve"> considered it as</w:t>
      </w:r>
      <w:r w:rsidR="00AD6A4E" w:rsidRPr="00C92A39">
        <w:rPr>
          <w:rFonts w:ascii="Cambria" w:hAnsi="Cambria"/>
          <w:sz w:val="24"/>
          <w:szCs w:val="24"/>
        </w:rPr>
        <w:t xml:space="preserve"> an act of</w:t>
      </w:r>
      <w:r w:rsidRPr="00C92A39">
        <w:rPr>
          <w:rFonts w:ascii="Cambria" w:hAnsi="Cambria"/>
          <w:sz w:val="24"/>
          <w:szCs w:val="24"/>
        </w:rPr>
        <w:t xml:space="preserve"> consuming less (Leary et al., 2014; Pinto et al., 2014). On the other hand, from the point of dimensions, </w:t>
      </w:r>
      <w:r w:rsidR="006C78E6" w:rsidRPr="00C92A39">
        <w:rPr>
          <w:rFonts w:ascii="Cambria" w:hAnsi="Cambria"/>
          <w:sz w:val="24"/>
          <w:szCs w:val="24"/>
        </w:rPr>
        <w:t>very limited</w:t>
      </w:r>
      <w:r w:rsidRPr="00C92A39">
        <w:rPr>
          <w:rFonts w:ascii="Cambria" w:hAnsi="Cambria"/>
          <w:sz w:val="24"/>
          <w:szCs w:val="24"/>
        </w:rPr>
        <w:t xml:space="preserve"> of them have taken both social and environmental angle </w:t>
      </w:r>
      <w:r w:rsidR="00B12B9D" w:rsidRPr="00C92A39">
        <w:rPr>
          <w:rFonts w:ascii="Cambria" w:hAnsi="Cambria"/>
          <w:sz w:val="24"/>
          <w:szCs w:val="24"/>
        </w:rPr>
        <w:t>let alone economic</w:t>
      </w:r>
      <w:r w:rsidRPr="00C92A39">
        <w:rPr>
          <w:rFonts w:ascii="Cambria" w:hAnsi="Cambria"/>
          <w:sz w:val="24"/>
          <w:szCs w:val="24"/>
        </w:rPr>
        <w:t xml:space="preserve"> (Antonetti &amp; Maklan, 2014; Pepper et al., 2009; Salazar et al., 2013; Wu et al., 2016).  In addition to this, surprisingly, given the fact that every product category has different factors influencing their consumption decision, yet </w:t>
      </w:r>
      <w:r w:rsidR="00143BEB" w:rsidRPr="00C92A39">
        <w:rPr>
          <w:rFonts w:ascii="Cambria" w:hAnsi="Cambria"/>
          <w:sz w:val="24"/>
          <w:szCs w:val="24"/>
        </w:rPr>
        <w:t>hardly any</w:t>
      </w:r>
      <w:r w:rsidRPr="00C92A39">
        <w:rPr>
          <w:rFonts w:ascii="Cambria" w:hAnsi="Cambria"/>
          <w:sz w:val="24"/>
          <w:szCs w:val="24"/>
        </w:rPr>
        <w:t xml:space="preserve"> study taken </w:t>
      </w:r>
      <w:r w:rsidR="00143BEB" w:rsidRPr="00C92A39">
        <w:rPr>
          <w:rFonts w:ascii="Cambria" w:hAnsi="Cambria"/>
          <w:sz w:val="24"/>
          <w:szCs w:val="24"/>
        </w:rPr>
        <w:t>multiple</w:t>
      </w:r>
      <w:r w:rsidRPr="00C92A39">
        <w:rPr>
          <w:rFonts w:ascii="Cambria" w:hAnsi="Cambria"/>
          <w:sz w:val="24"/>
          <w:szCs w:val="24"/>
        </w:rPr>
        <w:t xml:space="preserve"> product categories into account (Frank &amp; Brock, 2018). </w:t>
      </w:r>
    </w:p>
    <w:p w14:paraId="3560A9EC" w14:textId="77777777" w:rsidR="008B7605" w:rsidRPr="00C92A39" w:rsidRDefault="00C7217E">
      <w:pPr>
        <w:spacing w:line="360" w:lineRule="auto"/>
        <w:jc w:val="both"/>
        <w:rPr>
          <w:rFonts w:ascii="Cambria" w:hAnsi="Cambria"/>
          <w:sz w:val="24"/>
          <w:szCs w:val="24"/>
        </w:rPr>
      </w:pPr>
      <w:r w:rsidRPr="00C92A39">
        <w:rPr>
          <w:rFonts w:ascii="Cambria" w:hAnsi="Cambria"/>
          <w:sz w:val="24"/>
          <w:szCs w:val="24"/>
        </w:rPr>
        <w:t>When individuals share information, they share knowledge as a fair interaction with other members, rather than due to their level of trust on the community (Chiu et al 2006).</w:t>
      </w:r>
      <w:r w:rsidR="00D92DF4" w:rsidRPr="00C92A39">
        <w:rPr>
          <w:rFonts w:ascii="Cambria" w:hAnsi="Cambria"/>
          <w:sz w:val="24"/>
          <w:szCs w:val="24"/>
        </w:rPr>
        <w:t xml:space="preserve"> </w:t>
      </w:r>
      <w:r w:rsidR="00B85815" w:rsidRPr="00C92A39">
        <w:rPr>
          <w:rFonts w:ascii="Cambria" w:hAnsi="Cambria"/>
          <w:sz w:val="24"/>
          <w:szCs w:val="24"/>
        </w:rPr>
        <w:t>On the top of this, perceived advertisement credibility or trustworthiness</w:t>
      </w:r>
      <w:r w:rsidR="004568F0" w:rsidRPr="00C92A39">
        <w:rPr>
          <w:rFonts w:ascii="Cambria" w:hAnsi="Cambria"/>
          <w:sz w:val="24"/>
          <w:szCs w:val="24"/>
        </w:rPr>
        <w:t xml:space="preserve">, which is generated </w:t>
      </w:r>
      <w:r w:rsidR="00B85815" w:rsidRPr="00C92A39">
        <w:rPr>
          <w:rFonts w:ascii="Cambria" w:hAnsi="Cambria"/>
          <w:sz w:val="24"/>
          <w:szCs w:val="24"/>
        </w:rPr>
        <w:t xml:space="preserve">on the basis of </w:t>
      </w:r>
      <w:r w:rsidR="004568F0" w:rsidRPr="00C92A39">
        <w:rPr>
          <w:rFonts w:ascii="Cambria" w:hAnsi="Cambria"/>
          <w:sz w:val="24"/>
          <w:szCs w:val="24"/>
        </w:rPr>
        <w:t>friends’ recommendation on social media, is subject to cultural pre-disposition.</w:t>
      </w:r>
      <w:r w:rsidR="0095194F" w:rsidRPr="00C92A39">
        <w:rPr>
          <w:rFonts w:ascii="Cambria" w:hAnsi="Cambria"/>
          <w:sz w:val="24"/>
          <w:szCs w:val="24"/>
        </w:rPr>
        <w:t xml:space="preserve"> Friends’ recommendation diminishes the persuasiveness of advertisement, if the social</w:t>
      </w:r>
      <w:r w:rsidR="000F66DD" w:rsidRPr="00C92A39">
        <w:rPr>
          <w:rFonts w:ascii="Cambria" w:hAnsi="Cambria"/>
          <w:sz w:val="24"/>
          <w:szCs w:val="24"/>
        </w:rPr>
        <w:t xml:space="preserve"> media</w:t>
      </w:r>
      <w:r w:rsidR="0095194F" w:rsidRPr="00C92A39">
        <w:rPr>
          <w:rFonts w:ascii="Cambria" w:hAnsi="Cambria"/>
          <w:sz w:val="24"/>
          <w:szCs w:val="24"/>
        </w:rPr>
        <w:t xml:space="preserve"> recommendation</w:t>
      </w:r>
      <w:r w:rsidR="00012319" w:rsidRPr="00C92A39">
        <w:rPr>
          <w:rFonts w:ascii="Cambria" w:hAnsi="Cambria"/>
          <w:sz w:val="24"/>
          <w:szCs w:val="24"/>
        </w:rPr>
        <w:t xml:space="preserve"> is</w:t>
      </w:r>
      <w:r w:rsidR="000F66DD" w:rsidRPr="00C92A39">
        <w:rPr>
          <w:rFonts w:ascii="Cambria" w:hAnsi="Cambria"/>
          <w:sz w:val="24"/>
          <w:szCs w:val="24"/>
        </w:rPr>
        <w:t xml:space="preserve"> provided in an i</w:t>
      </w:r>
      <w:r w:rsidR="004568F0" w:rsidRPr="00C92A39">
        <w:rPr>
          <w:rFonts w:ascii="Cambria" w:hAnsi="Cambria"/>
          <w:sz w:val="24"/>
          <w:szCs w:val="24"/>
        </w:rPr>
        <w:t xml:space="preserve">ndividualist culture </w:t>
      </w:r>
      <w:r w:rsidR="003E5AC8" w:rsidRPr="00C92A39">
        <w:rPr>
          <w:rFonts w:ascii="Cambria" w:hAnsi="Cambria"/>
          <w:sz w:val="24"/>
          <w:szCs w:val="24"/>
        </w:rPr>
        <w:t>like US, UK</w:t>
      </w:r>
      <w:r w:rsidR="00B85815" w:rsidRPr="00C92A39">
        <w:rPr>
          <w:rFonts w:ascii="Cambria" w:hAnsi="Cambria"/>
          <w:sz w:val="24"/>
          <w:szCs w:val="24"/>
        </w:rPr>
        <w:t xml:space="preserve"> </w:t>
      </w:r>
      <w:r w:rsidR="003E5AC8" w:rsidRPr="00C92A39">
        <w:rPr>
          <w:rFonts w:ascii="Cambria" w:hAnsi="Cambria"/>
          <w:sz w:val="24"/>
          <w:szCs w:val="24"/>
        </w:rPr>
        <w:t>and ot</w:t>
      </w:r>
      <w:r w:rsidR="003A3349" w:rsidRPr="00C92A39">
        <w:rPr>
          <w:rFonts w:ascii="Cambria" w:hAnsi="Cambria"/>
          <w:sz w:val="24"/>
          <w:szCs w:val="24"/>
        </w:rPr>
        <w:t>h</w:t>
      </w:r>
      <w:r w:rsidR="003E5AC8" w:rsidRPr="00C92A39">
        <w:rPr>
          <w:rFonts w:ascii="Cambria" w:hAnsi="Cambria"/>
          <w:sz w:val="24"/>
          <w:szCs w:val="24"/>
        </w:rPr>
        <w:t>er European countries</w:t>
      </w:r>
      <w:r w:rsidR="00117858" w:rsidRPr="00C92A39">
        <w:rPr>
          <w:rFonts w:ascii="Cambria" w:hAnsi="Cambria"/>
          <w:sz w:val="24"/>
          <w:szCs w:val="24"/>
        </w:rPr>
        <w:t xml:space="preserve"> (Errman et al 2019)</w:t>
      </w:r>
      <w:r w:rsidR="00D86D7B" w:rsidRPr="00C92A39">
        <w:rPr>
          <w:rFonts w:ascii="Cambria" w:hAnsi="Cambria"/>
          <w:sz w:val="24"/>
          <w:szCs w:val="24"/>
        </w:rPr>
        <w:t>. Hence it is only natural that recommendation, in the form of captions, form UK respondents has not been able to yield any substantial response.</w:t>
      </w:r>
      <w:r w:rsidR="0095194F" w:rsidRPr="00C92A39">
        <w:rPr>
          <w:rFonts w:ascii="Cambria" w:hAnsi="Cambria"/>
          <w:sz w:val="24"/>
          <w:szCs w:val="24"/>
        </w:rPr>
        <w:t xml:space="preserve"> </w:t>
      </w:r>
      <w:r w:rsidR="00754730" w:rsidRPr="00C92A39">
        <w:rPr>
          <w:rFonts w:ascii="Cambria" w:hAnsi="Cambria"/>
          <w:sz w:val="24"/>
          <w:szCs w:val="24"/>
        </w:rPr>
        <w:t xml:space="preserve"> </w:t>
      </w:r>
    </w:p>
    <w:p w14:paraId="3C06B9AD" w14:textId="0E09CE7B" w:rsidR="00C7217E" w:rsidRPr="00C92A39" w:rsidRDefault="00C7217E">
      <w:pPr>
        <w:spacing w:line="360" w:lineRule="auto"/>
        <w:jc w:val="both"/>
        <w:rPr>
          <w:rFonts w:ascii="Cambria" w:hAnsi="Cambria"/>
          <w:sz w:val="24"/>
          <w:szCs w:val="24"/>
        </w:rPr>
      </w:pPr>
      <w:r w:rsidRPr="00C92A39">
        <w:rPr>
          <w:rFonts w:ascii="Cambria" w:hAnsi="Cambria"/>
          <w:sz w:val="24"/>
          <w:szCs w:val="24"/>
        </w:rPr>
        <w:t xml:space="preserve">As an experiment, this study </w:t>
      </w:r>
      <w:r w:rsidR="007A0EAF" w:rsidRPr="00C92A39">
        <w:rPr>
          <w:rFonts w:ascii="Cambria" w:hAnsi="Cambria"/>
          <w:sz w:val="24"/>
          <w:szCs w:val="24"/>
        </w:rPr>
        <w:t>has</w:t>
      </w:r>
      <w:r w:rsidRPr="00C92A39">
        <w:rPr>
          <w:rFonts w:ascii="Cambria" w:hAnsi="Cambria"/>
          <w:sz w:val="24"/>
          <w:szCs w:val="24"/>
        </w:rPr>
        <w:t xml:space="preserve"> limited external validity. Use of real social media engagement behaviour and analysing them through ‘NodeXL’ or using data scrapping methods may have produce more externally valid result. However, in this thesis not only the social media engagement of consumers inspired by positive or negative caption of one social media user has been investigated, but also the impact on purchase intention of those consumers has been explored. Gathering real data on consumers’ purchased items may be ethically questionable since it may contain collecting their shopping data.  Furthermore, socio</w:t>
      </w:r>
      <w:r w:rsidR="004179CD" w:rsidRPr="00C92A39">
        <w:rPr>
          <w:rFonts w:ascii="Cambria" w:hAnsi="Cambria"/>
          <w:sz w:val="24"/>
          <w:szCs w:val="24"/>
        </w:rPr>
        <w:t>–</w:t>
      </w:r>
      <w:r w:rsidRPr="00C92A39">
        <w:rPr>
          <w:rFonts w:ascii="Cambria" w:hAnsi="Cambria"/>
          <w:sz w:val="24"/>
          <w:szCs w:val="24"/>
        </w:rPr>
        <w:t xml:space="preserve">economic variables dictate the consumption pattern. Hence, consumers from different economies should also be considered and compared to measure to have a wholesome understanding of the process of consumers’ intention formation to adopt sustainable behaviour. </w:t>
      </w:r>
      <w:r w:rsidR="00450110" w:rsidRPr="00C92A39">
        <w:rPr>
          <w:rFonts w:ascii="Cambria" w:hAnsi="Cambria"/>
          <w:sz w:val="24"/>
          <w:szCs w:val="24"/>
        </w:rPr>
        <w:t xml:space="preserve"> Potential future research questions </w:t>
      </w:r>
      <w:r w:rsidR="008A6EB3" w:rsidRPr="00C92A39">
        <w:rPr>
          <w:rFonts w:ascii="Cambria" w:hAnsi="Cambria"/>
          <w:sz w:val="24"/>
          <w:szCs w:val="24"/>
        </w:rPr>
        <w:t>have</w:t>
      </w:r>
      <w:r w:rsidR="00450110" w:rsidRPr="00C92A39">
        <w:rPr>
          <w:rFonts w:ascii="Cambria" w:hAnsi="Cambria"/>
          <w:sz w:val="24"/>
          <w:szCs w:val="24"/>
        </w:rPr>
        <w:t xml:space="preserve"> been listed in Table 2</w:t>
      </w:r>
      <w:r w:rsidR="00D404A4" w:rsidRPr="00C92A39">
        <w:rPr>
          <w:rFonts w:ascii="Cambria" w:hAnsi="Cambria"/>
          <w:sz w:val="24"/>
          <w:szCs w:val="24"/>
        </w:rPr>
        <w:t>6</w:t>
      </w:r>
      <w:r w:rsidR="00450110" w:rsidRPr="00C92A39">
        <w:rPr>
          <w:rFonts w:ascii="Cambria" w:hAnsi="Cambria"/>
          <w:sz w:val="24"/>
          <w:szCs w:val="24"/>
        </w:rPr>
        <w:t xml:space="preserve">.  </w:t>
      </w:r>
    </w:p>
    <w:p w14:paraId="07C8FF7E" w14:textId="47F80112" w:rsidR="00450110" w:rsidRPr="00530906" w:rsidRDefault="00450110">
      <w:pPr>
        <w:spacing w:line="360" w:lineRule="auto"/>
        <w:jc w:val="both"/>
        <w:rPr>
          <w:rFonts w:ascii="Cambria" w:hAnsi="Cambria"/>
          <w:sz w:val="24"/>
          <w:szCs w:val="24"/>
        </w:rPr>
      </w:pPr>
      <w:r w:rsidRPr="00530906">
        <w:rPr>
          <w:rFonts w:ascii="Cambria" w:hAnsi="Cambria"/>
          <w:sz w:val="24"/>
          <w:szCs w:val="24"/>
        </w:rPr>
        <w:t>Table 2</w:t>
      </w:r>
      <w:r w:rsidR="00300FD0">
        <w:rPr>
          <w:rFonts w:ascii="Cambria" w:hAnsi="Cambria"/>
          <w:sz w:val="24"/>
          <w:szCs w:val="24"/>
        </w:rPr>
        <w:t>6</w:t>
      </w:r>
      <w:r w:rsidRPr="00530906">
        <w:rPr>
          <w:rFonts w:ascii="Cambria" w:hAnsi="Cambria"/>
          <w:sz w:val="24"/>
          <w:szCs w:val="24"/>
        </w:rPr>
        <w:t xml:space="preserve">: Future research </w:t>
      </w:r>
    </w:p>
    <w:tbl>
      <w:tblPr>
        <w:tblStyle w:val="TableGrid"/>
        <w:tblW w:w="0" w:type="auto"/>
        <w:tblLook w:val="04A0" w:firstRow="1" w:lastRow="0" w:firstColumn="1" w:lastColumn="0" w:noHBand="0" w:noVBand="1"/>
      </w:tblPr>
      <w:tblGrid>
        <w:gridCol w:w="562"/>
        <w:gridCol w:w="8454"/>
      </w:tblGrid>
      <w:tr w:rsidR="00BE2E77" w:rsidRPr="00530906" w14:paraId="044DB735" w14:textId="77777777" w:rsidTr="00EE722D">
        <w:tc>
          <w:tcPr>
            <w:tcW w:w="562" w:type="dxa"/>
            <w:shd w:val="clear" w:color="auto" w:fill="D5DCE4" w:themeFill="text2" w:themeFillTint="33"/>
          </w:tcPr>
          <w:p w14:paraId="128B26E1" w14:textId="77777777" w:rsidR="00BE2E77" w:rsidRPr="00530906" w:rsidRDefault="00BE2E77">
            <w:pPr>
              <w:spacing w:line="360" w:lineRule="auto"/>
              <w:jc w:val="both"/>
              <w:rPr>
                <w:rFonts w:ascii="Cambria" w:hAnsi="Cambria"/>
                <w:sz w:val="24"/>
                <w:szCs w:val="24"/>
              </w:rPr>
            </w:pPr>
          </w:p>
        </w:tc>
        <w:tc>
          <w:tcPr>
            <w:tcW w:w="8454" w:type="dxa"/>
            <w:shd w:val="clear" w:color="auto" w:fill="D5DCE4" w:themeFill="text2" w:themeFillTint="33"/>
          </w:tcPr>
          <w:p w14:paraId="7F5F4101" w14:textId="77777777" w:rsidR="00BE2E77" w:rsidRPr="00530906" w:rsidRDefault="00BE2E77">
            <w:pPr>
              <w:spacing w:line="360" w:lineRule="auto"/>
              <w:jc w:val="both"/>
              <w:rPr>
                <w:rFonts w:ascii="Cambria" w:hAnsi="Cambria"/>
                <w:b/>
                <w:bCs/>
                <w:sz w:val="24"/>
                <w:szCs w:val="24"/>
              </w:rPr>
            </w:pPr>
            <w:r w:rsidRPr="00530906">
              <w:rPr>
                <w:rFonts w:ascii="Cambria" w:hAnsi="Cambria"/>
                <w:b/>
                <w:bCs/>
                <w:sz w:val="24"/>
                <w:szCs w:val="24"/>
              </w:rPr>
              <w:t>Future research questions</w:t>
            </w:r>
          </w:p>
        </w:tc>
      </w:tr>
      <w:tr w:rsidR="00BE2E77" w:rsidRPr="00530906" w14:paraId="655B77C1" w14:textId="77777777" w:rsidTr="001A2FE3">
        <w:tc>
          <w:tcPr>
            <w:tcW w:w="562" w:type="dxa"/>
          </w:tcPr>
          <w:p w14:paraId="347A18D6" w14:textId="110B4ADB" w:rsidR="00BE2E77" w:rsidRPr="00530906" w:rsidRDefault="00021A30">
            <w:pPr>
              <w:spacing w:line="360" w:lineRule="auto"/>
              <w:jc w:val="both"/>
              <w:rPr>
                <w:rFonts w:ascii="Cambria" w:hAnsi="Cambria"/>
                <w:sz w:val="24"/>
                <w:szCs w:val="24"/>
              </w:rPr>
            </w:pPr>
            <w:r w:rsidRPr="00530906">
              <w:rPr>
                <w:rFonts w:ascii="Cambria" w:hAnsi="Cambria"/>
                <w:sz w:val="24"/>
                <w:szCs w:val="24"/>
              </w:rPr>
              <w:t xml:space="preserve">1. </w:t>
            </w:r>
          </w:p>
        </w:tc>
        <w:tc>
          <w:tcPr>
            <w:tcW w:w="8454" w:type="dxa"/>
          </w:tcPr>
          <w:p w14:paraId="4B17A681" w14:textId="2B69C3A0" w:rsidR="00BE2E77" w:rsidRPr="00530906" w:rsidRDefault="000D12DB">
            <w:pPr>
              <w:spacing w:line="360" w:lineRule="auto"/>
              <w:jc w:val="both"/>
              <w:rPr>
                <w:rFonts w:ascii="Cambria" w:hAnsi="Cambria"/>
                <w:sz w:val="24"/>
                <w:szCs w:val="24"/>
              </w:rPr>
            </w:pPr>
            <w:r w:rsidRPr="00530906">
              <w:rPr>
                <w:rFonts w:ascii="Cambria" w:hAnsi="Cambria"/>
                <w:b/>
                <w:bCs/>
                <w:sz w:val="24"/>
                <w:szCs w:val="24"/>
              </w:rPr>
              <w:t xml:space="preserve">What is the influence of eWOM </w:t>
            </w:r>
            <w:r w:rsidR="005C58B7" w:rsidRPr="00530906">
              <w:rPr>
                <w:rFonts w:ascii="Cambria" w:hAnsi="Cambria"/>
                <w:b/>
                <w:bCs/>
                <w:sz w:val="24"/>
                <w:szCs w:val="24"/>
              </w:rPr>
              <w:t xml:space="preserve">about sustainable advertisement </w:t>
            </w:r>
            <w:r w:rsidRPr="00530906">
              <w:rPr>
                <w:rFonts w:ascii="Cambria" w:hAnsi="Cambria"/>
                <w:b/>
                <w:bCs/>
                <w:sz w:val="24"/>
                <w:szCs w:val="24"/>
              </w:rPr>
              <w:t>on the purchase intention of sustainable products?</w:t>
            </w:r>
            <w:r w:rsidRPr="00530906">
              <w:rPr>
                <w:rFonts w:ascii="Cambria" w:hAnsi="Cambria"/>
                <w:sz w:val="24"/>
                <w:szCs w:val="24"/>
              </w:rPr>
              <w:t xml:space="preserve"> </w:t>
            </w:r>
            <w:r w:rsidR="00FD4C59" w:rsidRPr="00530906">
              <w:rPr>
                <w:rFonts w:ascii="Cambria" w:hAnsi="Cambria"/>
                <w:sz w:val="24"/>
                <w:szCs w:val="24"/>
              </w:rPr>
              <w:t>This question can be answered by taking ‘information adoption model’ (Sussman and Siegal 2003)</w:t>
            </w:r>
            <w:r w:rsidR="005C4C5E" w:rsidRPr="00530906">
              <w:rPr>
                <w:rFonts w:ascii="Cambria" w:hAnsi="Cambria"/>
                <w:sz w:val="24"/>
                <w:szCs w:val="24"/>
              </w:rPr>
              <w:t xml:space="preserve"> into account</w:t>
            </w:r>
            <w:r w:rsidR="005C58B7" w:rsidRPr="00530906">
              <w:rPr>
                <w:rFonts w:ascii="Cambria" w:hAnsi="Cambria"/>
                <w:sz w:val="24"/>
                <w:szCs w:val="24"/>
              </w:rPr>
              <w:t>, since c</w:t>
            </w:r>
            <w:r w:rsidR="00122041" w:rsidRPr="00530906">
              <w:rPr>
                <w:rFonts w:ascii="Cambria" w:hAnsi="Cambria"/>
                <w:sz w:val="24"/>
                <w:szCs w:val="24"/>
              </w:rPr>
              <w:t>onsumer to consumer conversation as well as consumers’ credibility</w:t>
            </w:r>
            <w:r w:rsidR="005C58B7" w:rsidRPr="00530906">
              <w:rPr>
                <w:rFonts w:ascii="Cambria" w:hAnsi="Cambria"/>
                <w:sz w:val="24"/>
                <w:szCs w:val="24"/>
              </w:rPr>
              <w:t xml:space="preserve"> play pivotal role on </w:t>
            </w:r>
            <w:r w:rsidR="00122041" w:rsidRPr="00530906">
              <w:rPr>
                <w:rFonts w:ascii="Cambria" w:hAnsi="Cambria"/>
                <w:sz w:val="24"/>
                <w:szCs w:val="24"/>
              </w:rPr>
              <w:t xml:space="preserve">purchase intention of sustainable products. </w:t>
            </w:r>
            <w:r w:rsidR="005C4C5E" w:rsidRPr="00530906">
              <w:rPr>
                <w:rFonts w:ascii="Cambria" w:hAnsi="Cambria"/>
                <w:sz w:val="24"/>
                <w:szCs w:val="24"/>
              </w:rPr>
              <w:t xml:space="preserve">Survey </w:t>
            </w:r>
            <w:r w:rsidR="00087553" w:rsidRPr="00530906">
              <w:rPr>
                <w:rFonts w:ascii="Cambria" w:hAnsi="Cambria"/>
                <w:sz w:val="24"/>
                <w:szCs w:val="24"/>
              </w:rPr>
              <w:t xml:space="preserve">on general consumers through Prolific or Mturk on pre-existing </w:t>
            </w:r>
            <w:r w:rsidR="00B23DF0" w:rsidRPr="00530906">
              <w:rPr>
                <w:rFonts w:ascii="Cambria" w:hAnsi="Cambria"/>
                <w:sz w:val="24"/>
                <w:szCs w:val="24"/>
              </w:rPr>
              <w:t xml:space="preserve">scales should be able to generate </w:t>
            </w:r>
            <w:r w:rsidR="00887ADE" w:rsidRPr="00530906">
              <w:rPr>
                <w:rFonts w:ascii="Cambria" w:hAnsi="Cambria"/>
                <w:sz w:val="24"/>
                <w:szCs w:val="24"/>
              </w:rPr>
              <w:t>data with external validity. The hypothesis can be tested by using regression analysis</w:t>
            </w:r>
          </w:p>
        </w:tc>
      </w:tr>
      <w:tr w:rsidR="00021A30" w:rsidRPr="00530906" w14:paraId="274ED1D6" w14:textId="77777777" w:rsidTr="001A2FE3">
        <w:tc>
          <w:tcPr>
            <w:tcW w:w="562" w:type="dxa"/>
          </w:tcPr>
          <w:p w14:paraId="06D9AB8D" w14:textId="5788112F" w:rsidR="00021A30" w:rsidRPr="00530906" w:rsidRDefault="00887ADE">
            <w:pPr>
              <w:spacing w:line="360" w:lineRule="auto"/>
              <w:jc w:val="both"/>
              <w:rPr>
                <w:rFonts w:ascii="Cambria" w:hAnsi="Cambria"/>
                <w:sz w:val="24"/>
                <w:szCs w:val="24"/>
              </w:rPr>
            </w:pPr>
            <w:r w:rsidRPr="00530906">
              <w:rPr>
                <w:rFonts w:ascii="Cambria" w:hAnsi="Cambria"/>
                <w:sz w:val="24"/>
                <w:szCs w:val="24"/>
              </w:rPr>
              <w:t xml:space="preserve">2. </w:t>
            </w:r>
          </w:p>
        </w:tc>
        <w:tc>
          <w:tcPr>
            <w:tcW w:w="8454" w:type="dxa"/>
          </w:tcPr>
          <w:p w14:paraId="679702AF" w14:textId="77886DBE" w:rsidR="00021A30" w:rsidRPr="00530906" w:rsidRDefault="00887ADE">
            <w:pPr>
              <w:spacing w:line="360" w:lineRule="auto"/>
              <w:jc w:val="both"/>
              <w:rPr>
                <w:rFonts w:ascii="Cambria" w:hAnsi="Cambria"/>
                <w:sz w:val="24"/>
                <w:szCs w:val="24"/>
              </w:rPr>
            </w:pPr>
            <w:r w:rsidRPr="00530906">
              <w:rPr>
                <w:rFonts w:ascii="Cambria" w:hAnsi="Cambria"/>
                <w:b/>
                <w:bCs/>
                <w:sz w:val="24"/>
                <w:szCs w:val="24"/>
              </w:rPr>
              <w:t>What is the diffusion</w:t>
            </w:r>
            <w:r w:rsidR="00E35AC7" w:rsidRPr="00530906">
              <w:rPr>
                <w:rFonts w:ascii="Cambria" w:hAnsi="Cambria"/>
                <w:b/>
                <w:bCs/>
                <w:sz w:val="24"/>
                <w:szCs w:val="24"/>
              </w:rPr>
              <w:t xml:space="preserve"> speed and its determinants in social media for a sustainable ad?</w:t>
            </w:r>
            <w:r w:rsidR="00E35AC7" w:rsidRPr="00530906">
              <w:rPr>
                <w:rFonts w:ascii="Cambria" w:hAnsi="Cambria"/>
                <w:sz w:val="24"/>
                <w:szCs w:val="24"/>
              </w:rPr>
              <w:t xml:space="preserve"> </w:t>
            </w:r>
            <w:r w:rsidR="0038775A" w:rsidRPr="00530906">
              <w:rPr>
                <w:rFonts w:ascii="Cambria" w:hAnsi="Cambria"/>
                <w:sz w:val="24"/>
                <w:szCs w:val="24"/>
              </w:rPr>
              <w:t>Application of ‘information diffusion theory</w:t>
            </w:r>
            <w:r w:rsidR="009328CA" w:rsidRPr="00530906">
              <w:rPr>
                <w:rFonts w:ascii="Cambria" w:hAnsi="Cambria"/>
                <w:sz w:val="24"/>
                <w:szCs w:val="24"/>
              </w:rPr>
              <w:t xml:space="preserve"> (IDT)</w:t>
            </w:r>
            <w:r w:rsidR="0038775A" w:rsidRPr="00530906">
              <w:rPr>
                <w:rFonts w:ascii="Cambria" w:hAnsi="Cambria"/>
                <w:sz w:val="24"/>
                <w:szCs w:val="24"/>
              </w:rPr>
              <w:t>’</w:t>
            </w:r>
            <w:r w:rsidR="00D40806" w:rsidRPr="00530906">
              <w:rPr>
                <w:rFonts w:ascii="Cambria" w:hAnsi="Cambria"/>
                <w:sz w:val="24"/>
                <w:szCs w:val="24"/>
              </w:rPr>
              <w:t xml:space="preserve"> is suitable to </w:t>
            </w:r>
            <w:r w:rsidR="00C74151" w:rsidRPr="00530906">
              <w:rPr>
                <w:rFonts w:ascii="Cambria" w:hAnsi="Cambria"/>
                <w:sz w:val="24"/>
                <w:szCs w:val="24"/>
              </w:rPr>
              <w:t>address the question</w:t>
            </w:r>
            <w:r w:rsidR="009328CA" w:rsidRPr="00530906">
              <w:rPr>
                <w:rFonts w:ascii="Cambria" w:hAnsi="Cambria"/>
                <w:sz w:val="24"/>
                <w:szCs w:val="24"/>
              </w:rPr>
              <w:t xml:space="preserve">. Among </w:t>
            </w:r>
            <w:r w:rsidR="006D1108" w:rsidRPr="00530906">
              <w:rPr>
                <w:rFonts w:ascii="Cambria" w:hAnsi="Cambria"/>
                <w:sz w:val="24"/>
                <w:szCs w:val="24"/>
              </w:rPr>
              <w:t>t</w:t>
            </w:r>
            <w:r w:rsidR="009328CA" w:rsidRPr="00530906">
              <w:rPr>
                <w:rFonts w:ascii="Cambria" w:hAnsi="Cambria"/>
                <w:sz w:val="24"/>
                <w:szCs w:val="24"/>
              </w:rPr>
              <w:t>he number of IDT</w:t>
            </w:r>
            <w:r w:rsidR="006D1108" w:rsidRPr="00530906">
              <w:rPr>
                <w:rFonts w:ascii="Cambria" w:hAnsi="Cambria"/>
                <w:sz w:val="24"/>
                <w:szCs w:val="24"/>
              </w:rPr>
              <w:t>s</w:t>
            </w:r>
            <w:r w:rsidR="009328CA" w:rsidRPr="00530906">
              <w:rPr>
                <w:rFonts w:ascii="Cambria" w:hAnsi="Cambria"/>
                <w:sz w:val="24"/>
                <w:szCs w:val="24"/>
              </w:rPr>
              <w:t xml:space="preserve"> ‘independent cascade’ and ‘linear th</w:t>
            </w:r>
            <w:r w:rsidR="006D1108" w:rsidRPr="00530906">
              <w:rPr>
                <w:rFonts w:ascii="Cambria" w:hAnsi="Cambria"/>
                <w:sz w:val="24"/>
                <w:szCs w:val="24"/>
              </w:rPr>
              <w:t>reshold’ are most suitable for the study, which allow to focus on the</w:t>
            </w:r>
            <w:r w:rsidR="00401EDF" w:rsidRPr="00530906">
              <w:rPr>
                <w:rFonts w:ascii="Cambria" w:hAnsi="Cambria"/>
                <w:sz w:val="24"/>
                <w:szCs w:val="24"/>
              </w:rPr>
              <w:t xml:space="preserve"> </w:t>
            </w:r>
            <w:r w:rsidR="006D1108" w:rsidRPr="00530906">
              <w:rPr>
                <w:rFonts w:ascii="Cambria" w:hAnsi="Cambria"/>
                <w:sz w:val="24"/>
                <w:szCs w:val="24"/>
              </w:rPr>
              <w:t>three determinants- influence of the source, content</w:t>
            </w:r>
            <w:r w:rsidR="00790B34" w:rsidRPr="00530906">
              <w:rPr>
                <w:rFonts w:ascii="Cambria" w:hAnsi="Cambria"/>
                <w:sz w:val="24"/>
                <w:szCs w:val="24"/>
              </w:rPr>
              <w:t>,</w:t>
            </w:r>
            <w:r w:rsidR="006D1108" w:rsidRPr="00530906">
              <w:rPr>
                <w:rFonts w:ascii="Cambria" w:hAnsi="Cambria"/>
                <w:sz w:val="24"/>
                <w:szCs w:val="24"/>
              </w:rPr>
              <w:t xml:space="preserve"> and timing </w:t>
            </w:r>
            <w:r w:rsidR="00401EDF" w:rsidRPr="00530906">
              <w:rPr>
                <w:rFonts w:ascii="Cambria" w:hAnsi="Cambria"/>
                <w:sz w:val="24"/>
                <w:szCs w:val="24"/>
              </w:rPr>
              <w:t>(Yoo et al 2016)</w:t>
            </w:r>
            <w:r w:rsidR="004A523F" w:rsidRPr="00530906">
              <w:rPr>
                <w:rFonts w:ascii="Cambria" w:hAnsi="Cambria"/>
                <w:sz w:val="24"/>
                <w:szCs w:val="24"/>
              </w:rPr>
              <w:t xml:space="preserve">. For different </w:t>
            </w:r>
            <w:r w:rsidR="00053233" w:rsidRPr="00530906">
              <w:rPr>
                <w:rFonts w:ascii="Cambria" w:hAnsi="Cambria"/>
                <w:sz w:val="24"/>
                <w:szCs w:val="24"/>
              </w:rPr>
              <w:t xml:space="preserve">social media, the data collection techniques should be different. For example, Twitter’s search API allows the collect tweets and retweets, which may be used to identify which tweet </w:t>
            </w:r>
            <w:r w:rsidR="00401EDF" w:rsidRPr="00530906">
              <w:rPr>
                <w:rFonts w:ascii="Cambria" w:hAnsi="Cambria"/>
                <w:sz w:val="24"/>
                <w:szCs w:val="24"/>
              </w:rPr>
              <w:t>initiated</w:t>
            </w:r>
            <w:r w:rsidR="00053233" w:rsidRPr="00530906">
              <w:rPr>
                <w:rFonts w:ascii="Cambria" w:hAnsi="Cambria"/>
                <w:sz w:val="24"/>
                <w:szCs w:val="24"/>
              </w:rPr>
              <w:t xml:space="preserve"> how many retweets. </w:t>
            </w:r>
          </w:p>
        </w:tc>
      </w:tr>
      <w:tr w:rsidR="00021A30" w:rsidRPr="00530906" w14:paraId="326DA123" w14:textId="77777777" w:rsidTr="001A2FE3">
        <w:tc>
          <w:tcPr>
            <w:tcW w:w="562" w:type="dxa"/>
          </w:tcPr>
          <w:p w14:paraId="62D620EB" w14:textId="1EAB7EA7" w:rsidR="00021A30" w:rsidRPr="00530906" w:rsidRDefault="00021A30">
            <w:pPr>
              <w:spacing w:line="360" w:lineRule="auto"/>
              <w:jc w:val="both"/>
              <w:rPr>
                <w:rFonts w:ascii="Cambria" w:hAnsi="Cambria"/>
                <w:sz w:val="24"/>
                <w:szCs w:val="24"/>
              </w:rPr>
            </w:pPr>
            <w:r w:rsidRPr="00530906">
              <w:rPr>
                <w:rFonts w:ascii="Cambria" w:hAnsi="Cambria"/>
                <w:sz w:val="24"/>
                <w:szCs w:val="24"/>
              </w:rPr>
              <w:t xml:space="preserve">3. </w:t>
            </w:r>
          </w:p>
        </w:tc>
        <w:tc>
          <w:tcPr>
            <w:tcW w:w="8454" w:type="dxa"/>
          </w:tcPr>
          <w:p w14:paraId="4BB9D001" w14:textId="09A4C8AF" w:rsidR="00021A30" w:rsidRPr="00530906" w:rsidRDefault="00021A30">
            <w:pPr>
              <w:spacing w:line="360" w:lineRule="auto"/>
              <w:jc w:val="both"/>
              <w:rPr>
                <w:rFonts w:ascii="Cambria" w:hAnsi="Cambria"/>
                <w:b/>
                <w:bCs/>
                <w:sz w:val="24"/>
                <w:szCs w:val="24"/>
              </w:rPr>
            </w:pPr>
            <w:r w:rsidRPr="00530906">
              <w:rPr>
                <w:rFonts w:ascii="Cambria" w:hAnsi="Cambria"/>
                <w:b/>
                <w:bCs/>
                <w:sz w:val="24"/>
                <w:szCs w:val="24"/>
              </w:rPr>
              <w:t>How do consumers engage with the sustainable ads in different social media context?</w:t>
            </w:r>
            <w:r w:rsidRPr="00530906">
              <w:rPr>
                <w:rFonts w:ascii="Cambria" w:hAnsi="Cambria"/>
                <w:sz w:val="24"/>
                <w:szCs w:val="24"/>
              </w:rPr>
              <w:t xml:space="preserve"> Content analysis may indicate the positive and negative sentiment of the posts. This can be done manually or by using social media data analysis tool. For example, Hawksey (</w:t>
            </w:r>
            <w:hyperlink r:id="rId64" w:history="1">
              <w:r w:rsidRPr="00530906">
                <w:rPr>
                  <w:rStyle w:val="Hyperlink"/>
                  <w:rFonts w:ascii="Cambria" w:hAnsi="Cambria"/>
                  <w:sz w:val="24"/>
                  <w:szCs w:val="24"/>
                </w:rPr>
                <w:t>tags.hawksey.info</w:t>
              </w:r>
              <w:r w:rsidRPr="0017376A">
                <w:rPr>
                  <w:rStyle w:val="Hyperlink"/>
                  <w:rFonts w:ascii="Cambria" w:hAnsi="Cambria"/>
                  <w:sz w:val="24"/>
                  <w:szCs w:val="24"/>
                  <w:u w:val="none"/>
                </w:rPr>
                <w:t xml:space="preserve"> </w:t>
              </w:r>
              <w:r w:rsidRPr="00530906">
                <w:rPr>
                  <w:rStyle w:val="Hyperlink"/>
                  <w:rFonts w:ascii="Cambria" w:hAnsi="Cambria"/>
                  <w:color w:val="auto"/>
                  <w:sz w:val="24"/>
                  <w:szCs w:val="24"/>
                  <w:u w:val="none"/>
                </w:rPr>
                <w:t>2021</w:t>
              </w:r>
            </w:hyperlink>
            <w:r w:rsidRPr="00530906">
              <w:rPr>
                <w:rFonts w:ascii="Cambria" w:hAnsi="Cambria"/>
                <w:sz w:val="24"/>
                <w:szCs w:val="24"/>
              </w:rPr>
              <w:t xml:space="preserve">) and Chorus </w:t>
            </w:r>
            <w:hyperlink r:id="rId65" w:anchor=":~:text=Hence%2C%20the%20Chorus%20project%20is,for%20an%20audience%20unused%20to" w:history="1">
              <w:r w:rsidRPr="00530906">
                <w:rPr>
                  <w:rStyle w:val="Hyperlink"/>
                  <w:rFonts w:ascii="Cambria" w:hAnsi="Cambria"/>
                  <w:sz w:val="24"/>
                  <w:szCs w:val="24"/>
                </w:rPr>
                <w:t xml:space="preserve">(chorusanalytics.co.uk </w:t>
              </w:r>
              <w:r w:rsidRPr="00530906">
                <w:rPr>
                  <w:rStyle w:val="Hyperlink"/>
                  <w:rFonts w:ascii="Cambria" w:hAnsi="Cambria"/>
                  <w:color w:val="auto"/>
                  <w:sz w:val="24"/>
                  <w:szCs w:val="24"/>
                  <w:u w:val="none"/>
                </w:rPr>
                <w:t>2021)</w:t>
              </w:r>
            </w:hyperlink>
            <w:r w:rsidRPr="00530906">
              <w:rPr>
                <w:rFonts w:ascii="Cambria" w:hAnsi="Cambria"/>
                <w:sz w:val="24"/>
                <w:szCs w:val="24"/>
              </w:rPr>
              <w:t xml:space="preserve"> may offer tools to capture real twitter feeds to analyse the sentiment of the consumers. Netlytic (</w:t>
            </w:r>
            <w:hyperlink r:id="rId66" w:history="1">
              <w:r w:rsidRPr="00530906">
                <w:rPr>
                  <w:rStyle w:val="Hyperlink"/>
                  <w:rFonts w:ascii="Cambria" w:hAnsi="Cambria"/>
                  <w:sz w:val="24"/>
                  <w:szCs w:val="24"/>
                </w:rPr>
                <w:t>netlytic.org</w:t>
              </w:r>
            </w:hyperlink>
            <w:r w:rsidRPr="00530906">
              <w:rPr>
                <w:rFonts w:ascii="Cambria" w:hAnsi="Cambria"/>
                <w:sz w:val="24"/>
                <w:szCs w:val="24"/>
              </w:rPr>
              <w:t xml:space="preserve"> 2021) and NodeXL (</w:t>
            </w:r>
            <w:hyperlink r:id="rId67" w:history="1">
              <w:r w:rsidRPr="00530906">
                <w:rPr>
                  <w:rStyle w:val="Hyperlink"/>
                  <w:sz w:val="24"/>
                  <w:szCs w:val="24"/>
                </w:rPr>
                <w:t>nodexl.codeplex.com</w:t>
              </w:r>
            </w:hyperlink>
            <w:r w:rsidRPr="00530906">
              <w:rPr>
                <w:sz w:val="24"/>
                <w:szCs w:val="24"/>
              </w:rPr>
              <w:t xml:space="preserve"> 2018) </w:t>
            </w:r>
            <w:r w:rsidRPr="00530906">
              <w:rPr>
                <w:rFonts w:ascii="Cambria" w:hAnsi="Cambria"/>
                <w:sz w:val="24"/>
                <w:szCs w:val="24"/>
              </w:rPr>
              <w:t xml:space="preserve">also allows to collect all the public posts from twitter, Facebook, Youtube, Instagram and Youtube. Use of Python or R programming language may facilitate sentiment analysis (Ahmed 2018). Use of computerised programme may allow big data analysis, which can be generalised. </w:t>
            </w:r>
          </w:p>
        </w:tc>
      </w:tr>
      <w:tr w:rsidR="00021A30" w:rsidRPr="00530906" w14:paraId="29129DBC" w14:textId="77777777" w:rsidTr="001A2FE3">
        <w:tc>
          <w:tcPr>
            <w:tcW w:w="562" w:type="dxa"/>
          </w:tcPr>
          <w:p w14:paraId="010E1F9A" w14:textId="45A14B02" w:rsidR="00021A30" w:rsidRPr="00530906" w:rsidRDefault="00021A30">
            <w:pPr>
              <w:spacing w:line="360" w:lineRule="auto"/>
              <w:jc w:val="both"/>
              <w:rPr>
                <w:rFonts w:ascii="Cambria" w:hAnsi="Cambria"/>
                <w:sz w:val="24"/>
                <w:szCs w:val="24"/>
              </w:rPr>
            </w:pPr>
            <w:r w:rsidRPr="00530906">
              <w:rPr>
                <w:rFonts w:ascii="Cambria" w:hAnsi="Cambria"/>
                <w:sz w:val="24"/>
                <w:szCs w:val="24"/>
              </w:rPr>
              <w:t xml:space="preserve">4. </w:t>
            </w:r>
          </w:p>
        </w:tc>
        <w:tc>
          <w:tcPr>
            <w:tcW w:w="8454" w:type="dxa"/>
          </w:tcPr>
          <w:p w14:paraId="15DF0D6C" w14:textId="16AE7867" w:rsidR="00021A30" w:rsidRPr="00530906" w:rsidRDefault="00021A30">
            <w:pPr>
              <w:spacing w:line="360" w:lineRule="auto"/>
              <w:jc w:val="both"/>
              <w:rPr>
                <w:rFonts w:ascii="Cambria" w:hAnsi="Cambria"/>
                <w:sz w:val="24"/>
                <w:szCs w:val="24"/>
              </w:rPr>
            </w:pPr>
            <w:r w:rsidRPr="00530906">
              <w:rPr>
                <w:rFonts w:ascii="Cambria" w:hAnsi="Cambria"/>
                <w:b/>
                <w:bCs/>
                <w:sz w:val="24"/>
                <w:szCs w:val="24"/>
              </w:rPr>
              <w:t>Do consumers from developed market, developing market and frontier market show different levels of reaction to sustainability ad circulated over social media in terms of intention to adopt sustainable behaviour?</w:t>
            </w:r>
            <w:r w:rsidRPr="00530906">
              <w:rPr>
                <w:rFonts w:ascii="Cambria" w:hAnsi="Cambria"/>
                <w:sz w:val="24"/>
                <w:szCs w:val="24"/>
              </w:rPr>
              <w:t xml:space="preserve"> The proposed conceptual framework in this thesis can be extended to other countries for a comparison study. But the experiment should be conducted on samples that represent the population of different countries. Survey panels like- MTurk or Prolific may help in this perspective. This also means that, rather than lab experiment, </w:t>
            </w:r>
            <w:r w:rsidR="00CC7B01" w:rsidRPr="00530906">
              <w:rPr>
                <w:rFonts w:ascii="Cambria" w:hAnsi="Cambria"/>
                <w:sz w:val="24"/>
                <w:szCs w:val="24"/>
              </w:rPr>
              <w:t>survey-based</w:t>
            </w:r>
            <w:r w:rsidRPr="00530906">
              <w:rPr>
                <w:rFonts w:ascii="Cambria" w:hAnsi="Cambria"/>
                <w:sz w:val="24"/>
                <w:szCs w:val="24"/>
              </w:rPr>
              <w:t xml:space="preserve"> experiment may be more suitable.</w:t>
            </w:r>
          </w:p>
        </w:tc>
      </w:tr>
      <w:tr w:rsidR="00021A30" w:rsidRPr="00530906" w14:paraId="73B569CF" w14:textId="77777777" w:rsidTr="001A2FE3">
        <w:tc>
          <w:tcPr>
            <w:tcW w:w="562" w:type="dxa"/>
          </w:tcPr>
          <w:p w14:paraId="5FB90427" w14:textId="174580B7" w:rsidR="00021A30" w:rsidRPr="00530906" w:rsidRDefault="00021A30">
            <w:pPr>
              <w:spacing w:line="360" w:lineRule="auto"/>
              <w:jc w:val="both"/>
              <w:rPr>
                <w:rFonts w:ascii="Cambria" w:hAnsi="Cambria"/>
                <w:sz w:val="24"/>
                <w:szCs w:val="24"/>
              </w:rPr>
            </w:pPr>
            <w:r w:rsidRPr="00530906">
              <w:rPr>
                <w:rFonts w:ascii="Cambria" w:hAnsi="Cambria"/>
                <w:sz w:val="24"/>
                <w:szCs w:val="24"/>
              </w:rPr>
              <w:t>5.</w:t>
            </w:r>
          </w:p>
        </w:tc>
        <w:tc>
          <w:tcPr>
            <w:tcW w:w="8454" w:type="dxa"/>
          </w:tcPr>
          <w:p w14:paraId="57E12781" w14:textId="0C6D2995" w:rsidR="00021A30" w:rsidRPr="00530906" w:rsidRDefault="00021A30">
            <w:pPr>
              <w:spacing w:line="360" w:lineRule="auto"/>
              <w:jc w:val="both"/>
              <w:rPr>
                <w:rFonts w:ascii="Cambria" w:hAnsi="Cambria"/>
                <w:sz w:val="24"/>
                <w:szCs w:val="24"/>
              </w:rPr>
            </w:pPr>
            <w:r w:rsidRPr="00530906">
              <w:rPr>
                <w:rFonts w:ascii="Cambria" w:hAnsi="Cambria"/>
                <w:b/>
                <w:bCs/>
                <w:sz w:val="24"/>
                <w:szCs w:val="24"/>
              </w:rPr>
              <w:t>Do consumers react differently to the sustainability ad depending on their involvement with the product category?</w:t>
            </w:r>
            <w:r w:rsidRPr="00530906">
              <w:rPr>
                <w:rFonts w:ascii="Cambria" w:hAnsi="Cambria"/>
                <w:sz w:val="24"/>
                <w:szCs w:val="24"/>
              </w:rPr>
              <w:t xml:space="preserve"> Products from all the four quadrants of Cone and Belding (FCB)’s product map may be used to compare the results. For example- Auto insurance may be chosen for high involvement and thought inducing product, sports car may represent high involvement and feeling oriented product, liquid bleach may represent low involvement and thought inducing product and lastly snack can be deemed as low involvement and feeling oriented product (see, Ratchford 1987).  A comparison study may give more in-depth knowledge of the consumers’ mental process to choose sustainable product and behaviour. Since purchase data is not available, this study should also take the form of </w:t>
            </w:r>
            <w:r w:rsidR="008A6EB3" w:rsidRPr="00530906">
              <w:rPr>
                <w:rFonts w:ascii="Cambria" w:hAnsi="Cambria"/>
                <w:sz w:val="24"/>
                <w:szCs w:val="24"/>
              </w:rPr>
              <w:t>survey-based</w:t>
            </w:r>
            <w:r w:rsidRPr="00530906">
              <w:rPr>
                <w:rFonts w:ascii="Cambria" w:hAnsi="Cambria"/>
                <w:sz w:val="24"/>
                <w:szCs w:val="24"/>
              </w:rPr>
              <w:t xml:space="preserve"> experiment.</w:t>
            </w:r>
          </w:p>
        </w:tc>
      </w:tr>
    </w:tbl>
    <w:p w14:paraId="58FEE89F" w14:textId="41790328" w:rsidR="00BE2E77" w:rsidRPr="00530906" w:rsidRDefault="00BE2E77">
      <w:pPr>
        <w:spacing w:line="360" w:lineRule="auto"/>
        <w:jc w:val="both"/>
        <w:rPr>
          <w:rFonts w:ascii="Cambria" w:hAnsi="Cambria"/>
        </w:rPr>
      </w:pPr>
    </w:p>
    <w:p w14:paraId="5A7ADBAA" w14:textId="3649E332" w:rsidR="00EE655C" w:rsidRPr="00530906" w:rsidRDefault="00EE655C">
      <w:pPr>
        <w:spacing w:line="360" w:lineRule="auto"/>
        <w:jc w:val="both"/>
        <w:rPr>
          <w:rFonts w:ascii="Cambria" w:hAnsi="Cambria"/>
        </w:rPr>
      </w:pPr>
    </w:p>
    <w:p w14:paraId="4B9DD838" w14:textId="5978978F" w:rsidR="00EE655C" w:rsidRPr="00530906" w:rsidRDefault="00EE655C">
      <w:pPr>
        <w:spacing w:line="360" w:lineRule="auto"/>
        <w:jc w:val="both"/>
        <w:rPr>
          <w:rFonts w:ascii="Cambria" w:hAnsi="Cambria"/>
        </w:rPr>
      </w:pPr>
    </w:p>
    <w:p w14:paraId="025B3B68" w14:textId="4C6822B3" w:rsidR="00EE655C" w:rsidRPr="00530906" w:rsidRDefault="00EE655C">
      <w:pPr>
        <w:spacing w:line="360" w:lineRule="auto"/>
        <w:jc w:val="both"/>
        <w:rPr>
          <w:rFonts w:ascii="Cambria" w:hAnsi="Cambria"/>
        </w:rPr>
      </w:pPr>
    </w:p>
    <w:p w14:paraId="52080B5C" w14:textId="19A8BC90" w:rsidR="00EE655C" w:rsidRPr="00530906" w:rsidRDefault="00EE655C">
      <w:pPr>
        <w:spacing w:line="360" w:lineRule="auto"/>
        <w:jc w:val="both"/>
        <w:rPr>
          <w:rFonts w:ascii="Cambria" w:hAnsi="Cambria"/>
        </w:rPr>
      </w:pPr>
    </w:p>
    <w:p w14:paraId="7956A89D" w14:textId="77777777" w:rsidR="00EE655C" w:rsidRPr="00530906" w:rsidRDefault="00EE655C">
      <w:pPr>
        <w:spacing w:line="360" w:lineRule="auto"/>
        <w:jc w:val="both"/>
        <w:rPr>
          <w:rFonts w:ascii="Cambria" w:hAnsi="Cambria"/>
        </w:rPr>
      </w:pPr>
    </w:p>
    <w:p w14:paraId="292B6F0E" w14:textId="3DBDC7CB" w:rsidR="00EE655C" w:rsidRPr="00530906" w:rsidRDefault="00EE655C">
      <w:pPr>
        <w:spacing w:line="360" w:lineRule="auto"/>
        <w:jc w:val="both"/>
        <w:rPr>
          <w:rFonts w:ascii="Cambria" w:hAnsi="Cambria"/>
        </w:rPr>
      </w:pPr>
    </w:p>
    <w:p w14:paraId="34A67F0E" w14:textId="2E43EF29" w:rsidR="00EE655C" w:rsidRPr="00530906" w:rsidRDefault="00EE655C">
      <w:pPr>
        <w:spacing w:line="360" w:lineRule="auto"/>
        <w:jc w:val="both"/>
        <w:rPr>
          <w:rFonts w:ascii="Cambria" w:hAnsi="Cambria"/>
        </w:rPr>
      </w:pPr>
    </w:p>
    <w:p w14:paraId="2F8B6FD9" w14:textId="0DB88335" w:rsidR="00EE655C" w:rsidRPr="00530906" w:rsidRDefault="00EE655C">
      <w:pPr>
        <w:spacing w:line="360" w:lineRule="auto"/>
        <w:jc w:val="both"/>
        <w:rPr>
          <w:rFonts w:ascii="Cambria" w:hAnsi="Cambria"/>
        </w:rPr>
      </w:pPr>
    </w:p>
    <w:p w14:paraId="7A8E31D6" w14:textId="256BE33B" w:rsidR="00EE655C" w:rsidRPr="00530906" w:rsidRDefault="00EE655C">
      <w:pPr>
        <w:spacing w:line="360" w:lineRule="auto"/>
        <w:jc w:val="both"/>
        <w:rPr>
          <w:rFonts w:ascii="Cambria" w:hAnsi="Cambria"/>
        </w:rPr>
      </w:pPr>
    </w:p>
    <w:p w14:paraId="36F91697" w14:textId="7FD9C51C" w:rsidR="00EE655C" w:rsidRPr="00530906" w:rsidRDefault="00EE655C">
      <w:pPr>
        <w:spacing w:line="360" w:lineRule="auto"/>
        <w:jc w:val="both"/>
        <w:rPr>
          <w:rFonts w:ascii="Cambria" w:hAnsi="Cambria"/>
        </w:rPr>
      </w:pPr>
    </w:p>
    <w:p w14:paraId="606BCEC3" w14:textId="54A1152F" w:rsidR="00EE655C" w:rsidRPr="00530906" w:rsidRDefault="00EE655C">
      <w:pPr>
        <w:spacing w:line="360" w:lineRule="auto"/>
        <w:jc w:val="both"/>
        <w:rPr>
          <w:rFonts w:ascii="Cambria" w:hAnsi="Cambria"/>
        </w:rPr>
      </w:pPr>
    </w:p>
    <w:p w14:paraId="42B6A05D" w14:textId="207540E6" w:rsidR="00EE655C" w:rsidRPr="00530906" w:rsidRDefault="00EE655C">
      <w:pPr>
        <w:spacing w:line="360" w:lineRule="auto"/>
        <w:jc w:val="both"/>
        <w:rPr>
          <w:rFonts w:ascii="Cambria" w:hAnsi="Cambria"/>
        </w:rPr>
      </w:pPr>
    </w:p>
    <w:p w14:paraId="4D4781BC" w14:textId="618C7CA0" w:rsidR="00EE655C" w:rsidRPr="00530906" w:rsidRDefault="00EE655C">
      <w:pPr>
        <w:spacing w:line="360" w:lineRule="auto"/>
        <w:jc w:val="both"/>
        <w:rPr>
          <w:rFonts w:ascii="Cambria" w:hAnsi="Cambria"/>
        </w:rPr>
      </w:pPr>
    </w:p>
    <w:p w14:paraId="6595FF48" w14:textId="77777777" w:rsidR="00EE655C" w:rsidRPr="00530906" w:rsidRDefault="00EE655C">
      <w:pPr>
        <w:spacing w:line="360" w:lineRule="auto"/>
        <w:jc w:val="both"/>
        <w:rPr>
          <w:rFonts w:ascii="Cambria" w:hAnsi="Cambria"/>
        </w:rPr>
      </w:pPr>
    </w:p>
    <w:p w14:paraId="690DF491" w14:textId="0D92D705" w:rsidR="00C7217E" w:rsidRPr="00530906" w:rsidRDefault="004E6135" w:rsidP="008756B1">
      <w:pPr>
        <w:pStyle w:val="Heading1"/>
        <w:jc w:val="both"/>
        <w:rPr>
          <w:rFonts w:ascii="Cambria" w:eastAsia="Calibri" w:hAnsi="Cambria"/>
        </w:rPr>
      </w:pPr>
      <w:bookmarkStart w:id="102" w:name="_Toc115726276"/>
      <w:r w:rsidRPr="00530906">
        <w:rPr>
          <w:rFonts w:ascii="Cambria" w:eastAsia="Calibri" w:hAnsi="Cambria"/>
        </w:rPr>
        <w:t>7</w:t>
      </w:r>
      <w:r w:rsidR="00C7217E" w:rsidRPr="00530906">
        <w:rPr>
          <w:rFonts w:ascii="Cambria" w:eastAsia="Calibri" w:hAnsi="Cambria"/>
        </w:rPr>
        <w:t>. Conclusion</w:t>
      </w:r>
      <w:bookmarkEnd w:id="102"/>
    </w:p>
    <w:p w14:paraId="1DB67FE3" w14:textId="77777777" w:rsidR="00EE655C" w:rsidRPr="00530906" w:rsidRDefault="00EE655C" w:rsidP="008756B1">
      <w:pPr>
        <w:spacing w:line="259" w:lineRule="auto"/>
        <w:jc w:val="both"/>
        <w:rPr>
          <w:rFonts w:ascii="Cambria" w:eastAsia="Calibri" w:hAnsi="Cambria" w:cs="Times New Roman"/>
          <w:sz w:val="24"/>
          <w:szCs w:val="24"/>
        </w:rPr>
      </w:pPr>
      <w:r w:rsidRPr="00530906">
        <w:rPr>
          <w:rFonts w:ascii="Cambria" w:eastAsia="Calibri" w:hAnsi="Cambria" w:cs="Times New Roman"/>
          <w:sz w:val="24"/>
          <w:szCs w:val="24"/>
        </w:rPr>
        <w:br w:type="page"/>
      </w:r>
    </w:p>
    <w:p w14:paraId="58B31589" w14:textId="420B6484" w:rsidR="00E94A8B"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Though sustainability is a pressing concern, in today’s world, but </w:t>
      </w:r>
      <w:r w:rsidR="0092749D">
        <w:rPr>
          <w:rFonts w:ascii="Cambria" w:eastAsia="Calibri" w:hAnsi="Cambria" w:cs="Times New Roman"/>
          <w:sz w:val="24"/>
          <w:szCs w:val="24"/>
        </w:rPr>
        <w:t xml:space="preserve">favourable </w:t>
      </w:r>
      <w:r w:rsidRPr="00530906">
        <w:rPr>
          <w:rFonts w:ascii="Cambria" w:eastAsia="Calibri" w:hAnsi="Cambria" w:cs="Times New Roman"/>
          <w:sz w:val="24"/>
          <w:szCs w:val="24"/>
        </w:rPr>
        <w:t xml:space="preserve">value for sustainability does not interpret into the adaptation of sustainability in terms of managerial agenda, which predominantly focus on profitability (Caprar and Neville 2012; Huang and Rust 2011). Majority of the business measure growth by the means of increasing sales and profit, which will eventually exhaust resources and undermine sustainable development goal (Metzger et al 2017). Managers should understand </w:t>
      </w:r>
      <w:r w:rsidR="003A075E" w:rsidRPr="00530906">
        <w:rPr>
          <w:rFonts w:ascii="Cambria" w:eastAsia="Calibri" w:hAnsi="Cambria" w:cs="Times New Roman"/>
          <w:sz w:val="24"/>
          <w:szCs w:val="24"/>
        </w:rPr>
        <w:t>that</w:t>
      </w:r>
      <w:r w:rsidRPr="00530906">
        <w:rPr>
          <w:rFonts w:ascii="Cambria" w:eastAsia="Calibri" w:hAnsi="Cambria" w:cs="Times New Roman"/>
          <w:sz w:val="24"/>
          <w:szCs w:val="24"/>
        </w:rPr>
        <w:t xml:space="preserve"> the consumerist culture is increasingly being questioned in the rise of sustainability related issues, which make</w:t>
      </w:r>
      <w:r w:rsidR="002A2FDD">
        <w:rPr>
          <w:rFonts w:ascii="Cambria" w:eastAsia="Calibri" w:hAnsi="Cambria" w:cs="Times New Roman"/>
          <w:sz w:val="24"/>
          <w:szCs w:val="24"/>
        </w:rPr>
        <w:t>s</w:t>
      </w:r>
      <w:r w:rsidRPr="00530906">
        <w:rPr>
          <w:rFonts w:ascii="Cambria" w:eastAsia="Calibri" w:hAnsi="Cambria" w:cs="Times New Roman"/>
          <w:sz w:val="24"/>
          <w:szCs w:val="24"/>
        </w:rPr>
        <w:t xml:space="preserve"> mass consumers’ choice a key factor in the global struggle of attaining sustainability (Discetti 2021). </w:t>
      </w:r>
    </w:p>
    <w:p w14:paraId="576C4CE5" w14:textId="2F2F8D38"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This thesis has proved </w:t>
      </w:r>
      <w:r w:rsidR="003A075E" w:rsidRPr="00530906">
        <w:rPr>
          <w:rFonts w:ascii="Cambria" w:eastAsia="Calibri" w:hAnsi="Cambria" w:cs="Times New Roman"/>
          <w:sz w:val="24"/>
          <w:szCs w:val="24"/>
        </w:rPr>
        <w:t>that</w:t>
      </w:r>
      <w:r w:rsidRPr="00530906">
        <w:rPr>
          <w:rFonts w:ascii="Cambria" w:eastAsia="Calibri" w:hAnsi="Cambria" w:cs="Times New Roman"/>
          <w:sz w:val="24"/>
          <w:szCs w:val="24"/>
        </w:rPr>
        <w:t xml:space="preserve"> single consumers’ opinion regarding </w:t>
      </w:r>
      <w:r w:rsidR="00D74557">
        <w:rPr>
          <w:rFonts w:ascii="Cambria" w:eastAsia="Calibri" w:hAnsi="Cambria" w:cs="Times New Roman"/>
          <w:bCs/>
          <w:sz w:val="24"/>
          <w:szCs w:val="24"/>
        </w:rPr>
        <w:t>ad with</w:t>
      </w:r>
      <w:r w:rsidR="00D74557" w:rsidRPr="00530906">
        <w:rPr>
          <w:rFonts w:ascii="Cambria" w:eastAsia="Calibri" w:hAnsi="Cambria" w:cs="Times New Roman"/>
          <w:bCs/>
          <w:sz w:val="24"/>
          <w:szCs w:val="24"/>
        </w:rPr>
        <w:t xml:space="preserve"> </w:t>
      </w:r>
      <w:r w:rsidRPr="00530906">
        <w:rPr>
          <w:rFonts w:ascii="Cambria" w:eastAsia="Calibri" w:hAnsi="Cambria" w:cs="Times New Roman"/>
          <w:sz w:val="24"/>
          <w:szCs w:val="24"/>
        </w:rPr>
        <w:t xml:space="preserve">sustainability </w:t>
      </w:r>
      <w:r w:rsidR="00D74557">
        <w:rPr>
          <w:rFonts w:ascii="Cambria" w:eastAsia="Calibri" w:hAnsi="Cambria" w:cs="Times New Roman"/>
          <w:bCs/>
          <w:sz w:val="24"/>
          <w:szCs w:val="24"/>
        </w:rPr>
        <w:t>message</w:t>
      </w:r>
      <w:r w:rsidRPr="00530906">
        <w:rPr>
          <w:rFonts w:ascii="Cambria" w:eastAsia="Calibri" w:hAnsi="Cambria" w:cs="Times New Roman"/>
          <w:sz w:val="24"/>
          <w:szCs w:val="24"/>
        </w:rPr>
        <w:t xml:space="preserve"> may influence not only the purchase intention but also the other sustainable behavioural intention of multiple consumers, who are exposed to that initial consumer’s positive or negative opinion. Now a </w:t>
      </w:r>
      <w:r w:rsidR="007313C4" w:rsidRPr="00530906">
        <w:rPr>
          <w:rFonts w:ascii="Cambria" w:eastAsia="Calibri" w:hAnsi="Cambria" w:cs="Times New Roman"/>
          <w:sz w:val="24"/>
          <w:szCs w:val="24"/>
        </w:rPr>
        <w:t>day consumer</w:t>
      </w:r>
      <w:r w:rsidRPr="00530906">
        <w:rPr>
          <w:rFonts w:ascii="Cambria" w:eastAsia="Calibri" w:hAnsi="Cambria" w:cs="Times New Roman"/>
          <w:sz w:val="24"/>
          <w:szCs w:val="24"/>
        </w:rPr>
        <w:t xml:space="preserve"> can disseminate their belief with the help of social media, which may mobilise consumer movement toward adopting sustainability. </w:t>
      </w:r>
      <w:r w:rsidR="00D635C7">
        <w:rPr>
          <w:rFonts w:ascii="Cambria" w:eastAsia="Calibri" w:hAnsi="Cambria" w:cs="Times New Roman"/>
          <w:sz w:val="24"/>
          <w:szCs w:val="24"/>
        </w:rPr>
        <w:t xml:space="preserve">On the top of that, </w:t>
      </w:r>
      <w:r w:rsidR="00AA5A9F">
        <w:rPr>
          <w:rFonts w:ascii="Cambria" w:eastAsia="Calibri" w:hAnsi="Cambria" w:cs="Times New Roman"/>
          <w:sz w:val="24"/>
          <w:szCs w:val="24"/>
        </w:rPr>
        <w:t>s</w:t>
      </w:r>
      <w:r w:rsidR="00A265EC">
        <w:rPr>
          <w:rFonts w:ascii="Cambria" w:eastAsia="Calibri" w:hAnsi="Cambria" w:cs="Times New Roman"/>
          <w:sz w:val="24"/>
          <w:szCs w:val="24"/>
        </w:rPr>
        <w:t xml:space="preserve">ocial media usage is increasing compared to the </w:t>
      </w:r>
      <w:r w:rsidR="00A84196">
        <w:rPr>
          <w:rFonts w:ascii="Cambria" w:eastAsia="Calibri" w:hAnsi="Cambria" w:cs="Times New Roman"/>
          <w:sz w:val="24"/>
          <w:szCs w:val="24"/>
        </w:rPr>
        <w:t xml:space="preserve">mass media like TV usage </w:t>
      </w:r>
      <w:r w:rsidR="00A84196" w:rsidRPr="00A84196">
        <w:rPr>
          <w:rFonts w:ascii="Cambria" w:eastAsia="Calibri" w:hAnsi="Cambria" w:cs="Times New Roman"/>
          <w:sz w:val="24"/>
          <w:szCs w:val="24"/>
        </w:rPr>
        <w:t>(</w:t>
      </w:r>
      <w:r w:rsidR="00A84196" w:rsidRPr="00A84196">
        <w:rPr>
          <w:rFonts w:ascii="Cambria" w:hAnsi="Cambria"/>
          <w:sz w:val="24"/>
          <w:szCs w:val="24"/>
        </w:rPr>
        <w:t>Statista 2021</w:t>
      </w:r>
      <w:r w:rsidR="00A84196" w:rsidRPr="00A84196">
        <w:rPr>
          <w:rFonts w:ascii="Cambria" w:hAnsi="Cambria"/>
          <w:sz w:val="24"/>
          <w:szCs w:val="24"/>
          <w:vertAlign w:val="superscript"/>
        </w:rPr>
        <w:t>1</w:t>
      </w:r>
      <w:r w:rsidR="00A84196" w:rsidRPr="00A84196">
        <w:rPr>
          <w:rFonts w:ascii="Cambria" w:hAnsi="Cambria"/>
          <w:sz w:val="24"/>
          <w:szCs w:val="24"/>
        </w:rPr>
        <w:t xml:space="preserve"> and Statista 2021</w:t>
      </w:r>
      <w:r w:rsidR="00A84196" w:rsidRPr="00A84196">
        <w:rPr>
          <w:rFonts w:ascii="Cambria" w:hAnsi="Cambria"/>
          <w:sz w:val="24"/>
          <w:szCs w:val="24"/>
          <w:vertAlign w:val="superscript"/>
        </w:rPr>
        <w:t>2</w:t>
      </w:r>
      <w:r w:rsidR="00A84196">
        <w:rPr>
          <w:rFonts w:ascii="Cambria" w:eastAsia="Calibri" w:hAnsi="Cambria" w:cs="Times New Roman"/>
          <w:sz w:val="24"/>
          <w:szCs w:val="24"/>
        </w:rPr>
        <w:t xml:space="preserve">). </w:t>
      </w:r>
      <w:r w:rsidRPr="00530906">
        <w:rPr>
          <w:rFonts w:ascii="Cambria" w:eastAsia="Calibri" w:hAnsi="Cambria" w:cs="Times New Roman"/>
          <w:sz w:val="24"/>
          <w:szCs w:val="24"/>
        </w:rPr>
        <w:t xml:space="preserve"> Discetti (2021) propose that, social change may occur when a group of consumers take action.  Demand for sustainable product</w:t>
      </w:r>
      <w:r w:rsidR="00D6610D" w:rsidRPr="00530906">
        <w:rPr>
          <w:rFonts w:ascii="Cambria" w:eastAsia="Calibri" w:hAnsi="Cambria" w:cs="Times New Roman"/>
          <w:sz w:val="24"/>
          <w:szCs w:val="24"/>
        </w:rPr>
        <w:t>s</w:t>
      </w:r>
      <w:r w:rsidRPr="00530906">
        <w:rPr>
          <w:rFonts w:ascii="Cambria" w:eastAsia="Calibri" w:hAnsi="Cambria" w:cs="Times New Roman"/>
          <w:sz w:val="24"/>
          <w:szCs w:val="24"/>
        </w:rPr>
        <w:t xml:space="preserve"> or green product is rising and consumers are markedly accepting of the advertisement of those products. Advertisers mainly target general publics’ concern for the planet, yet the product related claims and the image those are depicted in the ad</w:t>
      </w:r>
      <w:r w:rsidR="00E87226" w:rsidRPr="00530906">
        <w:rPr>
          <w:rFonts w:ascii="Cambria" w:eastAsia="Calibri" w:hAnsi="Cambria" w:cs="Times New Roman"/>
          <w:sz w:val="24"/>
          <w:szCs w:val="24"/>
        </w:rPr>
        <w:t>s</w:t>
      </w:r>
      <w:r w:rsidRPr="00530906">
        <w:rPr>
          <w:rFonts w:ascii="Cambria" w:eastAsia="Calibri" w:hAnsi="Cambria" w:cs="Times New Roman"/>
          <w:sz w:val="24"/>
          <w:szCs w:val="24"/>
        </w:rPr>
        <w:t xml:space="preserve"> may be perceived as misleading (Segev et al 2016). This study shows that, the notion of consumers may have a domino’s effect on other consumers and the revenue of the company. </w:t>
      </w:r>
    </w:p>
    <w:p w14:paraId="70CECE72" w14:textId="471EAF6F"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Brands can establish an emotional link with the consumers by taking their social and psychological standpoint into account (Gambetti at al. 2012) to remain competitive </w:t>
      </w:r>
      <w:r w:rsidRPr="00530906">
        <w:rPr>
          <w:rFonts w:ascii="Cambria" w:eastAsia="Calibri" w:hAnsi="Cambria" w:cs="Adobe Devanagari"/>
          <w:sz w:val="24"/>
          <w:szCs w:val="24"/>
        </w:rPr>
        <w:t xml:space="preserve">(Menguca and Ozanne, 2005). If the brands undertake sustainable business practice ab initio, it may cushion them at the time of crisis. Kim (2013) has posited that companies’ reputation built </w:t>
      </w:r>
      <w:r w:rsidR="00E87226" w:rsidRPr="00530906">
        <w:rPr>
          <w:rFonts w:ascii="Cambria" w:eastAsia="Calibri" w:hAnsi="Cambria" w:cs="Adobe Devanagari"/>
          <w:sz w:val="24"/>
          <w:szCs w:val="24"/>
        </w:rPr>
        <w:t>through advertisement</w:t>
      </w:r>
      <w:r w:rsidRPr="00530906">
        <w:rPr>
          <w:rFonts w:ascii="Cambria" w:eastAsia="Calibri" w:hAnsi="Cambria" w:cs="Adobe Devanagari"/>
          <w:sz w:val="24"/>
          <w:szCs w:val="24"/>
        </w:rPr>
        <w:t xml:space="preserve"> before crisis will influence the consumers to retain their positive attitude towards the corporation at the time of crisis. Plus, consumers’ attitude regarding that brand is susceptible to social media engagement. </w:t>
      </w:r>
      <w:r w:rsidRPr="00530906">
        <w:rPr>
          <w:rFonts w:ascii="Cambria" w:eastAsia="Calibri" w:hAnsi="Cambria" w:cs="Times New Roman"/>
          <w:sz w:val="24"/>
          <w:szCs w:val="24"/>
        </w:rPr>
        <w:t xml:space="preserve">The embedded fact can be </w:t>
      </w:r>
      <w:r w:rsidR="00E87226" w:rsidRPr="00530906">
        <w:rPr>
          <w:rFonts w:ascii="Cambria" w:eastAsia="Calibri" w:hAnsi="Cambria" w:cs="Times New Roman"/>
          <w:sz w:val="24"/>
          <w:szCs w:val="24"/>
        </w:rPr>
        <w:t>that</w:t>
      </w:r>
      <w:r w:rsidRPr="00530906">
        <w:rPr>
          <w:rFonts w:ascii="Cambria" w:eastAsia="Calibri" w:hAnsi="Cambria" w:cs="Times New Roman"/>
          <w:sz w:val="24"/>
          <w:szCs w:val="24"/>
        </w:rPr>
        <w:t xml:space="preserve"> relationship with brands cause brand community identification and eventually consumer engagement, (Algesheimer et al, 2005). It has been advocated </w:t>
      </w:r>
      <w:r w:rsidR="00CB31D9" w:rsidRPr="00530906">
        <w:rPr>
          <w:rFonts w:ascii="Cambria" w:eastAsia="Calibri" w:hAnsi="Cambria" w:cs="Times New Roman"/>
          <w:sz w:val="24"/>
          <w:szCs w:val="24"/>
        </w:rPr>
        <w:t>that;</w:t>
      </w:r>
      <w:r w:rsidRPr="00530906">
        <w:rPr>
          <w:rFonts w:ascii="Cambria" w:eastAsia="Calibri" w:hAnsi="Cambria" w:cs="Times New Roman"/>
          <w:sz w:val="24"/>
          <w:szCs w:val="24"/>
        </w:rPr>
        <w:t xml:space="preserve"> marketers should focus on maintaining long term relationship with customers rather than focusing on just on exchange (Andersen 2005</w:t>
      </w:r>
      <w:r w:rsidR="00CB31D9" w:rsidRPr="00530906">
        <w:rPr>
          <w:rFonts w:ascii="Cambria" w:eastAsia="Calibri" w:hAnsi="Cambria" w:cs="Times New Roman"/>
          <w:sz w:val="24"/>
          <w:szCs w:val="24"/>
        </w:rPr>
        <w:t xml:space="preserve">; </w:t>
      </w:r>
      <w:r w:rsidR="00CB31D9" w:rsidRPr="00530906">
        <w:rPr>
          <w:rFonts w:ascii="Cambria" w:eastAsia="Times New Roman" w:hAnsi="Cambria" w:cs="Times New Roman"/>
          <w:sz w:val="24"/>
          <w:szCs w:val="24"/>
        </w:rPr>
        <w:t>Veloutsou and Moutinho 2009</w:t>
      </w:r>
      <w:r w:rsidRPr="00530906">
        <w:rPr>
          <w:rFonts w:ascii="Cambria" w:eastAsia="Calibri" w:hAnsi="Cambria" w:cs="Times New Roman"/>
          <w:sz w:val="24"/>
          <w:szCs w:val="24"/>
        </w:rPr>
        <w:t>). As Schau et al (2009) have stated that, companies should give consumers more opportunity and materials to communicate, which will encourage them to involve in more interactive practices with each other and foster consumer brand engagement</w:t>
      </w:r>
      <w:r w:rsidR="00CB31D9" w:rsidRPr="00530906">
        <w:rPr>
          <w:rFonts w:ascii="Cambria" w:eastAsia="Calibri" w:hAnsi="Cambria" w:cs="Times New Roman"/>
          <w:sz w:val="24"/>
          <w:szCs w:val="24"/>
        </w:rPr>
        <w:t xml:space="preserve"> (</w:t>
      </w:r>
      <w:r w:rsidR="00CB31D9" w:rsidRPr="00530906">
        <w:rPr>
          <w:rFonts w:ascii="Cambria" w:eastAsia="Times New Roman" w:hAnsi="Cambria" w:cs="Times New Roman"/>
          <w:sz w:val="24"/>
          <w:szCs w:val="24"/>
        </w:rPr>
        <w:t>Veloutsou and Moutinho 2009</w:t>
      </w:r>
      <w:r w:rsidR="00CB31D9" w:rsidRPr="00530906">
        <w:rPr>
          <w:rFonts w:ascii="Cambria" w:eastAsia="Calibri" w:hAnsi="Cambria" w:cs="Times New Roman"/>
          <w:sz w:val="24"/>
          <w:szCs w:val="24"/>
        </w:rPr>
        <w:t>)</w:t>
      </w:r>
      <w:r w:rsidRPr="00530906">
        <w:rPr>
          <w:rFonts w:ascii="Cambria" w:eastAsia="Calibri" w:hAnsi="Cambria" w:cs="Times New Roman"/>
          <w:sz w:val="24"/>
          <w:szCs w:val="24"/>
        </w:rPr>
        <w:t xml:space="preserve">. Sustainability marketing practice can be the answer to the challenge of providing material and opportunity for the customer to engage in social media. If the companies’ sustainable messages are disseminated in the social media by the consumers, reviewers or other stakeholders, companies gain leverage (Martin and Schouten 2012; Ibrahim et al 2017). Firm’s sustainable marketing communication should meet triple–bottom–line values, should consider all stakeholder and should reflect transparency, </w:t>
      </w:r>
      <w:r w:rsidR="000D798D" w:rsidRPr="00530906">
        <w:rPr>
          <w:rFonts w:ascii="Cambria" w:eastAsia="Calibri" w:hAnsi="Cambria" w:cs="Times New Roman"/>
          <w:sz w:val="24"/>
          <w:szCs w:val="24"/>
        </w:rPr>
        <w:t>accountability,</w:t>
      </w:r>
      <w:r w:rsidRPr="00530906">
        <w:rPr>
          <w:rFonts w:ascii="Cambria" w:eastAsia="Calibri" w:hAnsi="Cambria" w:cs="Times New Roman"/>
          <w:sz w:val="24"/>
          <w:szCs w:val="24"/>
        </w:rPr>
        <w:t xml:space="preserve"> and integrity of the organisation. </w:t>
      </w:r>
    </w:p>
    <w:p w14:paraId="48D2E2C6" w14:textId="5982AFF5" w:rsidR="00C7217E" w:rsidRPr="00530906" w:rsidRDefault="00C7217E">
      <w:pPr>
        <w:spacing w:line="360" w:lineRule="auto"/>
        <w:jc w:val="both"/>
        <w:rPr>
          <w:rFonts w:ascii="Cambria" w:eastAsia="Calibri" w:hAnsi="Cambria" w:cs="Times New Roman"/>
          <w:sz w:val="24"/>
          <w:szCs w:val="24"/>
        </w:rPr>
      </w:pPr>
      <w:r w:rsidRPr="00530906">
        <w:rPr>
          <w:rFonts w:ascii="Cambria" w:eastAsia="Calibri" w:hAnsi="Cambria" w:cs="Times New Roman"/>
          <w:sz w:val="24"/>
          <w:szCs w:val="24"/>
        </w:rPr>
        <w:t xml:space="preserve">“Finally, the concept “SC” implicitly places the ecological crisis squarely on the shoulders of individual consumers and focuses our attention and effort upon our individual choices in the </w:t>
      </w:r>
      <w:r w:rsidR="000D798D" w:rsidRPr="00530906">
        <w:rPr>
          <w:rFonts w:ascii="Cambria" w:eastAsia="Calibri" w:hAnsi="Cambria" w:cs="Times New Roman"/>
          <w:sz w:val="24"/>
          <w:szCs w:val="24"/>
        </w:rPr>
        <w:t>marketplace</w:t>
      </w:r>
      <w:r w:rsidRPr="00530906">
        <w:rPr>
          <w:rFonts w:ascii="Cambria" w:eastAsia="Calibri" w:hAnsi="Cambria" w:cs="Times New Roman"/>
          <w:sz w:val="24"/>
          <w:szCs w:val="24"/>
        </w:rPr>
        <w:t xml:space="preserve"> as the primary mechanism for solving the crisis. The concept plays upon the old neoclassical assumption deeply embedded in our cultural and economic rhetoric, the “American dream” no less: that through the market mechanism we will ultimately attain the greatest good for society — the good now being sustainability. It is a fallacy” (Banbury et al 2012. P. 503).” This research seeks to </w:t>
      </w:r>
      <w:r w:rsidR="00645404" w:rsidRPr="00530906">
        <w:rPr>
          <w:rFonts w:ascii="Cambria" w:eastAsia="Calibri" w:hAnsi="Cambria" w:cs="Times New Roman"/>
          <w:sz w:val="24"/>
          <w:szCs w:val="24"/>
        </w:rPr>
        <w:t>understand individual consumer’s action or effort on social media (e.g the post with sustainability ad and the caption) and how that may influence larger group of consumers.</w:t>
      </w:r>
      <w:r w:rsidRPr="00530906">
        <w:rPr>
          <w:rFonts w:ascii="Cambria" w:eastAsia="Calibri" w:hAnsi="Cambria" w:cs="Times New Roman"/>
          <w:noProof/>
          <w:sz w:val="24"/>
          <w:szCs w:val="24"/>
        </w:rPr>
        <w:t xml:space="preserve"> </w:t>
      </w:r>
    </w:p>
    <w:p w14:paraId="680E5BA9" w14:textId="20CA2C05" w:rsidR="00C7217E" w:rsidRPr="00530906" w:rsidRDefault="00C7217E">
      <w:pPr>
        <w:spacing w:line="360" w:lineRule="auto"/>
        <w:jc w:val="both"/>
        <w:rPr>
          <w:rFonts w:ascii="Cambria" w:hAnsi="Cambria"/>
          <w:noProof/>
        </w:rPr>
      </w:pPr>
      <w:r w:rsidRPr="00530906">
        <w:rPr>
          <w:rFonts w:ascii="Cambria" w:eastAsia="Calibri" w:hAnsi="Cambria" w:cs="Times New Roman"/>
          <w:sz w:val="24"/>
          <w:szCs w:val="24"/>
        </w:rPr>
        <w:t xml:space="preserve">On a practical note, BCG analysis shows that the </w:t>
      </w:r>
      <w:r w:rsidR="00B51598" w:rsidRPr="00530906">
        <w:rPr>
          <w:rFonts w:ascii="Cambria" w:eastAsia="Calibri" w:hAnsi="Cambria" w:cs="Times New Roman"/>
          <w:sz w:val="24"/>
          <w:szCs w:val="24"/>
        </w:rPr>
        <w:t>c</w:t>
      </w:r>
      <w:r w:rsidRPr="00530906">
        <w:rPr>
          <w:rFonts w:ascii="Cambria" w:eastAsia="Calibri" w:hAnsi="Cambria" w:cs="Times New Roman"/>
          <w:sz w:val="24"/>
          <w:szCs w:val="24"/>
        </w:rPr>
        <w:t>ompanies those take actions for maximizing positive societal impact, have the potentiality to opportunities like, entering into new markets, decreasing costs by reducing waste, and forming a more inclusive and reliable supply chain.  This implies that, the companies those perform high in environmental, social, and governance areas have the capability to improve their valuations against competitors and margins and eventually reduce the risk of significant negative events, such as manufacturing accidents (</w:t>
      </w:r>
      <w:hyperlink r:id="rId68" w:history="1">
        <w:r w:rsidRPr="00530906">
          <w:rPr>
            <w:rFonts w:ascii="Cambria" w:eastAsia="Calibri" w:hAnsi="Cambria" w:cs="Times New Roman"/>
            <w:sz w:val="24"/>
            <w:szCs w:val="24"/>
          </w:rPr>
          <w:t>bcg.com</w:t>
        </w:r>
      </w:hyperlink>
      <w:r w:rsidRPr="00530906">
        <w:rPr>
          <w:rFonts w:ascii="Cambria" w:eastAsia="Calibri" w:hAnsi="Cambria" w:cs="Times New Roman"/>
          <w:sz w:val="24"/>
          <w:szCs w:val="24"/>
        </w:rPr>
        <w:t>, 2018).</w:t>
      </w:r>
      <w:r w:rsidR="0055474A" w:rsidRPr="00530906">
        <w:rPr>
          <w:rFonts w:ascii="Cambria" w:eastAsia="Calibri" w:hAnsi="Cambria" w:cs="Times New Roman"/>
          <w:sz w:val="24"/>
          <w:szCs w:val="24"/>
        </w:rPr>
        <w:t xml:space="preserve"> “There has recently been much discussion about a preferred ecological outcome for late capitalism to work toward, that is sustainable consumption. Related to this is a fundamental question, can business in Western industrial society (some now use the label risk societ</w:t>
      </w:r>
      <w:r w:rsidR="007D42A1">
        <w:rPr>
          <w:rFonts w:ascii="Cambria" w:eastAsia="Calibri" w:hAnsi="Cambria" w:cs="Times New Roman"/>
          <w:sz w:val="24"/>
          <w:szCs w:val="24"/>
        </w:rPr>
        <w:t>y</w:t>
      </w:r>
      <w:r w:rsidR="0055474A" w:rsidRPr="00530906">
        <w:rPr>
          <w:rFonts w:ascii="Cambria" w:eastAsia="Calibri" w:hAnsi="Cambria" w:cs="Times New Roman"/>
          <w:sz w:val="24"/>
          <w:szCs w:val="24"/>
        </w:rPr>
        <w:t xml:space="preserve">) be transformed into ecologically sustainable organizations? If we optimistically assume the answer to this question to be yes' how would these organizations communicate with the world in which they operate?” (McDonagh 1998, P: 591). </w:t>
      </w:r>
      <w:r w:rsidRPr="00530906">
        <w:rPr>
          <w:rFonts w:ascii="Cambria" w:eastAsia="Calibri" w:hAnsi="Cambria" w:cs="Times New Roman"/>
          <w:sz w:val="24"/>
          <w:szCs w:val="24"/>
        </w:rPr>
        <w:t xml:space="preserve">Corporation taking initiatives to address social and environmental issue to congruent social expectation has become common. If sustainable consumption become the new norm, their production process will also align to conform the norm (Basu and Palazzo 2008). “Green consumer </w:t>
      </w:r>
      <w:r w:rsidR="00AA56B1" w:rsidRPr="00530906">
        <w:rPr>
          <w:rFonts w:ascii="Cambria" w:eastAsia="Calibri" w:hAnsi="Cambria" w:cs="Times New Roman"/>
          <w:sz w:val="24"/>
          <w:szCs w:val="24"/>
        </w:rPr>
        <w:t>behaviour</w:t>
      </w:r>
      <w:r w:rsidRPr="00530906">
        <w:rPr>
          <w:rFonts w:ascii="Cambria" w:eastAsia="Calibri" w:hAnsi="Cambria" w:cs="Times New Roman"/>
          <w:sz w:val="24"/>
          <w:szCs w:val="24"/>
        </w:rPr>
        <w:t xml:space="preserve"> can induce industries to develop green production methods and convert wasteful patterns of consumption into green consumption patterns” (Lin and Hsu 2015, p. 326).    If the attitude of a substantial number of consumers’ change towards sustainability and they demand it, the business organisations may change their practice</w:t>
      </w:r>
      <w:r w:rsidR="004E6135" w:rsidRPr="00530906">
        <w:rPr>
          <w:rFonts w:ascii="Cambria" w:eastAsia="Calibri" w:hAnsi="Cambria" w:cs="Times New Roman"/>
          <w:sz w:val="24"/>
          <w:szCs w:val="24"/>
        </w:rPr>
        <w:t>.</w:t>
      </w:r>
    </w:p>
    <w:p w14:paraId="09DF49B9" w14:textId="77777777" w:rsidR="00C7217E" w:rsidRPr="00530906" w:rsidRDefault="00C7217E" w:rsidP="008756B1">
      <w:pPr>
        <w:jc w:val="both"/>
        <w:rPr>
          <w:rFonts w:ascii="Cambria" w:hAnsi="Cambria"/>
          <w:noProof/>
        </w:rPr>
      </w:pPr>
    </w:p>
    <w:p w14:paraId="0DE1F83B" w14:textId="77777777" w:rsidR="00C7217E" w:rsidRPr="00530906" w:rsidRDefault="00C7217E" w:rsidP="008756B1">
      <w:pPr>
        <w:jc w:val="both"/>
        <w:rPr>
          <w:rFonts w:ascii="Cambria" w:hAnsi="Cambria"/>
        </w:rPr>
      </w:pPr>
    </w:p>
    <w:p w14:paraId="0377A33B" w14:textId="0D6A61C0" w:rsidR="00C7217E" w:rsidRPr="00530906" w:rsidRDefault="00C7217E">
      <w:pPr>
        <w:spacing w:line="259" w:lineRule="auto"/>
        <w:jc w:val="both"/>
        <w:rPr>
          <w:rFonts w:ascii="Cambria" w:hAnsi="Cambria"/>
          <w:sz w:val="24"/>
          <w:szCs w:val="24"/>
        </w:rPr>
      </w:pPr>
      <w:r w:rsidRPr="00530906">
        <w:rPr>
          <w:rFonts w:ascii="Cambria" w:hAnsi="Cambria"/>
          <w:sz w:val="24"/>
          <w:szCs w:val="24"/>
        </w:rPr>
        <w:br w:type="page"/>
      </w:r>
    </w:p>
    <w:p w14:paraId="1FBDC057" w14:textId="77777777" w:rsidR="00C7217E" w:rsidRPr="00530906" w:rsidRDefault="00C7217E">
      <w:pPr>
        <w:spacing w:line="360" w:lineRule="auto"/>
        <w:jc w:val="both"/>
        <w:rPr>
          <w:rFonts w:ascii="Cambria" w:hAnsi="Cambria"/>
        </w:rPr>
        <w:sectPr w:rsidR="00C7217E" w:rsidRPr="00530906" w:rsidSect="00014FB2">
          <w:pgSz w:w="11906" w:h="16838"/>
          <w:pgMar w:top="1440" w:right="1440" w:bottom="1440" w:left="1440" w:header="708" w:footer="708" w:gutter="0"/>
          <w:cols w:space="708"/>
          <w:docGrid w:linePitch="360"/>
        </w:sectPr>
      </w:pPr>
    </w:p>
    <w:p w14:paraId="1854FE50" w14:textId="1F0FF5D0" w:rsidR="00145256" w:rsidRPr="00530906" w:rsidRDefault="00145256" w:rsidP="00145256">
      <w:pPr>
        <w:pStyle w:val="Heading1"/>
        <w:jc w:val="both"/>
        <w:rPr>
          <w:rFonts w:eastAsiaTheme="minorEastAsia"/>
        </w:rPr>
      </w:pPr>
      <w:bookmarkStart w:id="103" w:name="_Toc115726277"/>
      <w:r w:rsidRPr="00530906">
        <w:rPr>
          <w:rFonts w:eastAsiaTheme="minorEastAsia"/>
        </w:rPr>
        <w:t>Appendix 1: Antecedents to engage in social media</w:t>
      </w:r>
      <w:bookmarkEnd w:id="10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230"/>
        <w:gridCol w:w="2835"/>
        <w:gridCol w:w="8079"/>
      </w:tblGrid>
      <w:tr w:rsidR="00145256" w:rsidRPr="00530906" w14:paraId="530B314F" w14:textId="77777777" w:rsidTr="00C54108">
        <w:trPr>
          <w:trHeight w:val="300"/>
        </w:trPr>
        <w:tc>
          <w:tcPr>
            <w:tcW w:w="1593" w:type="dxa"/>
            <w:shd w:val="clear" w:color="auto" w:fill="D5DCE4" w:themeFill="text2" w:themeFillTint="33"/>
            <w:hideMark/>
          </w:tcPr>
          <w:p w14:paraId="0FAD0E85" w14:textId="77777777" w:rsidR="00145256" w:rsidRPr="00530906" w:rsidRDefault="00145256" w:rsidP="00C54108">
            <w:pPr>
              <w:spacing w:after="0" w:line="360" w:lineRule="auto"/>
              <w:jc w:val="both"/>
              <w:rPr>
                <w:rFonts w:ascii="Cambria" w:eastAsia="Times New Roman" w:hAnsi="Cambria" w:cs="Calibri"/>
                <w:b/>
                <w:bCs/>
                <w:sz w:val="24"/>
                <w:szCs w:val="24"/>
                <w:lang w:eastAsia="en-GB"/>
              </w:rPr>
            </w:pPr>
            <w:bookmarkStart w:id="104" w:name="_Hlk65172134"/>
            <w:r w:rsidRPr="00530906">
              <w:rPr>
                <w:rFonts w:ascii="Cambria" w:eastAsia="Times New Roman" w:hAnsi="Cambria" w:cs="Calibri"/>
                <w:b/>
                <w:bCs/>
                <w:sz w:val="24"/>
                <w:szCs w:val="24"/>
                <w:lang w:eastAsia="en-GB"/>
              </w:rPr>
              <w:t xml:space="preserve">Authors </w:t>
            </w:r>
          </w:p>
        </w:tc>
        <w:tc>
          <w:tcPr>
            <w:tcW w:w="2230" w:type="dxa"/>
            <w:shd w:val="clear" w:color="auto" w:fill="D5DCE4" w:themeFill="text2" w:themeFillTint="33"/>
            <w:hideMark/>
          </w:tcPr>
          <w:p w14:paraId="7D12B46B" w14:textId="77777777" w:rsidR="00145256" w:rsidRPr="00530906" w:rsidRDefault="00145256" w:rsidP="00C54108">
            <w:pPr>
              <w:spacing w:after="0" w:line="360" w:lineRule="auto"/>
              <w:jc w:val="both"/>
              <w:rPr>
                <w:rFonts w:ascii="Cambria" w:eastAsia="Times New Roman" w:hAnsi="Cambria" w:cs="Calibri"/>
                <w:b/>
                <w:bCs/>
                <w:sz w:val="24"/>
                <w:szCs w:val="24"/>
                <w:lang w:eastAsia="en-GB"/>
              </w:rPr>
            </w:pPr>
            <w:r w:rsidRPr="00530906">
              <w:rPr>
                <w:rFonts w:ascii="Cambria" w:eastAsia="Times New Roman" w:hAnsi="Cambria" w:cs="Calibri"/>
                <w:b/>
                <w:bCs/>
                <w:sz w:val="24"/>
                <w:szCs w:val="24"/>
                <w:lang w:eastAsia="en-GB"/>
              </w:rPr>
              <w:t xml:space="preserve">Context and method </w:t>
            </w:r>
          </w:p>
        </w:tc>
        <w:tc>
          <w:tcPr>
            <w:tcW w:w="2835" w:type="dxa"/>
            <w:shd w:val="clear" w:color="auto" w:fill="D5DCE4" w:themeFill="text2" w:themeFillTint="33"/>
            <w:hideMark/>
          </w:tcPr>
          <w:p w14:paraId="51A05E3D" w14:textId="77777777" w:rsidR="00145256" w:rsidRPr="00530906" w:rsidRDefault="00145256" w:rsidP="00C54108">
            <w:pPr>
              <w:spacing w:after="0" w:line="360" w:lineRule="auto"/>
              <w:jc w:val="both"/>
              <w:rPr>
                <w:rFonts w:ascii="Cambria" w:eastAsia="Times New Roman" w:hAnsi="Cambria" w:cs="Calibri"/>
                <w:b/>
                <w:bCs/>
                <w:sz w:val="24"/>
                <w:szCs w:val="24"/>
                <w:lang w:eastAsia="en-GB"/>
              </w:rPr>
            </w:pPr>
            <w:r w:rsidRPr="00530906">
              <w:rPr>
                <w:rFonts w:ascii="Cambria" w:eastAsia="Times New Roman" w:hAnsi="Cambria" w:cs="Calibri"/>
                <w:b/>
                <w:bCs/>
                <w:sz w:val="24"/>
                <w:szCs w:val="24"/>
                <w:lang w:eastAsia="en-GB"/>
              </w:rPr>
              <w:t>Antecedents</w:t>
            </w:r>
          </w:p>
        </w:tc>
        <w:tc>
          <w:tcPr>
            <w:tcW w:w="8079" w:type="dxa"/>
            <w:shd w:val="clear" w:color="auto" w:fill="D5DCE4" w:themeFill="text2" w:themeFillTint="33"/>
            <w:hideMark/>
          </w:tcPr>
          <w:p w14:paraId="104C1D42" w14:textId="77777777" w:rsidR="00145256" w:rsidRPr="00530906" w:rsidRDefault="00145256" w:rsidP="00C54108">
            <w:pPr>
              <w:spacing w:after="0" w:line="360" w:lineRule="auto"/>
              <w:jc w:val="both"/>
              <w:rPr>
                <w:rFonts w:ascii="Cambria" w:eastAsia="Times New Roman" w:hAnsi="Cambria" w:cs="Calibri"/>
                <w:b/>
                <w:bCs/>
                <w:sz w:val="24"/>
                <w:szCs w:val="24"/>
                <w:lang w:eastAsia="en-GB"/>
              </w:rPr>
            </w:pPr>
            <w:r w:rsidRPr="00530906">
              <w:rPr>
                <w:rFonts w:ascii="Cambria" w:eastAsia="Times New Roman" w:hAnsi="Cambria" w:cs="Calibri"/>
                <w:b/>
                <w:bCs/>
                <w:sz w:val="24"/>
                <w:szCs w:val="24"/>
                <w:lang w:eastAsia="en-GB"/>
              </w:rPr>
              <w:t xml:space="preserve"> Result </w:t>
            </w:r>
          </w:p>
        </w:tc>
      </w:tr>
      <w:tr w:rsidR="00145256" w:rsidRPr="00530906" w14:paraId="6BC3D220" w14:textId="77777777" w:rsidTr="00C54108">
        <w:trPr>
          <w:trHeight w:val="2661"/>
        </w:trPr>
        <w:tc>
          <w:tcPr>
            <w:tcW w:w="1593" w:type="dxa"/>
            <w:shd w:val="clear" w:color="auto" w:fill="auto"/>
            <w:hideMark/>
          </w:tcPr>
          <w:p w14:paraId="6F6F96B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Shen et al (2010)</w:t>
            </w:r>
          </w:p>
        </w:tc>
        <w:tc>
          <w:tcPr>
            <w:tcW w:w="2230" w:type="dxa"/>
            <w:shd w:val="clear" w:color="auto" w:fill="auto"/>
            <w:hideMark/>
          </w:tcPr>
          <w:p w14:paraId="26F5BD5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Virtual community (VC); survey</w:t>
            </w:r>
          </w:p>
        </w:tc>
        <w:tc>
          <w:tcPr>
            <w:tcW w:w="2835" w:type="dxa"/>
            <w:shd w:val="clear" w:color="auto" w:fill="auto"/>
            <w:hideMark/>
          </w:tcPr>
          <w:p w14:paraId="3C6DFBA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Perceived familiarity of VC members, Perceived similarity among VC members, Perceived expertise of VC members</w:t>
            </w:r>
          </w:p>
        </w:tc>
        <w:tc>
          <w:tcPr>
            <w:tcW w:w="8079" w:type="dxa"/>
            <w:shd w:val="clear" w:color="auto" w:fill="auto"/>
            <w:hideMark/>
          </w:tcPr>
          <w:p w14:paraId="625B832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VC loyalty is affected by perceived familiarity and perceived expertise, but not by perceived similarity. Informational influence is affected by perceived similarity and member expertise, but not by perceives familiarity, Normative influence is affected by perceived familiarity and similarity. But it was negatively affected by member expertise. Normative influence also mediates between three antecedents and VC loyalty</w:t>
            </w:r>
          </w:p>
        </w:tc>
      </w:tr>
      <w:tr w:rsidR="00145256" w:rsidRPr="00530906" w14:paraId="162337E2" w14:textId="77777777" w:rsidTr="00C54108">
        <w:trPr>
          <w:trHeight w:val="1200"/>
        </w:trPr>
        <w:tc>
          <w:tcPr>
            <w:tcW w:w="1593" w:type="dxa"/>
            <w:shd w:val="clear" w:color="auto" w:fill="auto"/>
            <w:hideMark/>
          </w:tcPr>
          <w:p w14:paraId="5260F6B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Colliander and Dahlen (2011)</w:t>
            </w:r>
          </w:p>
        </w:tc>
        <w:tc>
          <w:tcPr>
            <w:tcW w:w="2230" w:type="dxa"/>
            <w:shd w:val="clear" w:color="auto" w:fill="auto"/>
            <w:hideMark/>
          </w:tcPr>
          <w:p w14:paraId="6CE64D5B" w14:textId="77777777" w:rsidR="00145256" w:rsidRPr="00530906" w:rsidRDefault="00145256" w:rsidP="00C54108">
            <w:pPr>
              <w:jc w:val="both"/>
              <w:rPr>
                <w:rFonts w:ascii="Cambria" w:hAnsi="Cambria" w:cs="Calibri"/>
                <w:color w:val="000000"/>
                <w:sz w:val="24"/>
                <w:szCs w:val="24"/>
              </w:rPr>
            </w:pPr>
            <w:r w:rsidRPr="00530906">
              <w:rPr>
                <w:rFonts w:ascii="Cambria" w:hAnsi="Cambria" w:cs="Calibri"/>
                <w:color w:val="000000"/>
                <w:sz w:val="24"/>
                <w:szCs w:val="24"/>
              </w:rPr>
              <w:t>Positive online articles on brand, Survey</w:t>
            </w:r>
          </w:p>
          <w:p w14:paraId="5A328BB3" w14:textId="77777777" w:rsidR="00145256" w:rsidRPr="00530906" w:rsidRDefault="00145256" w:rsidP="00C54108">
            <w:pPr>
              <w:spacing w:after="0" w:line="360" w:lineRule="auto"/>
              <w:jc w:val="both"/>
              <w:rPr>
                <w:rFonts w:ascii="Cambria" w:eastAsia="Times New Roman" w:hAnsi="Cambria" w:cs="Calibri"/>
                <w:sz w:val="24"/>
                <w:szCs w:val="24"/>
                <w:lang w:eastAsia="en-GB"/>
              </w:rPr>
            </w:pPr>
          </w:p>
        </w:tc>
        <w:tc>
          <w:tcPr>
            <w:tcW w:w="2835" w:type="dxa"/>
            <w:shd w:val="clear" w:color="auto" w:fill="auto"/>
            <w:hideMark/>
          </w:tcPr>
          <w:p w14:paraId="602644B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Type of media, perceived relation of the writer with the brand, writer's credibility</w:t>
            </w:r>
          </w:p>
        </w:tc>
        <w:tc>
          <w:tcPr>
            <w:tcW w:w="8079" w:type="dxa"/>
            <w:shd w:val="clear" w:color="auto" w:fill="auto"/>
            <w:hideMark/>
          </w:tcPr>
          <w:p w14:paraId="37280A6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Blog proved to have higher score that online magazine in terms of para social interaction, brand attitude, purchase intention. In blogs, attitude and purchase intention are higher for high perceived relationship than that of for low. This difference is non–significant for online magazines.  High writers' credibility has greater impact on attitude and purchase intention than low writers' credibility for blogs. But for online magazine, only purchase intention has shown significant difference.</w:t>
            </w:r>
          </w:p>
        </w:tc>
      </w:tr>
      <w:tr w:rsidR="00145256" w:rsidRPr="00530906" w14:paraId="712B27CC" w14:textId="77777777" w:rsidTr="00C54108">
        <w:trPr>
          <w:trHeight w:val="841"/>
        </w:trPr>
        <w:tc>
          <w:tcPr>
            <w:tcW w:w="1593" w:type="dxa"/>
            <w:shd w:val="clear" w:color="auto" w:fill="auto"/>
            <w:hideMark/>
          </w:tcPr>
          <w:p w14:paraId="60238A4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Pagani and Mirabello (2011)</w:t>
            </w:r>
          </w:p>
        </w:tc>
        <w:tc>
          <w:tcPr>
            <w:tcW w:w="2230" w:type="dxa"/>
            <w:shd w:val="clear" w:color="auto" w:fill="auto"/>
            <w:hideMark/>
          </w:tcPr>
          <w:p w14:paraId="4E7BBF72" w14:textId="77777777" w:rsidR="00145256" w:rsidRPr="00530906" w:rsidRDefault="00145256" w:rsidP="00C54108">
            <w:pPr>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TV, Survey</w:t>
            </w:r>
          </w:p>
          <w:p w14:paraId="7C6C5E7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w:t>
            </w:r>
          </w:p>
          <w:p w14:paraId="6470E43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w:t>
            </w:r>
          </w:p>
        </w:tc>
        <w:tc>
          <w:tcPr>
            <w:tcW w:w="2835" w:type="dxa"/>
            <w:shd w:val="clear" w:color="auto" w:fill="auto"/>
            <w:hideMark/>
          </w:tcPr>
          <w:p w14:paraId="59EF8B2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interactive engagement (value from socialisation), social feature of social media, gender, personal engagement (seeking of inspiration, fun etc),</w:t>
            </w:r>
          </w:p>
        </w:tc>
        <w:tc>
          <w:tcPr>
            <w:tcW w:w="8079" w:type="dxa"/>
            <w:shd w:val="clear" w:color="auto" w:fill="auto"/>
            <w:hideMark/>
          </w:tcPr>
          <w:p w14:paraId="55BA8FC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Personal engagement positively affects active and passive use. social interactive engagement positively affects active use and passive use. different engagement and usage occur in different social TV features and gender.</w:t>
            </w:r>
          </w:p>
        </w:tc>
      </w:tr>
      <w:tr w:rsidR="00145256" w:rsidRPr="00530906" w14:paraId="18FF953D" w14:textId="77777777" w:rsidTr="00C54108">
        <w:trPr>
          <w:trHeight w:val="2715"/>
        </w:trPr>
        <w:tc>
          <w:tcPr>
            <w:tcW w:w="1593" w:type="dxa"/>
            <w:shd w:val="clear" w:color="auto" w:fill="auto"/>
            <w:hideMark/>
          </w:tcPr>
          <w:p w14:paraId="1FA2C12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Li et al 2013</w:t>
            </w:r>
          </w:p>
        </w:tc>
        <w:tc>
          <w:tcPr>
            <w:tcW w:w="2230" w:type="dxa"/>
            <w:shd w:val="clear" w:color="auto" w:fill="auto"/>
            <w:hideMark/>
          </w:tcPr>
          <w:p w14:paraId="41D8114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Content from a brand; Experiment </w:t>
            </w:r>
          </w:p>
        </w:tc>
        <w:tc>
          <w:tcPr>
            <w:tcW w:w="2835" w:type="dxa"/>
            <w:shd w:val="clear" w:color="auto" w:fill="auto"/>
            <w:hideMark/>
          </w:tcPr>
          <w:p w14:paraId="191C18D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Relationship depth, corporate involvement with the community, Channel purpose to interact</w:t>
            </w:r>
          </w:p>
        </w:tc>
        <w:tc>
          <w:tcPr>
            <w:tcW w:w="8079" w:type="dxa"/>
            <w:shd w:val="clear" w:color="auto" w:fill="auto"/>
            <w:hideMark/>
          </w:tcPr>
          <w:p w14:paraId="65F23C4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User engagement is high if corporation has deep relationship with the community, high corporate involvement and the twitter channel is used for specific purpose. If the corporation is managing the twitter channel for generic purpose their high degree of participation/ involvement decreases user engagement.</w:t>
            </w:r>
          </w:p>
        </w:tc>
      </w:tr>
      <w:tr w:rsidR="00145256" w:rsidRPr="00530906" w14:paraId="04EFCC95" w14:textId="77777777" w:rsidTr="00C54108">
        <w:trPr>
          <w:trHeight w:val="2715"/>
        </w:trPr>
        <w:tc>
          <w:tcPr>
            <w:tcW w:w="1593" w:type="dxa"/>
            <w:shd w:val="clear" w:color="auto" w:fill="auto"/>
          </w:tcPr>
          <w:p w14:paraId="200CFB0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Goh et al (2013)</w:t>
            </w:r>
          </w:p>
        </w:tc>
        <w:tc>
          <w:tcPr>
            <w:tcW w:w="2230" w:type="dxa"/>
            <w:shd w:val="clear" w:color="auto" w:fill="auto"/>
          </w:tcPr>
          <w:p w14:paraId="2D0752C0"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Business fan page brand</w:t>
            </w:r>
            <w:r w:rsidRPr="00530906">
              <w:rPr>
                <w:rFonts w:ascii="Cambria" w:eastAsia="Times New Roman" w:hAnsi="Cambria" w:cs="Calibri"/>
                <w:color w:val="000000"/>
                <w:sz w:val="24"/>
                <w:szCs w:val="24"/>
                <w:lang w:eastAsia="en-GB"/>
              </w:rPr>
              <w:br/>
              <w:t>community on Facebook, survey</w:t>
            </w:r>
          </w:p>
        </w:tc>
        <w:tc>
          <w:tcPr>
            <w:tcW w:w="2835" w:type="dxa"/>
            <w:shd w:val="clear" w:color="auto" w:fill="auto"/>
          </w:tcPr>
          <w:p w14:paraId="0CFE585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Source of content (User Generated/ Marketer generated), undirected/ directed (targeted) communication, richness of the content, valence</w:t>
            </w:r>
          </w:p>
        </w:tc>
        <w:tc>
          <w:tcPr>
            <w:tcW w:w="8079" w:type="dxa"/>
            <w:shd w:val="clear" w:color="auto" w:fill="auto"/>
          </w:tcPr>
          <w:p w14:paraId="1490754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Purchase intention is more influenced information richness, valence of UGC than that of MGC. MGC generates greater purchase intentions with directed communication.</w:t>
            </w:r>
          </w:p>
        </w:tc>
      </w:tr>
      <w:tr w:rsidR="00145256" w:rsidRPr="00530906" w14:paraId="66157D5E" w14:textId="77777777" w:rsidTr="00C54108">
        <w:trPr>
          <w:trHeight w:val="699"/>
        </w:trPr>
        <w:tc>
          <w:tcPr>
            <w:tcW w:w="1593" w:type="dxa"/>
            <w:shd w:val="clear" w:color="auto" w:fill="auto"/>
            <w:hideMark/>
          </w:tcPr>
          <w:p w14:paraId="7E8834E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Rishika et al (2013)</w:t>
            </w:r>
          </w:p>
        </w:tc>
        <w:tc>
          <w:tcPr>
            <w:tcW w:w="2230" w:type="dxa"/>
            <w:shd w:val="clear" w:color="auto" w:fill="auto"/>
            <w:hideMark/>
          </w:tcPr>
          <w:p w14:paraId="4A62C51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Firm's page on Social media; Quasi Experiment </w:t>
            </w:r>
          </w:p>
        </w:tc>
        <w:tc>
          <w:tcPr>
            <w:tcW w:w="2835" w:type="dxa"/>
            <w:shd w:val="clear" w:color="auto" w:fill="auto"/>
            <w:hideMark/>
          </w:tcPr>
          <w:p w14:paraId="4A307D6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Customer engagement, no of messages, purchase amount, focus in buying, deal sensitivity, share of premium product purchase (customer profitability)</w:t>
            </w:r>
          </w:p>
        </w:tc>
        <w:tc>
          <w:tcPr>
            <w:tcW w:w="8079" w:type="dxa"/>
            <w:shd w:val="clear" w:color="auto" w:fill="auto"/>
            <w:hideMark/>
          </w:tcPr>
          <w:p w14:paraId="4147445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Customer engagement positively related with shopping visits and customer profitability. This effect increases with number of messages, customers' purchase amount, low buying focus and low deal sensitivity. </w:t>
            </w:r>
          </w:p>
        </w:tc>
      </w:tr>
      <w:tr w:rsidR="00145256" w:rsidRPr="00530906" w14:paraId="3109EE1B" w14:textId="77777777" w:rsidTr="00C54108">
        <w:trPr>
          <w:trHeight w:val="699"/>
        </w:trPr>
        <w:tc>
          <w:tcPr>
            <w:tcW w:w="1593" w:type="dxa"/>
            <w:shd w:val="clear" w:color="auto" w:fill="auto"/>
            <w:hideMark/>
          </w:tcPr>
          <w:p w14:paraId="61776F1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Spotts et al (2014)</w:t>
            </w:r>
          </w:p>
        </w:tc>
        <w:tc>
          <w:tcPr>
            <w:tcW w:w="2230" w:type="dxa"/>
            <w:shd w:val="clear" w:color="auto" w:fill="auto"/>
            <w:hideMark/>
          </w:tcPr>
          <w:p w14:paraId="3DEDAD6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Brand content social media, secondary data analysis</w:t>
            </w:r>
          </w:p>
        </w:tc>
        <w:tc>
          <w:tcPr>
            <w:tcW w:w="2835" w:type="dxa"/>
            <w:shd w:val="clear" w:color="auto" w:fill="auto"/>
            <w:hideMark/>
          </w:tcPr>
          <w:p w14:paraId="62233A4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Advertisement</w:t>
            </w:r>
          </w:p>
        </w:tc>
        <w:tc>
          <w:tcPr>
            <w:tcW w:w="8079" w:type="dxa"/>
            <w:shd w:val="clear" w:color="auto" w:fill="auto"/>
            <w:hideMark/>
          </w:tcPr>
          <w:p w14:paraId="7C7F0C5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Advertisement influences google search of the brand and social media engagement (conversation with other people,). This in turn inspired engagement with the ad and subsequent brand engagement. </w:t>
            </w:r>
          </w:p>
        </w:tc>
      </w:tr>
      <w:tr w:rsidR="00145256" w:rsidRPr="00530906" w14:paraId="67644F31" w14:textId="77777777" w:rsidTr="00C54108">
        <w:trPr>
          <w:trHeight w:val="1500"/>
        </w:trPr>
        <w:tc>
          <w:tcPr>
            <w:tcW w:w="1593" w:type="dxa"/>
            <w:shd w:val="clear" w:color="auto" w:fill="auto"/>
            <w:hideMark/>
          </w:tcPr>
          <w:p w14:paraId="65003CC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Benson et al (2015)</w:t>
            </w:r>
          </w:p>
        </w:tc>
        <w:tc>
          <w:tcPr>
            <w:tcW w:w="2230" w:type="dxa"/>
            <w:shd w:val="clear" w:color="auto" w:fill="auto"/>
            <w:hideMark/>
          </w:tcPr>
          <w:p w14:paraId="5528764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survey</w:t>
            </w:r>
          </w:p>
        </w:tc>
        <w:tc>
          <w:tcPr>
            <w:tcW w:w="2835" w:type="dxa"/>
            <w:shd w:val="clear" w:color="auto" w:fill="auto"/>
            <w:hideMark/>
          </w:tcPr>
          <w:p w14:paraId="0C4DA54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Control over personal information, user awareness, security notice</w:t>
            </w:r>
          </w:p>
        </w:tc>
        <w:tc>
          <w:tcPr>
            <w:tcW w:w="8079" w:type="dxa"/>
            <w:shd w:val="clear" w:color="auto" w:fill="auto"/>
            <w:hideMark/>
          </w:tcPr>
          <w:p w14:paraId="19C9A24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Information disclosure is negatively related with control over personal information and positively related with user awareness and security notice. </w:t>
            </w:r>
          </w:p>
        </w:tc>
      </w:tr>
      <w:tr w:rsidR="00145256" w:rsidRPr="00530906" w14:paraId="229A90DD" w14:textId="77777777" w:rsidTr="00C54108">
        <w:trPr>
          <w:trHeight w:val="1500"/>
        </w:trPr>
        <w:tc>
          <w:tcPr>
            <w:tcW w:w="1593" w:type="dxa"/>
            <w:shd w:val="clear" w:color="auto" w:fill="auto"/>
          </w:tcPr>
          <w:p w14:paraId="0E3F083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Näsi et al (2015)</w:t>
            </w:r>
          </w:p>
        </w:tc>
        <w:tc>
          <w:tcPr>
            <w:tcW w:w="2230" w:type="dxa"/>
            <w:shd w:val="clear" w:color="auto" w:fill="auto"/>
          </w:tcPr>
          <w:p w14:paraId="232B9BD2"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Social media; survey</w:t>
            </w:r>
          </w:p>
        </w:tc>
        <w:tc>
          <w:tcPr>
            <w:tcW w:w="2835" w:type="dxa"/>
            <w:shd w:val="clear" w:color="auto" w:fill="auto"/>
          </w:tcPr>
          <w:p w14:paraId="5B059FB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 xml:space="preserve">Hate message sent by other users </w:t>
            </w:r>
          </w:p>
        </w:tc>
        <w:tc>
          <w:tcPr>
            <w:tcW w:w="8079" w:type="dxa"/>
            <w:shd w:val="clear" w:color="auto" w:fill="auto"/>
          </w:tcPr>
          <w:p w14:paraId="01CCA31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Negative images reduce trust that is placed both on a close acquaintance or a general group of people. But the effect is greater for the acquaintances.</w:t>
            </w:r>
          </w:p>
        </w:tc>
      </w:tr>
      <w:tr w:rsidR="00145256" w:rsidRPr="00530906" w14:paraId="49FA03D3" w14:textId="77777777" w:rsidTr="00C54108">
        <w:trPr>
          <w:trHeight w:val="1500"/>
        </w:trPr>
        <w:tc>
          <w:tcPr>
            <w:tcW w:w="1593" w:type="dxa"/>
            <w:shd w:val="clear" w:color="auto" w:fill="auto"/>
          </w:tcPr>
          <w:p w14:paraId="1EB4356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Xie and lee (2015)</w:t>
            </w:r>
          </w:p>
        </w:tc>
        <w:tc>
          <w:tcPr>
            <w:tcW w:w="2230" w:type="dxa"/>
            <w:shd w:val="clear" w:color="auto" w:fill="auto"/>
          </w:tcPr>
          <w:p w14:paraId="02713CA3"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Business fan page communities on Facebook; secondary data (brand purchase record)</w:t>
            </w:r>
          </w:p>
        </w:tc>
        <w:tc>
          <w:tcPr>
            <w:tcW w:w="2835" w:type="dxa"/>
            <w:shd w:val="clear" w:color="auto" w:fill="auto"/>
          </w:tcPr>
          <w:p w14:paraId="4D2FDDA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 xml:space="preserve">Earned (brand activities initiated by customer) and owned (Brand initiated activities) social media activity </w:t>
            </w:r>
          </w:p>
        </w:tc>
        <w:tc>
          <w:tcPr>
            <w:tcW w:w="8079" w:type="dxa"/>
            <w:shd w:val="clear" w:color="auto" w:fill="auto"/>
          </w:tcPr>
          <w:p w14:paraId="40564DF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Both social media activities have increased brand purchase, but there was no impact on in–store promotion.</w:t>
            </w:r>
          </w:p>
        </w:tc>
      </w:tr>
      <w:tr w:rsidR="00145256" w:rsidRPr="00530906" w14:paraId="0DBCADBD" w14:textId="77777777" w:rsidTr="00C54108">
        <w:trPr>
          <w:trHeight w:val="1500"/>
        </w:trPr>
        <w:tc>
          <w:tcPr>
            <w:tcW w:w="1593" w:type="dxa"/>
            <w:shd w:val="clear" w:color="auto" w:fill="auto"/>
          </w:tcPr>
          <w:p w14:paraId="1771A29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Kumar et al (2016)</w:t>
            </w:r>
          </w:p>
        </w:tc>
        <w:tc>
          <w:tcPr>
            <w:tcW w:w="2230" w:type="dxa"/>
            <w:shd w:val="clear" w:color="auto" w:fill="auto"/>
          </w:tcPr>
          <w:p w14:paraId="7D77A577"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Social media page of the brand; survey</w:t>
            </w:r>
          </w:p>
        </w:tc>
        <w:tc>
          <w:tcPr>
            <w:tcW w:w="2835" w:type="dxa"/>
            <w:shd w:val="clear" w:color="auto" w:fill="auto"/>
          </w:tcPr>
          <w:p w14:paraId="7213B6E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Firm generated content, TV ad, Email, customer characteristics</w:t>
            </w:r>
          </w:p>
        </w:tc>
        <w:tc>
          <w:tcPr>
            <w:tcW w:w="8079" w:type="dxa"/>
            <w:shd w:val="clear" w:color="auto" w:fill="auto"/>
          </w:tcPr>
          <w:p w14:paraId="795D5CC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Customer spending on cross buying has proven to be influenced by FGC and moderated by Tv ad, email and customer characteristics</w:t>
            </w:r>
          </w:p>
        </w:tc>
      </w:tr>
      <w:tr w:rsidR="00145256" w:rsidRPr="00530906" w14:paraId="6BA5FCB4" w14:textId="77777777" w:rsidTr="00C54108">
        <w:trPr>
          <w:trHeight w:val="900"/>
        </w:trPr>
        <w:tc>
          <w:tcPr>
            <w:tcW w:w="1593" w:type="dxa"/>
            <w:shd w:val="clear" w:color="auto" w:fill="auto"/>
            <w:hideMark/>
          </w:tcPr>
          <w:p w14:paraId="1A61D9B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Zheng et al (2015)</w:t>
            </w:r>
          </w:p>
        </w:tc>
        <w:tc>
          <w:tcPr>
            <w:tcW w:w="2230" w:type="dxa"/>
            <w:shd w:val="clear" w:color="auto" w:fill="auto"/>
            <w:hideMark/>
          </w:tcPr>
          <w:p w14:paraId="36EB1CB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media Fan Page; Survey</w:t>
            </w:r>
          </w:p>
        </w:tc>
        <w:tc>
          <w:tcPr>
            <w:tcW w:w="2835" w:type="dxa"/>
            <w:shd w:val="clear" w:color="auto" w:fill="auto"/>
            <w:hideMark/>
          </w:tcPr>
          <w:p w14:paraId="74B8CE3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Perceived benefit and cost through user engagement, online community commitment </w:t>
            </w:r>
          </w:p>
        </w:tc>
        <w:tc>
          <w:tcPr>
            <w:tcW w:w="8079" w:type="dxa"/>
            <w:shd w:val="clear" w:color="auto" w:fill="auto"/>
            <w:hideMark/>
          </w:tcPr>
          <w:p w14:paraId="70CC60A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Users’ engagement was directly influenced brand loyalty, indirectly through mediator– ‘community commitment’. Perceived benefit is a significant antecedent of engagement, but perceived cost is not.</w:t>
            </w:r>
          </w:p>
        </w:tc>
      </w:tr>
      <w:tr w:rsidR="00145256" w:rsidRPr="00530906" w14:paraId="5C4775D9" w14:textId="77777777" w:rsidTr="00C54108">
        <w:trPr>
          <w:trHeight w:val="660"/>
        </w:trPr>
        <w:tc>
          <w:tcPr>
            <w:tcW w:w="1593" w:type="dxa"/>
            <w:shd w:val="clear" w:color="auto" w:fill="auto"/>
            <w:hideMark/>
          </w:tcPr>
          <w:p w14:paraId="59DC6B3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Pera et al (2016)</w:t>
            </w:r>
          </w:p>
        </w:tc>
        <w:tc>
          <w:tcPr>
            <w:tcW w:w="2230" w:type="dxa"/>
            <w:shd w:val="clear" w:color="auto" w:fill="auto"/>
            <w:hideMark/>
          </w:tcPr>
          <w:p w14:paraId="780A177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Airbnb's Social media page; qualitative multi–method</w:t>
            </w:r>
          </w:p>
        </w:tc>
        <w:tc>
          <w:tcPr>
            <w:tcW w:w="2835" w:type="dxa"/>
            <w:shd w:val="clear" w:color="auto" w:fill="auto"/>
            <w:hideMark/>
          </w:tcPr>
          <w:p w14:paraId="3633EF9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Story that is told in social media</w:t>
            </w:r>
          </w:p>
        </w:tc>
        <w:tc>
          <w:tcPr>
            <w:tcW w:w="8079" w:type="dxa"/>
            <w:shd w:val="clear" w:color="auto" w:fill="auto"/>
            <w:hideMark/>
          </w:tcPr>
          <w:p w14:paraId="017ABA3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Storytelling enables rational, emotional, and relationship experience.</w:t>
            </w:r>
          </w:p>
        </w:tc>
      </w:tr>
      <w:tr w:rsidR="00145256" w:rsidRPr="00530906" w14:paraId="7E8EFDAD" w14:textId="77777777" w:rsidTr="00C54108">
        <w:trPr>
          <w:trHeight w:val="1500"/>
        </w:trPr>
        <w:tc>
          <w:tcPr>
            <w:tcW w:w="1593" w:type="dxa"/>
            <w:shd w:val="clear" w:color="auto" w:fill="auto"/>
            <w:hideMark/>
          </w:tcPr>
          <w:p w14:paraId="3C80EEC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Susarla et al (2016)</w:t>
            </w:r>
          </w:p>
        </w:tc>
        <w:tc>
          <w:tcPr>
            <w:tcW w:w="2230" w:type="dxa"/>
            <w:shd w:val="clear" w:color="auto" w:fill="auto"/>
            <w:hideMark/>
          </w:tcPr>
          <w:p w14:paraId="39564C7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(youtube); secondary data</w:t>
            </w:r>
          </w:p>
        </w:tc>
        <w:tc>
          <w:tcPr>
            <w:tcW w:w="2835" w:type="dxa"/>
            <w:shd w:val="clear" w:color="auto" w:fill="auto"/>
            <w:hideMark/>
          </w:tcPr>
          <w:p w14:paraId="3EC1810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Ability to influence, susceptibility of ties with other members, imitability of others' behaviour</w:t>
            </w:r>
          </w:p>
        </w:tc>
        <w:tc>
          <w:tcPr>
            <w:tcW w:w="8079" w:type="dxa"/>
            <w:shd w:val="clear" w:color="auto" w:fill="auto"/>
            <w:hideMark/>
          </w:tcPr>
          <w:p w14:paraId="20808C3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Word of mouth is influenced by users' (addressed as channel for YouTube context) ability to influence others. Cascade of conversation is caused by the tie and imitability</w:t>
            </w:r>
          </w:p>
        </w:tc>
      </w:tr>
      <w:tr w:rsidR="00145256" w:rsidRPr="00530906" w14:paraId="457EAAF7" w14:textId="77777777" w:rsidTr="00C54108">
        <w:trPr>
          <w:trHeight w:val="1124"/>
        </w:trPr>
        <w:tc>
          <w:tcPr>
            <w:tcW w:w="1593" w:type="dxa"/>
            <w:shd w:val="clear" w:color="auto" w:fill="auto"/>
            <w:hideMark/>
          </w:tcPr>
          <w:p w14:paraId="4EA6D9C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Akman and Mishra (2016)</w:t>
            </w:r>
          </w:p>
        </w:tc>
        <w:tc>
          <w:tcPr>
            <w:tcW w:w="2230" w:type="dxa"/>
            <w:shd w:val="clear" w:color="auto" w:fill="auto"/>
            <w:hideMark/>
          </w:tcPr>
          <w:p w14:paraId="71FE3C00"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Social commerce; Field study </w:t>
            </w:r>
          </w:p>
        </w:tc>
        <w:tc>
          <w:tcPr>
            <w:tcW w:w="2835" w:type="dxa"/>
            <w:shd w:val="clear" w:color="auto" w:fill="auto"/>
            <w:hideMark/>
          </w:tcPr>
          <w:p w14:paraId="4150C47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Satisfaction, perceived ethics of the seller, trust on e–commerce, enjoyment /easiness, social pressure, awareness.</w:t>
            </w:r>
          </w:p>
        </w:tc>
        <w:tc>
          <w:tcPr>
            <w:tcW w:w="8079" w:type="dxa"/>
            <w:shd w:val="clear" w:color="auto" w:fill="auto"/>
            <w:hideMark/>
          </w:tcPr>
          <w:p w14:paraId="528EA5E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Users' intention to adopt e–commerce in the social media depends on perceived trust, enjoyment, social pressure, satisfaction, and awareness. This intention later results into actual purchase.</w:t>
            </w:r>
          </w:p>
        </w:tc>
      </w:tr>
      <w:tr w:rsidR="00145256" w:rsidRPr="00530906" w14:paraId="5F466697" w14:textId="77777777" w:rsidTr="00C54108">
        <w:trPr>
          <w:trHeight w:val="2760"/>
        </w:trPr>
        <w:tc>
          <w:tcPr>
            <w:tcW w:w="1593" w:type="dxa"/>
            <w:shd w:val="clear" w:color="auto" w:fill="auto"/>
            <w:hideMark/>
          </w:tcPr>
          <w:p w14:paraId="277193B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Chung and Cho (2017)</w:t>
            </w:r>
          </w:p>
        </w:tc>
        <w:tc>
          <w:tcPr>
            <w:tcW w:w="2230" w:type="dxa"/>
            <w:shd w:val="clear" w:color="auto" w:fill="auto"/>
            <w:hideMark/>
          </w:tcPr>
          <w:p w14:paraId="4B3D4A2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Celebrity endorsement in Social media; survey</w:t>
            </w:r>
          </w:p>
        </w:tc>
        <w:tc>
          <w:tcPr>
            <w:tcW w:w="2835" w:type="dxa"/>
            <w:shd w:val="clear" w:color="auto" w:fill="auto"/>
            <w:hideMark/>
          </w:tcPr>
          <w:p w14:paraId="095245C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Para–social interaction, self–disclosure, para–social relationship, source trustworthiness</w:t>
            </w:r>
          </w:p>
        </w:tc>
        <w:tc>
          <w:tcPr>
            <w:tcW w:w="8079" w:type="dxa"/>
            <w:shd w:val="clear" w:color="auto" w:fill="auto"/>
            <w:hideMark/>
          </w:tcPr>
          <w:p w14:paraId="344BE96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media interaction directly and indirectly influences customer–celebrity social relationship through celebrity self–disclosure, and negatively influenced celebrity source trustworthiness. The source trustworthiness gained through social relationship and social media interaction results into brand credibility and purchase intention.</w:t>
            </w:r>
          </w:p>
        </w:tc>
      </w:tr>
      <w:tr w:rsidR="00145256" w:rsidRPr="00530906" w14:paraId="5075BBED" w14:textId="77777777" w:rsidTr="00C54108">
        <w:trPr>
          <w:trHeight w:val="1545"/>
        </w:trPr>
        <w:tc>
          <w:tcPr>
            <w:tcW w:w="1593" w:type="dxa"/>
            <w:shd w:val="clear" w:color="auto" w:fill="auto"/>
            <w:hideMark/>
          </w:tcPr>
          <w:p w14:paraId="2ADA9BF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Gunarathne et al (2017)</w:t>
            </w:r>
          </w:p>
        </w:tc>
        <w:tc>
          <w:tcPr>
            <w:tcW w:w="2230" w:type="dxa"/>
            <w:shd w:val="clear" w:color="auto" w:fill="auto"/>
            <w:hideMark/>
          </w:tcPr>
          <w:p w14:paraId="1F9DA51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secondary data set</w:t>
            </w:r>
          </w:p>
        </w:tc>
        <w:tc>
          <w:tcPr>
            <w:tcW w:w="2835" w:type="dxa"/>
            <w:shd w:val="clear" w:color="auto" w:fill="auto"/>
            <w:hideMark/>
          </w:tcPr>
          <w:p w14:paraId="7DD3988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Customers’ complain on twitter (process or outcome related) and customers’ influence on social media</w:t>
            </w:r>
          </w:p>
        </w:tc>
        <w:tc>
          <w:tcPr>
            <w:tcW w:w="8079" w:type="dxa"/>
            <w:shd w:val="clear" w:color="auto" w:fill="auto"/>
            <w:hideMark/>
          </w:tcPr>
          <w:p w14:paraId="398F7B30"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Consumers feel satisfied if they can exert influence on others on social media. Consumers with repetitive complaints and process related complaints are less likely to be satisfied.</w:t>
            </w:r>
          </w:p>
        </w:tc>
      </w:tr>
      <w:tr w:rsidR="00145256" w:rsidRPr="00530906" w14:paraId="2B314CAE" w14:textId="77777777" w:rsidTr="00C54108">
        <w:trPr>
          <w:trHeight w:val="1500"/>
        </w:trPr>
        <w:tc>
          <w:tcPr>
            <w:tcW w:w="1593" w:type="dxa"/>
            <w:shd w:val="clear" w:color="auto" w:fill="auto"/>
            <w:hideMark/>
          </w:tcPr>
          <w:p w14:paraId="4FB7449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Huang et al (2017)</w:t>
            </w:r>
          </w:p>
        </w:tc>
        <w:tc>
          <w:tcPr>
            <w:tcW w:w="2230" w:type="dxa"/>
            <w:shd w:val="clear" w:color="auto" w:fill="auto"/>
            <w:hideMark/>
          </w:tcPr>
          <w:p w14:paraId="44D0533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text mining</w:t>
            </w:r>
          </w:p>
        </w:tc>
        <w:tc>
          <w:tcPr>
            <w:tcW w:w="2835" w:type="dxa"/>
            <w:shd w:val="clear" w:color="auto" w:fill="auto"/>
            <w:hideMark/>
          </w:tcPr>
          <w:p w14:paraId="07153B7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Comment on movie (pull based– actively searched and push based– subscribed for the post) and peer comment, no of review, Source expertise</w:t>
            </w:r>
          </w:p>
        </w:tc>
        <w:tc>
          <w:tcPr>
            <w:tcW w:w="8079" w:type="dxa"/>
            <w:shd w:val="clear" w:color="auto" w:fill="auto"/>
            <w:hideMark/>
          </w:tcPr>
          <w:p w14:paraId="549675C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Initially movie's box office receipt is influenced by expert review and pull–based peer comments. No of review on micro blog platforms has significant. </w:t>
            </w:r>
          </w:p>
        </w:tc>
      </w:tr>
      <w:tr w:rsidR="00145256" w:rsidRPr="00530906" w14:paraId="564FBD17" w14:textId="77777777" w:rsidTr="00C54108">
        <w:trPr>
          <w:trHeight w:val="1500"/>
        </w:trPr>
        <w:tc>
          <w:tcPr>
            <w:tcW w:w="1593" w:type="dxa"/>
            <w:shd w:val="clear" w:color="auto" w:fill="auto"/>
            <w:hideMark/>
          </w:tcPr>
          <w:p w14:paraId="1D576C9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Marder et al (2017)</w:t>
            </w:r>
          </w:p>
        </w:tc>
        <w:tc>
          <w:tcPr>
            <w:tcW w:w="2230" w:type="dxa"/>
            <w:shd w:val="clear" w:color="auto" w:fill="auto"/>
            <w:hideMark/>
          </w:tcPr>
          <w:p w14:paraId="3DED3A8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Consumers’ post of the brands, survey</w:t>
            </w:r>
          </w:p>
        </w:tc>
        <w:tc>
          <w:tcPr>
            <w:tcW w:w="2835" w:type="dxa"/>
            <w:shd w:val="clear" w:color="auto" w:fill="auto"/>
            <w:hideMark/>
          </w:tcPr>
          <w:p w14:paraId="50EB92A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Audience expectation, social anxiety</w:t>
            </w:r>
          </w:p>
        </w:tc>
        <w:tc>
          <w:tcPr>
            <w:tcW w:w="8079" w:type="dxa"/>
            <w:shd w:val="clear" w:color="auto" w:fill="auto"/>
            <w:hideMark/>
          </w:tcPr>
          <w:p w14:paraId="786503C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When people observe that their audience is not reacting to their content as expected, that promote social anxiety and decrease their own brand interaction</w:t>
            </w:r>
          </w:p>
        </w:tc>
      </w:tr>
      <w:tr w:rsidR="00145256" w:rsidRPr="00530906" w14:paraId="59E84ABC" w14:textId="77777777" w:rsidTr="00C54108">
        <w:trPr>
          <w:trHeight w:val="1800"/>
        </w:trPr>
        <w:tc>
          <w:tcPr>
            <w:tcW w:w="1593" w:type="dxa"/>
            <w:shd w:val="clear" w:color="auto" w:fill="auto"/>
            <w:hideMark/>
          </w:tcPr>
          <w:p w14:paraId="4C1611A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Stathopoulou et al (2017)</w:t>
            </w:r>
          </w:p>
        </w:tc>
        <w:tc>
          <w:tcPr>
            <w:tcW w:w="2230" w:type="dxa"/>
            <w:shd w:val="clear" w:color="auto" w:fill="auto"/>
            <w:hideMark/>
          </w:tcPr>
          <w:p w14:paraId="05B09FB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Tv ad in social media; survey</w:t>
            </w:r>
          </w:p>
        </w:tc>
        <w:tc>
          <w:tcPr>
            <w:tcW w:w="2835" w:type="dxa"/>
            <w:shd w:val="clear" w:color="auto" w:fill="auto"/>
            <w:hideMark/>
          </w:tcPr>
          <w:p w14:paraId="63EB299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Advertisement creativity (Novelty, resolution, and elaboration), brand familiarity</w:t>
            </w:r>
          </w:p>
        </w:tc>
        <w:tc>
          <w:tcPr>
            <w:tcW w:w="8079" w:type="dxa"/>
            <w:shd w:val="clear" w:color="auto" w:fill="auto"/>
            <w:hideMark/>
          </w:tcPr>
          <w:p w14:paraId="4FA722A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Customer branded hashtag engagement is influenced by novelty and resolution and moderated by brand familiarity. This Hashtag engagement initiate further share of the ad.</w:t>
            </w:r>
          </w:p>
        </w:tc>
      </w:tr>
      <w:tr w:rsidR="00145256" w:rsidRPr="00530906" w14:paraId="295642BF" w14:textId="77777777" w:rsidTr="00C54108">
        <w:trPr>
          <w:trHeight w:val="699"/>
        </w:trPr>
        <w:tc>
          <w:tcPr>
            <w:tcW w:w="1593" w:type="dxa"/>
            <w:shd w:val="clear" w:color="auto" w:fill="auto"/>
            <w:hideMark/>
          </w:tcPr>
          <w:p w14:paraId="3F87FCB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Demmers et al (2018)</w:t>
            </w:r>
          </w:p>
        </w:tc>
        <w:tc>
          <w:tcPr>
            <w:tcW w:w="2230" w:type="dxa"/>
            <w:shd w:val="clear" w:color="auto" w:fill="auto"/>
            <w:hideMark/>
          </w:tcPr>
          <w:p w14:paraId="5EF7D4D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Customer service intervention in social media; experiment </w:t>
            </w:r>
          </w:p>
        </w:tc>
        <w:tc>
          <w:tcPr>
            <w:tcW w:w="2835" w:type="dxa"/>
            <w:shd w:val="clear" w:color="auto" w:fill="auto"/>
            <w:hideMark/>
          </w:tcPr>
          <w:p w14:paraId="64AC674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 Privacy violation feeling, satisfaction feeling, addressee, consumer response, perceived usefulness</w:t>
            </w:r>
          </w:p>
        </w:tc>
        <w:tc>
          <w:tcPr>
            <w:tcW w:w="8079" w:type="dxa"/>
            <w:shd w:val="clear" w:color="auto" w:fill="auto"/>
            <w:hideMark/>
          </w:tcPr>
          <w:p w14:paraId="4503440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When the firm is not the addressee of the customer message, means they simply mentioned about the firm rather than sending the message to them, a customer service intervention by the firm may evoke the feeling of privacy violation and subsequent dissatisfaction. But if the intervention is perceived as useful it may evoke the feelings of satisfaction and subsequent purchase intention. Positive message intervention, satisfaction will be higher. Repurchase intention will depend on these feelings.</w:t>
            </w:r>
          </w:p>
        </w:tc>
      </w:tr>
      <w:tr w:rsidR="00145256" w:rsidRPr="00530906" w14:paraId="492D3382" w14:textId="77777777" w:rsidTr="00C54108">
        <w:trPr>
          <w:trHeight w:val="1200"/>
        </w:trPr>
        <w:tc>
          <w:tcPr>
            <w:tcW w:w="1593" w:type="dxa"/>
            <w:shd w:val="clear" w:color="auto" w:fill="auto"/>
            <w:hideMark/>
          </w:tcPr>
          <w:p w14:paraId="6D4B70A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Dindar and Yaman (2018)</w:t>
            </w:r>
          </w:p>
        </w:tc>
        <w:tc>
          <w:tcPr>
            <w:tcW w:w="2230" w:type="dxa"/>
            <w:shd w:val="clear" w:color="auto" w:fill="auto"/>
            <w:hideMark/>
          </w:tcPr>
          <w:p w14:paraId="022E8E2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(twitter); data mining</w:t>
            </w:r>
          </w:p>
        </w:tc>
        <w:tc>
          <w:tcPr>
            <w:tcW w:w="2835" w:type="dxa"/>
            <w:shd w:val="clear" w:color="auto" w:fill="auto"/>
            <w:hideMark/>
          </w:tcPr>
          <w:p w14:paraId="4F0FC72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Process gratification (pass time, escape, self–expression etc), social, technology, and content gratification (sharing ideas, information)</w:t>
            </w:r>
          </w:p>
        </w:tc>
        <w:tc>
          <w:tcPr>
            <w:tcW w:w="8079" w:type="dxa"/>
            <w:shd w:val="clear" w:color="auto" w:fill="auto"/>
            <w:hideMark/>
          </w:tcPr>
          <w:p w14:paraId="2B5724D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Twitter engagement</w:t>
            </w:r>
          </w:p>
        </w:tc>
      </w:tr>
      <w:tr w:rsidR="00145256" w:rsidRPr="00530906" w14:paraId="30CF1C1C" w14:textId="77777777" w:rsidTr="00C54108">
        <w:trPr>
          <w:trHeight w:val="600"/>
        </w:trPr>
        <w:tc>
          <w:tcPr>
            <w:tcW w:w="1593" w:type="dxa"/>
            <w:shd w:val="clear" w:color="auto" w:fill="auto"/>
            <w:hideMark/>
          </w:tcPr>
          <w:p w14:paraId="661DCF2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Karahanna et al (2018)</w:t>
            </w:r>
          </w:p>
        </w:tc>
        <w:tc>
          <w:tcPr>
            <w:tcW w:w="2230" w:type="dxa"/>
            <w:shd w:val="clear" w:color="auto" w:fill="auto"/>
            <w:hideMark/>
          </w:tcPr>
          <w:p w14:paraId="20A1E01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conceptual paper</w:t>
            </w:r>
          </w:p>
        </w:tc>
        <w:tc>
          <w:tcPr>
            <w:tcW w:w="2835" w:type="dxa"/>
            <w:shd w:val="clear" w:color="auto" w:fill="auto"/>
            <w:hideMark/>
          </w:tcPr>
          <w:p w14:paraId="7D1EBE0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Need for autonomy, competence, self–identity, relatedness, having a place</w:t>
            </w:r>
          </w:p>
        </w:tc>
        <w:tc>
          <w:tcPr>
            <w:tcW w:w="8079" w:type="dxa"/>
            <w:shd w:val="clear" w:color="auto" w:fill="auto"/>
            <w:hideMark/>
          </w:tcPr>
          <w:p w14:paraId="1F6CED0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media engagement</w:t>
            </w:r>
          </w:p>
        </w:tc>
      </w:tr>
      <w:tr w:rsidR="00145256" w:rsidRPr="00530906" w14:paraId="782A7F34" w14:textId="77777777" w:rsidTr="00C54108">
        <w:trPr>
          <w:trHeight w:val="1500"/>
        </w:trPr>
        <w:tc>
          <w:tcPr>
            <w:tcW w:w="1593" w:type="dxa"/>
            <w:shd w:val="clear" w:color="auto" w:fill="auto"/>
            <w:hideMark/>
          </w:tcPr>
          <w:p w14:paraId="147638D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Munzel et al (2018)</w:t>
            </w:r>
          </w:p>
        </w:tc>
        <w:tc>
          <w:tcPr>
            <w:tcW w:w="2230" w:type="dxa"/>
            <w:shd w:val="clear" w:color="auto" w:fill="auto"/>
            <w:hideMark/>
          </w:tcPr>
          <w:p w14:paraId="166F3B5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survey</w:t>
            </w:r>
          </w:p>
        </w:tc>
        <w:tc>
          <w:tcPr>
            <w:tcW w:w="2835" w:type="dxa"/>
            <w:shd w:val="clear" w:color="auto" w:fill="auto"/>
            <w:hideMark/>
          </w:tcPr>
          <w:p w14:paraId="44444B0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Size of the network, intimacy of social network, social capital (bridging: engaging with acquaintances and bonding: engaging with close contacts)</w:t>
            </w:r>
          </w:p>
        </w:tc>
        <w:tc>
          <w:tcPr>
            <w:tcW w:w="8079" w:type="dxa"/>
            <w:shd w:val="clear" w:color="auto" w:fill="auto"/>
            <w:hideMark/>
          </w:tcPr>
          <w:p w14:paraId="0AFF1DE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Users' wellbeing and happiness is influenced by the intimacy and size of social network and mediated by social capital. Bridging have more mediating impact than bonding. </w:t>
            </w:r>
          </w:p>
        </w:tc>
      </w:tr>
      <w:tr w:rsidR="00145256" w:rsidRPr="00530906" w14:paraId="00389DF7" w14:textId="77777777" w:rsidTr="00C54108">
        <w:trPr>
          <w:trHeight w:val="2385"/>
        </w:trPr>
        <w:tc>
          <w:tcPr>
            <w:tcW w:w="1593" w:type="dxa"/>
            <w:shd w:val="clear" w:color="auto" w:fill="auto"/>
            <w:hideMark/>
          </w:tcPr>
          <w:p w14:paraId="115EE3C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Nikolinakou and King (2018)</w:t>
            </w:r>
          </w:p>
        </w:tc>
        <w:tc>
          <w:tcPr>
            <w:tcW w:w="2230" w:type="dxa"/>
            <w:shd w:val="clear" w:color="auto" w:fill="auto"/>
            <w:hideMark/>
          </w:tcPr>
          <w:p w14:paraId="0054325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Viral video ad on social media;</w:t>
            </w:r>
          </w:p>
        </w:tc>
        <w:tc>
          <w:tcPr>
            <w:tcW w:w="2835" w:type="dxa"/>
            <w:shd w:val="clear" w:color="auto" w:fill="auto"/>
            <w:hideMark/>
          </w:tcPr>
          <w:p w14:paraId="391B00A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Positive emotion (awe and affection), brand attitude, product involvement </w:t>
            </w:r>
          </w:p>
        </w:tc>
        <w:tc>
          <w:tcPr>
            <w:tcW w:w="8079" w:type="dxa"/>
            <w:shd w:val="clear" w:color="auto" w:fill="auto"/>
            <w:hideMark/>
          </w:tcPr>
          <w:p w14:paraId="5BF5CFF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Positive emotion like – inspire users to share the ad as a means of expressing their emotional connection and generosity. However, when it comes to recommending a brand or providing brand information, brand attitude and product involvement is more influential than positive emotions.</w:t>
            </w:r>
          </w:p>
        </w:tc>
      </w:tr>
      <w:tr w:rsidR="00145256" w:rsidRPr="00530906" w14:paraId="55B03933" w14:textId="77777777" w:rsidTr="00C54108">
        <w:trPr>
          <w:trHeight w:val="1200"/>
        </w:trPr>
        <w:tc>
          <w:tcPr>
            <w:tcW w:w="1593" w:type="dxa"/>
            <w:shd w:val="clear" w:color="auto" w:fill="auto"/>
            <w:hideMark/>
          </w:tcPr>
          <w:p w14:paraId="1710AEA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Tang et al (2018)</w:t>
            </w:r>
          </w:p>
        </w:tc>
        <w:tc>
          <w:tcPr>
            <w:tcW w:w="2230" w:type="dxa"/>
            <w:shd w:val="clear" w:color="auto" w:fill="auto"/>
            <w:hideMark/>
          </w:tcPr>
          <w:p w14:paraId="7609E130"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Brand fan page on social media, survey</w:t>
            </w:r>
          </w:p>
        </w:tc>
        <w:tc>
          <w:tcPr>
            <w:tcW w:w="2835" w:type="dxa"/>
            <w:shd w:val="clear" w:color="auto" w:fill="auto"/>
            <w:hideMark/>
          </w:tcPr>
          <w:p w14:paraId="7410DB70"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Person–brand fit, need–supplies fit, value–based group fit (whether the user's value is similar to other users' value), personality–based group fit.</w:t>
            </w:r>
          </w:p>
        </w:tc>
        <w:tc>
          <w:tcPr>
            <w:tcW w:w="8079" w:type="dxa"/>
            <w:shd w:val="clear" w:color="auto" w:fill="auto"/>
            <w:hideMark/>
          </w:tcPr>
          <w:p w14:paraId="45BF446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Followers continue following if their needs are fulfilled, characteristics and match with the brand. Personality based group fit was not significant.</w:t>
            </w:r>
          </w:p>
        </w:tc>
      </w:tr>
      <w:tr w:rsidR="00145256" w:rsidRPr="00530906" w14:paraId="13B2F843" w14:textId="77777777" w:rsidTr="00C54108">
        <w:trPr>
          <w:trHeight w:val="1890"/>
        </w:trPr>
        <w:tc>
          <w:tcPr>
            <w:tcW w:w="1593" w:type="dxa"/>
            <w:shd w:val="clear" w:color="auto" w:fill="auto"/>
            <w:hideMark/>
          </w:tcPr>
          <w:p w14:paraId="648F3730"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Voorveld et al (2018)</w:t>
            </w:r>
          </w:p>
        </w:tc>
        <w:tc>
          <w:tcPr>
            <w:tcW w:w="2230" w:type="dxa"/>
            <w:shd w:val="clear" w:color="auto" w:fill="auto"/>
            <w:hideMark/>
          </w:tcPr>
          <w:p w14:paraId="6545083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Brands ad in social media, survey</w:t>
            </w:r>
          </w:p>
        </w:tc>
        <w:tc>
          <w:tcPr>
            <w:tcW w:w="2835" w:type="dxa"/>
            <w:shd w:val="clear" w:color="auto" w:fill="auto"/>
            <w:hideMark/>
          </w:tcPr>
          <w:p w14:paraId="2459601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Social media engagement, social media advertisement engagement, social media platform experience </w:t>
            </w:r>
          </w:p>
        </w:tc>
        <w:tc>
          <w:tcPr>
            <w:tcW w:w="8079" w:type="dxa"/>
            <w:shd w:val="clear" w:color="auto" w:fill="auto"/>
            <w:hideMark/>
          </w:tcPr>
          <w:p w14:paraId="13C8A6C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media engagement is positively related with ad engagement and subsequent ad evaluation, but these relationships differ depending on experience gained from different social media platform.</w:t>
            </w:r>
          </w:p>
        </w:tc>
      </w:tr>
      <w:tr w:rsidR="00145256" w:rsidRPr="00530906" w14:paraId="1CE0D5C5" w14:textId="77777777" w:rsidTr="00C54108">
        <w:trPr>
          <w:trHeight w:val="1890"/>
        </w:trPr>
        <w:tc>
          <w:tcPr>
            <w:tcW w:w="1593" w:type="dxa"/>
            <w:shd w:val="clear" w:color="auto" w:fill="auto"/>
          </w:tcPr>
          <w:p w14:paraId="53EADF4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Yoon et al (2018)</w:t>
            </w:r>
          </w:p>
        </w:tc>
        <w:tc>
          <w:tcPr>
            <w:tcW w:w="2230" w:type="dxa"/>
            <w:shd w:val="clear" w:color="auto" w:fill="auto"/>
          </w:tcPr>
          <w:p w14:paraId="7483B44D"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Companies' Social media page, data mining</w:t>
            </w:r>
          </w:p>
        </w:tc>
        <w:tc>
          <w:tcPr>
            <w:tcW w:w="2835" w:type="dxa"/>
            <w:shd w:val="clear" w:color="auto" w:fill="auto"/>
          </w:tcPr>
          <w:p w14:paraId="7BA8D93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 xml:space="preserve">Number, valence, length, authenticity of the comment </w:t>
            </w:r>
          </w:p>
        </w:tc>
        <w:tc>
          <w:tcPr>
            <w:tcW w:w="8079" w:type="dxa"/>
            <w:shd w:val="clear" w:color="auto" w:fill="auto"/>
          </w:tcPr>
          <w:p w14:paraId="17A12A4F" w14:textId="1B2A02B5"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 xml:space="preserve">Positive engagement and high number of </w:t>
            </w:r>
            <w:r w:rsidR="008A6EB3" w:rsidRPr="00530906">
              <w:rPr>
                <w:rFonts w:ascii="Cambria" w:eastAsia="Times New Roman" w:hAnsi="Cambria" w:cs="Calibri"/>
                <w:color w:val="000000"/>
                <w:sz w:val="24"/>
                <w:szCs w:val="24"/>
                <w:lang w:eastAsia="en-GB"/>
              </w:rPr>
              <w:t>comments</w:t>
            </w:r>
            <w:r w:rsidRPr="00530906">
              <w:rPr>
                <w:rFonts w:ascii="Cambria" w:eastAsia="Times New Roman" w:hAnsi="Cambria" w:cs="Calibri"/>
                <w:color w:val="000000"/>
                <w:sz w:val="24"/>
                <w:szCs w:val="24"/>
                <w:lang w:eastAsia="en-GB"/>
              </w:rPr>
              <w:t xml:space="preserve"> increase the revenue of the firm. Authenticity and length were found to be non–significant</w:t>
            </w:r>
          </w:p>
        </w:tc>
      </w:tr>
      <w:tr w:rsidR="00145256" w:rsidRPr="00530906" w14:paraId="0467E495" w14:textId="77777777" w:rsidTr="00C54108">
        <w:trPr>
          <w:trHeight w:val="1890"/>
        </w:trPr>
        <w:tc>
          <w:tcPr>
            <w:tcW w:w="1593" w:type="dxa"/>
            <w:shd w:val="clear" w:color="auto" w:fill="auto"/>
          </w:tcPr>
          <w:p w14:paraId="78759B7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Bapna et al (2019)</w:t>
            </w:r>
          </w:p>
        </w:tc>
        <w:tc>
          <w:tcPr>
            <w:tcW w:w="2230" w:type="dxa"/>
            <w:shd w:val="clear" w:color="auto" w:fill="auto"/>
          </w:tcPr>
          <w:p w14:paraId="52DA0736"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Online brand community,</w:t>
            </w:r>
          </w:p>
        </w:tc>
        <w:tc>
          <w:tcPr>
            <w:tcW w:w="2835" w:type="dxa"/>
            <w:shd w:val="clear" w:color="auto" w:fill="auto"/>
          </w:tcPr>
          <w:p w14:paraId="11537A8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Firms post to convey credibility, professional organising, organisational achievement, seeking opinion, monetary incentive</w:t>
            </w:r>
          </w:p>
        </w:tc>
        <w:tc>
          <w:tcPr>
            <w:tcW w:w="8079" w:type="dxa"/>
            <w:shd w:val="clear" w:color="auto" w:fill="auto"/>
          </w:tcPr>
          <w:p w14:paraId="4A8FA98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 xml:space="preserve">Brand engagement is higher when firms' post convey credibility through product and industry knowledge; organisational achievement through milestones, partnership or award information; promotional offer and seek opinion </w:t>
            </w:r>
          </w:p>
        </w:tc>
      </w:tr>
      <w:tr w:rsidR="00145256" w:rsidRPr="00530906" w14:paraId="6119EE00" w14:textId="77777777" w:rsidTr="00C54108">
        <w:trPr>
          <w:trHeight w:val="1124"/>
        </w:trPr>
        <w:tc>
          <w:tcPr>
            <w:tcW w:w="1593" w:type="dxa"/>
            <w:shd w:val="clear" w:color="auto" w:fill="auto"/>
          </w:tcPr>
          <w:p w14:paraId="20B8EC9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Meire et al (2019)</w:t>
            </w:r>
          </w:p>
        </w:tc>
        <w:tc>
          <w:tcPr>
            <w:tcW w:w="2230" w:type="dxa"/>
            <w:shd w:val="clear" w:color="auto" w:fill="auto"/>
          </w:tcPr>
          <w:p w14:paraId="715A1D9F" w14:textId="77777777" w:rsidR="00145256" w:rsidRPr="00530906" w:rsidRDefault="00145256" w:rsidP="00C54108">
            <w:pPr>
              <w:spacing w:after="0" w:line="360" w:lineRule="auto"/>
              <w:jc w:val="both"/>
              <w:rPr>
                <w:rFonts w:ascii="Cambria" w:hAnsi="Cambria" w:cs="Calibri"/>
                <w:color w:val="000000"/>
                <w:sz w:val="24"/>
                <w:szCs w:val="24"/>
              </w:rPr>
            </w:pPr>
            <w:r w:rsidRPr="00530906">
              <w:rPr>
                <w:rFonts w:ascii="Cambria" w:eastAsia="Times New Roman" w:hAnsi="Cambria" w:cs="Calibri"/>
                <w:color w:val="000000"/>
                <w:sz w:val="24"/>
                <w:szCs w:val="24"/>
                <w:lang w:eastAsia="en-GB"/>
              </w:rPr>
              <w:t xml:space="preserve">Social media marketer generated content; </w:t>
            </w:r>
          </w:p>
        </w:tc>
        <w:tc>
          <w:tcPr>
            <w:tcW w:w="2835" w:type="dxa"/>
            <w:shd w:val="clear" w:color="auto" w:fill="auto"/>
          </w:tcPr>
          <w:p w14:paraId="292F4DC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MGC, event outcome</w:t>
            </w:r>
          </w:p>
        </w:tc>
        <w:tc>
          <w:tcPr>
            <w:tcW w:w="8079" w:type="dxa"/>
            <w:shd w:val="clear" w:color="auto" w:fill="auto"/>
          </w:tcPr>
          <w:p w14:paraId="16C6BBA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color w:val="000000"/>
                <w:sz w:val="24"/>
                <w:szCs w:val="24"/>
                <w:lang w:eastAsia="en-GB"/>
              </w:rPr>
              <w:t>Marketers emotional and informational content can initiate users' digital engagement and purchase behaviour</w:t>
            </w:r>
          </w:p>
        </w:tc>
      </w:tr>
      <w:tr w:rsidR="00145256" w:rsidRPr="00530906" w14:paraId="5D94E747" w14:textId="77777777" w:rsidTr="00C54108">
        <w:trPr>
          <w:trHeight w:val="3000"/>
        </w:trPr>
        <w:tc>
          <w:tcPr>
            <w:tcW w:w="1593" w:type="dxa"/>
            <w:shd w:val="clear" w:color="auto" w:fill="auto"/>
            <w:hideMark/>
          </w:tcPr>
          <w:p w14:paraId="3ACC6B4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Benson et al (2019)</w:t>
            </w:r>
          </w:p>
        </w:tc>
        <w:tc>
          <w:tcPr>
            <w:tcW w:w="2230" w:type="dxa"/>
            <w:shd w:val="clear" w:color="auto" w:fill="auto"/>
            <w:hideMark/>
          </w:tcPr>
          <w:p w14:paraId="4F3BCD7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survey</w:t>
            </w:r>
          </w:p>
        </w:tc>
        <w:tc>
          <w:tcPr>
            <w:tcW w:w="2835" w:type="dxa"/>
            <w:shd w:val="clear" w:color="auto" w:fill="auto"/>
            <w:hideMark/>
          </w:tcPr>
          <w:p w14:paraId="44455BA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Perceived control over personal information, users’ trust on the vendor, willingness to take risk, trusting tendency of the user and technical efficiency, </w:t>
            </w:r>
          </w:p>
        </w:tc>
        <w:tc>
          <w:tcPr>
            <w:tcW w:w="8079" w:type="dxa"/>
            <w:shd w:val="clear" w:color="auto" w:fill="auto"/>
            <w:hideMark/>
          </w:tcPr>
          <w:p w14:paraId="33DA6D0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Social media engagement in the form of purchase intention increases, when social media uses are assured that they have control over their information, trust the vendor as well as the user have greater risk propensity and trustworthiness. Technical efficiency was not found significant. these relationships are moderated by age and gender</w:t>
            </w:r>
          </w:p>
        </w:tc>
      </w:tr>
      <w:tr w:rsidR="00145256" w:rsidRPr="00530906" w14:paraId="26044EA9" w14:textId="77777777" w:rsidTr="00C54108">
        <w:trPr>
          <w:trHeight w:val="1266"/>
        </w:trPr>
        <w:tc>
          <w:tcPr>
            <w:tcW w:w="1593" w:type="dxa"/>
            <w:shd w:val="clear" w:color="auto" w:fill="auto"/>
            <w:hideMark/>
          </w:tcPr>
          <w:p w14:paraId="34796ACE"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Hughes et al (2019)</w:t>
            </w:r>
          </w:p>
        </w:tc>
        <w:tc>
          <w:tcPr>
            <w:tcW w:w="2230" w:type="dxa"/>
            <w:shd w:val="clear" w:color="auto" w:fill="auto"/>
            <w:hideMark/>
          </w:tcPr>
          <w:p w14:paraId="31033CC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Advertisement on facebook and blog; experiment and real in–market customer response data</w:t>
            </w:r>
          </w:p>
        </w:tc>
        <w:tc>
          <w:tcPr>
            <w:tcW w:w="2835" w:type="dxa"/>
            <w:shd w:val="clear" w:color="auto" w:fill="auto"/>
            <w:hideMark/>
          </w:tcPr>
          <w:p w14:paraId="643F4CE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Bloggers' expertise, campaign incentive, type of campaign (awareness/ information and trial/ purchase), hedonic value of the post </w:t>
            </w:r>
          </w:p>
        </w:tc>
        <w:tc>
          <w:tcPr>
            <w:tcW w:w="8079" w:type="dxa"/>
            <w:shd w:val="clear" w:color="auto" w:fill="auto"/>
            <w:hideMark/>
          </w:tcPr>
          <w:p w14:paraId="6B75ECA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Blogger expertise generates more engagement when the post is about awareness, but no effect when the post in on Facebook. hedonic post is more effective on Facebook when the ad intent is to increase trial. Incentives have positive impact on blogs and negative impact on Facebook.</w:t>
            </w:r>
          </w:p>
        </w:tc>
      </w:tr>
      <w:tr w:rsidR="00145256" w:rsidRPr="00530906" w14:paraId="7DE2C590" w14:textId="77777777" w:rsidTr="00C54108">
        <w:trPr>
          <w:trHeight w:val="1800"/>
        </w:trPr>
        <w:tc>
          <w:tcPr>
            <w:tcW w:w="1593" w:type="dxa"/>
            <w:shd w:val="clear" w:color="auto" w:fill="auto"/>
            <w:hideMark/>
          </w:tcPr>
          <w:p w14:paraId="0E4A5F4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Ki et al (2019)</w:t>
            </w:r>
          </w:p>
        </w:tc>
        <w:tc>
          <w:tcPr>
            <w:tcW w:w="2230" w:type="dxa"/>
            <w:shd w:val="clear" w:color="auto" w:fill="auto"/>
            <w:hideMark/>
          </w:tcPr>
          <w:p w14:paraId="5635A48B"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influencers, Survey</w:t>
            </w:r>
          </w:p>
        </w:tc>
        <w:tc>
          <w:tcPr>
            <w:tcW w:w="2835" w:type="dxa"/>
            <w:shd w:val="clear" w:color="auto" w:fill="auto"/>
            <w:hideMark/>
          </w:tcPr>
          <w:p w14:paraId="62F6577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Influencers' characteristics (attractiveness, prestige, expertise, information, interaction), targets' attitude (taste leadership, opinion leadership, desire to mimic).</w:t>
            </w:r>
          </w:p>
        </w:tc>
        <w:tc>
          <w:tcPr>
            <w:tcW w:w="8079" w:type="dxa"/>
            <w:shd w:val="clear" w:color="auto" w:fill="auto"/>
            <w:hideMark/>
          </w:tcPr>
          <w:p w14:paraId="1F864A7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Consumers' engagement and purchase intention is the result of influencers' characteristics and attempt, which is mediated by targets' attitudinal effect and desire to compliance.</w:t>
            </w:r>
          </w:p>
        </w:tc>
      </w:tr>
      <w:tr w:rsidR="00145256" w:rsidRPr="00530906" w14:paraId="0BBFAF14" w14:textId="77777777" w:rsidTr="00C54108">
        <w:trPr>
          <w:trHeight w:val="2400"/>
        </w:trPr>
        <w:tc>
          <w:tcPr>
            <w:tcW w:w="1593" w:type="dxa"/>
            <w:shd w:val="clear" w:color="auto" w:fill="auto"/>
            <w:hideMark/>
          </w:tcPr>
          <w:p w14:paraId="7FC2107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Kiani and Laroche (2019)</w:t>
            </w:r>
          </w:p>
        </w:tc>
        <w:tc>
          <w:tcPr>
            <w:tcW w:w="2230" w:type="dxa"/>
            <w:shd w:val="clear" w:color="auto" w:fill="auto"/>
            <w:hideMark/>
          </w:tcPr>
          <w:p w14:paraId="52FE4F1D"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Market maven (expert) in social media; </w:t>
            </w:r>
          </w:p>
        </w:tc>
        <w:tc>
          <w:tcPr>
            <w:tcW w:w="2835" w:type="dxa"/>
            <w:shd w:val="clear" w:color="auto" w:fill="auto"/>
            <w:hideMark/>
          </w:tcPr>
          <w:p w14:paraId="012DFA0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Media platform, self–esteem and susceptibility of normative influence of the maven, </w:t>
            </w:r>
          </w:p>
        </w:tc>
        <w:tc>
          <w:tcPr>
            <w:tcW w:w="8079" w:type="dxa"/>
            <w:shd w:val="clear" w:color="auto" w:fill="auto"/>
            <w:hideMark/>
          </w:tcPr>
          <w:p w14:paraId="5BDEC1D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Market mavens engage more frequently than non–market mavens. But this difference is due to market mavens' susceptibility to normative interpersonal relationship and self–esteem. Plus, if they have lower self–esteem they will prefer online platform than face–to–face media.</w:t>
            </w:r>
          </w:p>
        </w:tc>
      </w:tr>
      <w:tr w:rsidR="00145256" w:rsidRPr="00530906" w14:paraId="0F83C484" w14:textId="77777777" w:rsidTr="00C54108">
        <w:trPr>
          <w:trHeight w:val="1800"/>
        </w:trPr>
        <w:tc>
          <w:tcPr>
            <w:tcW w:w="1593" w:type="dxa"/>
            <w:shd w:val="clear" w:color="auto" w:fill="auto"/>
            <w:hideMark/>
          </w:tcPr>
          <w:p w14:paraId="53AC39E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Kim and Dennis (2019)</w:t>
            </w:r>
          </w:p>
        </w:tc>
        <w:tc>
          <w:tcPr>
            <w:tcW w:w="2230" w:type="dxa"/>
            <w:shd w:val="clear" w:color="auto" w:fill="auto"/>
            <w:hideMark/>
          </w:tcPr>
          <w:p w14:paraId="1136302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Articles in social media; experiment</w:t>
            </w:r>
          </w:p>
        </w:tc>
        <w:tc>
          <w:tcPr>
            <w:tcW w:w="2835" w:type="dxa"/>
            <w:shd w:val="clear" w:color="auto" w:fill="auto"/>
            <w:hideMark/>
          </w:tcPr>
          <w:p w14:paraId="66E13A5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Confirmation bias (previous belief), source–primacy format, source rating </w:t>
            </w:r>
          </w:p>
        </w:tc>
        <w:tc>
          <w:tcPr>
            <w:tcW w:w="8079" w:type="dxa"/>
            <w:shd w:val="clear" w:color="auto" w:fill="auto"/>
            <w:hideMark/>
          </w:tcPr>
          <w:p w14:paraId="6987884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User believes the articles and endorse the source with high rating, which fits with their previous beliefs and focuses on headline rather than the source. Users belief will in turn influence them to engage with the article.</w:t>
            </w:r>
          </w:p>
        </w:tc>
      </w:tr>
      <w:tr w:rsidR="00145256" w:rsidRPr="00530906" w14:paraId="4CACBF13" w14:textId="77777777" w:rsidTr="00C54108">
        <w:trPr>
          <w:trHeight w:val="699"/>
        </w:trPr>
        <w:tc>
          <w:tcPr>
            <w:tcW w:w="1593" w:type="dxa"/>
            <w:shd w:val="clear" w:color="auto" w:fill="auto"/>
            <w:hideMark/>
          </w:tcPr>
          <w:p w14:paraId="4D16C2A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Kim et al (2019)</w:t>
            </w:r>
          </w:p>
        </w:tc>
        <w:tc>
          <w:tcPr>
            <w:tcW w:w="2230" w:type="dxa"/>
            <w:shd w:val="clear" w:color="auto" w:fill="auto"/>
            <w:hideMark/>
          </w:tcPr>
          <w:p w14:paraId="7D379F6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Articles in social media; experiment</w:t>
            </w:r>
          </w:p>
        </w:tc>
        <w:tc>
          <w:tcPr>
            <w:tcW w:w="2835" w:type="dxa"/>
            <w:shd w:val="clear" w:color="auto" w:fill="auto"/>
            <w:hideMark/>
          </w:tcPr>
          <w:p w14:paraId="59EACE2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Confirmation bias (previous belief), source reputation, source rating by the users  </w:t>
            </w:r>
          </w:p>
        </w:tc>
        <w:tc>
          <w:tcPr>
            <w:tcW w:w="8079" w:type="dxa"/>
            <w:shd w:val="clear" w:color="auto" w:fill="auto"/>
            <w:hideMark/>
          </w:tcPr>
          <w:p w14:paraId="1FF31D0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Lower reputation has greater effect on belief of the article than the higher rating. Users believe the article more when other users rate the source, rather than the experts or the other users rate the article itself. They believe the article more easily which confirms their previous belief. High belief on the articles lead to higher  </w:t>
            </w:r>
          </w:p>
        </w:tc>
      </w:tr>
      <w:tr w:rsidR="00145256" w:rsidRPr="00530906" w14:paraId="5A6713E0" w14:textId="77777777" w:rsidTr="00C54108">
        <w:trPr>
          <w:trHeight w:val="699"/>
        </w:trPr>
        <w:tc>
          <w:tcPr>
            <w:tcW w:w="1593" w:type="dxa"/>
            <w:shd w:val="clear" w:color="auto" w:fill="auto"/>
            <w:hideMark/>
          </w:tcPr>
          <w:p w14:paraId="1A2B2494"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Kristen et al (2019)</w:t>
            </w:r>
          </w:p>
        </w:tc>
        <w:tc>
          <w:tcPr>
            <w:tcW w:w="2230" w:type="dxa"/>
            <w:shd w:val="clear" w:color="auto" w:fill="auto"/>
            <w:hideMark/>
          </w:tcPr>
          <w:p w14:paraId="04271218"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Social media; content analysis and SEM</w:t>
            </w:r>
          </w:p>
        </w:tc>
        <w:tc>
          <w:tcPr>
            <w:tcW w:w="2835" w:type="dxa"/>
            <w:shd w:val="clear" w:color="auto" w:fill="auto"/>
            <w:hideMark/>
          </w:tcPr>
          <w:p w14:paraId="69EDCB6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Motivation (Hedonic– feelings and utilitarian (functionality), focus of the user (safety or sharing knowledge)</w:t>
            </w:r>
          </w:p>
        </w:tc>
        <w:tc>
          <w:tcPr>
            <w:tcW w:w="8079" w:type="dxa"/>
            <w:shd w:val="clear" w:color="auto" w:fill="auto"/>
            <w:hideMark/>
          </w:tcPr>
          <w:p w14:paraId="62A1207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Hedonic motivation like–emotional and belongingness aspects of social media engagement are influential for those who wants to share knowledge. On the other hand, utilitarian factor influence engagement for those who are focused on innovativeness and safely.</w:t>
            </w:r>
          </w:p>
        </w:tc>
      </w:tr>
      <w:tr w:rsidR="00145256" w:rsidRPr="00530906" w14:paraId="51BAE894" w14:textId="77777777" w:rsidTr="00C54108">
        <w:trPr>
          <w:trHeight w:val="1800"/>
        </w:trPr>
        <w:tc>
          <w:tcPr>
            <w:tcW w:w="1593" w:type="dxa"/>
            <w:shd w:val="clear" w:color="auto" w:fill="auto"/>
            <w:hideMark/>
          </w:tcPr>
          <w:p w14:paraId="3F725D6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Lin et al (2019)</w:t>
            </w:r>
          </w:p>
        </w:tc>
        <w:tc>
          <w:tcPr>
            <w:tcW w:w="2230" w:type="dxa"/>
            <w:shd w:val="clear" w:color="auto" w:fill="auto"/>
            <w:hideMark/>
          </w:tcPr>
          <w:p w14:paraId="2175266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Social media; Experiment </w:t>
            </w:r>
          </w:p>
        </w:tc>
        <w:tc>
          <w:tcPr>
            <w:tcW w:w="2835" w:type="dxa"/>
            <w:shd w:val="clear" w:color="auto" w:fill="auto"/>
            <w:hideMark/>
          </w:tcPr>
          <w:p w14:paraId="264E56C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Technology feature (interactivity, social presence), social capital (commitment, social ties), privacy risk, attitude toward sharing information, subjective norm, outcome expectation</w:t>
            </w:r>
          </w:p>
        </w:tc>
        <w:tc>
          <w:tcPr>
            <w:tcW w:w="8079" w:type="dxa"/>
            <w:shd w:val="clear" w:color="auto" w:fill="auto"/>
            <w:hideMark/>
          </w:tcPr>
          <w:p w14:paraId="26637CE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Technology features, social capital factors and outcome expectation influence the information sharing behaviour directly and indirectly through attitude toward information sharing.</w:t>
            </w:r>
          </w:p>
        </w:tc>
      </w:tr>
      <w:tr w:rsidR="00145256" w:rsidRPr="00530906" w14:paraId="594F0450" w14:textId="77777777" w:rsidTr="00C54108">
        <w:trPr>
          <w:trHeight w:val="900"/>
        </w:trPr>
        <w:tc>
          <w:tcPr>
            <w:tcW w:w="1593" w:type="dxa"/>
            <w:shd w:val="clear" w:color="auto" w:fill="auto"/>
            <w:hideMark/>
          </w:tcPr>
          <w:p w14:paraId="0A7966FC"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Majid et al (2019)</w:t>
            </w:r>
          </w:p>
        </w:tc>
        <w:tc>
          <w:tcPr>
            <w:tcW w:w="2230" w:type="dxa"/>
            <w:shd w:val="clear" w:color="auto" w:fill="auto"/>
            <w:hideMark/>
          </w:tcPr>
          <w:p w14:paraId="6E7096A1"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Brands' social media message; in dept interview</w:t>
            </w:r>
          </w:p>
        </w:tc>
        <w:tc>
          <w:tcPr>
            <w:tcW w:w="2835" w:type="dxa"/>
            <w:shd w:val="clear" w:color="auto" w:fill="auto"/>
            <w:hideMark/>
          </w:tcPr>
          <w:p w14:paraId="704F8A7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Interactivity, credibility, information, and entertainment </w:t>
            </w:r>
          </w:p>
        </w:tc>
        <w:tc>
          <w:tcPr>
            <w:tcW w:w="8079" w:type="dxa"/>
            <w:shd w:val="clear" w:color="auto" w:fill="auto"/>
            <w:hideMark/>
          </w:tcPr>
          <w:p w14:paraId="367FA0F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Positive or negative engagement with the marketing message is dependent on the mentioned variables.</w:t>
            </w:r>
          </w:p>
        </w:tc>
      </w:tr>
      <w:tr w:rsidR="00145256" w:rsidRPr="00530906" w14:paraId="6CE372BF" w14:textId="77777777" w:rsidTr="00C54108">
        <w:trPr>
          <w:trHeight w:val="900"/>
        </w:trPr>
        <w:tc>
          <w:tcPr>
            <w:tcW w:w="1593" w:type="dxa"/>
            <w:shd w:val="clear" w:color="auto" w:fill="auto"/>
            <w:hideMark/>
          </w:tcPr>
          <w:p w14:paraId="47655012"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Saxton et al (2019)</w:t>
            </w:r>
          </w:p>
        </w:tc>
        <w:tc>
          <w:tcPr>
            <w:tcW w:w="2230" w:type="dxa"/>
            <w:shd w:val="clear" w:color="auto" w:fill="auto"/>
            <w:hideMark/>
          </w:tcPr>
          <w:p w14:paraId="14BDA8AB" w14:textId="77777777" w:rsidR="00145256" w:rsidRPr="00530906" w:rsidRDefault="00145256" w:rsidP="00C54108">
            <w:pPr>
              <w:spacing w:line="360" w:lineRule="auto"/>
              <w:jc w:val="both"/>
              <w:rPr>
                <w:rFonts w:ascii="Cambria" w:hAnsi="Cambria" w:cs="Calibri"/>
                <w:color w:val="000000"/>
                <w:sz w:val="24"/>
                <w:szCs w:val="24"/>
              </w:rPr>
            </w:pPr>
            <w:r w:rsidRPr="00530906">
              <w:rPr>
                <w:rFonts w:ascii="Cambria" w:hAnsi="Cambria"/>
                <w:sz w:val="24"/>
                <w:szCs w:val="24"/>
              </w:rPr>
              <w:t xml:space="preserve">Corporate social responsibility (CSR) </w:t>
            </w:r>
            <w:r w:rsidRPr="00530906">
              <w:rPr>
                <w:rFonts w:ascii="Cambria" w:hAnsi="Cambria" w:cs="Calibri"/>
                <w:color w:val="000000"/>
                <w:sz w:val="24"/>
                <w:szCs w:val="24"/>
              </w:rPr>
              <w:t>message on social media; secondary data</w:t>
            </w:r>
          </w:p>
        </w:tc>
        <w:tc>
          <w:tcPr>
            <w:tcW w:w="2835" w:type="dxa"/>
            <w:shd w:val="clear" w:color="auto" w:fill="auto"/>
            <w:hideMark/>
          </w:tcPr>
          <w:p w14:paraId="4AFC71B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CSR Message appeal</w:t>
            </w:r>
          </w:p>
        </w:tc>
        <w:tc>
          <w:tcPr>
            <w:tcW w:w="8079" w:type="dxa"/>
            <w:shd w:val="clear" w:color="auto" w:fill="auto"/>
            <w:hideMark/>
          </w:tcPr>
          <w:p w14:paraId="51A2C81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Environment and education–oriented message are most influential CSR message to generate engagement.   </w:t>
            </w:r>
          </w:p>
        </w:tc>
      </w:tr>
      <w:tr w:rsidR="00145256" w:rsidRPr="00530906" w14:paraId="1F0AE65E" w14:textId="77777777" w:rsidTr="00C54108">
        <w:trPr>
          <w:trHeight w:val="1550"/>
        </w:trPr>
        <w:tc>
          <w:tcPr>
            <w:tcW w:w="1593" w:type="dxa"/>
            <w:shd w:val="clear" w:color="auto" w:fill="auto"/>
            <w:hideMark/>
          </w:tcPr>
          <w:p w14:paraId="6CB5F96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De Oliveira et al (2020)</w:t>
            </w:r>
          </w:p>
        </w:tc>
        <w:tc>
          <w:tcPr>
            <w:tcW w:w="2230" w:type="dxa"/>
            <w:shd w:val="clear" w:color="auto" w:fill="auto"/>
            <w:hideMark/>
          </w:tcPr>
          <w:p w14:paraId="1C2DD38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Customer engagement in social media (CESM) done by business; meta-analysis</w:t>
            </w:r>
          </w:p>
        </w:tc>
        <w:tc>
          <w:tcPr>
            <w:tcW w:w="2835" w:type="dxa"/>
            <w:shd w:val="clear" w:color="auto" w:fill="auto"/>
            <w:hideMark/>
          </w:tcPr>
          <w:p w14:paraId="251916F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Trust, commitment, satisfaction, positive emotion, convenience, type of firm, type of industry, product involvement, product value (experience derived from the product), type of media. </w:t>
            </w:r>
          </w:p>
        </w:tc>
        <w:tc>
          <w:tcPr>
            <w:tcW w:w="8079" w:type="dxa"/>
            <w:shd w:val="clear" w:color="auto" w:fill="auto"/>
            <w:hideMark/>
          </w:tcPr>
          <w:p w14:paraId="4E940183"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 xml:space="preserve">Customer engagement is influenced by trust and commitment through satisfaction. Though commitment did not affect emotion, but emotion affected CESM. This CESM leads to behavioural intention, further engagement with other users and firm's performance. The result of previous study of CESM is dependent on the sample size and publication type. </w:t>
            </w:r>
          </w:p>
        </w:tc>
      </w:tr>
      <w:tr w:rsidR="00145256" w:rsidRPr="00530906" w14:paraId="368F9E9C" w14:textId="77777777" w:rsidTr="00C54108">
        <w:trPr>
          <w:trHeight w:val="1692"/>
        </w:trPr>
        <w:tc>
          <w:tcPr>
            <w:tcW w:w="1593" w:type="dxa"/>
            <w:shd w:val="clear" w:color="auto" w:fill="auto"/>
            <w:hideMark/>
          </w:tcPr>
          <w:p w14:paraId="00346D95"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Demmers et al (2020)</w:t>
            </w:r>
          </w:p>
        </w:tc>
        <w:tc>
          <w:tcPr>
            <w:tcW w:w="2230" w:type="dxa"/>
            <w:shd w:val="clear" w:color="auto" w:fill="auto"/>
            <w:hideMark/>
          </w:tcPr>
          <w:p w14:paraId="765CA0E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Brand generated content on social media; multilevel approach</w:t>
            </w:r>
          </w:p>
        </w:tc>
        <w:tc>
          <w:tcPr>
            <w:tcW w:w="2835" w:type="dxa"/>
            <w:shd w:val="clear" w:color="auto" w:fill="auto"/>
            <w:hideMark/>
          </w:tcPr>
          <w:p w14:paraId="5A95AB77"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Type of content (entertainment vs information), vividness of the environment, activation (opportunity to be engaged), stages of purchase</w:t>
            </w:r>
          </w:p>
        </w:tc>
        <w:tc>
          <w:tcPr>
            <w:tcW w:w="8079" w:type="dxa"/>
            <w:shd w:val="clear" w:color="auto" w:fill="auto"/>
            <w:hideMark/>
          </w:tcPr>
          <w:p w14:paraId="3ADFCB86"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Consumers engage more to informational content than to entertaining content in the pre–consumption stage and to entertaining content than informational content in post–consumption stage. Activation initiate engagement in both pre–consumption and post consumption stage and vividness initiate pre–consumption, consumption’ and post–consumption stages.</w:t>
            </w:r>
          </w:p>
        </w:tc>
      </w:tr>
      <w:tr w:rsidR="00145256" w:rsidRPr="00530906" w14:paraId="51B542C0" w14:textId="77777777" w:rsidTr="00C54108">
        <w:trPr>
          <w:trHeight w:val="2100"/>
        </w:trPr>
        <w:tc>
          <w:tcPr>
            <w:tcW w:w="1593" w:type="dxa"/>
            <w:shd w:val="clear" w:color="auto" w:fill="auto"/>
            <w:hideMark/>
          </w:tcPr>
          <w:p w14:paraId="3EC492B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Wang et al (2020)</w:t>
            </w:r>
          </w:p>
        </w:tc>
        <w:tc>
          <w:tcPr>
            <w:tcW w:w="2230" w:type="dxa"/>
            <w:shd w:val="clear" w:color="auto" w:fill="auto"/>
            <w:hideMark/>
          </w:tcPr>
          <w:p w14:paraId="163DAB0F"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hAnsi="Cambria" w:cs="Calibri"/>
                <w:color w:val="000000"/>
                <w:sz w:val="24"/>
                <w:szCs w:val="24"/>
              </w:rPr>
              <w:t xml:space="preserve">Social media, </w:t>
            </w:r>
          </w:p>
        </w:tc>
        <w:tc>
          <w:tcPr>
            <w:tcW w:w="2835" w:type="dxa"/>
            <w:shd w:val="clear" w:color="auto" w:fill="auto"/>
            <w:hideMark/>
          </w:tcPr>
          <w:p w14:paraId="56D82ED9"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Regret from– social overload, invasion of privacy and inertia from – social media habit, sunk cost and affective commitment</w:t>
            </w:r>
          </w:p>
        </w:tc>
        <w:tc>
          <w:tcPr>
            <w:tcW w:w="8079" w:type="dxa"/>
            <w:shd w:val="clear" w:color="auto" w:fill="auto"/>
            <w:hideMark/>
          </w:tcPr>
          <w:p w14:paraId="3E8A10DA" w14:textId="77777777" w:rsidR="00145256" w:rsidRPr="00530906" w:rsidRDefault="00145256" w:rsidP="00C54108">
            <w:pPr>
              <w:spacing w:after="0" w:line="360" w:lineRule="auto"/>
              <w:jc w:val="both"/>
              <w:rPr>
                <w:rFonts w:ascii="Cambria" w:eastAsia="Times New Roman" w:hAnsi="Cambria" w:cs="Calibri"/>
                <w:sz w:val="24"/>
                <w:szCs w:val="24"/>
                <w:lang w:eastAsia="en-GB"/>
              </w:rPr>
            </w:pPr>
            <w:r w:rsidRPr="00530906">
              <w:rPr>
                <w:rFonts w:ascii="Cambria" w:eastAsia="Times New Roman" w:hAnsi="Cambria" w:cs="Calibri"/>
                <w:sz w:val="24"/>
                <w:szCs w:val="24"/>
                <w:lang w:eastAsia="en-GB"/>
              </w:rPr>
              <w:t>Intention to discontinue on social media increase due to regret (influenced by social overload and invasion of privacy) and reduces due to level of inertia (influenced by social media habit, sunk cost and affective commitment).</w:t>
            </w:r>
          </w:p>
        </w:tc>
      </w:tr>
      <w:bookmarkEnd w:id="104"/>
    </w:tbl>
    <w:p w14:paraId="31CEAB80" w14:textId="77777777" w:rsidR="00145256" w:rsidRPr="00530906" w:rsidRDefault="00145256" w:rsidP="00145256">
      <w:pPr>
        <w:spacing w:line="259" w:lineRule="auto"/>
        <w:jc w:val="both"/>
        <w:rPr>
          <w:rFonts w:asciiTheme="majorHAnsi" w:eastAsiaTheme="majorEastAsia" w:hAnsiTheme="majorHAnsi" w:cstheme="majorBidi"/>
          <w:color w:val="2F5496" w:themeColor="accent1" w:themeShade="BF"/>
          <w:sz w:val="32"/>
          <w:szCs w:val="32"/>
        </w:rPr>
      </w:pPr>
      <w:r w:rsidRPr="00530906">
        <w:br w:type="page"/>
      </w:r>
    </w:p>
    <w:p w14:paraId="6096089E" w14:textId="377A406D" w:rsidR="00145256" w:rsidRPr="00530906" w:rsidRDefault="00145256" w:rsidP="00145256">
      <w:pPr>
        <w:pStyle w:val="Heading2"/>
        <w:jc w:val="both"/>
        <w:rPr>
          <w:rFonts w:eastAsiaTheme="minorEastAsia"/>
        </w:rPr>
      </w:pPr>
      <w:bookmarkStart w:id="105" w:name="_Toc115726278"/>
      <w:r w:rsidRPr="00530906">
        <w:rPr>
          <w:rFonts w:eastAsiaTheme="minorEastAsia"/>
        </w:rPr>
        <w:t xml:space="preserve">Appendix 1.1: </w:t>
      </w:r>
      <w:r w:rsidR="008A6EB3">
        <w:rPr>
          <w:rFonts w:eastAsiaTheme="minorEastAsia"/>
        </w:rPr>
        <w:t>C</w:t>
      </w:r>
      <w:r w:rsidRPr="00530906">
        <w:rPr>
          <w:rFonts w:eastAsiaTheme="minorEastAsia"/>
        </w:rPr>
        <w:t>lassification of Antecedent of social media engagement</w:t>
      </w:r>
      <w:bookmarkEnd w:id="105"/>
      <w:r w:rsidRPr="00530906">
        <w:rPr>
          <w:rFonts w:eastAsiaTheme="minorEastAsia"/>
        </w:rPr>
        <w:t xml:space="preserve">  </w:t>
      </w:r>
    </w:p>
    <w:tbl>
      <w:tblPr>
        <w:tblStyle w:val="TableGrid"/>
        <w:tblW w:w="0" w:type="auto"/>
        <w:tblLook w:val="04A0" w:firstRow="1" w:lastRow="0" w:firstColumn="1" w:lastColumn="0" w:noHBand="0" w:noVBand="1"/>
      </w:tblPr>
      <w:tblGrid>
        <w:gridCol w:w="526"/>
        <w:gridCol w:w="475"/>
        <w:gridCol w:w="577"/>
        <w:gridCol w:w="443"/>
        <w:gridCol w:w="546"/>
        <w:gridCol w:w="474"/>
        <w:gridCol w:w="463"/>
        <w:gridCol w:w="513"/>
        <w:gridCol w:w="671"/>
        <w:gridCol w:w="543"/>
        <w:gridCol w:w="516"/>
        <w:gridCol w:w="550"/>
        <w:gridCol w:w="412"/>
        <w:gridCol w:w="502"/>
        <w:gridCol w:w="500"/>
        <w:gridCol w:w="513"/>
        <w:gridCol w:w="501"/>
        <w:gridCol w:w="400"/>
        <w:gridCol w:w="447"/>
        <w:gridCol w:w="552"/>
        <w:gridCol w:w="502"/>
        <w:gridCol w:w="517"/>
        <w:gridCol w:w="726"/>
        <w:gridCol w:w="487"/>
        <w:gridCol w:w="522"/>
        <w:gridCol w:w="549"/>
        <w:gridCol w:w="521"/>
      </w:tblGrid>
      <w:tr w:rsidR="00145256" w:rsidRPr="00530906" w14:paraId="653DBA4C" w14:textId="77777777" w:rsidTr="00C34468">
        <w:trPr>
          <w:trHeight w:val="720"/>
        </w:trPr>
        <w:tc>
          <w:tcPr>
            <w:tcW w:w="528" w:type="dxa"/>
            <w:hideMark/>
          </w:tcPr>
          <w:p w14:paraId="76D57B4C" w14:textId="77777777" w:rsidR="00145256" w:rsidRPr="00530906" w:rsidRDefault="00145256" w:rsidP="00C54108">
            <w:pPr>
              <w:spacing w:line="259" w:lineRule="auto"/>
              <w:jc w:val="both"/>
              <w:rPr>
                <w:sz w:val="12"/>
                <w:szCs w:val="12"/>
              </w:rPr>
            </w:pPr>
            <w:r w:rsidRPr="00530906">
              <w:rPr>
                <w:sz w:val="12"/>
                <w:szCs w:val="12"/>
              </w:rPr>
              <w:t> </w:t>
            </w:r>
          </w:p>
        </w:tc>
        <w:tc>
          <w:tcPr>
            <w:tcW w:w="2517" w:type="dxa"/>
            <w:gridSpan w:val="5"/>
            <w:hideMark/>
          </w:tcPr>
          <w:p w14:paraId="76E81402" w14:textId="77777777" w:rsidR="00145256" w:rsidRPr="00530906" w:rsidRDefault="00145256" w:rsidP="00C54108">
            <w:pPr>
              <w:spacing w:line="259" w:lineRule="auto"/>
              <w:jc w:val="both"/>
              <w:rPr>
                <w:sz w:val="12"/>
                <w:szCs w:val="12"/>
              </w:rPr>
            </w:pPr>
            <w:r w:rsidRPr="00530906">
              <w:rPr>
                <w:sz w:val="12"/>
                <w:szCs w:val="12"/>
              </w:rPr>
              <w:t>source characteristics</w:t>
            </w:r>
          </w:p>
        </w:tc>
        <w:tc>
          <w:tcPr>
            <w:tcW w:w="2706" w:type="dxa"/>
            <w:gridSpan w:val="5"/>
            <w:hideMark/>
          </w:tcPr>
          <w:p w14:paraId="4054853E" w14:textId="77777777" w:rsidR="00145256" w:rsidRPr="00530906" w:rsidRDefault="00145256" w:rsidP="00C54108">
            <w:pPr>
              <w:spacing w:line="259" w:lineRule="auto"/>
              <w:jc w:val="both"/>
              <w:rPr>
                <w:sz w:val="12"/>
                <w:szCs w:val="12"/>
              </w:rPr>
            </w:pPr>
            <w:r w:rsidRPr="00530906">
              <w:rPr>
                <w:sz w:val="12"/>
                <w:szCs w:val="12"/>
              </w:rPr>
              <w:t>sense of community</w:t>
            </w:r>
          </w:p>
        </w:tc>
        <w:tc>
          <w:tcPr>
            <w:tcW w:w="963" w:type="dxa"/>
            <w:gridSpan w:val="2"/>
            <w:hideMark/>
          </w:tcPr>
          <w:p w14:paraId="05886063" w14:textId="77777777" w:rsidR="00145256" w:rsidRPr="00530906" w:rsidRDefault="00145256" w:rsidP="00C54108">
            <w:pPr>
              <w:spacing w:line="259" w:lineRule="auto"/>
              <w:jc w:val="both"/>
              <w:rPr>
                <w:sz w:val="12"/>
                <w:szCs w:val="12"/>
              </w:rPr>
            </w:pPr>
            <w:r w:rsidRPr="00530906">
              <w:rPr>
                <w:sz w:val="12"/>
                <w:szCs w:val="12"/>
              </w:rPr>
              <w:t>emotion</w:t>
            </w:r>
          </w:p>
        </w:tc>
        <w:tc>
          <w:tcPr>
            <w:tcW w:w="2016" w:type="dxa"/>
            <w:gridSpan w:val="4"/>
            <w:hideMark/>
          </w:tcPr>
          <w:p w14:paraId="5BE666AB" w14:textId="77777777" w:rsidR="00145256" w:rsidRPr="00530906" w:rsidRDefault="00145256" w:rsidP="00C54108">
            <w:pPr>
              <w:spacing w:line="259" w:lineRule="auto"/>
              <w:jc w:val="both"/>
              <w:rPr>
                <w:sz w:val="12"/>
                <w:szCs w:val="12"/>
              </w:rPr>
            </w:pPr>
            <w:r w:rsidRPr="00530906">
              <w:rPr>
                <w:sz w:val="12"/>
                <w:szCs w:val="12"/>
              </w:rPr>
              <w:t>involvement</w:t>
            </w:r>
          </w:p>
        </w:tc>
        <w:tc>
          <w:tcPr>
            <w:tcW w:w="1902" w:type="dxa"/>
            <w:gridSpan w:val="4"/>
            <w:hideMark/>
          </w:tcPr>
          <w:p w14:paraId="30FD8A82" w14:textId="77777777" w:rsidR="00145256" w:rsidRPr="00530906" w:rsidRDefault="00145256" w:rsidP="00C54108">
            <w:pPr>
              <w:spacing w:line="259" w:lineRule="auto"/>
              <w:jc w:val="both"/>
              <w:rPr>
                <w:sz w:val="12"/>
                <w:szCs w:val="12"/>
              </w:rPr>
            </w:pPr>
            <w:r w:rsidRPr="00530906">
              <w:rPr>
                <w:sz w:val="12"/>
                <w:szCs w:val="12"/>
              </w:rPr>
              <w:t>attitude</w:t>
            </w:r>
          </w:p>
        </w:tc>
        <w:tc>
          <w:tcPr>
            <w:tcW w:w="2254" w:type="dxa"/>
            <w:gridSpan w:val="4"/>
            <w:hideMark/>
          </w:tcPr>
          <w:p w14:paraId="09B775A5" w14:textId="77777777" w:rsidR="00145256" w:rsidRPr="00530906" w:rsidRDefault="00145256" w:rsidP="00C54108">
            <w:pPr>
              <w:spacing w:line="259" w:lineRule="auto"/>
              <w:jc w:val="both"/>
              <w:rPr>
                <w:sz w:val="12"/>
                <w:szCs w:val="12"/>
              </w:rPr>
            </w:pPr>
            <w:r w:rsidRPr="00530906">
              <w:rPr>
                <w:sz w:val="12"/>
                <w:szCs w:val="12"/>
              </w:rPr>
              <w:t>social media users characteristics</w:t>
            </w:r>
          </w:p>
        </w:tc>
        <w:tc>
          <w:tcPr>
            <w:tcW w:w="1062" w:type="dxa"/>
            <w:gridSpan w:val="2"/>
            <w:hideMark/>
          </w:tcPr>
          <w:p w14:paraId="5E28FB4E" w14:textId="77777777" w:rsidR="00145256" w:rsidRPr="00530906" w:rsidRDefault="00145256" w:rsidP="00C54108">
            <w:pPr>
              <w:spacing w:line="259" w:lineRule="auto"/>
              <w:jc w:val="both"/>
              <w:rPr>
                <w:sz w:val="12"/>
                <w:szCs w:val="12"/>
              </w:rPr>
            </w:pPr>
            <w:r w:rsidRPr="00530906">
              <w:rPr>
                <w:sz w:val="12"/>
                <w:szCs w:val="12"/>
              </w:rPr>
              <w:t>technological aspects</w:t>
            </w:r>
          </w:p>
        </w:tc>
      </w:tr>
      <w:tr w:rsidR="00145256" w:rsidRPr="00530906" w14:paraId="085CCE83" w14:textId="77777777" w:rsidTr="00C34468">
        <w:trPr>
          <w:trHeight w:val="960"/>
        </w:trPr>
        <w:tc>
          <w:tcPr>
            <w:tcW w:w="528" w:type="dxa"/>
            <w:hideMark/>
          </w:tcPr>
          <w:p w14:paraId="0C20E315" w14:textId="77777777" w:rsidR="00145256" w:rsidRPr="00530906" w:rsidRDefault="00145256" w:rsidP="00C54108">
            <w:pPr>
              <w:spacing w:line="259" w:lineRule="auto"/>
              <w:jc w:val="both"/>
              <w:rPr>
                <w:sz w:val="12"/>
                <w:szCs w:val="12"/>
              </w:rPr>
            </w:pPr>
            <w:r w:rsidRPr="00530906">
              <w:rPr>
                <w:sz w:val="12"/>
                <w:szCs w:val="12"/>
              </w:rPr>
              <w:t> </w:t>
            </w:r>
          </w:p>
        </w:tc>
        <w:tc>
          <w:tcPr>
            <w:tcW w:w="476" w:type="dxa"/>
            <w:hideMark/>
          </w:tcPr>
          <w:p w14:paraId="64B45E90" w14:textId="77777777" w:rsidR="00145256" w:rsidRPr="00530906" w:rsidRDefault="00145256" w:rsidP="00C54108">
            <w:pPr>
              <w:spacing w:line="259" w:lineRule="auto"/>
              <w:jc w:val="both"/>
              <w:rPr>
                <w:sz w:val="12"/>
                <w:szCs w:val="12"/>
              </w:rPr>
            </w:pPr>
            <w:r w:rsidRPr="00530906">
              <w:rPr>
                <w:sz w:val="12"/>
                <w:szCs w:val="12"/>
              </w:rPr>
              <w:t xml:space="preserve">expertise </w:t>
            </w:r>
          </w:p>
        </w:tc>
        <w:tc>
          <w:tcPr>
            <w:tcW w:w="578" w:type="dxa"/>
            <w:hideMark/>
          </w:tcPr>
          <w:p w14:paraId="769CB484" w14:textId="77777777" w:rsidR="00145256" w:rsidRPr="00530906" w:rsidRDefault="00145256" w:rsidP="00C54108">
            <w:pPr>
              <w:spacing w:line="259" w:lineRule="auto"/>
              <w:jc w:val="both"/>
              <w:rPr>
                <w:sz w:val="12"/>
                <w:szCs w:val="12"/>
              </w:rPr>
            </w:pPr>
            <w:r w:rsidRPr="00530906">
              <w:rPr>
                <w:sz w:val="12"/>
                <w:szCs w:val="12"/>
              </w:rPr>
              <w:t>trustworthiness</w:t>
            </w:r>
          </w:p>
        </w:tc>
        <w:tc>
          <w:tcPr>
            <w:tcW w:w="443" w:type="dxa"/>
            <w:hideMark/>
          </w:tcPr>
          <w:p w14:paraId="74C635F8" w14:textId="77777777" w:rsidR="00145256" w:rsidRPr="00530906" w:rsidRDefault="00145256" w:rsidP="00C54108">
            <w:pPr>
              <w:spacing w:line="259" w:lineRule="auto"/>
              <w:jc w:val="both"/>
              <w:rPr>
                <w:sz w:val="12"/>
                <w:szCs w:val="12"/>
              </w:rPr>
            </w:pPr>
            <w:r w:rsidRPr="00530906">
              <w:rPr>
                <w:sz w:val="12"/>
                <w:szCs w:val="12"/>
              </w:rPr>
              <w:t>credibility</w:t>
            </w:r>
          </w:p>
        </w:tc>
        <w:tc>
          <w:tcPr>
            <w:tcW w:w="546" w:type="dxa"/>
            <w:hideMark/>
          </w:tcPr>
          <w:p w14:paraId="73115B69" w14:textId="77777777" w:rsidR="00145256" w:rsidRPr="00530906" w:rsidRDefault="00145256" w:rsidP="00C54108">
            <w:pPr>
              <w:spacing w:line="259" w:lineRule="auto"/>
              <w:jc w:val="both"/>
              <w:rPr>
                <w:sz w:val="12"/>
                <w:szCs w:val="12"/>
              </w:rPr>
            </w:pPr>
            <w:r w:rsidRPr="00530906">
              <w:rPr>
                <w:sz w:val="12"/>
                <w:szCs w:val="12"/>
              </w:rPr>
              <w:t>ability</w:t>
            </w:r>
          </w:p>
        </w:tc>
        <w:tc>
          <w:tcPr>
            <w:tcW w:w="474" w:type="dxa"/>
            <w:hideMark/>
          </w:tcPr>
          <w:p w14:paraId="7BECAFC5" w14:textId="77777777" w:rsidR="00145256" w:rsidRPr="00530906" w:rsidRDefault="00145256" w:rsidP="00C54108">
            <w:pPr>
              <w:spacing w:line="259" w:lineRule="auto"/>
              <w:jc w:val="both"/>
              <w:rPr>
                <w:sz w:val="12"/>
                <w:szCs w:val="12"/>
              </w:rPr>
            </w:pPr>
            <w:r w:rsidRPr="00530906">
              <w:rPr>
                <w:sz w:val="12"/>
                <w:szCs w:val="12"/>
              </w:rPr>
              <w:t>familiarity</w:t>
            </w:r>
          </w:p>
        </w:tc>
        <w:tc>
          <w:tcPr>
            <w:tcW w:w="463" w:type="dxa"/>
            <w:hideMark/>
          </w:tcPr>
          <w:p w14:paraId="422016AC" w14:textId="77777777" w:rsidR="00145256" w:rsidRPr="00530906" w:rsidRDefault="00145256" w:rsidP="00C54108">
            <w:pPr>
              <w:spacing w:line="259" w:lineRule="auto"/>
              <w:jc w:val="both"/>
              <w:rPr>
                <w:sz w:val="12"/>
                <w:szCs w:val="12"/>
              </w:rPr>
            </w:pPr>
            <w:r w:rsidRPr="00530906">
              <w:rPr>
                <w:sz w:val="12"/>
                <w:szCs w:val="12"/>
              </w:rPr>
              <w:t xml:space="preserve">similarities </w:t>
            </w:r>
          </w:p>
        </w:tc>
        <w:tc>
          <w:tcPr>
            <w:tcW w:w="513" w:type="dxa"/>
            <w:hideMark/>
          </w:tcPr>
          <w:p w14:paraId="641292EF" w14:textId="77777777" w:rsidR="00145256" w:rsidRPr="00530906" w:rsidRDefault="00145256" w:rsidP="00C54108">
            <w:pPr>
              <w:spacing w:line="259" w:lineRule="auto"/>
              <w:jc w:val="both"/>
              <w:rPr>
                <w:sz w:val="12"/>
                <w:szCs w:val="12"/>
              </w:rPr>
            </w:pPr>
            <w:r w:rsidRPr="00530906">
              <w:rPr>
                <w:sz w:val="12"/>
                <w:szCs w:val="12"/>
              </w:rPr>
              <w:t>extent of commitment</w:t>
            </w:r>
          </w:p>
        </w:tc>
        <w:tc>
          <w:tcPr>
            <w:tcW w:w="671" w:type="dxa"/>
            <w:hideMark/>
          </w:tcPr>
          <w:p w14:paraId="379BBB7C" w14:textId="77777777" w:rsidR="00145256" w:rsidRPr="00530906" w:rsidRDefault="00145256" w:rsidP="00C54108">
            <w:pPr>
              <w:spacing w:line="259" w:lineRule="auto"/>
              <w:jc w:val="both"/>
              <w:rPr>
                <w:sz w:val="12"/>
                <w:szCs w:val="12"/>
              </w:rPr>
            </w:pPr>
            <w:r w:rsidRPr="00530906">
              <w:rPr>
                <w:sz w:val="12"/>
                <w:szCs w:val="12"/>
              </w:rPr>
              <w:t>Strength/normative influence/ability of ties/</w:t>
            </w:r>
          </w:p>
        </w:tc>
        <w:tc>
          <w:tcPr>
            <w:tcW w:w="543" w:type="dxa"/>
            <w:hideMark/>
          </w:tcPr>
          <w:p w14:paraId="6C7443A9" w14:textId="77777777" w:rsidR="00145256" w:rsidRPr="00530906" w:rsidRDefault="00145256" w:rsidP="00C54108">
            <w:pPr>
              <w:spacing w:line="259" w:lineRule="auto"/>
              <w:jc w:val="both"/>
              <w:rPr>
                <w:sz w:val="12"/>
                <w:szCs w:val="12"/>
              </w:rPr>
            </w:pPr>
            <w:r w:rsidRPr="00530906">
              <w:rPr>
                <w:sz w:val="12"/>
                <w:szCs w:val="12"/>
              </w:rPr>
              <w:t>belongingness</w:t>
            </w:r>
          </w:p>
        </w:tc>
        <w:tc>
          <w:tcPr>
            <w:tcW w:w="516" w:type="dxa"/>
            <w:hideMark/>
          </w:tcPr>
          <w:p w14:paraId="43548C67" w14:textId="77777777" w:rsidR="00145256" w:rsidRPr="00530906" w:rsidRDefault="00145256" w:rsidP="00C54108">
            <w:pPr>
              <w:spacing w:line="259" w:lineRule="auto"/>
              <w:jc w:val="both"/>
              <w:rPr>
                <w:sz w:val="12"/>
                <w:szCs w:val="12"/>
              </w:rPr>
            </w:pPr>
            <w:r w:rsidRPr="00530906">
              <w:rPr>
                <w:sz w:val="12"/>
                <w:szCs w:val="12"/>
              </w:rPr>
              <w:t>interaction</w:t>
            </w:r>
          </w:p>
        </w:tc>
        <w:tc>
          <w:tcPr>
            <w:tcW w:w="550" w:type="dxa"/>
            <w:hideMark/>
          </w:tcPr>
          <w:p w14:paraId="1D9B1560" w14:textId="77777777" w:rsidR="00145256" w:rsidRPr="00530906" w:rsidRDefault="00145256" w:rsidP="00C54108">
            <w:pPr>
              <w:spacing w:line="259" w:lineRule="auto"/>
              <w:jc w:val="both"/>
              <w:rPr>
                <w:sz w:val="12"/>
                <w:szCs w:val="12"/>
              </w:rPr>
            </w:pPr>
            <w:r w:rsidRPr="00530906">
              <w:rPr>
                <w:sz w:val="12"/>
                <w:szCs w:val="12"/>
              </w:rPr>
              <w:t>positive</w:t>
            </w:r>
          </w:p>
        </w:tc>
        <w:tc>
          <w:tcPr>
            <w:tcW w:w="413" w:type="dxa"/>
            <w:hideMark/>
          </w:tcPr>
          <w:p w14:paraId="618FC210" w14:textId="77777777" w:rsidR="00145256" w:rsidRPr="00530906" w:rsidRDefault="00145256" w:rsidP="00C54108">
            <w:pPr>
              <w:spacing w:line="259" w:lineRule="auto"/>
              <w:jc w:val="both"/>
              <w:rPr>
                <w:sz w:val="12"/>
                <w:szCs w:val="12"/>
              </w:rPr>
            </w:pPr>
            <w:r w:rsidRPr="00530906">
              <w:rPr>
                <w:sz w:val="12"/>
                <w:szCs w:val="12"/>
              </w:rPr>
              <w:t>negative</w:t>
            </w:r>
          </w:p>
        </w:tc>
        <w:tc>
          <w:tcPr>
            <w:tcW w:w="502" w:type="dxa"/>
            <w:hideMark/>
          </w:tcPr>
          <w:p w14:paraId="6314D6DF" w14:textId="77777777" w:rsidR="00145256" w:rsidRPr="00530906" w:rsidRDefault="00145256" w:rsidP="00C54108">
            <w:pPr>
              <w:spacing w:line="259" w:lineRule="auto"/>
              <w:jc w:val="both"/>
              <w:rPr>
                <w:sz w:val="12"/>
                <w:szCs w:val="12"/>
              </w:rPr>
            </w:pPr>
            <w:r w:rsidRPr="00530906">
              <w:rPr>
                <w:sz w:val="12"/>
                <w:szCs w:val="12"/>
              </w:rPr>
              <w:t>product/ brand involvement</w:t>
            </w:r>
          </w:p>
        </w:tc>
        <w:tc>
          <w:tcPr>
            <w:tcW w:w="500" w:type="dxa"/>
            <w:hideMark/>
          </w:tcPr>
          <w:p w14:paraId="31841AE7" w14:textId="77777777" w:rsidR="00145256" w:rsidRPr="00530906" w:rsidRDefault="00145256" w:rsidP="00C54108">
            <w:pPr>
              <w:spacing w:line="259" w:lineRule="auto"/>
              <w:jc w:val="both"/>
              <w:rPr>
                <w:sz w:val="12"/>
                <w:szCs w:val="12"/>
              </w:rPr>
            </w:pPr>
            <w:r w:rsidRPr="00530906">
              <w:rPr>
                <w:sz w:val="12"/>
                <w:szCs w:val="12"/>
              </w:rPr>
              <w:t>congruency with the use</w:t>
            </w:r>
          </w:p>
        </w:tc>
        <w:tc>
          <w:tcPr>
            <w:tcW w:w="513" w:type="dxa"/>
            <w:hideMark/>
          </w:tcPr>
          <w:p w14:paraId="3408ED5B" w14:textId="77777777" w:rsidR="00145256" w:rsidRPr="00530906" w:rsidRDefault="00145256" w:rsidP="00C54108">
            <w:pPr>
              <w:spacing w:line="259" w:lineRule="auto"/>
              <w:jc w:val="both"/>
              <w:rPr>
                <w:sz w:val="12"/>
                <w:szCs w:val="12"/>
              </w:rPr>
            </w:pPr>
            <w:r w:rsidRPr="00530906">
              <w:rPr>
                <w:sz w:val="12"/>
                <w:szCs w:val="12"/>
              </w:rPr>
              <w:t>benefit and cost</w:t>
            </w:r>
          </w:p>
        </w:tc>
        <w:tc>
          <w:tcPr>
            <w:tcW w:w="501" w:type="dxa"/>
            <w:hideMark/>
          </w:tcPr>
          <w:p w14:paraId="558682F1" w14:textId="77777777" w:rsidR="00145256" w:rsidRPr="00530906" w:rsidRDefault="00145256" w:rsidP="00C54108">
            <w:pPr>
              <w:spacing w:line="259" w:lineRule="auto"/>
              <w:jc w:val="both"/>
              <w:rPr>
                <w:sz w:val="12"/>
                <w:szCs w:val="12"/>
              </w:rPr>
            </w:pPr>
            <w:r w:rsidRPr="00530906">
              <w:rPr>
                <w:sz w:val="12"/>
                <w:szCs w:val="12"/>
              </w:rPr>
              <w:t>users control</w:t>
            </w:r>
          </w:p>
        </w:tc>
        <w:tc>
          <w:tcPr>
            <w:tcW w:w="400" w:type="dxa"/>
            <w:hideMark/>
          </w:tcPr>
          <w:p w14:paraId="245A2AF3" w14:textId="77777777" w:rsidR="00145256" w:rsidRPr="00530906" w:rsidRDefault="00145256" w:rsidP="00C54108">
            <w:pPr>
              <w:spacing w:line="259" w:lineRule="auto"/>
              <w:jc w:val="both"/>
              <w:rPr>
                <w:sz w:val="12"/>
                <w:szCs w:val="12"/>
              </w:rPr>
            </w:pPr>
            <w:r w:rsidRPr="00530906">
              <w:rPr>
                <w:sz w:val="12"/>
                <w:szCs w:val="12"/>
              </w:rPr>
              <w:t>brand attitude</w:t>
            </w:r>
          </w:p>
        </w:tc>
        <w:tc>
          <w:tcPr>
            <w:tcW w:w="447" w:type="dxa"/>
            <w:hideMark/>
          </w:tcPr>
          <w:p w14:paraId="322E6620" w14:textId="77777777" w:rsidR="00145256" w:rsidRPr="00530906" w:rsidRDefault="00145256" w:rsidP="00C54108">
            <w:pPr>
              <w:spacing w:line="259" w:lineRule="auto"/>
              <w:jc w:val="both"/>
              <w:rPr>
                <w:sz w:val="12"/>
                <w:szCs w:val="12"/>
              </w:rPr>
            </w:pPr>
            <w:r w:rsidRPr="00530906">
              <w:rPr>
                <w:sz w:val="12"/>
                <w:szCs w:val="12"/>
              </w:rPr>
              <w:t>attitude toward the influencer</w:t>
            </w:r>
          </w:p>
        </w:tc>
        <w:tc>
          <w:tcPr>
            <w:tcW w:w="553" w:type="dxa"/>
            <w:hideMark/>
          </w:tcPr>
          <w:p w14:paraId="391095CB" w14:textId="77777777" w:rsidR="00145256" w:rsidRPr="00530906" w:rsidRDefault="00145256" w:rsidP="00C54108">
            <w:pPr>
              <w:spacing w:line="259" w:lineRule="auto"/>
              <w:jc w:val="both"/>
              <w:rPr>
                <w:sz w:val="12"/>
                <w:szCs w:val="12"/>
              </w:rPr>
            </w:pPr>
            <w:r w:rsidRPr="00530906">
              <w:rPr>
                <w:sz w:val="12"/>
                <w:szCs w:val="12"/>
              </w:rPr>
              <w:t>mindset/belief</w:t>
            </w:r>
          </w:p>
        </w:tc>
        <w:tc>
          <w:tcPr>
            <w:tcW w:w="502" w:type="dxa"/>
            <w:hideMark/>
          </w:tcPr>
          <w:p w14:paraId="4C4F611D" w14:textId="77777777" w:rsidR="00145256" w:rsidRPr="00530906" w:rsidRDefault="00145256" w:rsidP="00C54108">
            <w:pPr>
              <w:spacing w:line="259" w:lineRule="auto"/>
              <w:jc w:val="both"/>
              <w:rPr>
                <w:sz w:val="12"/>
                <w:szCs w:val="12"/>
              </w:rPr>
            </w:pPr>
            <w:r w:rsidRPr="00530906">
              <w:rPr>
                <w:sz w:val="12"/>
                <w:szCs w:val="12"/>
              </w:rPr>
              <w:t>attitude towards risk</w:t>
            </w:r>
          </w:p>
        </w:tc>
        <w:tc>
          <w:tcPr>
            <w:tcW w:w="518" w:type="dxa"/>
            <w:hideMark/>
          </w:tcPr>
          <w:p w14:paraId="1C4D839B" w14:textId="77777777" w:rsidR="00145256" w:rsidRPr="00530906" w:rsidRDefault="00145256" w:rsidP="00C54108">
            <w:pPr>
              <w:spacing w:line="259" w:lineRule="auto"/>
              <w:jc w:val="both"/>
              <w:rPr>
                <w:sz w:val="12"/>
                <w:szCs w:val="12"/>
              </w:rPr>
            </w:pPr>
            <w:r w:rsidRPr="00530906">
              <w:rPr>
                <w:sz w:val="12"/>
                <w:szCs w:val="12"/>
              </w:rPr>
              <w:t>demographic</w:t>
            </w:r>
          </w:p>
        </w:tc>
        <w:tc>
          <w:tcPr>
            <w:tcW w:w="727" w:type="dxa"/>
            <w:hideMark/>
          </w:tcPr>
          <w:p w14:paraId="64BEA4A0" w14:textId="77777777" w:rsidR="00145256" w:rsidRPr="00530906" w:rsidRDefault="00145256" w:rsidP="00C54108">
            <w:pPr>
              <w:spacing w:line="259" w:lineRule="auto"/>
              <w:jc w:val="both"/>
              <w:rPr>
                <w:sz w:val="12"/>
                <w:szCs w:val="12"/>
              </w:rPr>
            </w:pPr>
            <w:r w:rsidRPr="00530906">
              <w:rPr>
                <w:sz w:val="12"/>
                <w:szCs w:val="12"/>
              </w:rPr>
              <w:t>purchase situation</w:t>
            </w:r>
          </w:p>
        </w:tc>
        <w:tc>
          <w:tcPr>
            <w:tcW w:w="487" w:type="dxa"/>
            <w:hideMark/>
          </w:tcPr>
          <w:p w14:paraId="00BE8DBB" w14:textId="77777777" w:rsidR="00145256" w:rsidRPr="00530906" w:rsidRDefault="00145256" w:rsidP="00C54108">
            <w:pPr>
              <w:spacing w:line="259" w:lineRule="auto"/>
              <w:jc w:val="both"/>
              <w:rPr>
                <w:sz w:val="12"/>
                <w:szCs w:val="12"/>
              </w:rPr>
            </w:pPr>
            <w:r w:rsidRPr="00530906">
              <w:rPr>
                <w:sz w:val="12"/>
                <w:szCs w:val="12"/>
              </w:rPr>
              <w:t>knowledge</w:t>
            </w:r>
          </w:p>
        </w:tc>
        <w:tc>
          <w:tcPr>
            <w:tcW w:w="522" w:type="dxa"/>
            <w:hideMark/>
          </w:tcPr>
          <w:p w14:paraId="294FFF39" w14:textId="77777777" w:rsidR="00145256" w:rsidRPr="00530906" w:rsidRDefault="00145256" w:rsidP="00C54108">
            <w:pPr>
              <w:spacing w:line="259" w:lineRule="auto"/>
              <w:jc w:val="both"/>
              <w:rPr>
                <w:sz w:val="12"/>
                <w:szCs w:val="12"/>
              </w:rPr>
            </w:pPr>
            <w:r w:rsidRPr="00530906">
              <w:rPr>
                <w:sz w:val="12"/>
                <w:szCs w:val="12"/>
              </w:rPr>
              <w:t>psychological condition</w:t>
            </w:r>
          </w:p>
        </w:tc>
        <w:tc>
          <w:tcPr>
            <w:tcW w:w="549" w:type="dxa"/>
            <w:hideMark/>
          </w:tcPr>
          <w:p w14:paraId="7CFF01B3" w14:textId="77777777" w:rsidR="00145256" w:rsidRPr="00530906" w:rsidRDefault="00145256" w:rsidP="00C54108">
            <w:pPr>
              <w:spacing w:line="259" w:lineRule="auto"/>
              <w:jc w:val="both"/>
              <w:rPr>
                <w:sz w:val="12"/>
                <w:szCs w:val="12"/>
              </w:rPr>
            </w:pPr>
            <w:r w:rsidRPr="00530906">
              <w:rPr>
                <w:sz w:val="12"/>
                <w:szCs w:val="12"/>
              </w:rPr>
              <w:t xml:space="preserve">content </w:t>
            </w:r>
          </w:p>
        </w:tc>
        <w:tc>
          <w:tcPr>
            <w:tcW w:w="513" w:type="dxa"/>
            <w:hideMark/>
          </w:tcPr>
          <w:p w14:paraId="5DF12D1E" w14:textId="77777777" w:rsidR="00145256" w:rsidRPr="00530906" w:rsidRDefault="00145256" w:rsidP="00C54108">
            <w:pPr>
              <w:spacing w:line="259" w:lineRule="auto"/>
              <w:jc w:val="both"/>
              <w:rPr>
                <w:sz w:val="12"/>
                <w:szCs w:val="12"/>
              </w:rPr>
            </w:pPr>
            <w:r w:rsidRPr="00530906">
              <w:rPr>
                <w:sz w:val="12"/>
                <w:szCs w:val="12"/>
              </w:rPr>
              <w:t>Platform</w:t>
            </w:r>
          </w:p>
        </w:tc>
      </w:tr>
      <w:tr w:rsidR="00145256" w:rsidRPr="00530906" w14:paraId="04C0F278" w14:textId="77777777" w:rsidTr="00C34468">
        <w:trPr>
          <w:trHeight w:val="1440"/>
        </w:trPr>
        <w:tc>
          <w:tcPr>
            <w:tcW w:w="528" w:type="dxa"/>
            <w:hideMark/>
          </w:tcPr>
          <w:p w14:paraId="6B6B3FAB" w14:textId="77777777" w:rsidR="00145256" w:rsidRPr="00530906" w:rsidRDefault="00145256" w:rsidP="00C54108">
            <w:pPr>
              <w:spacing w:line="259" w:lineRule="auto"/>
              <w:jc w:val="both"/>
              <w:rPr>
                <w:sz w:val="12"/>
                <w:szCs w:val="12"/>
              </w:rPr>
            </w:pPr>
            <w:r w:rsidRPr="00530906">
              <w:rPr>
                <w:sz w:val="12"/>
                <w:szCs w:val="12"/>
              </w:rPr>
              <w:t>Shen et al (2010)</w:t>
            </w:r>
          </w:p>
        </w:tc>
        <w:tc>
          <w:tcPr>
            <w:tcW w:w="476" w:type="dxa"/>
            <w:hideMark/>
          </w:tcPr>
          <w:p w14:paraId="0C767949" w14:textId="77777777" w:rsidR="00145256" w:rsidRPr="00530906" w:rsidRDefault="00145256" w:rsidP="00C54108">
            <w:pPr>
              <w:spacing w:line="259" w:lineRule="auto"/>
              <w:jc w:val="both"/>
              <w:rPr>
                <w:sz w:val="12"/>
                <w:szCs w:val="12"/>
              </w:rPr>
            </w:pPr>
            <w:r w:rsidRPr="00530906">
              <w:rPr>
                <w:sz w:val="12"/>
                <w:szCs w:val="12"/>
              </w:rPr>
              <w:t>perceived expertise of virtual community members</w:t>
            </w:r>
          </w:p>
        </w:tc>
        <w:tc>
          <w:tcPr>
            <w:tcW w:w="578" w:type="dxa"/>
            <w:hideMark/>
          </w:tcPr>
          <w:p w14:paraId="3817AA3B"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EEA628F"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0D412F2"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62E77F4A"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660B2E9F" w14:textId="77777777" w:rsidR="00145256" w:rsidRPr="00530906" w:rsidRDefault="00145256" w:rsidP="00C54108">
            <w:pPr>
              <w:spacing w:line="259" w:lineRule="auto"/>
              <w:jc w:val="both"/>
              <w:rPr>
                <w:sz w:val="12"/>
                <w:szCs w:val="12"/>
              </w:rPr>
            </w:pPr>
            <w:r w:rsidRPr="00530906">
              <w:rPr>
                <w:sz w:val="12"/>
                <w:szCs w:val="12"/>
              </w:rPr>
              <w:t>perceived familiarity and similarities of other VC members</w:t>
            </w:r>
          </w:p>
        </w:tc>
        <w:tc>
          <w:tcPr>
            <w:tcW w:w="513" w:type="dxa"/>
            <w:hideMark/>
          </w:tcPr>
          <w:p w14:paraId="56086EEA"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C93E917"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7161E846"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418CC3A"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565F9E37"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2D45995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217A37F"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FE82EA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951BB1E"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5F844590"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06D9314"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36B06A71"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8F0346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217854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7B6196B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69DED539"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4A6CC24"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2DF25227"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44466A2D"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C64092D"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4A7683AB" w14:textId="77777777" w:rsidTr="00C34468">
        <w:trPr>
          <w:trHeight w:val="1755"/>
        </w:trPr>
        <w:tc>
          <w:tcPr>
            <w:tcW w:w="528" w:type="dxa"/>
            <w:hideMark/>
          </w:tcPr>
          <w:p w14:paraId="7922A761" w14:textId="77777777" w:rsidR="00145256" w:rsidRPr="00530906" w:rsidRDefault="00145256" w:rsidP="00C54108">
            <w:pPr>
              <w:spacing w:line="259" w:lineRule="auto"/>
              <w:jc w:val="both"/>
              <w:rPr>
                <w:sz w:val="12"/>
                <w:szCs w:val="12"/>
              </w:rPr>
            </w:pPr>
            <w:r w:rsidRPr="00530906">
              <w:rPr>
                <w:sz w:val="12"/>
                <w:szCs w:val="12"/>
              </w:rPr>
              <w:t>Colliander and Dahlen (2011)</w:t>
            </w:r>
          </w:p>
        </w:tc>
        <w:tc>
          <w:tcPr>
            <w:tcW w:w="476" w:type="dxa"/>
            <w:hideMark/>
          </w:tcPr>
          <w:p w14:paraId="417C2083" w14:textId="77777777" w:rsidR="00145256" w:rsidRPr="00530906" w:rsidRDefault="00145256" w:rsidP="00C54108">
            <w:pPr>
              <w:spacing w:line="259" w:lineRule="auto"/>
              <w:jc w:val="both"/>
              <w:rPr>
                <w:sz w:val="12"/>
                <w:szCs w:val="12"/>
              </w:rPr>
            </w:pPr>
            <w:r w:rsidRPr="00530906">
              <w:rPr>
                <w:sz w:val="12"/>
                <w:szCs w:val="12"/>
              </w:rPr>
              <w:t xml:space="preserve">perceived relation of the writer with the brand, </w:t>
            </w:r>
          </w:p>
        </w:tc>
        <w:tc>
          <w:tcPr>
            <w:tcW w:w="578" w:type="dxa"/>
            <w:hideMark/>
          </w:tcPr>
          <w:p w14:paraId="51F80733"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3338FF8D" w14:textId="77777777" w:rsidR="00145256" w:rsidRPr="00530906" w:rsidRDefault="00145256" w:rsidP="00C54108">
            <w:pPr>
              <w:spacing w:line="259" w:lineRule="auto"/>
              <w:jc w:val="both"/>
              <w:rPr>
                <w:sz w:val="12"/>
                <w:szCs w:val="12"/>
              </w:rPr>
            </w:pPr>
            <w:r w:rsidRPr="00530906">
              <w:rPr>
                <w:sz w:val="12"/>
                <w:szCs w:val="12"/>
              </w:rPr>
              <w:t>source credibility</w:t>
            </w:r>
          </w:p>
        </w:tc>
        <w:tc>
          <w:tcPr>
            <w:tcW w:w="546" w:type="dxa"/>
            <w:hideMark/>
          </w:tcPr>
          <w:p w14:paraId="2CB09DC3"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EA11E01"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5608CFD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B1B911A"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B9A6C48"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4E38FE31"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7B7C7730"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70F56106"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1098154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575D0AA"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3D2CB4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8CC0049"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5533C689"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E5463B1"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468142AF"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67E8150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D7C9FF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411287F3"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EF64359"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4882B7E0"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59D4E0AB"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56BBE73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1A24D27" w14:textId="77777777" w:rsidR="00145256" w:rsidRPr="00530906" w:rsidRDefault="00145256" w:rsidP="00C54108">
            <w:pPr>
              <w:spacing w:line="259" w:lineRule="auto"/>
              <w:jc w:val="both"/>
              <w:rPr>
                <w:sz w:val="12"/>
                <w:szCs w:val="12"/>
              </w:rPr>
            </w:pPr>
            <w:r w:rsidRPr="00530906">
              <w:rPr>
                <w:sz w:val="12"/>
                <w:szCs w:val="12"/>
              </w:rPr>
              <w:t>Type of Media</w:t>
            </w:r>
          </w:p>
        </w:tc>
      </w:tr>
      <w:tr w:rsidR="00145256" w:rsidRPr="00530906" w14:paraId="3231CA74" w14:textId="77777777" w:rsidTr="00C34468">
        <w:trPr>
          <w:trHeight w:val="960"/>
        </w:trPr>
        <w:tc>
          <w:tcPr>
            <w:tcW w:w="528" w:type="dxa"/>
            <w:hideMark/>
          </w:tcPr>
          <w:p w14:paraId="3FA6214C" w14:textId="77777777" w:rsidR="00145256" w:rsidRPr="00530906" w:rsidRDefault="00145256" w:rsidP="00C54108">
            <w:pPr>
              <w:spacing w:line="259" w:lineRule="auto"/>
              <w:jc w:val="both"/>
              <w:rPr>
                <w:sz w:val="12"/>
                <w:szCs w:val="12"/>
              </w:rPr>
            </w:pPr>
            <w:r w:rsidRPr="00530906">
              <w:rPr>
                <w:sz w:val="12"/>
                <w:szCs w:val="12"/>
              </w:rPr>
              <w:t>Pagani and Mirabello (2011)</w:t>
            </w:r>
          </w:p>
        </w:tc>
        <w:tc>
          <w:tcPr>
            <w:tcW w:w="476" w:type="dxa"/>
            <w:hideMark/>
          </w:tcPr>
          <w:p w14:paraId="63582E4F"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48F57466"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0B7F55E2"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2F0E7700"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58F801CE"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3D6A2EA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D8B9475"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ECB084C"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E0A2380"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600C1D0" w14:textId="77777777" w:rsidR="00145256" w:rsidRPr="00530906" w:rsidRDefault="00145256" w:rsidP="00C54108">
            <w:pPr>
              <w:spacing w:line="259" w:lineRule="auto"/>
              <w:jc w:val="both"/>
              <w:rPr>
                <w:sz w:val="12"/>
                <w:szCs w:val="12"/>
              </w:rPr>
            </w:pPr>
            <w:r w:rsidRPr="00530906">
              <w:rPr>
                <w:sz w:val="12"/>
                <w:szCs w:val="12"/>
              </w:rPr>
              <w:t>social interactive engagement</w:t>
            </w:r>
          </w:p>
        </w:tc>
        <w:tc>
          <w:tcPr>
            <w:tcW w:w="550" w:type="dxa"/>
            <w:hideMark/>
          </w:tcPr>
          <w:p w14:paraId="76181A02" w14:textId="77777777" w:rsidR="00145256" w:rsidRPr="00530906" w:rsidRDefault="00145256" w:rsidP="00C54108">
            <w:pPr>
              <w:spacing w:line="259" w:lineRule="auto"/>
              <w:jc w:val="both"/>
              <w:rPr>
                <w:sz w:val="12"/>
                <w:szCs w:val="12"/>
              </w:rPr>
            </w:pPr>
            <w:r w:rsidRPr="00530906">
              <w:rPr>
                <w:sz w:val="12"/>
                <w:szCs w:val="12"/>
              </w:rPr>
              <w:t xml:space="preserve">personal engagement </w:t>
            </w:r>
          </w:p>
        </w:tc>
        <w:tc>
          <w:tcPr>
            <w:tcW w:w="413" w:type="dxa"/>
            <w:hideMark/>
          </w:tcPr>
          <w:p w14:paraId="15AAA99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F384724"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D0E08A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E6E703D"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4DD4CD3E"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7D2B1BD"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68F9A747"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C93464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8FCED4F"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2A28DAC6" w14:textId="77777777" w:rsidR="00145256" w:rsidRPr="00530906" w:rsidRDefault="00145256" w:rsidP="00C54108">
            <w:pPr>
              <w:spacing w:line="259" w:lineRule="auto"/>
              <w:jc w:val="both"/>
              <w:rPr>
                <w:sz w:val="12"/>
                <w:szCs w:val="12"/>
              </w:rPr>
            </w:pPr>
            <w:r w:rsidRPr="00530906">
              <w:rPr>
                <w:sz w:val="12"/>
                <w:szCs w:val="12"/>
              </w:rPr>
              <w:t>gender</w:t>
            </w:r>
          </w:p>
        </w:tc>
        <w:tc>
          <w:tcPr>
            <w:tcW w:w="727" w:type="dxa"/>
            <w:hideMark/>
          </w:tcPr>
          <w:p w14:paraId="7C5DA70E"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FDECF14"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11BB0A03"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4F7BBD1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9126822" w14:textId="77777777" w:rsidR="00145256" w:rsidRPr="00530906" w:rsidRDefault="00145256" w:rsidP="00C54108">
            <w:pPr>
              <w:spacing w:line="259" w:lineRule="auto"/>
              <w:jc w:val="both"/>
              <w:rPr>
                <w:sz w:val="12"/>
                <w:szCs w:val="12"/>
              </w:rPr>
            </w:pPr>
            <w:r w:rsidRPr="00530906">
              <w:rPr>
                <w:sz w:val="12"/>
                <w:szCs w:val="12"/>
              </w:rPr>
              <w:t>social feature of social media</w:t>
            </w:r>
          </w:p>
        </w:tc>
      </w:tr>
      <w:tr w:rsidR="00145256" w:rsidRPr="00530906" w14:paraId="35AF2EF2" w14:textId="77777777" w:rsidTr="00C34468">
        <w:trPr>
          <w:trHeight w:val="960"/>
        </w:trPr>
        <w:tc>
          <w:tcPr>
            <w:tcW w:w="528" w:type="dxa"/>
            <w:hideMark/>
          </w:tcPr>
          <w:p w14:paraId="3B307F69" w14:textId="77777777" w:rsidR="00145256" w:rsidRPr="00530906" w:rsidRDefault="00145256" w:rsidP="00C54108">
            <w:pPr>
              <w:spacing w:line="259" w:lineRule="auto"/>
              <w:jc w:val="both"/>
              <w:rPr>
                <w:sz w:val="12"/>
                <w:szCs w:val="12"/>
              </w:rPr>
            </w:pPr>
            <w:r w:rsidRPr="00530906">
              <w:rPr>
                <w:sz w:val="12"/>
                <w:szCs w:val="12"/>
              </w:rPr>
              <w:t>Li et al 2013</w:t>
            </w:r>
          </w:p>
        </w:tc>
        <w:tc>
          <w:tcPr>
            <w:tcW w:w="476" w:type="dxa"/>
            <w:hideMark/>
          </w:tcPr>
          <w:p w14:paraId="4E94AC9F"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38AF228F" w14:textId="77777777" w:rsidR="00145256" w:rsidRPr="00530906" w:rsidRDefault="00145256" w:rsidP="00C54108">
            <w:pPr>
              <w:spacing w:line="259" w:lineRule="auto"/>
              <w:jc w:val="both"/>
              <w:rPr>
                <w:sz w:val="12"/>
                <w:szCs w:val="12"/>
              </w:rPr>
            </w:pPr>
            <w:r w:rsidRPr="00530906">
              <w:rPr>
                <w:sz w:val="12"/>
                <w:szCs w:val="12"/>
              </w:rPr>
              <w:t>channel's purpose to interact</w:t>
            </w:r>
          </w:p>
        </w:tc>
        <w:tc>
          <w:tcPr>
            <w:tcW w:w="443" w:type="dxa"/>
            <w:hideMark/>
          </w:tcPr>
          <w:p w14:paraId="31CD96C6"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371E0711"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601E88D"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624326BD"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531FF5F"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2A1EA9C4" w14:textId="77777777" w:rsidR="00145256" w:rsidRPr="00530906" w:rsidRDefault="00145256" w:rsidP="00C54108">
            <w:pPr>
              <w:spacing w:line="259" w:lineRule="auto"/>
              <w:jc w:val="both"/>
              <w:rPr>
                <w:sz w:val="12"/>
                <w:szCs w:val="12"/>
              </w:rPr>
            </w:pPr>
            <w:r w:rsidRPr="00530906">
              <w:rPr>
                <w:sz w:val="12"/>
                <w:szCs w:val="12"/>
              </w:rPr>
              <w:t>relationship depth</w:t>
            </w:r>
          </w:p>
        </w:tc>
        <w:tc>
          <w:tcPr>
            <w:tcW w:w="543" w:type="dxa"/>
            <w:hideMark/>
          </w:tcPr>
          <w:p w14:paraId="75639E44"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09BB7D49"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78C20041"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4590BA4B"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C47B2AD" w14:textId="77777777" w:rsidR="00145256" w:rsidRPr="00530906" w:rsidRDefault="00145256" w:rsidP="00C54108">
            <w:pPr>
              <w:spacing w:line="259" w:lineRule="auto"/>
              <w:jc w:val="both"/>
              <w:rPr>
                <w:sz w:val="12"/>
                <w:szCs w:val="12"/>
              </w:rPr>
            </w:pPr>
            <w:r w:rsidRPr="00530906">
              <w:rPr>
                <w:sz w:val="12"/>
                <w:szCs w:val="12"/>
              </w:rPr>
              <w:t>corporate involvement with the community</w:t>
            </w:r>
          </w:p>
        </w:tc>
        <w:tc>
          <w:tcPr>
            <w:tcW w:w="500" w:type="dxa"/>
            <w:hideMark/>
          </w:tcPr>
          <w:p w14:paraId="459E721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A8C7F26"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AF6D2FC"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5A08E2E4"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1F51A66"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53027F2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1D54C5F"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0EDF9163"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1D93146"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744407A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70E62E23"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4984F5D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CD72B92"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C857EC7" w14:textId="77777777" w:rsidTr="00C34468">
        <w:trPr>
          <w:trHeight w:val="2160"/>
        </w:trPr>
        <w:tc>
          <w:tcPr>
            <w:tcW w:w="528" w:type="dxa"/>
            <w:hideMark/>
          </w:tcPr>
          <w:p w14:paraId="1CA8C884" w14:textId="77777777" w:rsidR="00145256" w:rsidRPr="00530906" w:rsidRDefault="00145256" w:rsidP="00C54108">
            <w:pPr>
              <w:spacing w:line="259" w:lineRule="auto"/>
              <w:jc w:val="both"/>
              <w:rPr>
                <w:sz w:val="12"/>
                <w:szCs w:val="12"/>
              </w:rPr>
            </w:pPr>
            <w:r w:rsidRPr="00530906">
              <w:rPr>
                <w:sz w:val="12"/>
                <w:szCs w:val="12"/>
              </w:rPr>
              <w:t>Rishika et al (2013)</w:t>
            </w:r>
          </w:p>
        </w:tc>
        <w:tc>
          <w:tcPr>
            <w:tcW w:w="476" w:type="dxa"/>
            <w:hideMark/>
          </w:tcPr>
          <w:p w14:paraId="12213830"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1F7540D0"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04427F4"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1BDA4EB"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636C86CA"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557BCEC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9B949AB"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244BEBA1"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0F9B5669"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54EA23B"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44B29217"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119B6256"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11838E3"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694B266B"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30DBB6E"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40DC154C"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5629D023"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1D22C328"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59A59359"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012918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2366AE5C"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53BB49F" w14:textId="77777777" w:rsidR="00145256" w:rsidRPr="00530906" w:rsidRDefault="00145256" w:rsidP="00C54108">
            <w:pPr>
              <w:spacing w:line="259" w:lineRule="auto"/>
              <w:jc w:val="both"/>
              <w:rPr>
                <w:sz w:val="12"/>
                <w:szCs w:val="12"/>
              </w:rPr>
            </w:pPr>
            <w:r w:rsidRPr="00530906">
              <w:rPr>
                <w:sz w:val="12"/>
                <w:szCs w:val="12"/>
              </w:rPr>
              <w:t>customer engagement,purchase amount, focus in buying, deal sensitivity, share of premium product</w:t>
            </w:r>
          </w:p>
        </w:tc>
        <w:tc>
          <w:tcPr>
            <w:tcW w:w="487" w:type="dxa"/>
            <w:hideMark/>
          </w:tcPr>
          <w:p w14:paraId="4E8D1040"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14B554F3"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0B889EC2" w14:textId="77777777" w:rsidR="00145256" w:rsidRPr="00530906" w:rsidRDefault="00145256" w:rsidP="00C54108">
            <w:pPr>
              <w:spacing w:line="259" w:lineRule="auto"/>
              <w:jc w:val="both"/>
              <w:rPr>
                <w:sz w:val="12"/>
                <w:szCs w:val="12"/>
              </w:rPr>
            </w:pPr>
            <w:r w:rsidRPr="00530906">
              <w:rPr>
                <w:sz w:val="12"/>
                <w:szCs w:val="12"/>
              </w:rPr>
              <w:t>number of message</w:t>
            </w:r>
          </w:p>
        </w:tc>
        <w:tc>
          <w:tcPr>
            <w:tcW w:w="513" w:type="dxa"/>
            <w:hideMark/>
          </w:tcPr>
          <w:p w14:paraId="133F3FF6"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4B3095F1" w14:textId="77777777" w:rsidTr="00C34468">
        <w:trPr>
          <w:trHeight w:val="240"/>
        </w:trPr>
        <w:tc>
          <w:tcPr>
            <w:tcW w:w="528" w:type="dxa"/>
            <w:hideMark/>
          </w:tcPr>
          <w:p w14:paraId="285DA443" w14:textId="77777777" w:rsidR="00145256" w:rsidRPr="00530906" w:rsidRDefault="00145256" w:rsidP="00C54108">
            <w:pPr>
              <w:spacing w:line="259" w:lineRule="auto"/>
              <w:jc w:val="both"/>
              <w:rPr>
                <w:sz w:val="12"/>
                <w:szCs w:val="12"/>
              </w:rPr>
            </w:pPr>
            <w:r w:rsidRPr="00530906">
              <w:rPr>
                <w:sz w:val="12"/>
                <w:szCs w:val="12"/>
              </w:rPr>
              <w:t>Spotts et al (2014)</w:t>
            </w:r>
          </w:p>
        </w:tc>
        <w:tc>
          <w:tcPr>
            <w:tcW w:w="476" w:type="dxa"/>
            <w:hideMark/>
          </w:tcPr>
          <w:p w14:paraId="2B735D82"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03D6FC6D"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699E9DEA"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51CFC51"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44086EE4"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292F4E7"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AC9EDC1"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FB2C28F"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7DE9954"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1ACF9E5"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03FB7985"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6171A70D"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0227F5A"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267C938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434C191"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46F2A680"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65EA59A2"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6A7D9396"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6E93C55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607AC39"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5F66D0F6"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066B476F"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CA02D89"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07FFD42A"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7C7AF83D" w14:textId="77777777" w:rsidR="00145256" w:rsidRPr="00530906" w:rsidRDefault="00145256" w:rsidP="00C54108">
            <w:pPr>
              <w:spacing w:line="259" w:lineRule="auto"/>
              <w:jc w:val="both"/>
              <w:rPr>
                <w:sz w:val="12"/>
                <w:szCs w:val="12"/>
              </w:rPr>
            </w:pPr>
            <w:r w:rsidRPr="00530906">
              <w:rPr>
                <w:sz w:val="12"/>
                <w:szCs w:val="12"/>
              </w:rPr>
              <w:t>advertisement</w:t>
            </w:r>
          </w:p>
        </w:tc>
        <w:tc>
          <w:tcPr>
            <w:tcW w:w="513" w:type="dxa"/>
            <w:hideMark/>
          </w:tcPr>
          <w:p w14:paraId="14924A14"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0B375B12" w14:textId="77777777" w:rsidTr="00C34468">
        <w:trPr>
          <w:trHeight w:val="960"/>
        </w:trPr>
        <w:tc>
          <w:tcPr>
            <w:tcW w:w="528" w:type="dxa"/>
            <w:hideMark/>
          </w:tcPr>
          <w:p w14:paraId="21F50CA1" w14:textId="77777777" w:rsidR="00145256" w:rsidRPr="00530906" w:rsidRDefault="00145256" w:rsidP="00C54108">
            <w:pPr>
              <w:spacing w:line="259" w:lineRule="auto"/>
              <w:jc w:val="both"/>
              <w:rPr>
                <w:sz w:val="12"/>
                <w:szCs w:val="12"/>
              </w:rPr>
            </w:pPr>
            <w:r w:rsidRPr="00530906">
              <w:rPr>
                <w:sz w:val="12"/>
                <w:szCs w:val="12"/>
              </w:rPr>
              <w:t>Benson et al (2015)</w:t>
            </w:r>
          </w:p>
        </w:tc>
        <w:tc>
          <w:tcPr>
            <w:tcW w:w="476" w:type="dxa"/>
            <w:hideMark/>
          </w:tcPr>
          <w:p w14:paraId="50F23A4E"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77B3968D"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3FA3A5B8"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4195F7C"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5C70D124"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6F143BA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6414CE2"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422F646D"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F2C79D9"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84B41E9"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5A2C7DCE"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77E332D5"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221FDE7"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4D166FB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0C9AA48"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03967955"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EB95805"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67727CC0"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E28AFC9"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9EC8A48"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281EB5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D2D18E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062142A5" w14:textId="77777777" w:rsidR="00145256" w:rsidRPr="00530906" w:rsidRDefault="00145256" w:rsidP="00C54108">
            <w:pPr>
              <w:spacing w:line="259" w:lineRule="auto"/>
              <w:jc w:val="both"/>
              <w:rPr>
                <w:sz w:val="12"/>
                <w:szCs w:val="12"/>
              </w:rPr>
            </w:pPr>
            <w:r w:rsidRPr="00530906">
              <w:rPr>
                <w:sz w:val="12"/>
                <w:szCs w:val="12"/>
              </w:rPr>
              <w:t xml:space="preserve">user awareness </w:t>
            </w:r>
          </w:p>
        </w:tc>
        <w:tc>
          <w:tcPr>
            <w:tcW w:w="522" w:type="dxa"/>
            <w:hideMark/>
          </w:tcPr>
          <w:p w14:paraId="4506568F"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1F3382A5" w14:textId="77777777" w:rsidR="00145256" w:rsidRPr="00530906" w:rsidRDefault="00145256" w:rsidP="00C54108">
            <w:pPr>
              <w:spacing w:line="259" w:lineRule="auto"/>
              <w:jc w:val="both"/>
              <w:rPr>
                <w:sz w:val="12"/>
                <w:szCs w:val="12"/>
              </w:rPr>
            </w:pPr>
            <w:r w:rsidRPr="00530906">
              <w:rPr>
                <w:sz w:val="12"/>
                <w:szCs w:val="12"/>
              </w:rPr>
              <w:t>security notice,</w:t>
            </w:r>
          </w:p>
        </w:tc>
        <w:tc>
          <w:tcPr>
            <w:tcW w:w="513" w:type="dxa"/>
            <w:hideMark/>
          </w:tcPr>
          <w:p w14:paraId="1627AD7D" w14:textId="063FF879" w:rsidR="00145256" w:rsidRPr="00530906" w:rsidRDefault="00145256" w:rsidP="00C54108">
            <w:pPr>
              <w:spacing w:line="259" w:lineRule="auto"/>
              <w:jc w:val="both"/>
              <w:rPr>
                <w:sz w:val="12"/>
                <w:szCs w:val="12"/>
              </w:rPr>
            </w:pPr>
            <w:r w:rsidRPr="00530906">
              <w:rPr>
                <w:sz w:val="12"/>
                <w:szCs w:val="12"/>
              </w:rPr>
              <w:t xml:space="preserve"> ontrol over personal information</w:t>
            </w:r>
          </w:p>
        </w:tc>
      </w:tr>
      <w:tr w:rsidR="00145256" w:rsidRPr="00530906" w14:paraId="008F4C81" w14:textId="77777777" w:rsidTr="00C34468">
        <w:trPr>
          <w:trHeight w:val="720"/>
        </w:trPr>
        <w:tc>
          <w:tcPr>
            <w:tcW w:w="528" w:type="dxa"/>
            <w:hideMark/>
          </w:tcPr>
          <w:p w14:paraId="65AD8007" w14:textId="77777777" w:rsidR="00145256" w:rsidRPr="00530906" w:rsidRDefault="00145256" w:rsidP="00C54108">
            <w:pPr>
              <w:spacing w:line="259" w:lineRule="auto"/>
              <w:jc w:val="both"/>
              <w:rPr>
                <w:sz w:val="12"/>
                <w:szCs w:val="12"/>
              </w:rPr>
            </w:pPr>
            <w:r w:rsidRPr="00530906">
              <w:rPr>
                <w:sz w:val="12"/>
                <w:szCs w:val="12"/>
              </w:rPr>
              <w:t>Zheng et al (2015)</w:t>
            </w:r>
          </w:p>
        </w:tc>
        <w:tc>
          <w:tcPr>
            <w:tcW w:w="476" w:type="dxa"/>
            <w:hideMark/>
          </w:tcPr>
          <w:p w14:paraId="4C15791D"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6ED42EF0"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5D19B27C"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3DE11E48"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05384D4"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F1B763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B939EA2" w14:textId="77777777" w:rsidR="00145256" w:rsidRPr="00530906" w:rsidRDefault="00145256" w:rsidP="00C54108">
            <w:pPr>
              <w:spacing w:line="259" w:lineRule="auto"/>
              <w:jc w:val="both"/>
              <w:rPr>
                <w:sz w:val="12"/>
                <w:szCs w:val="12"/>
              </w:rPr>
            </w:pPr>
            <w:r w:rsidRPr="00530906">
              <w:rPr>
                <w:sz w:val="12"/>
                <w:szCs w:val="12"/>
              </w:rPr>
              <w:t>community commitment</w:t>
            </w:r>
          </w:p>
        </w:tc>
        <w:tc>
          <w:tcPr>
            <w:tcW w:w="671" w:type="dxa"/>
            <w:hideMark/>
          </w:tcPr>
          <w:p w14:paraId="693995F9"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613B6BAA"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3F9E3C6A"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34807850"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F946BA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BF3CB27"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12C561F3"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94B6565" w14:textId="77777777" w:rsidR="00145256" w:rsidRPr="00530906" w:rsidRDefault="00145256" w:rsidP="00C54108">
            <w:pPr>
              <w:spacing w:line="259" w:lineRule="auto"/>
              <w:jc w:val="both"/>
              <w:rPr>
                <w:sz w:val="12"/>
                <w:szCs w:val="12"/>
              </w:rPr>
            </w:pPr>
            <w:r w:rsidRPr="00530906">
              <w:rPr>
                <w:sz w:val="12"/>
                <w:szCs w:val="12"/>
              </w:rPr>
              <w:t>perceived benafit and cost</w:t>
            </w:r>
          </w:p>
        </w:tc>
        <w:tc>
          <w:tcPr>
            <w:tcW w:w="501" w:type="dxa"/>
            <w:hideMark/>
          </w:tcPr>
          <w:p w14:paraId="1C7D9D6C"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1A0D07E3"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00F4462B"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63483A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7ABD266"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5B3567E"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C09E58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62B7705D"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325E9772"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71E4CD53"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1A5CBFB"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25621515" w14:textId="77777777" w:rsidTr="00C34468">
        <w:trPr>
          <w:trHeight w:val="480"/>
        </w:trPr>
        <w:tc>
          <w:tcPr>
            <w:tcW w:w="528" w:type="dxa"/>
            <w:hideMark/>
          </w:tcPr>
          <w:p w14:paraId="1476AF22" w14:textId="77777777" w:rsidR="00145256" w:rsidRPr="00530906" w:rsidRDefault="00145256" w:rsidP="00C54108">
            <w:pPr>
              <w:spacing w:line="259" w:lineRule="auto"/>
              <w:jc w:val="both"/>
              <w:rPr>
                <w:sz w:val="12"/>
                <w:szCs w:val="12"/>
              </w:rPr>
            </w:pPr>
            <w:r w:rsidRPr="00530906">
              <w:rPr>
                <w:sz w:val="12"/>
                <w:szCs w:val="12"/>
              </w:rPr>
              <w:t>Pera et al (2016)</w:t>
            </w:r>
          </w:p>
        </w:tc>
        <w:tc>
          <w:tcPr>
            <w:tcW w:w="476" w:type="dxa"/>
            <w:hideMark/>
          </w:tcPr>
          <w:p w14:paraId="28295CA8"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55D46BF0"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513DC2A5"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49611E0A"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2DCA4744"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441CC92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F5EBC82"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072960E"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16F34DDD"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0EFEC24C"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5E709B20"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20FBF956"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D99227E"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76CD3C33"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A8B5741"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0E9F33A8"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0C8D5BBF"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6056C34"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914DB1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026A14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150708E7"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49ED3832"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C91AB6F"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6B6A8FEC"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72203F53" w14:textId="77777777" w:rsidR="00145256" w:rsidRPr="00530906" w:rsidRDefault="00145256" w:rsidP="00C54108">
            <w:pPr>
              <w:spacing w:line="259" w:lineRule="auto"/>
              <w:jc w:val="both"/>
              <w:rPr>
                <w:sz w:val="12"/>
                <w:szCs w:val="12"/>
              </w:rPr>
            </w:pPr>
            <w:r w:rsidRPr="00530906">
              <w:rPr>
                <w:sz w:val="12"/>
                <w:szCs w:val="12"/>
              </w:rPr>
              <w:t>story in social media</w:t>
            </w:r>
          </w:p>
        </w:tc>
        <w:tc>
          <w:tcPr>
            <w:tcW w:w="513" w:type="dxa"/>
            <w:hideMark/>
          </w:tcPr>
          <w:p w14:paraId="5A2A5740"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622407E1" w14:textId="77777777" w:rsidTr="00C34468">
        <w:trPr>
          <w:trHeight w:val="1680"/>
        </w:trPr>
        <w:tc>
          <w:tcPr>
            <w:tcW w:w="528" w:type="dxa"/>
            <w:hideMark/>
          </w:tcPr>
          <w:p w14:paraId="3ECF9082" w14:textId="77777777" w:rsidR="00145256" w:rsidRPr="00530906" w:rsidRDefault="00145256" w:rsidP="00C54108">
            <w:pPr>
              <w:spacing w:line="259" w:lineRule="auto"/>
              <w:jc w:val="both"/>
              <w:rPr>
                <w:sz w:val="12"/>
                <w:szCs w:val="12"/>
              </w:rPr>
            </w:pPr>
            <w:r w:rsidRPr="00530906">
              <w:rPr>
                <w:sz w:val="12"/>
                <w:szCs w:val="12"/>
              </w:rPr>
              <w:t>Susarla et al (2016)</w:t>
            </w:r>
          </w:p>
        </w:tc>
        <w:tc>
          <w:tcPr>
            <w:tcW w:w="476" w:type="dxa"/>
            <w:hideMark/>
          </w:tcPr>
          <w:p w14:paraId="3BE7A8D0"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41440862"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6A0262C1"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78936711" w14:textId="77777777" w:rsidR="00145256" w:rsidRPr="00530906" w:rsidRDefault="00145256" w:rsidP="00C54108">
            <w:pPr>
              <w:spacing w:line="259" w:lineRule="auto"/>
              <w:jc w:val="both"/>
              <w:rPr>
                <w:sz w:val="12"/>
                <w:szCs w:val="12"/>
              </w:rPr>
            </w:pPr>
            <w:r w:rsidRPr="00530906">
              <w:rPr>
                <w:sz w:val="12"/>
                <w:szCs w:val="12"/>
              </w:rPr>
              <w:t>YouTube channel’s ability to influence</w:t>
            </w:r>
          </w:p>
        </w:tc>
        <w:tc>
          <w:tcPr>
            <w:tcW w:w="474" w:type="dxa"/>
            <w:hideMark/>
          </w:tcPr>
          <w:p w14:paraId="49E5F907"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68F532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3755E81"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8B726D9" w14:textId="77777777" w:rsidR="00145256" w:rsidRPr="00530906" w:rsidRDefault="00145256" w:rsidP="00C54108">
            <w:pPr>
              <w:spacing w:line="259" w:lineRule="auto"/>
              <w:jc w:val="both"/>
              <w:rPr>
                <w:sz w:val="12"/>
                <w:szCs w:val="12"/>
              </w:rPr>
            </w:pPr>
            <w:r w:rsidRPr="00530906">
              <w:rPr>
                <w:sz w:val="12"/>
                <w:szCs w:val="12"/>
              </w:rPr>
              <w:t>susceptibility of ties wth other members, imitability of others' behaviour</w:t>
            </w:r>
          </w:p>
        </w:tc>
        <w:tc>
          <w:tcPr>
            <w:tcW w:w="543" w:type="dxa"/>
            <w:hideMark/>
          </w:tcPr>
          <w:p w14:paraId="455A1E36"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D45CD1E"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69DAC705"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091203D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3299CE8"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E752F4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0A4473C"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94D8D5C"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1F34BD9E"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455B1CE8"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5370C73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896BDFB"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A03007A"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20362E4D"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99AFB9D"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29B3A65B"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6C01AF3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7ACFAF3"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07BEE5A5" w14:textId="77777777" w:rsidTr="00C34468">
        <w:trPr>
          <w:trHeight w:val="720"/>
        </w:trPr>
        <w:tc>
          <w:tcPr>
            <w:tcW w:w="528" w:type="dxa"/>
            <w:hideMark/>
          </w:tcPr>
          <w:p w14:paraId="1B4F2725" w14:textId="77777777" w:rsidR="00145256" w:rsidRPr="00530906" w:rsidRDefault="00145256" w:rsidP="00C54108">
            <w:pPr>
              <w:spacing w:line="259" w:lineRule="auto"/>
              <w:jc w:val="both"/>
              <w:rPr>
                <w:sz w:val="12"/>
                <w:szCs w:val="12"/>
              </w:rPr>
            </w:pPr>
            <w:r w:rsidRPr="00530906">
              <w:rPr>
                <w:sz w:val="12"/>
                <w:szCs w:val="12"/>
              </w:rPr>
              <w:t>Akman and Mishra (2016)</w:t>
            </w:r>
          </w:p>
        </w:tc>
        <w:tc>
          <w:tcPr>
            <w:tcW w:w="476" w:type="dxa"/>
            <w:hideMark/>
          </w:tcPr>
          <w:p w14:paraId="469D7934"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223F93AA"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C109714" w14:textId="77777777" w:rsidR="00145256" w:rsidRPr="00530906" w:rsidRDefault="00145256" w:rsidP="00C54108">
            <w:pPr>
              <w:spacing w:line="259" w:lineRule="auto"/>
              <w:jc w:val="both"/>
              <w:rPr>
                <w:sz w:val="12"/>
                <w:szCs w:val="12"/>
              </w:rPr>
            </w:pPr>
            <w:r w:rsidRPr="00530906">
              <w:rPr>
                <w:sz w:val="12"/>
                <w:szCs w:val="12"/>
              </w:rPr>
              <w:t xml:space="preserve"> perceived ethics of the seller</w:t>
            </w:r>
          </w:p>
        </w:tc>
        <w:tc>
          <w:tcPr>
            <w:tcW w:w="546" w:type="dxa"/>
            <w:hideMark/>
          </w:tcPr>
          <w:p w14:paraId="2380CE8E"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F80F3D5"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3116E87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6E16FB4"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21872F00"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5A22C7F9"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035E8569" w14:textId="77777777" w:rsidR="00145256" w:rsidRPr="00530906" w:rsidRDefault="00145256" w:rsidP="00C54108">
            <w:pPr>
              <w:spacing w:line="259" w:lineRule="auto"/>
              <w:jc w:val="both"/>
              <w:rPr>
                <w:sz w:val="12"/>
                <w:szCs w:val="12"/>
              </w:rPr>
            </w:pPr>
            <w:r w:rsidRPr="00530906">
              <w:rPr>
                <w:sz w:val="12"/>
                <w:szCs w:val="12"/>
              </w:rPr>
              <w:t>social pressure</w:t>
            </w:r>
          </w:p>
        </w:tc>
        <w:tc>
          <w:tcPr>
            <w:tcW w:w="550" w:type="dxa"/>
            <w:hideMark/>
          </w:tcPr>
          <w:p w14:paraId="5C30BA7A" w14:textId="77777777" w:rsidR="00145256" w:rsidRPr="00530906" w:rsidRDefault="00145256" w:rsidP="00C54108">
            <w:pPr>
              <w:spacing w:line="259" w:lineRule="auto"/>
              <w:jc w:val="both"/>
              <w:rPr>
                <w:sz w:val="12"/>
                <w:szCs w:val="12"/>
              </w:rPr>
            </w:pPr>
            <w:r w:rsidRPr="00530906">
              <w:rPr>
                <w:sz w:val="12"/>
                <w:szCs w:val="12"/>
              </w:rPr>
              <w:t>satisfaction, enjoyment</w:t>
            </w:r>
          </w:p>
        </w:tc>
        <w:tc>
          <w:tcPr>
            <w:tcW w:w="413" w:type="dxa"/>
            <w:hideMark/>
          </w:tcPr>
          <w:p w14:paraId="546EB00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56441AE"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62388614"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D7C8D40"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1E439DE1"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30C7B1C"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30DBA7C1"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75BF74FF"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CF84B54"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6C6EB68C"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6E5DFB50"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67F1FFA" w14:textId="77777777" w:rsidR="00145256" w:rsidRPr="00530906" w:rsidRDefault="00145256" w:rsidP="00C54108">
            <w:pPr>
              <w:spacing w:line="259" w:lineRule="auto"/>
              <w:jc w:val="both"/>
              <w:rPr>
                <w:sz w:val="12"/>
                <w:szCs w:val="12"/>
              </w:rPr>
            </w:pPr>
            <w:r w:rsidRPr="00530906">
              <w:rPr>
                <w:sz w:val="12"/>
                <w:szCs w:val="12"/>
              </w:rPr>
              <w:t>awareness</w:t>
            </w:r>
          </w:p>
        </w:tc>
        <w:tc>
          <w:tcPr>
            <w:tcW w:w="522" w:type="dxa"/>
            <w:hideMark/>
          </w:tcPr>
          <w:p w14:paraId="75FA93A8"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28FF8C1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EAD41B6"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28090A2C" w14:textId="77777777" w:rsidTr="00C34468">
        <w:trPr>
          <w:trHeight w:val="1200"/>
        </w:trPr>
        <w:tc>
          <w:tcPr>
            <w:tcW w:w="528" w:type="dxa"/>
            <w:hideMark/>
          </w:tcPr>
          <w:p w14:paraId="417CAE9A" w14:textId="77777777" w:rsidR="00145256" w:rsidRPr="00530906" w:rsidRDefault="00145256" w:rsidP="00C54108">
            <w:pPr>
              <w:spacing w:line="259" w:lineRule="auto"/>
              <w:jc w:val="both"/>
              <w:rPr>
                <w:sz w:val="12"/>
                <w:szCs w:val="12"/>
              </w:rPr>
            </w:pPr>
            <w:r w:rsidRPr="00530906">
              <w:rPr>
                <w:sz w:val="12"/>
                <w:szCs w:val="12"/>
              </w:rPr>
              <w:t>Chung and Cho (2017)</w:t>
            </w:r>
          </w:p>
        </w:tc>
        <w:tc>
          <w:tcPr>
            <w:tcW w:w="476" w:type="dxa"/>
            <w:hideMark/>
          </w:tcPr>
          <w:p w14:paraId="6743249B"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15E04646" w14:textId="77777777" w:rsidR="00145256" w:rsidRPr="00530906" w:rsidRDefault="00145256" w:rsidP="00C54108">
            <w:pPr>
              <w:spacing w:line="259" w:lineRule="auto"/>
              <w:jc w:val="both"/>
              <w:rPr>
                <w:sz w:val="12"/>
                <w:szCs w:val="12"/>
              </w:rPr>
            </w:pPr>
            <w:r w:rsidRPr="00530906">
              <w:rPr>
                <w:sz w:val="12"/>
                <w:szCs w:val="12"/>
              </w:rPr>
              <w:t>sources self–disclosure, source trustworthiness</w:t>
            </w:r>
          </w:p>
        </w:tc>
        <w:tc>
          <w:tcPr>
            <w:tcW w:w="443" w:type="dxa"/>
            <w:hideMark/>
          </w:tcPr>
          <w:p w14:paraId="57F4977D"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5D6468C1"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7013A5DA"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3CCE920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BC618A6"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9AC71EB" w14:textId="77777777" w:rsidR="00145256" w:rsidRPr="00530906" w:rsidRDefault="00145256" w:rsidP="00C54108">
            <w:pPr>
              <w:spacing w:line="259" w:lineRule="auto"/>
              <w:jc w:val="both"/>
              <w:rPr>
                <w:sz w:val="12"/>
                <w:szCs w:val="12"/>
              </w:rPr>
            </w:pPr>
            <w:r w:rsidRPr="00530906">
              <w:rPr>
                <w:sz w:val="12"/>
                <w:szCs w:val="12"/>
              </w:rPr>
              <w:t>para social interaction, social relationship</w:t>
            </w:r>
          </w:p>
        </w:tc>
        <w:tc>
          <w:tcPr>
            <w:tcW w:w="543" w:type="dxa"/>
            <w:hideMark/>
          </w:tcPr>
          <w:p w14:paraId="479B2780"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6473F41"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16526DB8"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7347DBC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6C8048B"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6262FD78"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AA2CE8C"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2DA7E31"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327F385"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1EB6075E"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84550A7"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633F6A7"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28A324B"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AB847FA"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0AAE2EC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5744F33D"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0B34436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F0B8563"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48E9C5A2" w14:textId="77777777" w:rsidTr="00C34468">
        <w:trPr>
          <w:trHeight w:val="720"/>
        </w:trPr>
        <w:tc>
          <w:tcPr>
            <w:tcW w:w="528" w:type="dxa"/>
            <w:hideMark/>
          </w:tcPr>
          <w:p w14:paraId="7DD80057" w14:textId="77777777" w:rsidR="00145256" w:rsidRPr="00530906" w:rsidRDefault="00145256" w:rsidP="00C54108">
            <w:pPr>
              <w:spacing w:line="259" w:lineRule="auto"/>
              <w:jc w:val="both"/>
              <w:rPr>
                <w:sz w:val="12"/>
                <w:szCs w:val="12"/>
              </w:rPr>
            </w:pPr>
            <w:r w:rsidRPr="00530906">
              <w:rPr>
                <w:sz w:val="12"/>
                <w:szCs w:val="12"/>
              </w:rPr>
              <w:t>Gunarathne et al (2017)</w:t>
            </w:r>
          </w:p>
        </w:tc>
        <w:tc>
          <w:tcPr>
            <w:tcW w:w="476" w:type="dxa"/>
            <w:hideMark/>
          </w:tcPr>
          <w:p w14:paraId="6291F8F2"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1508591F"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C4FC1BD"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1AC87ACE"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81BF027"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02D8CE4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26F3A69"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020B135"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513AE750"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BC8D695" w14:textId="77777777" w:rsidR="00145256" w:rsidRPr="00530906" w:rsidRDefault="00145256" w:rsidP="00C54108">
            <w:pPr>
              <w:spacing w:line="259" w:lineRule="auto"/>
              <w:jc w:val="both"/>
              <w:rPr>
                <w:sz w:val="12"/>
                <w:szCs w:val="12"/>
              </w:rPr>
            </w:pPr>
            <w:r w:rsidRPr="00530906">
              <w:rPr>
                <w:sz w:val="12"/>
                <w:szCs w:val="12"/>
              </w:rPr>
              <w:t>customers' influence on social media</w:t>
            </w:r>
          </w:p>
        </w:tc>
        <w:tc>
          <w:tcPr>
            <w:tcW w:w="550" w:type="dxa"/>
            <w:hideMark/>
          </w:tcPr>
          <w:p w14:paraId="42DCE8E5"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2FDF801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C40F514"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5306BF2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4DF3E0A"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435BD26F"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4A4CD22"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315E5EE7"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0C6B9DAF"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78D0D48"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19433A4E"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43209030"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34850B6"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184D36B4"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6538500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C634F66"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614D92B7" w14:textId="77777777" w:rsidTr="00C34468">
        <w:trPr>
          <w:trHeight w:val="1275"/>
        </w:trPr>
        <w:tc>
          <w:tcPr>
            <w:tcW w:w="528" w:type="dxa"/>
            <w:hideMark/>
          </w:tcPr>
          <w:p w14:paraId="4B4FBFED" w14:textId="77777777" w:rsidR="00145256" w:rsidRPr="00530906" w:rsidRDefault="00145256" w:rsidP="00C54108">
            <w:pPr>
              <w:spacing w:line="259" w:lineRule="auto"/>
              <w:jc w:val="both"/>
              <w:rPr>
                <w:sz w:val="12"/>
                <w:szCs w:val="12"/>
              </w:rPr>
            </w:pPr>
            <w:r w:rsidRPr="00530906">
              <w:rPr>
                <w:sz w:val="12"/>
                <w:szCs w:val="12"/>
              </w:rPr>
              <w:t>Huang et al (2017)</w:t>
            </w:r>
          </w:p>
        </w:tc>
        <w:tc>
          <w:tcPr>
            <w:tcW w:w="476" w:type="dxa"/>
            <w:hideMark/>
          </w:tcPr>
          <w:p w14:paraId="4D82CC66" w14:textId="77777777" w:rsidR="00145256" w:rsidRPr="00530906" w:rsidRDefault="00145256" w:rsidP="00C54108">
            <w:pPr>
              <w:spacing w:line="259" w:lineRule="auto"/>
              <w:jc w:val="both"/>
              <w:rPr>
                <w:sz w:val="12"/>
                <w:szCs w:val="12"/>
              </w:rPr>
            </w:pPr>
            <w:r w:rsidRPr="00530906">
              <w:rPr>
                <w:sz w:val="12"/>
                <w:szCs w:val="12"/>
              </w:rPr>
              <w:t>expertise</w:t>
            </w:r>
          </w:p>
        </w:tc>
        <w:tc>
          <w:tcPr>
            <w:tcW w:w="578" w:type="dxa"/>
            <w:hideMark/>
          </w:tcPr>
          <w:p w14:paraId="2DE85513"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45148295"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3EE26F50"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FD51A18"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7D56CFE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671B752"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3926A7A"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330BB22C"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62BF1261"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57310F9E"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10310E5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4FF252C"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B41EA78"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ACCBD21"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1B809C64"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FFC767B"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035A1179"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15CF8B1"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6BD7ECF"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EB6A33E"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FA1456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68F09659"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70C4C000"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4706C0E0" w14:textId="77777777" w:rsidR="00145256" w:rsidRPr="00530906" w:rsidRDefault="00145256" w:rsidP="00C54108">
            <w:pPr>
              <w:spacing w:line="259" w:lineRule="auto"/>
              <w:jc w:val="both"/>
              <w:rPr>
                <w:sz w:val="12"/>
                <w:szCs w:val="12"/>
              </w:rPr>
            </w:pPr>
            <w:r w:rsidRPr="00530906">
              <w:rPr>
                <w:sz w:val="12"/>
                <w:szCs w:val="12"/>
              </w:rPr>
              <w:t>comment on movie and peer comment, no of reviews</w:t>
            </w:r>
          </w:p>
        </w:tc>
        <w:tc>
          <w:tcPr>
            <w:tcW w:w="513" w:type="dxa"/>
            <w:hideMark/>
          </w:tcPr>
          <w:p w14:paraId="69223B65"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1D56026D" w14:textId="77777777" w:rsidTr="00C34468">
        <w:trPr>
          <w:trHeight w:val="540"/>
        </w:trPr>
        <w:tc>
          <w:tcPr>
            <w:tcW w:w="528" w:type="dxa"/>
            <w:hideMark/>
          </w:tcPr>
          <w:p w14:paraId="78026E70" w14:textId="77777777" w:rsidR="00145256" w:rsidRPr="00530906" w:rsidRDefault="00145256" w:rsidP="00C54108">
            <w:pPr>
              <w:spacing w:line="259" w:lineRule="auto"/>
              <w:jc w:val="both"/>
              <w:rPr>
                <w:sz w:val="12"/>
                <w:szCs w:val="12"/>
              </w:rPr>
            </w:pPr>
            <w:r w:rsidRPr="00530906">
              <w:rPr>
                <w:sz w:val="12"/>
                <w:szCs w:val="12"/>
              </w:rPr>
              <w:t>Marder et al (2017)</w:t>
            </w:r>
          </w:p>
        </w:tc>
        <w:tc>
          <w:tcPr>
            <w:tcW w:w="476" w:type="dxa"/>
            <w:hideMark/>
          </w:tcPr>
          <w:p w14:paraId="1053B77A"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76B26F4D"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3664CEB7"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545B1221"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44D3590D"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7B0C122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9203DA1"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04E90177"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79E9D9A4"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1B4F5740"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4DD2F0AA"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0678F5D" w14:textId="77777777" w:rsidR="00145256" w:rsidRPr="00530906" w:rsidRDefault="00145256" w:rsidP="00C54108">
            <w:pPr>
              <w:spacing w:line="259" w:lineRule="auto"/>
              <w:jc w:val="both"/>
              <w:rPr>
                <w:sz w:val="12"/>
                <w:szCs w:val="12"/>
              </w:rPr>
            </w:pPr>
            <w:r w:rsidRPr="00530906">
              <w:rPr>
                <w:sz w:val="12"/>
                <w:szCs w:val="12"/>
              </w:rPr>
              <w:t>social anxiety</w:t>
            </w:r>
          </w:p>
        </w:tc>
        <w:tc>
          <w:tcPr>
            <w:tcW w:w="502" w:type="dxa"/>
            <w:hideMark/>
          </w:tcPr>
          <w:p w14:paraId="0FF3A1F4"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1098C5D7"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FEA856C"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730D628A"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638A2DF5"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47120A83"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1A2A1CC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C9DF7CC"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338253A"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0BF8ECED"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67A6052E" w14:textId="77777777" w:rsidR="00145256" w:rsidRPr="00530906" w:rsidRDefault="00145256" w:rsidP="00C54108">
            <w:pPr>
              <w:spacing w:line="259" w:lineRule="auto"/>
              <w:jc w:val="both"/>
              <w:rPr>
                <w:sz w:val="12"/>
                <w:szCs w:val="12"/>
              </w:rPr>
            </w:pPr>
            <w:r w:rsidRPr="00530906">
              <w:rPr>
                <w:sz w:val="12"/>
                <w:szCs w:val="12"/>
              </w:rPr>
              <w:t>audience expectation</w:t>
            </w:r>
          </w:p>
        </w:tc>
        <w:tc>
          <w:tcPr>
            <w:tcW w:w="522" w:type="dxa"/>
            <w:hideMark/>
          </w:tcPr>
          <w:p w14:paraId="6721A1AE"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1044869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FEC751F"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5119514" w14:textId="77777777" w:rsidTr="00C34468">
        <w:trPr>
          <w:trHeight w:val="960"/>
        </w:trPr>
        <w:tc>
          <w:tcPr>
            <w:tcW w:w="528" w:type="dxa"/>
            <w:hideMark/>
          </w:tcPr>
          <w:p w14:paraId="07A7D31D" w14:textId="77777777" w:rsidR="00145256" w:rsidRPr="00530906" w:rsidRDefault="00145256" w:rsidP="00C54108">
            <w:pPr>
              <w:spacing w:line="259" w:lineRule="auto"/>
              <w:jc w:val="both"/>
              <w:rPr>
                <w:sz w:val="12"/>
                <w:szCs w:val="12"/>
              </w:rPr>
            </w:pPr>
            <w:r w:rsidRPr="00530906">
              <w:rPr>
                <w:sz w:val="12"/>
                <w:szCs w:val="12"/>
              </w:rPr>
              <w:t>Stathopoulou et al (2017)</w:t>
            </w:r>
          </w:p>
        </w:tc>
        <w:tc>
          <w:tcPr>
            <w:tcW w:w="476" w:type="dxa"/>
            <w:hideMark/>
          </w:tcPr>
          <w:p w14:paraId="4C5AA5E6"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4C9B4265"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B4EEE5C"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1E1B3F2D"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6536FA7" w14:textId="77777777" w:rsidR="00145256" w:rsidRPr="00530906" w:rsidRDefault="00145256" w:rsidP="00C54108">
            <w:pPr>
              <w:spacing w:line="259" w:lineRule="auto"/>
              <w:jc w:val="both"/>
              <w:rPr>
                <w:sz w:val="12"/>
                <w:szCs w:val="12"/>
              </w:rPr>
            </w:pPr>
            <w:r w:rsidRPr="00530906">
              <w:rPr>
                <w:sz w:val="12"/>
                <w:szCs w:val="12"/>
              </w:rPr>
              <w:t>brand’s familiarity with the social media user</w:t>
            </w:r>
          </w:p>
        </w:tc>
        <w:tc>
          <w:tcPr>
            <w:tcW w:w="463" w:type="dxa"/>
            <w:hideMark/>
          </w:tcPr>
          <w:p w14:paraId="19EF0607"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1C70267"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4AB3E450"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724AA20F"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343817DB"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66F7F084"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50D2EE7D"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71418E3"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690B9062"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BAEEA39"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005C78C2"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6915B40"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4166AFF8"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1B799FC7"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3F3513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488050A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DA1DE31"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45D5F65C"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3C590B4D"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3F1367AF" w14:textId="77777777" w:rsidR="00145256" w:rsidRPr="00530906" w:rsidRDefault="00145256" w:rsidP="00C54108">
            <w:pPr>
              <w:spacing w:line="259" w:lineRule="auto"/>
              <w:jc w:val="both"/>
              <w:rPr>
                <w:sz w:val="12"/>
                <w:szCs w:val="12"/>
              </w:rPr>
            </w:pPr>
            <w:r w:rsidRPr="00530906">
              <w:rPr>
                <w:sz w:val="12"/>
                <w:szCs w:val="12"/>
              </w:rPr>
              <w:t>ad creativity</w:t>
            </w:r>
          </w:p>
        </w:tc>
        <w:tc>
          <w:tcPr>
            <w:tcW w:w="513" w:type="dxa"/>
            <w:hideMark/>
          </w:tcPr>
          <w:p w14:paraId="667D6ED3"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26020380" w14:textId="77777777" w:rsidTr="00C34468">
        <w:trPr>
          <w:trHeight w:val="975"/>
        </w:trPr>
        <w:tc>
          <w:tcPr>
            <w:tcW w:w="528" w:type="dxa"/>
            <w:hideMark/>
          </w:tcPr>
          <w:p w14:paraId="3E9106D8" w14:textId="77777777" w:rsidR="00145256" w:rsidRPr="00530906" w:rsidRDefault="00145256" w:rsidP="00C54108">
            <w:pPr>
              <w:spacing w:line="259" w:lineRule="auto"/>
              <w:jc w:val="both"/>
              <w:rPr>
                <w:sz w:val="12"/>
                <w:szCs w:val="12"/>
              </w:rPr>
            </w:pPr>
            <w:r w:rsidRPr="00530906">
              <w:rPr>
                <w:sz w:val="12"/>
                <w:szCs w:val="12"/>
              </w:rPr>
              <w:t>Dindar and Yaman (2018)</w:t>
            </w:r>
          </w:p>
        </w:tc>
        <w:tc>
          <w:tcPr>
            <w:tcW w:w="476" w:type="dxa"/>
            <w:hideMark/>
          </w:tcPr>
          <w:p w14:paraId="5CC05992"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5A390C5B"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599BE27D"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4C4CB0AC"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35229977"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0B66420D"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D009BB3"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4B621DF5" w14:textId="77777777" w:rsidR="00145256" w:rsidRPr="00530906" w:rsidRDefault="00145256" w:rsidP="00C54108">
            <w:pPr>
              <w:spacing w:line="259" w:lineRule="auto"/>
              <w:jc w:val="both"/>
              <w:rPr>
                <w:sz w:val="12"/>
                <w:szCs w:val="12"/>
              </w:rPr>
            </w:pPr>
            <w:r w:rsidRPr="00530906">
              <w:rPr>
                <w:sz w:val="12"/>
                <w:szCs w:val="12"/>
              </w:rPr>
              <w:t>social technology</w:t>
            </w:r>
          </w:p>
        </w:tc>
        <w:tc>
          <w:tcPr>
            <w:tcW w:w="543" w:type="dxa"/>
            <w:hideMark/>
          </w:tcPr>
          <w:p w14:paraId="0E242AA1"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1C84282D"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1505F6FB" w14:textId="77777777" w:rsidR="00145256" w:rsidRPr="00530906" w:rsidRDefault="00145256" w:rsidP="00C54108">
            <w:pPr>
              <w:spacing w:line="259" w:lineRule="auto"/>
              <w:jc w:val="both"/>
              <w:rPr>
                <w:sz w:val="12"/>
                <w:szCs w:val="12"/>
              </w:rPr>
            </w:pPr>
            <w:r w:rsidRPr="00530906">
              <w:rPr>
                <w:sz w:val="12"/>
                <w:szCs w:val="12"/>
              </w:rPr>
              <w:t>process gratification, content gratification</w:t>
            </w:r>
          </w:p>
        </w:tc>
        <w:tc>
          <w:tcPr>
            <w:tcW w:w="413" w:type="dxa"/>
            <w:hideMark/>
          </w:tcPr>
          <w:p w14:paraId="20E0AA3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5EFC2B2"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A0D0D04"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1B930F1"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589742E6"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DEE57FB"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7BB21DA2"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7B27CDC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10F3EB6"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00E5B519"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07611F8E"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34044927"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237735D9"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2F598B67"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945CE24"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65FFBEDA" w14:textId="77777777" w:rsidTr="00C34468">
        <w:trPr>
          <w:trHeight w:val="720"/>
        </w:trPr>
        <w:tc>
          <w:tcPr>
            <w:tcW w:w="528" w:type="dxa"/>
            <w:hideMark/>
          </w:tcPr>
          <w:p w14:paraId="364CFB1D" w14:textId="77777777" w:rsidR="00145256" w:rsidRPr="00530906" w:rsidRDefault="00145256" w:rsidP="00C54108">
            <w:pPr>
              <w:spacing w:line="259" w:lineRule="auto"/>
              <w:jc w:val="both"/>
              <w:rPr>
                <w:sz w:val="12"/>
                <w:szCs w:val="12"/>
              </w:rPr>
            </w:pPr>
            <w:r w:rsidRPr="00530906">
              <w:rPr>
                <w:sz w:val="12"/>
                <w:szCs w:val="12"/>
              </w:rPr>
              <w:t>Karahanna et al (2018)</w:t>
            </w:r>
          </w:p>
        </w:tc>
        <w:tc>
          <w:tcPr>
            <w:tcW w:w="476" w:type="dxa"/>
            <w:hideMark/>
          </w:tcPr>
          <w:p w14:paraId="424A4CCE"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37716516"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143FC633"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6DA357C2"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2E6AA763"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4CA448D2"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58A818C"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3D98A8DB"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492C0F6" w14:textId="77777777" w:rsidR="00145256" w:rsidRPr="00530906" w:rsidRDefault="00145256" w:rsidP="00C54108">
            <w:pPr>
              <w:spacing w:line="259" w:lineRule="auto"/>
              <w:jc w:val="both"/>
              <w:rPr>
                <w:sz w:val="12"/>
                <w:szCs w:val="12"/>
              </w:rPr>
            </w:pPr>
            <w:r w:rsidRPr="00530906">
              <w:rPr>
                <w:sz w:val="12"/>
                <w:szCs w:val="12"/>
              </w:rPr>
              <w:t>relatedness, having a place</w:t>
            </w:r>
          </w:p>
        </w:tc>
        <w:tc>
          <w:tcPr>
            <w:tcW w:w="516" w:type="dxa"/>
            <w:hideMark/>
          </w:tcPr>
          <w:p w14:paraId="2D016A52"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2A58942C"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2339214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1BF14C2"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7A8C407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1934929"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3A6AA201" w14:textId="77777777" w:rsidR="00145256" w:rsidRPr="00530906" w:rsidRDefault="00145256" w:rsidP="00C54108">
            <w:pPr>
              <w:spacing w:line="259" w:lineRule="auto"/>
              <w:jc w:val="both"/>
              <w:rPr>
                <w:sz w:val="12"/>
                <w:szCs w:val="12"/>
              </w:rPr>
            </w:pPr>
            <w:r w:rsidRPr="00530906">
              <w:rPr>
                <w:sz w:val="12"/>
                <w:szCs w:val="12"/>
              </w:rPr>
              <w:t>Need for autonomy, competence</w:t>
            </w:r>
          </w:p>
        </w:tc>
        <w:tc>
          <w:tcPr>
            <w:tcW w:w="400" w:type="dxa"/>
            <w:hideMark/>
          </w:tcPr>
          <w:p w14:paraId="27D5E0CC" w14:textId="77777777" w:rsidR="00145256" w:rsidRPr="00530906" w:rsidRDefault="00145256" w:rsidP="00C54108">
            <w:pPr>
              <w:spacing w:line="259" w:lineRule="auto"/>
              <w:jc w:val="both"/>
              <w:rPr>
                <w:sz w:val="12"/>
                <w:szCs w:val="12"/>
              </w:rPr>
            </w:pPr>
            <w:r w:rsidRPr="00530906">
              <w:rPr>
                <w:sz w:val="12"/>
                <w:szCs w:val="12"/>
              </w:rPr>
              <w:t>self-identity</w:t>
            </w:r>
          </w:p>
        </w:tc>
        <w:tc>
          <w:tcPr>
            <w:tcW w:w="447" w:type="dxa"/>
            <w:hideMark/>
          </w:tcPr>
          <w:p w14:paraId="531DC32E"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7D5AA15"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AEAB076"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88067A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11426EA"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6D25A4EA"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583490E7"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73A7DD5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9E309E8"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4CC0D3C9" w14:textId="77777777" w:rsidTr="00C34468">
        <w:trPr>
          <w:trHeight w:val="720"/>
        </w:trPr>
        <w:tc>
          <w:tcPr>
            <w:tcW w:w="528" w:type="dxa"/>
            <w:hideMark/>
          </w:tcPr>
          <w:p w14:paraId="1F49AC88" w14:textId="77777777" w:rsidR="00145256" w:rsidRPr="00530906" w:rsidRDefault="00145256" w:rsidP="00C54108">
            <w:pPr>
              <w:spacing w:line="259" w:lineRule="auto"/>
              <w:jc w:val="both"/>
              <w:rPr>
                <w:sz w:val="12"/>
                <w:szCs w:val="12"/>
              </w:rPr>
            </w:pPr>
            <w:r w:rsidRPr="00530906">
              <w:rPr>
                <w:sz w:val="12"/>
                <w:szCs w:val="12"/>
              </w:rPr>
              <w:t>Munzel et al (2018)</w:t>
            </w:r>
          </w:p>
        </w:tc>
        <w:tc>
          <w:tcPr>
            <w:tcW w:w="476" w:type="dxa"/>
            <w:hideMark/>
          </w:tcPr>
          <w:p w14:paraId="686C9021"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27E24112"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2DE7056A"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12C77DFD"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A391B85"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4BE1712B" w14:textId="77777777" w:rsidR="00145256" w:rsidRPr="00530906" w:rsidRDefault="00145256" w:rsidP="00C54108">
            <w:pPr>
              <w:spacing w:line="259" w:lineRule="auto"/>
              <w:jc w:val="both"/>
              <w:rPr>
                <w:sz w:val="12"/>
                <w:szCs w:val="12"/>
              </w:rPr>
            </w:pPr>
            <w:r w:rsidRPr="00530906">
              <w:rPr>
                <w:sz w:val="12"/>
                <w:szCs w:val="12"/>
              </w:rPr>
              <w:t xml:space="preserve">social capital </w:t>
            </w:r>
          </w:p>
        </w:tc>
        <w:tc>
          <w:tcPr>
            <w:tcW w:w="513" w:type="dxa"/>
            <w:hideMark/>
          </w:tcPr>
          <w:p w14:paraId="22BF4CC6"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FF10CB7" w14:textId="77777777" w:rsidR="00145256" w:rsidRPr="00530906" w:rsidRDefault="00145256" w:rsidP="00C54108">
            <w:pPr>
              <w:spacing w:line="259" w:lineRule="auto"/>
              <w:jc w:val="both"/>
              <w:rPr>
                <w:sz w:val="12"/>
                <w:szCs w:val="12"/>
              </w:rPr>
            </w:pPr>
            <w:r w:rsidRPr="00530906">
              <w:rPr>
                <w:sz w:val="12"/>
                <w:szCs w:val="12"/>
              </w:rPr>
              <w:t>intimacy of social network,</w:t>
            </w:r>
          </w:p>
        </w:tc>
        <w:tc>
          <w:tcPr>
            <w:tcW w:w="543" w:type="dxa"/>
            <w:hideMark/>
          </w:tcPr>
          <w:p w14:paraId="7D819893"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6FC74645"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4ADFC378"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055ABCE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050E538C"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11A7E2F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0BB3E60"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5A54D37F"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03429B43"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D4B10F0"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3D5987D"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447C0F7"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6FC27721"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12611E0F"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32CADCAC"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2B80874E"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7CD3867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9DB4A5E" w14:textId="77777777" w:rsidR="00145256" w:rsidRPr="00530906" w:rsidRDefault="00145256" w:rsidP="00C54108">
            <w:pPr>
              <w:spacing w:line="259" w:lineRule="auto"/>
              <w:jc w:val="both"/>
              <w:rPr>
                <w:sz w:val="12"/>
                <w:szCs w:val="12"/>
              </w:rPr>
            </w:pPr>
            <w:r w:rsidRPr="00530906">
              <w:rPr>
                <w:sz w:val="12"/>
                <w:szCs w:val="12"/>
              </w:rPr>
              <w:t>Size of the network</w:t>
            </w:r>
          </w:p>
        </w:tc>
      </w:tr>
      <w:tr w:rsidR="00145256" w:rsidRPr="00530906" w14:paraId="37D9D206" w14:textId="77777777" w:rsidTr="00C34468">
        <w:trPr>
          <w:trHeight w:val="480"/>
        </w:trPr>
        <w:tc>
          <w:tcPr>
            <w:tcW w:w="528" w:type="dxa"/>
            <w:hideMark/>
          </w:tcPr>
          <w:p w14:paraId="1C89A57B" w14:textId="77777777" w:rsidR="00145256" w:rsidRPr="00530906" w:rsidRDefault="00145256" w:rsidP="00C54108">
            <w:pPr>
              <w:spacing w:line="259" w:lineRule="auto"/>
              <w:jc w:val="both"/>
              <w:rPr>
                <w:sz w:val="12"/>
                <w:szCs w:val="12"/>
              </w:rPr>
            </w:pPr>
            <w:r w:rsidRPr="00530906">
              <w:rPr>
                <w:sz w:val="12"/>
                <w:szCs w:val="12"/>
              </w:rPr>
              <w:t>Nikolinakou and King (2018)</w:t>
            </w:r>
          </w:p>
        </w:tc>
        <w:tc>
          <w:tcPr>
            <w:tcW w:w="476" w:type="dxa"/>
            <w:hideMark/>
          </w:tcPr>
          <w:p w14:paraId="679E22E4"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38AD8269"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370BA1A"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46A06DFB"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3A81DD0"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338C700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DB3AB78"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60C5E106"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256997E"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6F4B4958"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36499541" w14:textId="77777777" w:rsidR="00145256" w:rsidRPr="00530906" w:rsidRDefault="00145256" w:rsidP="00C54108">
            <w:pPr>
              <w:spacing w:line="259" w:lineRule="auto"/>
              <w:jc w:val="both"/>
              <w:rPr>
                <w:sz w:val="12"/>
                <w:szCs w:val="12"/>
              </w:rPr>
            </w:pPr>
            <w:r w:rsidRPr="00530906">
              <w:rPr>
                <w:sz w:val="12"/>
                <w:szCs w:val="12"/>
              </w:rPr>
              <w:t>positive emotion</w:t>
            </w:r>
          </w:p>
        </w:tc>
        <w:tc>
          <w:tcPr>
            <w:tcW w:w="413" w:type="dxa"/>
            <w:hideMark/>
          </w:tcPr>
          <w:p w14:paraId="3FEFA1D3"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71FF2DE" w14:textId="77777777" w:rsidR="00145256" w:rsidRPr="00530906" w:rsidRDefault="00145256" w:rsidP="00C54108">
            <w:pPr>
              <w:spacing w:line="259" w:lineRule="auto"/>
              <w:jc w:val="both"/>
              <w:rPr>
                <w:sz w:val="12"/>
                <w:szCs w:val="12"/>
              </w:rPr>
            </w:pPr>
            <w:r w:rsidRPr="00530906">
              <w:rPr>
                <w:sz w:val="12"/>
                <w:szCs w:val="12"/>
              </w:rPr>
              <w:t>product involvement</w:t>
            </w:r>
          </w:p>
        </w:tc>
        <w:tc>
          <w:tcPr>
            <w:tcW w:w="500" w:type="dxa"/>
            <w:hideMark/>
          </w:tcPr>
          <w:p w14:paraId="4FB518F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18BD8A1"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1D027FF7"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03F3FABB" w14:textId="77777777" w:rsidR="00145256" w:rsidRPr="00530906" w:rsidRDefault="00145256" w:rsidP="00C54108">
            <w:pPr>
              <w:spacing w:line="259" w:lineRule="auto"/>
              <w:jc w:val="both"/>
              <w:rPr>
                <w:sz w:val="12"/>
                <w:szCs w:val="12"/>
              </w:rPr>
            </w:pPr>
            <w:r w:rsidRPr="00530906">
              <w:rPr>
                <w:sz w:val="12"/>
                <w:szCs w:val="12"/>
              </w:rPr>
              <w:t>brand attitude</w:t>
            </w:r>
          </w:p>
        </w:tc>
        <w:tc>
          <w:tcPr>
            <w:tcW w:w="447" w:type="dxa"/>
            <w:hideMark/>
          </w:tcPr>
          <w:p w14:paraId="41E67CCC"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24E8609"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978DEA2"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0D01E51D"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1CBF517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72A52A74"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455A9761"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3F6E4C2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56CBEA1"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240A36C" w14:textId="77777777" w:rsidTr="00C34468">
        <w:trPr>
          <w:trHeight w:val="1920"/>
        </w:trPr>
        <w:tc>
          <w:tcPr>
            <w:tcW w:w="528" w:type="dxa"/>
            <w:hideMark/>
          </w:tcPr>
          <w:p w14:paraId="3A5AF81D" w14:textId="77777777" w:rsidR="00145256" w:rsidRPr="00530906" w:rsidRDefault="00145256" w:rsidP="00C54108">
            <w:pPr>
              <w:spacing w:line="259" w:lineRule="auto"/>
              <w:jc w:val="both"/>
              <w:rPr>
                <w:sz w:val="12"/>
                <w:szCs w:val="12"/>
              </w:rPr>
            </w:pPr>
            <w:r w:rsidRPr="00530906">
              <w:rPr>
                <w:sz w:val="12"/>
                <w:szCs w:val="12"/>
              </w:rPr>
              <w:t>Tang et al (2018)</w:t>
            </w:r>
          </w:p>
        </w:tc>
        <w:tc>
          <w:tcPr>
            <w:tcW w:w="476" w:type="dxa"/>
            <w:hideMark/>
          </w:tcPr>
          <w:p w14:paraId="4EED3266"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7CB33FEE"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03A8753E"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70A66EAA"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3BF050DE"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0D5B17B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AA96A65"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0639742"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17AE8E7A"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1E9CAD72"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7BB6C10F"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2D1943B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D470F8E"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6A2C9925" w14:textId="77777777" w:rsidR="00145256" w:rsidRPr="00530906" w:rsidRDefault="00145256" w:rsidP="00C54108">
            <w:pPr>
              <w:spacing w:line="259" w:lineRule="auto"/>
              <w:jc w:val="both"/>
              <w:rPr>
                <w:sz w:val="12"/>
                <w:szCs w:val="12"/>
              </w:rPr>
            </w:pPr>
            <w:r w:rsidRPr="00530906">
              <w:rPr>
                <w:sz w:val="12"/>
                <w:szCs w:val="12"/>
              </w:rPr>
              <w:t>Person–brand fit, need–supplies fit, value–based group fit, personality–based group fit.</w:t>
            </w:r>
          </w:p>
        </w:tc>
        <w:tc>
          <w:tcPr>
            <w:tcW w:w="513" w:type="dxa"/>
            <w:hideMark/>
          </w:tcPr>
          <w:p w14:paraId="4BFC031F"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1E109E92"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EA00680"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5C2656EE"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5E1E12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0588205E"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524E5F49"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23AA42A5"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5CB8696"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7BF70FBD"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5023D167"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9252D1F"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25F8C71E" w14:textId="77777777" w:rsidTr="00C34468">
        <w:trPr>
          <w:trHeight w:val="720"/>
        </w:trPr>
        <w:tc>
          <w:tcPr>
            <w:tcW w:w="528" w:type="dxa"/>
            <w:hideMark/>
          </w:tcPr>
          <w:p w14:paraId="34CA6A09" w14:textId="77777777" w:rsidR="00145256" w:rsidRPr="00530906" w:rsidRDefault="00145256" w:rsidP="00C54108">
            <w:pPr>
              <w:spacing w:line="259" w:lineRule="auto"/>
              <w:jc w:val="both"/>
              <w:rPr>
                <w:sz w:val="12"/>
                <w:szCs w:val="12"/>
              </w:rPr>
            </w:pPr>
            <w:r w:rsidRPr="00530906">
              <w:rPr>
                <w:sz w:val="12"/>
                <w:szCs w:val="12"/>
              </w:rPr>
              <w:t>Voorveld et al (2018)</w:t>
            </w:r>
          </w:p>
        </w:tc>
        <w:tc>
          <w:tcPr>
            <w:tcW w:w="476" w:type="dxa"/>
            <w:hideMark/>
          </w:tcPr>
          <w:p w14:paraId="5452A23A"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01266570"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390E2F69"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703DB20C"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9E4790A"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D041FB8"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2419A54"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69CA631A"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1448CD71"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47FE183B"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79F46167" w14:textId="77777777" w:rsidR="00145256" w:rsidRPr="00530906" w:rsidRDefault="00145256" w:rsidP="00C54108">
            <w:pPr>
              <w:spacing w:line="259" w:lineRule="auto"/>
              <w:jc w:val="both"/>
              <w:rPr>
                <w:sz w:val="12"/>
                <w:szCs w:val="12"/>
              </w:rPr>
            </w:pPr>
            <w:r w:rsidRPr="00530906">
              <w:rPr>
                <w:sz w:val="12"/>
                <w:szCs w:val="12"/>
              </w:rPr>
              <w:t>social media platform experience</w:t>
            </w:r>
          </w:p>
        </w:tc>
        <w:tc>
          <w:tcPr>
            <w:tcW w:w="413" w:type="dxa"/>
            <w:hideMark/>
          </w:tcPr>
          <w:p w14:paraId="2F49A1AF"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6CC7464"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5C99F48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9477EFF"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66DFB1D5"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EB6373C"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1F71C022"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69E488D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F621ADB"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71AD4EB3"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20B10EB5"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438DFBF6"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3907EDC6"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0039A3D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E503472"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44F120F6" w14:textId="77777777" w:rsidTr="00C34468">
        <w:trPr>
          <w:trHeight w:val="1260"/>
        </w:trPr>
        <w:tc>
          <w:tcPr>
            <w:tcW w:w="528" w:type="dxa"/>
            <w:hideMark/>
          </w:tcPr>
          <w:p w14:paraId="53FB999F" w14:textId="77777777" w:rsidR="00145256" w:rsidRPr="00530906" w:rsidRDefault="00145256" w:rsidP="00C54108">
            <w:pPr>
              <w:spacing w:line="259" w:lineRule="auto"/>
              <w:jc w:val="both"/>
              <w:rPr>
                <w:sz w:val="12"/>
                <w:szCs w:val="12"/>
              </w:rPr>
            </w:pPr>
            <w:r w:rsidRPr="00530906">
              <w:rPr>
                <w:sz w:val="12"/>
                <w:szCs w:val="12"/>
              </w:rPr>
              <w:t>Benson et al (2019)</w:t>
            </w:r>
          </w:p>
        </w:tc>
        <w:tc>
          <w:tcPr>
            <w:tcW w:w="476" w:type="dxa"/>
            <w:hideMark/>
          </w:tcPr>
          <w:p w14:paraId="76414CCA"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422BCE07" w14:textId="77777777" w:rsidR="00145256" w:rsidRPr="00530906" w:rsidRDefault="00145256" w:rsidP="00C54108">
            <w:pPr>
              <w:spacing w:line="259" w:lineRule="auto"/>
              <w:jc w:val="both"/>
              <w:rPr>
                <w:sz w:val="12"/>
                <w:szCs w:val="12"/>
              </w:rPr>
            </w:pPr>
            <w:r w:rsidRPr="00530906">
              <w:rPr>
                <w:sz w:val="12"/>
                <w:szCs w:val="12"/>
              </w:rPr>
              <w:t>Users' trust on vendors</w:t>
            </w:r>
          </w:p>
        </w:tc>
        <w:tc>
          <w:tcPr>
            <w:tcW w:w="443" w:type="dxa"/>
            <w:hideMark/>
          </w:tcPr>
          <w:p w14:paraId="258BCB12"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7EFA33EC"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5FA6E263"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2047E15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09C4CE7"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073EF74A"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15A17C4C"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6F2A273E"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3F305D7D"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D7F4C1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797EE38"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7A9AB39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BE841C9"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383069CD"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457B6A3"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4066AE6"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53FD1AC"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C5B7E57" w14:textId="77777777" w:rsidR="00145256" w:rsidRPr="00530906" w:rsidRDefault="00145256" w:rsidP="00C54108">
            <w:pPr>
              <w:spacing w:line="259" w:lineRule="auto"/>
              <w:jc w:val="both"/>
              <w:rPr>
                <w:sz w:val="12"/>
                <w:szCs w:val="12"/>
              </w:rPr>
            </w:pPr>
            <w:r w:rsidRPr="00530906">
              <w:rPr>
                <w:sz w:val="12"/>
                <w:szCs w:val="12"/>
              </w:rPr>
              <w:t>willingness to take risk</w:t>
            </w:r>
          </w:p>
        </w:tc>
        <w:tc>
          <w:tcPr>
            <w:tcW w:w="518" w:type="dxa"/>
            <w:hideMark/>
          </w:tcPr>
          <w:p w14:paraId="7D0A94B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19F70FE9"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362A2DBE" w14:textId="77777777" w:rsidR="00145256" w:rsidRPr="00530906" w:rsidRDefault="00145256" w:rsidP="00C54108">
            <w:pPr>
              <w:spacing w:line="259" w:lineRule="auto"/>
              <w:jc w:val="both"/>
              <w:rPr>
                <w:sz w:val="12"/>
                <w:szCs w:val="12"/>
              </w:rPr>
            </w:pPr>
            <w:r w:rsidRPr="00530906">
              <w:rPr>
                <w:sz w:val="12"/>
                <w:szCs w:val="12"/>
              </w:rPr>
              <w:t>technical efficiency</w:t>
            </w:r>
          </w:p>
        </w:tc>
        <w:tc>
          <w:tcPr>
            <w:tcW w:w="522" w:type="dxa"/>
            <w:hideMark/>
          </w:tcPr>
          <w:p w14:paraId="0B29B289" w14:textId="77777777" w:rsidR="00145256" w:rsidRPr="00530906" w:rsidRDefault="00145256" w:rsidP="00C54108">
            <w:pPr>
              <w:spacing w:line="259" w:lineRule="auto"/>
              <w:jc w:val="both"/>
              <w:rPr>
                <w:sz w:val="12"/>
                <w:szCs w:val="12"/>
              </w:rPr>
            </w:pPr>
            <w:r w:rsidRPr="00530906">
              <w:rPr>
                <w:sz w:val="12"/>
                <w:szCs w:val="12"/>
              </w:rPr>
              <w:t>trusting tendency of the user</w:t>
            </w:r>
          </w:p>
        </w:tc>
        <w:tc>
          <w:tcPr>
            <w:tcW w:w="549" w:type="dxa"/>
            <w:hideMark/>
          </w:tcPr>
          <w:p w14:paraId="59B2E372"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ECC76AA" w14:textId="77777777" w:rsidR="00145256" w:rsidRPr="00530906" w:rsidRDefault="00145256" w:rsidP="00C54108">
            <w:pPr>
              <w:spacing w:line="259" w:lineRule="auto"/>
              <w:jc w:val="both"/>
              <w:rPr>
                <w:sz w:val="12"/>
                <w:szCs w:val="12"/>
              </w:rPr>
            </w:pPr>
            <w:r w:rsidRPr="00530906">
              <w:rPr>
                <w:sz w:val="12"/>
                <w:szCs w:val="12"/>
              </w:rPr>
              <w:t>perceived control over personal information</w:t>
            </w:r>
          </w:p>
        </w:tc>
      </w:tr>
      <w:tr w:rsidR="00145256" w:rsidRPr="00530906" w14:paraId="2A9CB017" w14:textId="77777777" w:rsidTr="00C34468">
        <w:trPr>
          <w:trHeight w:val="720"/>
        </w:trPr>
        <w:tc>
          <w:tcPr>
            <w:tcW w:w="528" w:type="dxa"/>
            <w:hideMark/>
          </w:tcPr>
          <w:p w14:paraId="718A68F6" w14:textId="77777777" w:rsidR="00145256" w:rsidRPr="00530906" w:rsidRDefault="00145256" w:rsidP="00C54108">
            <w:pPr>
              <w:spacing w:line="259" w:lineRule="auto"/>
              <w:jc w:val="both"/>
              <w:rPr>
                <w:sz w:val="12"/>
                <w:szCs w:val="12"/>
              </w:rPr>
            </w:pPr>
            <w:r w:rsidRPr="00530906">
              <w:rPr>
                <w:sz w:val="12"/>
                <w:szCs w:val="12"/>
              </w:rPr>
              <w:t>Hughes et al (2019)</w:t>
            </w:r>
          </w:p>
        </w:tc>
        <w:tc>
          <w:tcPr>
            <w:tcW w:w="476" w:type="dxa"/>
            <w:hideMark/>
          </w:tcPr>
          <w:p w14:paraId="65E99F46" w14:textId="77777777" w:rsidR="00145256" w:rsidRPr="00530906" w:rsidRDefault="00145256" w:rsidP="00C54108">
            <w:pPr>
              <w:spacing w:line="259" w:lineRule="auto"/>
              <w:jc w:val="both"/>
              <w:rPr>
                <w:sz w:val="12"/>
                <w:szCs w:val="12"/>
              </w:rPr>
            </w:pPr>
            <w:r w:rsidRPr="00530906">
              <w:rPr>
                <w:sz w:val="12"/>
                <w:szCs w:val="12"/>
              </w:rPr>
              <w:t>expertise</w:t>
            </w:r>
          </w:p>
        </w:tc>
        <w:tc>
          <w:tcPr>
            <w:tcW w:w="578" w:type="dxa"/>
            <w:hideMark/>
          </w:tcPr>
          <w:p w14:paraId="4E902EA6"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0C5A7791"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5A9A050"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5777DE19"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2C90586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89C0970"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522D2FF"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34055B27"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4C86AAD4"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655461AD" w14:textId="77777777" w:rsidR="00145256" w:rsidRPr="00530906" w:rsidRDefault="00145256" w:rsidP="00C54108">
            <w:pPr>
              <w:spacing w:line="259" w:lineRule="auto"/>
              <w:jc w:val="both"/>
              <w:rPr>
                <w:sz w:val="12"/>
                <w:szCs w:val="12"/>
              </w:rPr>
            </w:pPr>
            <w:r w:rsidRPr="00530906">
              <w:rPr>
                <w:sz w:val="12"/>
                <w:szCs w:val="12"/>
              </w:rPr>
              <w:t>hedonic value of the post</w:t>
            </w:r>
          </w:p>
        </w:tc>
        <w:tc>
          <w:tcPr>
            <w:tcW w:w="413" w:type="dxa"/>
            <w:hideMark/>
          </w:tcPr>
          <w:p w14:paraId="713421CE"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801D49E"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7946AA1B"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6F8BFA0"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FDC33AB"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DB6F918"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5F7EDC9E"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0E27D81"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BF58B1E"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05E6BBCB"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FBF0F91"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FC5300D"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2AD13EA9"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385DAE5D" w14:textId="77777777" w:rsidR="00145256" w:rsidRPr="00530906" w:rsidRDefault="00145256" w:rsidP="00C54108">
            <w:pPr>
              <w:spacing w:line="259" w:lineRule="auto"/>
              <w:jc w:val="both"/>
              <w:rPr>
                <w:sz w:val="12"/>
                <w:szCs w:val="12"/>
              </w:rPr>
            </w:pPr>
            <w:r w:rsidRPr="00530906">
              <w:rPr>
                <w:sz w:val="12"/>
                <w:szCs w:val="12"/>
              </w:rPr>
              <w:t>campaign incentive, type of information</w:t>
            </w:r>
          </w:p>
        </w:tc>
        <w:tc>
          <w:tcPr>
            <w:tcW w:w="513" w:type="dxa"/>
            <w:hideMark/>
          </w:tcPr>
          <w:p w14:paraId="7CF6FEDF"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648B189" w14:textId="77777777" w:rsidTr="00C34468">
        <w:trPr>
          <w:trHeight w:val="480"/>
        </w:trPr>
        <w:tc>
          <w:tcPr>
            <w:tcW w:w="528" w:type="dxa"/>
            <w:hideMark/>
          </w:tcPr>
          <w:p w14:paraId="581C3E97" w14:textId="77777777" w:rsidR="00145256" w:rsidRPr="00530906" w:rsidRDefault="00145256" w:rsidP="00C54108">
            <w:pPr>
              <w:spacing w:line="259" w:lineRule="auto"/>
              <w:jc w:val="both"/>
              <w:rPr>
                <w:sz w:val="12"/>
                <w:szCs w:val="12"/>
              </w:rPr>
            </w:pPr>
            <w:r w:rsidRPr="00530906">
              <w:rPr>
                <w:sz w:val="12"/>
                <w:szCs w:val="12"/>
              </w:rPr>
              <w:t>Ki et al (2019)</w:t>
            </w:r>
          </w:p>
        </w:tc>
        <w:tc>
          <w:tcPr>
            <w:tcW w:w="476" w:type="dxa"/>
            <w:hideMark/>
          </w:tcPr>
          <w:p w14:paraId="4E9A17B2"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088BF6A3"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C817F10"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EF47D54" w14:textId="77777777" w:rsidR="00145256" w:rsidRPr="00530906" w:rsidRDefault="00145256" w:rsidP="00C54108">
            <w:pPr>
              <w:spacing w:line="259" w:lineRule="auto"/>
              <w:jc w:val="both"/>
              <w:rPr>
                <w:sz w:val="12"/>
                <w:szCs w:val="12"/>
              </w:rPr>
            </w:pPr>
            <w:r w:rsidRPr="00530906">
              <w:rPr>
                <w:sz w:val="12"/>
                <w:szCs w:val="12"/>
              </w:rPr>
              <w:t>influencers' characteristics</w:t>
            </w:r>
          </w:p>
        </w:tc>
        <w:tc>
          <w:tcPr>
            <w:tcW w:w="474" w:type="dxa"/>
            <w:hideMark/>
          </w:tcPr>
          <w:p w14:paraId="5478C460"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38126DF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61092F0"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34E1D99B"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5765CFAC"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77DCD472"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6DCF06E2"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A47F47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57AC735"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23922C3"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4F73288"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7A5A853D"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DB67356"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5B73A5F3" w14:textId="77777777" w:rsidR="00145256" w:rsidRPr="00530906" w:rsidRDefault="00145256" w:rsidP="00C54108">
            <w:pPr>
              <w:spacing w:line="259" w:lineRule="auto"/>
              <w:jc w:val="both"/>
              <w:rPr>
                <w:sz w:val="12"/>
                <w:szCs w:val="12"/>
              </w:rPr>
            </w:pPr>
            <w:r w:rsidRPr="00530906">
              <w:rPr>
                <w:sz w:val="12"/>
                <w:szCs w:val="12"/>
              </w:rPr>
              <w:t>Targets' attitude</w:t>
            </w:r>
          </w:p>
        </w:tc>
        <w:tc>
          <w:tcPr>
            <w:tcW w:w="553" w:type="dxa"/>
            <w:hideMark/>
          </w:tcPr>
          <w:p w14:paraId="7EB230EB"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50B98D1"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78F23DB3"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0035E994"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F4E757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6FFCE72A"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543D206E" w14:textId="77777777" w:rsidR="00145256" w:rsidRPr="00530906" w:rsidRDefault="00145256" w:rsidP="00C54108">
            <w:pPr>
              <w:spacing w:line="259" w:lineRule="auto"/>
              <w:jc w:val="both"/>
              <w:rPr>
                <w:sz w:val="12"/>
                <w:szCs w:val="12"/>
              </w:rPr>
            </w:pPr>
            <w:r w:rsidRPr="00530906">
              <w:rPr>
                <w:sz w:val="12"/>
                <w:szCs w:val="12"/>
              </w:rPr>
              <w:t>information/ content</w:t>
            </w:r>
          </w:p>
        </w:tc>
        <w:tc>
          <w:tcPr>
            <w:tcW w:w="513" w:type="dxa"/>
            <w:hideMark/>
          </w:tcPr>
          <w:p w14:paraId="481204A3"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37F7703E" w14:textId="77777777" w:rsidTr="00C34468">
        <w:trPr>
          <w:trHeight w:val="960"/>
        </w:trPr>
        <w:tc>
          <w:tcPr>
            <w:tcW w:w="528" w:type="dxa"/>
            <w:hideMark/>
          </w:tcPr>
          <w:p w14:paraId="5DCFCA2E" w14:textId="77777777" w:rsidR="00145256" w:rsidRPr="00530906" w:rsidRDefault="00145256" w:rsidP="00C54108">
            <w:pPr>
              <w:spacing w:line="259" w:lineRule="auto"/>
              <w:jc w:val="both"/>
              <w:rPr>
                <w:sz w:val="12"/>
                <w:szCs w:val="12"/>
              </w:rPr>
            </w:pPr>
            <w:r w:rsidRPr="00530906">
              <w:rPr>
                <w:sz w:val="12"/>
                <w:szCs w:val="12"/>
              </w:rPr>
              <w:t>Kiani and Laroche (2019)</w:t>
            </w:r>
          </w:p>
        </w:tc>
        <w:tc>
          <w:tcPr>
            <w:tcW w:w="476" w:type="dxa"/>
            <w:hideMark/>
          </w:tcPr>
          <w:p w14:paraId="078C38D5"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296CE8FF"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52333928"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1224880E"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E84305E"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5040513A"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E78F80F"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1D13710"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223A0B99"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7DBBB8F" w14:textId="77777777" w:rsidR="00145256" w:rsidRPr="00530906" w:rsidRDefault="00145256" w:rsidP="00C54108">
            <w:pPr>
              <w:spacing w:line="259" w:lineRule="auto"/>
              <w:jc w:val="both"/>
              <w:rPr>
                <w:sz w:val="12"/>
                <w:szCs w:val="12"/>
              </w:rPr>
            </w:pPr>
            <w:r w:rsidRPr="00530906">
              <w:rPr>
                <w:sz w:val="12"/>
                <w:szCs w:val="12"/>
              </w:rPr>
              <w:t>susceptibility of normative influence of the maven,</w:t>
            </w:r>
          </w:p>
        </w:tc>
        <w:tc>
          <w:tcPr>
            <w:tcW w:w="550" w:type="dxa"/>
            <w:hideMark/>
          </w:tcPr>
          <w:p w14:paraId="33B721A9"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13931987"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0D470E50"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79FCC45D"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106118D"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10DC5279"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6F54B65C" w14:textId="77777777" w:rsidR="00145256" w:rsidRPr="00530906" w:rsidRDefault="00145256" w:rsidP="00C54108">
            <w:pPr>
              <w:spacing w:line="259" w:lineRule="auto"/>
              <w:jc w:val="both"/>
              <w:rPr>
                <w:sz w:val="12"/>
                <w:szCs w:val="12"/>
              </w:rPr>
            </w:pPr>
            <w:r w:rsidRPr="00530906">
              <w:rPr>
                <w:sz w:val="12"/>
                <w:szCs w:val="12"/>
              </w:rPr>
              <w:t>self esteem</w:t>
            </w:r>
          </w:p>
        </w:tc>
        <w:tc>
          <w:tcPr>
            <w:tcW w:w="447" w:type="dxa"/>
            <w:hideMark/>
          </w:tcPr>
          <w:p w14:paraId="1FE4CF6D"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7F6409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D17EED1"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0A31903C"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2A770C24"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3419795A"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505134FB"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566A5F5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9D97F5A" w14:textId="77777777" w:rsidR="00145256" w:rsidRPr="00530906" w:rsidRDefault="00145256" w:rsidP="00C54108">
            <w:pPr>
              <w:spacing w:line="259" w:lineRule="auto"/>
              <w:jc w:val="both"/>
              <w:rPr>
                <w:sz w:val="12"/>
                <w:szCs w:val="12"/>
              </w:rPr>
            </w:pPr>
            <w:r w:rsidRPr="00530906">
              <w:rPr>
                <w:sz w:val="12"/>
                <w:szCs w:val="12"/>
              </w:rPr>
              <w:t>media platform</w:t>
            </w:r>
          </w:p>
        </w:tc>
      </w:tr>
      <w:tr w:rsidR="00145256" w:rsidRPr="00530906" w14:paraId="01571B42" w14:textId="77777777" w:rsidTr="00C34468">
        <w:trPr>
          <w:trHeight w:val="960"/>
        </w:trPr>
        <w:tc>
          <w:tcPr>
            <w:tcW w:w="528" w:type="dxa"/>
            <w:hideMark/>
          </w:tcPr>
          <w:p w14:paraId="2A99DE7B" w14:textId="77777777" w:rsidR="00145256" w:rsidRPr="00530906" w:rsidRDefault="00145256" w:rsidP="00C54108">
            <w:pPr>
              <w:spacing w:line="259" w:lineRule="auto"/>
              <w:jc w:val="both"/>
              <w:rPr>
                <w:sz w:val="12"/>
                <w:szCs w:val="12"/>
              </w:rPr>
            </w:pPr>
            <w:r w:rsidRPr="00530906">
              <w:rPr>
                <w:sz w:val="12"/>
                <w:szCs w:val="12"/>
              </w:rPr>
              <w:t>Kim and Dennis (2019)</w:t>
            </w:r>
          </w:p>
        </w:tc>
        <w:tc>
          <w:tcPr>
            <w:tcW w:w="476" w:type="dxa"/>
            <w:hideMark/>
          </w:tcPr>
          <w:p w14:paraId="6BF8D3FF" w14:textId="77777777" w:rsidR="00145256" w:rsidRPr="00530906" w:rsidRDefault="00145256" w:rsidP="00C54108">
            <w:pPr>
              <w:spacing w:line="259" w:lineRule="auto"/>
              <w:jc w:val="both"/>
              <w:rPr>
                <w:sz w:val="12"/>
                <w:szCs w:val="12"/>
              </w:rPr>
            </w:pPr>
            <w:r w:rsidRPr="00530906">
              <w:rPr>
                <w:sz w:val="12"/>
                <w:szCs w:val="12"/>
              </w:rPr>
              <w:t xml:space="preserve">source rating, </w:t>
            </w:r>
          </w:p>
        </w:tc>
        <w:tc>
          <w:tcPr>
            <w:tcW w:w="578" w:type="dxa"/>
            <w:hideMark/>
          </w:tcPr>
          <w:p w14:paraId="43E9CA22"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AFC54C9"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3D4DAC70"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67DD239F" w14:textId="77777777" w:rsidR="00145256" w:rsidRPr="00530906" w:rsidRDefault="00145256" w:rsidP="00C54108">
            <w:pPr>
              <w:spacing w:line="259" w:lineRule="auto"/>
              <w:jc w:val="both"/>
              <w:rPr>
                <w:sz w:val="12"/>
                <w:szCs w:val="12"/>
              </w:rPr>
            </w:pPr>
            <w:r w:rsidRPr="00530906">
              <w:rPr>
                <w:sz w:val="12"/>
                <w:szCs w:val="12"/>
              </w:rPr>
              <w:t>source primacy format</w:t>
            </w:r>
          </w:p>
        </w:tc>
        <w:tc>
          <w:tcPr>
            <w:tcW w:w="463" w:type="dxa"/>
            <w:hideMark/>
          </w:tcPr>
          <w:p w14:paraId="29AC69E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5668506F"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7AE29A06"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623BC101"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96821B3"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1AE19DCE"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5C6FB02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3C539C8"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0468C4B"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2D80DC88"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43992B98"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662A3471"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7C2AC52A"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0FDACE9A" w14:textId="77777777" w:rsidR="00145256" w:rsidRPr="00530906" w:rsidRDefault="00145256" w:rsidP="00C54108">
            <w:pPr>
              <w:spacing w:line="259" w:lineRule="auto"/>
              <w:jc w:val="both"/>
              <w:rPr>
                <w:sz w:val="12"/>
                <w:szCs w:val="12"/>
              </w:rPr>
            </w:pPr>
            <w:r w:rsidRPr="00530906">
              <w:rPr>
                <w:sz w:val="12"/>
                <w:szCs w:val="12"/>
              </w:rPr>
              <w:t>confirmation bias (previous belief)</w:t>
            </w:r>
          </w:p>
        </w:tc>
        <w:tc>
          <w:tcPr>
            <w:tcW w:w="502" w:type="dxa"/>
            <w:hideMark/>
          </w:tcPr>
          <w:p w14:paraId="5834A49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769BFD7D"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5958982C"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36D2C240"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4E72EB2A"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29B482E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D0E86D4"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35DAAE5F" w14:textId="77777777" w:rsidTr="00C34468">
        <w:trPr>
          <w:trHeight w:val="960"/>
        </w:trPr>
        <w:tc>
          <w:tcPr>
            <w:tcW w:w="528" w:type="dxa"/>
            <w:hideMark/>
          </w:tcPr>
          <w:p w14:paraId="05BD54D9" w14:textId="77777777" w:rsidR="00145256" w:rsidRPr="00530906" w:rsidRDefault="00145256" w:rsidP="00C54108">
            <w:pPr>
              <w:spacing w:line="259" w:lineRule="auto"/>
              <w:jc w:val="both"/>
              <w:rPr>
                <w:sz w:val="12"/>
                <w:szCs w:val="12"/>
              </w:rPr>
            </w:pPr>
            <w:r w:rsidRPr="00530906">
              <w:rPr>
                <w:sz w:val="12"/>
                <w:szCs w:val="12"/>
              </w:rPr>
              <w:t>Kim et al (2019)</w:t>
            </w:r>
          </w:p>
        </w:tc>
        <w:tc>
          <w:tcPr>
            <w:tcW w:w="476" w:type="dxa"/>
            <w:hideMark/>
          </w:tcPr>
          <w:p w14:paraId="4B6CC034" w14:textId="77777777" w:rsidR="00145256" w:rsidRPr="00530906" w:rsidRDefault="00145256" w:rsidP="00C54108">
            <w:pPr>
              <w:spacing w:line="259" w:lineRule="auto"/>
              <w:jc w:val="both"/>
              <w:rPr>
                <w:sz w:val="12"/>
                <w:szCs w:val="12"/>
              </w:rPr>
            </w:pPr>
            <w:r w:rsidRPr="00530906">
              <w:rPr>
                <w:sz w:val="12"/>
                <w:szCs w:val="12"/>
              </w:rPr>
              <w:t xml:space="preserve"> source rating</w:t>
            </w:r>
          </w:p>
        </w:tc>
        <w:tc>
          <w:tcPr>
            <w:tcW w:w="578" w:type="dxa"/>
            <w:hideMark/>
          </w:tcPr>
          <w:p w14:paraId="26167925"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47324A65"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6F5CE93E"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5A6CE695" w14:textId="77777777" w:rsidR="00145256" w:rsidRPr="00530906" w:rsidRDefault="00145256" w:rsidP="00C54108">
            <w:pPr>
              <w:spacing w:line="259" w:lineRule="auto"/>
              <w:jc w:val="both"/>
              <w:rPr>
                <w:sz w:val="12"/>
                <w:szCs w:val="12"/>
              </w:rPr>
            </w:pPr>
            <w:r w:rsidRPr="00530906">
              <w:rPr>
                <w:sz w:val="12"/>
                <w:szCs w:val="12"/>
              </w:rPr>
              <w:t>source reputation,</w:t>
            </w:r>
          </w:p>
        </w:tc>
        <w:tc>
          <w:tcPr>
            <w:tcW w:w="463" w:type="dxa"/>
            <w:hideMark/>
          </w:tcPr>
          <w:p w14:paraId="1ED6D41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2938120"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5FCD6B62"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669D88BC"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449370FC"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67624178"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F769533"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4346A1FD"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7C1464C"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CB28DDB"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08F8BF89"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49D8AE5B"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18A5ACC2"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26E13DD5" w14:textId="77777777" w:rsidR="00145256" w:rsidRPr="00530906" w:rsidRDefault="00145256" w:rsidP="00C54108">
            <w:pPr>
              <w:spacing w:line="259" w:lineRule="auto"/>
              <w:jc w:val="both"/>
              <w:rPr>
                <w:sz w:val="12"/>
                <w:szCs w:val="12"/>
              </w:rPr>
            </w:pPr>
            <w:r w:rsidRPr="00530906">
              <w:rPr>
                <w:sz w:val="12"/>
                <w:szCs w:val="12"/>
              </w:rPr>
              <w:t>confirmation bias (previous belief)</w:t>
            </w:r>
          </w:p>
        </w:tc>
        <w:tc>
          <w:tcPr>
            <w:tcW w:w="502" w:type="dxa"/>
            <w:hideMark/>
          </w:tcPr>
          <w:p w14:paraId="2A0DE66D"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724DB976"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2AD0EA37"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2BB60DAF"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0237B3EA"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2DFDDA78"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EB30BDA"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4F9144B" w14:textId="77777777" w:rsidTr="00C34468">
        <w:trPr>
          <w:trHeight w:val="480"/>
        </w:trPr>
        <w:tc>
          <w:tcPr>
            <w:tcW w:w="528" w:type="dxa"/>
            <w:hideMark/>
          </w:tcPr>
          <w:p w14:paraId="216035E0" w14:textId="77777777" w:rsidR="00145256" w:rsidRPr="00530906" w:rsidRDefault="00145256" w:rsidP="00C54108">
            <w:pPr>
              <w:spacing w:line="259" w:lineRule="auto"/>
              <w:jc w:val="both"/>
              <w:rPr>
                <w:sz w:val="12"/>
                <w:szCs w:val="12"/>
              </w:rPr>
            </w:pPr>
            <w:r w:rsidRPr="00530906">
              <w:rPr>
                <w:sz w:val="12"/>
                <w:szCs w:val="12"/>
              </w:rPr>
              <w:t>Kristen et al (2019)</w:t>
            </w:r>
          </w:p>
        </w:tc>
        <w:tc>
          <w:tcPr>
            <w:tcW w:w="476" w:type="dxa"/>
            <w:hideMark/>
          </w:tcPr>
          <w:p w14:paraId="02FF912B"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2170DA57"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01750C89"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26E8E7C"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665CCCB0"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12576A2"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544E54A"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1F1D29D1"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3CD9F9EA"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11554853"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0FC4421E" w14:textId="77777777" w:rsidR="00145256" w:rsidRPr="00530906" w:rsidRDefault="00145256" w:rsidP="00C54108">
            <w:pPr>
              <w:spacing w:line="259" w:lineRule="auto"/>
              <w:jc w:val="both"/>
              <w:rPr>
                <w:sz w:val="12"/>
                <w:szCs w:val="12"/>
              </w:rPr>
            </w:pPr>
            <w:r w:rsidRPr="00530906">
              <w:rPr>
                <w:sz w:val="12"/>
                <w:szCs w:val="12"/>
              </w:rPr>
              <w:t>Motivation</w:t>
            </w:r>
          </w:p>
        </w:tc>
        <w:tc>
          <w:tcPr>
            <w:tcW w:w="413" w:type="dxa"/>
            <w:hideMark/>
          </w:tcPr>
          <w:p w14:paraId="77292195"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FFA432B"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EEFB425"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CDEBC19"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57E2B797"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FA9F1A6"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5A84652"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39E8989"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40F2D21"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45431518"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98D05D9"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72261E49"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3B64C929" w14:textId="77777777" w:rsidR="00145256" w:rsidRPr="00530906" w:rsidRDefault="00145256" w:rsidP="00C54108">
            <w:pPr>
              <w:spacing w:line="259" w:lineRule="auto"/>
              <w:jc w:val="both"/>
              <w:rPr>
                <w:sz w:val="12"/>
                <w:szCs w:val="12"/>
              </w:rPr>
            </w:pPr>
            <w:r w:rsidRPr="00530906">
              <w:rPr>
                <w:sz w:val="12"/>
                <w:szCs w:val="12"/>
              </w:rPr>
              <w:t>Focus of the users</w:t>
            </w:r>
          </w:p>
        </w:tc>
        <w:tc>
          <w:tcPr>
            <w:tcW w:w="549" w:type="dxa"/>
            <w:hideMark/>
          </w:tcPr>
          <w:p w14:paraId="2486007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3CB9AA9" w14:textId="77777777" w:rsidR="00145256" w:rsidRPr="00530906" w:rsidRDefault="00145256" w:rsidP="00C54108">
            <w:pPr>
              <w:spacing w:line="259" w:lineRule="auto"/>
              <w:jc w:val="both"/>
              <w:rPr>
                <w:sz w:val="12"/>
                <w:szCs w:val="12"/>
              </w:rPr>
            </w:pPr>
            <w:r w:rsidRPr="00530906">
              <w:rPr>
                <w:sz w:val="12"/>
                <w:szCs w:val="12"/>
              </w:rPr>
              <w:t> </w:t>
            </w:r>
          </w:p>
        </w:tc>
      </w:tr>
      <w:tr w:rsidR="00C34468" w:rsidRPr="00530906" w14:paraId="638A3ADB" w14:textId="77777777" w:rsidTr="00C34468">
        <w:trPr>
          <w:trHeight w:val="1200"/>
        </w:trPr>
        <w:tc>
          <w:tcPr>
            <w:tcW w:w="528" w:type="dxa"/>
            <w:hideMark/>
          </w:tcPr>
          <w:p w14:paraId="128C655A" w14:textId="29ACDAB3" w:rsidR="00C34468" w:rsidRPr="00530906" w:rsidRDefault="00C34468" w:rsidP="00C34468">
            <w:pPr>
              <w:spacing w:line="259" w:lineRule="auto"/>
              <w:jc w:val="both"/>
              <w:rPr>
                <w:sz w:val="12"/>
                <w:szCs w:val="12"/>
              </w:rPr>
            </w:pPr>
            <w:r w:rsidRPr="00530906">
              <w:rPr>
                <w:sz w:val="12"/>
                <w:szCs w:val="12"/>
              </w:rPr>
              <w:t>Lin et al (2019)</w:t>
            </w:r>
          </w:p>
        </w:tc>
        <w:tc>
          <w:tcPr>
            <w:tcW w:w="476" w:type="dxa"/>
            <w:hideMark/>
          </w:tcPr>
          <w:p w14:paraId="2F18FAF3" w14:textId="541FA67B" w:rsidR="00C34468" w:rsidRPr="00530906" w:rsidRDefault="00C34468" w:rsidP="00C34468">
            <w:pPr>
              <w:spacing w:line="259" w:lineRule="auto"/>
              <w:jc w:val="both"/>
              <w:rPr>
                <w:sz w:val="12"/>
                <w:szCs w:val="12"/>
              </w:rPr>
            </w:pPr>
            <w:r w:rsidRPr="00530906">
              <w:rPr>
                <w:sz w:val="12"/>
                <w:szCs w:val="12"/>
              </w:rPr>
              <w:t> </w:t>
            </w:r>
          </w:p>
        </w:tc>
        <w:tc>
          <w:tcPr>
            <w:tcW w:w="578" w:type="dxa"/>
            <w:hideMark/>
          </w:tcPr>
          <w:p w14:paraId="6C5FFA2A" w14:textId="5EA0E3D5" w:rsidR="00C34468" w:rsidRPr="00530906" w:rsidRDefault="00C34468" w:rsidP="00C34468">
            <w:pPr>
              <w:spacing w:line="259" w:lineRule="auto"/>
              <w:jc w:val="both"/>
              <w:rPr>
                <w:sz w:val="12"/>
                <w:szCs w:val="12"/>
              </w:rPr>
            </w:pPr>
            <w:r w:rsidRPr="00530906">
              <w:rPr>
                <w:sz w:val="12"/>
                <w:szCs w:val="12"/>
              </w:rPr>
              <w:t> </w:t>
            </w:r>
          </w:p>
        </w:tc>
        <w:tc>
          <w:tcPr>
            <w:tcW w:w="443" w:type="dxa"/>
            <w:hideMark/>
          </w:tcPr>
          <w:p w14:paraId="390D1ECF" w14:textId="13B61D08" w:rsidR="00C34468" w:rsidRPr="00530906" w:rsidRDefault="00C34468" w:rsidP="00C34468">
            <w:pPr>
              <w:spacing w:line="259" w:lineRule="auto"/>
              <w:jc w:val="both"/>
              <w:rPr>
                <w:sz w:val="12"/>
                <w:szCs w:val="12"/>
              </w:rPr>
            </w:pPr>
            <w:r w:rsidRPr="00530906">
              <w:rPr>
                <w:sz w:val="12"/>
                <w:szCs w:val="12"/>
              </w:rPr>
              <w:t> </w:t>
            </w:r>
          </w:p>
        </w:tc>
        <w:tc>
          <w:tcPr>
            <w:tcW w:w="546" w:type="dxa"/>
            <w:hideMark/>
          </w:tcPr>
          <w:p w14:paraId="4763C749" w14:textId="1138C2B0" w:rsidR="00C34468" w:rsidRPr="00530906" w:rsidRDefault="00C34468" w:rsidP="00C34468">
            <w:pPr>
              <w:spacing w:line="259" w:lineRule="auto"/>
              <w:jc w:val="both"/>
              <w:rPr>
                <w:sz w:val="12"/>
                <w:szCs w:val="12"/>
              </w:rPr>
            </w:pPr>
            <w:r w:rsidRPr="00530906">
              <w:rPr>
                <w:sz w:val="12"/>
                <w:szCs w:val="12"/>
              </w:rPr>
              <w:t> </w:t>
            </w:r>
          </w:p>
        </w:tc>
        <w:tc>
          <w:tcPr>
            <w:tcW w:w="474" w:type="dxa"/>
            <w:hideMark/>
          </w:tcPr>
          <w:p w14:paraId="59E11E6C" w14:textId="72189416" w:rsidR="00C34468" w:rsidRPr="00530906" w:rsidRDefault="00C34468" w:rsidP="00C34468">
            <w:pPr>
              <w:spacing w:line="259" w:lineRule="auto"/>
              <w:jc w:val="both"/>
              <w:rPr>
                <w:sz w:val="12"/>
                <w:szCs w:val="12"/>
              </w:rPr>
            </w:pPr>
            <w:r w:rsidRPr="00530906">
              <w:rPr>
                <w:sz w:val="12"/>
                <w:szCs w:val="12"/>
              </w:rPr>
              <w:t> </w:t>
            </w:r>
          </w:p>
        </w:tc>
        <w:tc>
          <w:tcPr>
            <w:tcW w:w="463" w:type="dxa"/>
            <w:hideMark/>
          </w:tcPr>
          <w:p w14:paraId="2C590C72" w14:textId="02B29616" w:rsidR="00C34468" w:rsidRPr="00530906" w:rsidRDefault="00C34468" w:rsidP="00C34468">
            <w:pPr>
              <w:spacing w:line="259" w:lineRule="auto"/>
              <w:jc w:val="both"/>
              <w:rPr>
                <w:sz w:val="12"/>
                <w:szCs w:val="12"/>
              </w:rPr>
            </w:pPr>
            <w:r w:rsidRPr="00530906">
              <w:rPr>
                <w:sz w:val="12"/>
                <w:szCs w:val="12"/>
              </w:rPr>
              <w:t> </w:t>
            </w:r>
          </w:p>
        </w:tc>
        <w:tc>
          <w:tcPr>
            <w:tcW w:w="513" w:type="dxa"/>
            <w:hideMark/>
          </w:tcPr>
          <w:p w14:paraId="6F3F4AE0" w14:textId="30C6D5E2" w:rsidR="00C34468" w:rsidRPr="00530906" w:rsidRDefault="00C34468" w:rsidP="00C34468">
            <w:pPr>
              <w:spacing w:line="259" w:lineRule="auto"/>
              <w:jc w:val="both"/>
              <w:rPr>
                <w:sz w:val="12"/>
                <w:szCs w:val="12"/>
              </w:rPr>
            </w:pPr>
            <w:r w:rsidRPr="00530906">
              <w:rPr>
                <w:sz w:val="12"/>
                <w:szCs w:val="12"/>
              </w:rPr>
              <w:t>commitment</w:t>
            </w:r>
          </w:p>
        </w:tc>
        <w:tc>
          <w:tcPr>
            <w:tcW w:w="671" w:type="dxa"/>
            <w:hideMark/>
          </w:tcPr>
          <w:p w14:paraId="6A286EEE" w14:textId="6878D7D9" w:rsidR="00C34468" w:rsidRPr="00530906" w:rsidRDefault="00C34468" w:rsidP="00C34468">
            <w:pPr>
              <w:spacing w:line="259" w:lineRule="auto"/>
              <w:jc w:val="both"/>
              <w:rPr>
                <w:sz w:val="12"/>
                <w:szCs w:val="12"/>
              </w:rPr>
            </w:pPr>
            <w:r w:rsidRPr="00530906">
              <w:rPr>
                <w:sz w:val="12"/>
                <w:szCs w:val="12"/>
              </w:rPr>
              <w:t xml:space="preserve">Social capital, Subjective norm, social ties, </w:t>
            </w:r>
          </w:p>
        </w:tc>
        <w:tc>
          <w:tcPr>
            <w:tcW w:w="543" w:type="dxa"/>
            <w:hideMark/>
          </w:tcPr>
          <w:p w14:paraId="2C348E88" w14:textId="5F5F3411" w:rsidR="00C34468" w:rsidRPr="00530906" w:rsidRDefault="00C34468" w:rsidP="00C34468">
            <w:pPr>
              <w:spacing w:line="259" w:lineRule="auto"/>
              <w:jc w:val="both"/>
              <w:rPr>
                <w:sz w:val="12"/>
                <w:szCs w:val="12"/>
              </w:rPr>
            </w:pPr>
            <w:r w:rsidRPr="00530906">
              <w:rPr>
                <w:sz w:val="12"/>
                <w:szCs w:val="12"/>
              </w:rPr>
              <w:t> </w:t>
            </w:r>
          </w:p>
        </w:tc>
        <w:tc>
          <w:tcPr>
            <w:tcW w:w="516" w:type="dxa"/>
            <w:hideMark/>
          </w:tcPr>
          <w:p w14:paraId="774CCAB9" w14:textId="30C7C34C" w:rsidR="00C34468" w:rsidRPr="00530906" w:rsidRDefault="00C34468" w:rsidP="00C34468">
            <w:pPr>
              <w:spacing w:line="259" w:lineRule="auto"/>
              <w:jc w:val="both"/>
              <w:rPr>
                <w:sz w:val="12"/>
                <w:szCs w:val="12"/>
              </w:rPr>
            </w:pPr>
            <w:r w:rsidRPr="00530906">
              <w:rPr>
                <w:sz w:val="12"/>
                <w:szCs w:val="12"/>
              </w:rPr>
              <w:t> </w:t>
            </w:r>
          </w:p>
        </w:tc>
        <w:tc>
          <w:tcPr>
            <w:tcW w:w="550" w:type="dxa"/>
            <w:hideMark/>
          </w:tcPr>
          <w:p w14:paraId="580A1ACF" w14:textId="4FC69D16" w:rsidR="00C34468" w:rsidRPr="00530906" w:rsidRDefault="00C34468" w:rsidP="00C34468">
            <w:pPr>
              <w:spacing w:line="259" w:lineRule="auto"/>
              <w:jc w:val="both"/>
              <w:rPr>
                <w:sz w:val="12"/>
                <w:szCs w:val="12"/>
              </w:rPr>
            </w:pPr>
            <w:r w:rsidRPr="00530906">
              <w:rPr>
                <w:sz w:val="12"/>
                <w:szCs w:val="12"/>
              </w:rPr>
              <w:t> </w:t>
            </w:r>
          </w:p>
        </w:tc>
        <w:tc>
          <w:tcPr>
            <w:tcW w:w="413" w:type="dxa"/>
            <w:hideMark/>
          </w:tcPr>
          <w:p w14:paraId="16B35DEE" w14:textId="41284799" w:rsidR="00C34468" w:rsidRPr="00530906" w:rsidRDefault="00C34468" w:rsidP="00C34468">
            <w:pPr>
              <w:spacing w:line="259" w:lineRule="auto"/>
              <w:jc w:val="both"/>
              <w:rPr>
                <w:sz w:val="12"/>
                <w:szCs w:val="12"/>
              </w:rPr>
            </w:pPr>
            <w:r w:rsidRPr="00530906">
              <w:rPr>
                <w:sz w:val="12"/>
                <w:szCs w:val="12"/>
              </w:rPr>
              <w:t> </w:t>
            </w:r>
          </w:p>
        </w:tc>
        <w:tc>
          <w:tcPr>
            <w:tcW w:w="502" w:type="dxa"/>
            <w:hideMark/>
          </w:tcPr>
          <w:p w14:paraId="7A27280F" w14:textId="2415D1E4" w:rsidR="00C34468" w:rsidRPr="00530906" w:rsidRDefault="00C34468" w:rsidP="00C34468">
            <w:pPr>
              <w:spacing w:line="259" w:lineRule="auto"/>
              <w:jc w:val="both"/>
              <w:rPr>
                <w:sz w:val="12"/>
                <w:szCs w:val="12"/>
              </w:rPr>
            </w:pPr>
            <w:r w:rsidRPr="00530906">
              <w:rPr>
                <w:sz w:val="12"/>
                <w:szCs w:val="12"/>
              </w:rPr>
              <w:t> </w:t>
            </w:r>
          </w:p>
        </w:tc>
        <w:tc>
          <w:tcPr>
            <w:tcW w:w="500" w:type="dxa"/>
            <w:hideMark/>
          </w:tcPr>
          <w:p w14:paraId="4B38B4EB" w14:textId="540A8CC2" w:rsidR="00C34468" w:rsidRPr="00530906" w:rsidRDefault="00C34468" w:rsidP="00C34468">
            <w:pPr>
              <w:spacing w:line="259" w:lineRule="auto"/>
              <w:jc w:val="both"/>
              <w:rPr>
                <w:sz w:val="12"/>
                <w:szCs w:val="12"/>
              </w:rPr>
            </w:pPr>
            <w:r w:rsidRPr="00530906">
              <w:rPr>
                <w:sz w:val="12"/>
                <w:szCs w:val="12"/>
              </w:rPr>
              <w:t> </w:t>
            </w:r>
          </w:p>
        </w:tc>
        <w:tc>
          <w:tcPr>
            <w:tcW w:w="513" w:type="dxa"/>
            <w:hideMark/>
          </w:tcPr>
          <w:p w14:paraId="598183BF" w14:textId="6F6975C8" w:rsidR="00C34468" w:rsidRPr="00530906" w:rsidRDefault="00C34468" w:rsidP="00C34468">
            <w:pPr>
              <w:spacing w:line="259" w:lineRule="auto"/>
              <w:jc w:val="both"/>
              <w:rPr>
                <w:sz w:val="12"/>
                <w:szCs w:val="12"/>
              </w:rPr>
            </w:pPr>
            <w:r w:rsidRPr="00530906">
              <w:rPr>
                <w:sz w:val="12"/>
                <w:szCs w:val="12"/>
              </w:rPr>
              <w:t> </w:t>
            </w:r>
          </w:p>
        </w:tc>
        <w:tc>
          <w:tcPr>
            <w:tcW w:w="501" w:type="dxa"/>
            <w:hideMark/>
          </w:tcPr>
          <w:p w14:paraId="58A81133" w14:textId="76F0AAE5" w:rsidR="00C34468" w:rsidRPr="00530906" w:rsidRDefault="00C34468" w:rsidP="00C34468">
            <w:pPr>
              <w:spacing w:line="259" w:lineRule="auto"/>
              <w:jc w:val="both"/>
              <w:rPr>
                <w:sz w:val="12"/>
                <w:szCs w:val="12"/>
              </w:rPr>
            </w:pPr>
            <w:r w:rsidRPr="00530906">
              <w:rPr>
                <w:sz w:val="12"/>
                <w:szCs w:val="12"/>
              </w:rPr>
              <w:t> </w:t>
            </w:r>
          </w:p>
        </w:tc>
        <w:tc>
          <w:tcPr>
            <w:tcW w:w="400" w:type="dxa"/>
            <w:hideMark/>
          </w:tcPr>
          <w:p w14:paraId="42A8B110" w14:textId="6742C171" w:rsidR="00C34468" w:rsidRPr="00530906" w:rsidRDefault="00C34468" w:rsidP="00C34468">
            <w:pPr>
              <w:spacing w:line="259" w:lineRule="auto"/>
              <w:jc w:val="both"/>
              <w:rPr>
                <w:sz w:val="12"/>
                <w:szCs w:val="12"/>
              </w:rPr>
            </w:pPr>
            <w:r w:rsidRPr="00530906">
              <w:rPr>
                <w:sz w:val="12"/>
                <w:szCs w:val="12"/>
              </w:rPr>
              <w:t> </w:t>
            </w:r>
          </w:p>
        </w:tc>
        <w:tc>
          <w:tcPr>
            <w:tcW w:w="447" w:type="dxa"/>
            <w:hideMark/>
          </w:tcPr>
          <w:p w14:paraId="5C9D7CFD" w14:textId="3BCDCB0B" w:rsidR="00C34468" w:rsidRPr="00530906" w:rsidRDefault="00C34468" w:rsidP="00C34468">
            <w:pPr>
              <w:spacing w:line="259" w:lineRule="auto"/>
              <w:jc w:val="both"/>
              <w:rPr>
                <w:sz w:val="12"/>
                <w:szCs w:val="12"/>
              </w:rPr>
            </w:pPr>
            <w:r w:rsidRPr="00530906">
              <w:rPr>
                <w:sz w:val="12"/>
                <w:szCs w:val="12"/>
              </w:rPr>
              <w:t> </w:t>
            </w:r>
          </w:p>
        </w:tc>
        <w:tc>
          <w:tcPr>
            <w:tcW w:w="553" w:type="dxa"/>
            <w:hideMark/>
          </w:tcPr>
          <w:p w14:paraId="20D0EF5F" w14:textId="6E70CCE7" w:rsidR="00C34468" w:rsidRPr="00530906" w:rsidRDefault="00C34468" w:rsidP="00C34468">
            <w:pPr>
              <w:spacing w:line="259" w:lineRule="auto"/>
              <w:jc w:val="both"/>
              <w:rPr>
                <w:sz w:val="12"/>
                <w:szCs w:val="12"/>
              </w:rPr>
            </w:pPr>
            <w:r w:rsidRPr="00530906">
              <w:rPr>
                <w:sz w:val="12"/>
                <w:szCs w:val="12"/>
              </w:rPr>
              <w:t> </w:t>
            </w:r>
          </w:p>
        </w:tc>
        <w:tc>
          <w:tcPr>
            <w:tcW w:w="502" w:type="dxa"/>
            <w:hideMark/>
          </w:tcPr>
          <w:p w14:paraId="0A7BD3DA" w14:textId="3D5A3075" w:rsidR="00C34468" w:rsidRPr="00530906" w:rsidRDefault="00C34468" w:rsidP="00C34468">
            <w:pPr>
              <w:spacing w:line="259" w:lineRule="auto"/>
              <w:jc w:val="both"/>
              <w:rPr>
                <w:sz w:val="12"/>
                <w:szCs w:val="12"/>
              </w:rPr>
            </w:pPr>
            <w:r w:rsidRPr="00530906">
              <w:rPr>
                <w:sz w:val="12"/>
                <w:szCs w:val="12"/>
              </w:rPr>
              <w:t>attitude toward sharing information, Privacy risk</w:t>
            </w:r>
          </w:p>
        </w:tc>
        <w:tc>
          <w:tcPr>
            <w:tcW w:w="518" w:type="dxa"/>
            <w:hideMark/>
          </w:tcPr>
          <w:p w14:paraId="4B7AF87C" w14:textId="05ECEE4E" w:rsidR="00C34468" w:rsidRPr="00530906" w:rsidRDefault="00C34468" w:rsidP="00C34468">
            <w:pPr>
              <w:spacing w:line="259" w:lineRule="auto"/>
              <w:jc w:val="both"/>
              <w:rPr>
                <w:sz w:val="12"/>
                <w:szCs w:val="12"/>
              </w:rPr>
            </w:pPr>
            <w:r w:rsidRPr="00530906">
              <w:rPr>
                <w:sz w:val="12"/>
                <w:szCs w:val="12"/>
              </w:rPr>
              <w:t> </w:t>
            </w:r>
          </w:p>
        </w:tc>
        <w:tc>
          <w:tcPr>
            <w:tcW w:w="727" w:type="dxa"/>
            <w:hideMark/>
          </w:tcPr>
          <w:p w14:paraId="479B7FEB" w14:textId="352F20FA" w:rsidR="00C34468" w:rsidRPr="00530906" w:rsidRDefault="00C34468" w:rsidP="00C34468">
            <w:pPr>
              <w:spacing w:line="259" w:lineRule="auto"/>
              <w:jc w:val="both"/>
              <w:rPr>
                <w:sz w:val="12"/>
                <w:szCs w:val="12"/>
              </w:rPr>
            </w:pPr>
            <w:r w:rsidRPr="00530906">
              <w:rPr>
                <w:sz w:val="12"/>
                <w:szCs w:val="12"/>
              </w:rPr>
              <w:t> </w:t>
            </w:r>
          </w:p>
        </w:tc>
        <w:tc>
          <w:tcPr>
            <w:tcW w:w="487" w:type="dxa"/>
            <w:hideMark/>
          </w:tcPr>
          <w:p w14:paraId="3387302A" w14:textId="6246458C" w:rsidR="00C34468" w:rsidRPr="00530906" w:rsidRDefault="00C34468" w:rsidP="00C34468">
            <w:pPr>
              <w:spacing w:line="259" w:lineRule="auto"/>
              <w:jc w:val="both"/>
              <w:rPr>
                <w:sz w:val="12"/>
                <w:szCs w:val="12"/>
              </w:rPr>
            </w:pPr>
            <w:r w:rsidRPr="00530906">
              <w:rPr>
                <w:sz w:val="12"/>
                <w:szCs w:val="12"/>
              </w:rPr>
              <w:t> </w:t>
            </w:r>
          </w:p>
        </w:tc>
        <w:tc>
          <w:tcPr>
            <w:tcW w:w="522" w:type="dxa"/>
            <w:hideMark/>
          </w:tcPr>
          <w:p w14:paraId="644F9445" w14:textId="019C4EFA" w:rsidR="00C34468" w:rsidRPr="00530906" w:rsidRDefault="00C34468" w:rsidP="00C34468">
            <w:pPr>
              <w:spacing w:line="259" w:lineRule="auto"/>
              <w:jc w:val="both"/>
              <w:rPr>
                <w:sz w:val="12"/>
                <w:szCs w:val="12"/>
              </w:rPr>
            </w:pPr>
            <w:r w:rsidRPr="00530906">
              <w:rPr>
                <w:sz w:val="12"/>
                <w:szCs w:val="12"/>
              </w:rPr>
              <w:t>Outcome expectation, intention to share information</w:t>
            </w:r>
          </w:p>
        </w:tc>
        <w:tc>
          <w:tcPr>
            <w:tcW w:w="549" w:type="dxa"/>
            <w:hideMark/>
          </w:tcPr>
          <w:p w14:paraId="5BF8132D" w14:textId="4C2CDAA4" w:rsidR="00C34468" w:rsidRPr="00530906" w:rsidRDefault="00C34468" w:rsidP="00C34468">
            <w:pPr>
              <w:spacing w:line="259" w:lineRule="auto"/>
              <w:jc w:val="both"/>
              <w:rPr>
                <w:sz w:val="12"/>
                <w:szCs w:val="12"/>
              </w:rPr>
            </w:pPr>
            <w:r w:rsidRPr="00530906">
              <w:rPr>
                <w:sz w:val="12"/>
                <w:szCs w:val="12"/>
              </w:rPr>
              <w:t> </w:t>
            </w:r>
          </w:p>
        </w:tc>
        <w:tc>
          <w:tcPr>
            <w:tcW w:w="513" w:type="dxa"/>
            <w:hideMark/>
          </w:tcPr>
          <w:p w14:paraId="570485B4" w14:textId="18F57312" w:rsidR="00C34468" w:rsidRPr="00530906" w:rsidRDefault="00C34468" w:rsidP="00C34468">
            <w:pPr>
              <w:spacing w:line="259" w:lineRule="auto"/>
              <w:jc w:val="both"/>
              <w:rPr>
                <w:sz w:val="12"/>
                <w:szCs w:val="12"/>
              </w:rPr>
            </w:pPr>
            <w:r w:rsidRPr="00530906">
              <w:rPr>
                <w:sz w:val="12"/>
                <w:szCs w:val="12"/>
              </w:rPr>
              <w:t>Technology feature (interactivity, Social presence)</w:t>
            </w:r>
          </w:p>
        </w:tc>
      </w:tr>
      <w:tr w:rsidR="00145256" w:rsidRPr="00530906" w14:paraId="24BF03D2" w14:textId="77777777" w:rsidTr="00C34468">
        <w:trPr>
          <w:trHeight w:val="240"/>
        </w:trPr>
        <w:tc>
          <w:tcPr>
            <w:tcW w:w="528" w:type="dxa"/>
            <w:hideMark/>
          </w:tcPr>
          <w:p w14:paraId="4900D60C" w14:textId="77777777" w:rsidR="00145256" w:rsidRPr="00530906" w:rsidRDefault="00145256" w:rsidP="00C54108">
            <w:pPr>
              <w:spacing w:line="259" w:lineRule="auto"/>
              <w:jc w:val="both"/>
              <w:rPr>
                <w:sz w:val="12"/>
                <w:szCs w:val="12"/>
              </w:rPr>
            </w:pPr>
            <w:r w:rsidRPr="00530906">
              <w:rPr>
                <w:sz w:val="12"/>
                <w:szCs w:val="12"/>
              </w:rPr>
              <w:t>Majid et al (2019)</w:t>
            </w:r>
          </w:p>
        </w:tc>
        <w:tc>
          <w:tcPr>
            <w:tcW w:w="476" w:type="dxa"/>
            <w:hideMark/>
          </w:tcPr>
          <w:p w14:paraId="4020792E"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38D5A5FD"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774DB14D" w14:textId="77777777" w:rsidR="00145256" w:rsidRPr="00530906" w:rsidRDefault="00145256" w:rsidP="00C54108">
            <w:pPr>
              <w:spacing w:line="259" w:lineRule="auto"/>
              <w:jc w:val="both"/>
              <w:rPr>
                <w:sz w:val="12"/>
                <w:szCs w:val="12"/>
              </w:rPr>
            </w:pPr>
            <w:r w:rsidRPr="00530906">
              <w:rPr>
                <w:sz w:val="12"/>
                <w:szCs w:val="12"/>
              </w:rPr>
              <w:t>credibility</w:t>
            </w:r>
          </w:p>
        </w:tc>
        <w:tc>
          <w:tcPr>
            <w:tcW w:w="546" w:type="dxa"/>
            <w:hideMark/>
          </w:tcPr>
          <w:p w14:paraId="7A97C15E"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2AE230A8"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42715A19"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19A4C59"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676FAEF2"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42977818"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47E70610" w14:textId="77777777" w:rsidR="00145256" w:rsidRPr="00530906" w:rsidRDefault="00145256" w:rsidP="00C54108">
            <w:pPr>
              <w:spacing w:line="259" w:lineRule="auto"/>
              <w:jc w:val="both"/>
              <w:rPr>
                <w:sz w:val="12"/>
                <w:szCs w:val="12"/>
              </w:rPr>
            </w:pPr>
            <w:r w:rsidRPr="00530906">
              <w:rPr>
                <w:sz w:val="12"/>
                <w:szCs w:val="12"/>
              </w:rPr>
              <w:t>interactivity</w:t>
            </w:r>
          </w:p>
        </w:tc>
        <w:tc>
          <w:tcPr>
            <w:tcW w:w="550" w:type="dxa"/>
            <w:hideMark/>
          </w:tcPr>
          <w:p w14:paraId="04E06962" w14:textId="77777777" w:rsidR="00145256" w:rsidRPr="00530906" w:rsidRDefault="00145256" w:rsidP="00C54108">
            <w:pPr>
              <w:spacing w:line="259" w:lineRule="auto"/>
              <w:jc w:val="both"/>
              <w:rPr>
                <w:sz w:val="12"/>
                <w:szCs w:val="12"/>
              </w:rPr>
            </w:pPr>
            <w:r w:rsidRPr="00530906">
              <w:rPr>
                <w:sz w:val="12"/>
                <w:szCs w:val="12"/>
              </w:rPr>
              <w:t>entertainment</w:t>
            </w:r>
          </w:p>
        </w:tc>
        <w:tc>
          <w:tcPr>
            <w:tcW w:w="413" w:type="dxa"/>
            <w:hideMark/>
          </w:tcPr>
          <w:p w14:paraId="303798B6"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5FEA5C3A"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3CE0FC4E"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E3C1102"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016536F2"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22F9A4C1"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5E32347D"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714837A"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904BC3A"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45B60644"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731B28A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73F3999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6357E057"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3D464325" w14:textId="77777777" w:rsidR="00145256" w:rsidRPr="00530906" w:rsidRDefault="00145256" w:rsidP="00C54108">
            <w:pPr>
              <w:spacing w:line="259" w:lineRule="auto"/>
              <w:jc w:val="both"/>
              <w:rPr>
                <w:sz w:val="12"/>
                <w:szCs w:val="12"/>
              </w:rPr>
            </w:pPr>
            <w:r w:rsidRPr="00530906">
              <w:rPr>
                <w:sz w:val="12"/>
                <w:szCs w:val="12"/>
              </w:rPr>
              <w:t>information</w:t>
            </w:r>
          </w:p>
        </w:tc>
        <w:tc>
          <w:tcPr>
            <w:tcW w:w="513" w:type="dxa"/>
            <w:hideMark/>
          </w:tcPr>
          <w:p w14:paraId="4B8ABE9A"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7D3CBA2E" w14:textId="77777777" w:rsidTr="00C34468">
        <w:trPr>
          <w:trHeight w:val="480"/>
        </w:trPr>
        <w:tc>
          <w:tcPr>
            <w:tcW w:w="528" w:type="dxa"/>
            <w:hideMark/>
          </w:tcPr>
          <w:p w14:paraId="4F025C04" w14:textId="77777777" w:rsidR="00145256" w:rsidRPr="00530906" w:rsidRDefault="00145256" w:rsidP="00C54108">
            <w:pPr>
              <w:spacing w:line="259" w:lineRule="auto"/>
              <w:jc w:val="both"/>
              <w:rPr>
                <w:sz w:val="12"/>
                <w:szCs w:val="12"/>
              </w:rPr>
            </w:pPr>
            <w:r w:rsidRPr="00530906">
              <w:rPr>
                <w:sz w:val="12"/>
                <w:szCs w:val="12"/>
              </w:rPr>
              <w:t>Saxton et al (2019)</w:t>
            </w:r>
          </w:p>
        </w:tc>
        <w:tc>
          <w:tcPr>
            <w:tcW w:w="476" w:type="dxa"/>
            <w:hideMark/>
          </w:tcPr>
          <w:p w14:paraId="2890DF4B"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58D311EB"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34633DC3"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5E453010"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F51C7EE"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1F6FC171"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D5CC692"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0B3AA390"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63A17A97"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44E8E44C"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358B1199"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332EFA31"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C40FAF3"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53E80B4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08048154"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FE21649"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0F7DACCA"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635A72AF"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1FEE9159"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1E4ABAC8"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33EC4E05"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0B79D49C"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5BDE2063"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738D6D3F"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13A510B0" w14:textId="77777777" w:rsidR="00145256" w:rsidRPr="00530906" w:rsidRDefault="00145256" w:rsidP="00C54108">
            <w:pPr>
              <w:spacing w:line="259" w:lineRule="auto"/>
              <w:jc w:val="both"/>
              <w:rPr>
                <w:sz w:val="12"/>
                <w:szCs w:val="12"/>
              </w:rPr>
            </w:pPr>
            <w:r w:rsidRPr="00530906">
              <w:rPr>
                <w:sz w:val="12"/>
                <w:szCs w:val="12"/>
              </w:rPr>
              <w:t>Message appeal</w:t>
            </w:r>
          </w:p>
        </w:tc>
        <w:tc>
          <w:tcPr>
            <w:tcW w:w="513" w:type="dxa"/>
            <w:hideMark/>
          </w:tcPr>
          <w:p w14:paraId="3E7DDAB9" w14:textId="77777777" w:rsidR="00145256" w:rsidRPr="00530906" w:rsidRDefault="00145256" w:rsidP="00C54108">
            <w:pPr>
              <w:spacing w:line="259" w:lineRule="auto"/>
              <w:jc w:val="both"/>
              <w:rPr>
                <w:sz w:val="12"/>
                <w:szCs w:val="12"/>
              </w:rPr>
            </w:pPr>
            <w:r w:rsidRPr="00530906">
              <w:rPr>
                <w:sz w:val="12"/>
                <w:szCs w:val="12"/>
              </w:rPr>
              <w:t> </w:t>
            </w:r>
          </w:p>
        </w:tc>
      </w:tr>
      <w:tr w:rsidR="00145256" w:rsidRPr="00530906" w14:paraId="6311B4A9" w14:textId="77777777" w:rsidTr="00C34468">
        <w:trPr>
          <w:trHeight w:val="960"/>
        </w:trPr>
        <w:tc>
          <w:tcPr>
            <w:tcW w:w="528" w:type="dxa"/>
            <w:hideMark/>
          </w:tcPr>
          <w:p w14:paraId="1DBF61C9" w14:textId="77777777" w:rsidR="00145256" w:rsidRPr="00530906" w:rsidRDefault="00145256" w:rsidP="00C54108">
            <w:pPr>
              <w:spacing w:line="259" w:lineRule="auto"/>
              <w:jc w:val="both"/>
              <w:rPr>
                <w:sz w:val="12"/>
                <w:szCs w:val="12"/>
              </w:rPr>
            </w:pPr>
            <w:r w:rsidRPr="00530906">
              <w:rPr>
                <w:sz w:val="12"/>
                <w:szCs w:val="12"/>
              </w:rPr>
              <w:t>De Oliveira et al (2020)</w:t>
            </w:r>
          </w:p>
        </w:tc>
        <w:tc>
          <w:tcPr>
            <w:tcW w:w="476" w:type="dxa"/>
            <w:hideMark/>
          </w:tcPr>
          <w:p w14:paraId="52172539"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5CFBE74D" w14:textId="77777777" w:rsidR="00145256" w:rsidRPr="00530906" w:rsidRDefault="00145256" w:rsidP="00C54108">
            <w:pPr>
              <w:spacing w:line="259" w:lineRule="auto"/>
              <w:jc w:val="both"/>
              <w:rPr>
                <w:sz w:val="12"/>
                <w:szCs w:val="12"/>
              </w:rPr>
            </w:pPr>
            <w:r w:rsidRPr="00530906">
              <w:rPr>
                <w:sz w:val="12"/>
                <w:szCs w:val="12"/>
              </w:rPr>
              <w:t xml:space="preserve"> trust</w:t>
            </w:r>
          </w:p>
        </w:tc>
        <w:tc>
          <w:tcPr>
            <w:tcW w:w="443" w:type="dxa"/>
            <w:hideMark/>
          </w:tcPr>
          <w:p w14:paraId="46E56EE2"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6ADB9BE1"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05F80765" w14:textId="77777777" w:rsidR="00145256" w:rsidRPr="00530906" w:rsidRDefault="00145256" w:rsidP="00C54108">
            <w:pPr>
              <w:spacing w:line="259" w:lineRule="auto"/>
              <w:jc w:val="both"/>
              <w:rPr>
                <w:sz w:val="12"/>
                <w:szCs w:val="12"/>
              </w:rPr>
            </w:pPr>
            <w:r w:rsidRPr="00530906">
              <w:rPr>
                <w:sz w:val="12"/>
                <w:szCs w:val="12"/>
              </w:rPr>
              <w:t>type of the firm or the industry,</w:t>
            </w:r>
          </w:p>
        </w:tc>
        <w:tc>
          <w:tcPr>
            <w:tcW w:w="463" w:type="dxa"/>
            <w:hideMark/>
          </w:tcPr>
          <w:p w14:paraId="17405C8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1B2A4850" w14:textId="77777777" w:rsidR="00145256" w:rsidRPr="00530906" w:rsidRDefault="00145256" w:rsidP="00C54108">
            <w:pPr>
              <w:spacing w:line="259" w:lineRule="auto"/>
              <w:jc w:val="both"/>
              <w:rPr>
                <w:sz w:val="12"/>
                <w:szCs w:val="12"/>
              </w:rPr>
            </w:pPr>
            <w:r w:rsidRPr="00530906">
              <w:rPr>
                <w:sz w:val="12"/>
                <w:szCs w:val="12"/>
              </w:rPr>
              <w:t>commitment</w:t>
            </w:r>
          </w:p>
        </w:tc>
        <w:tc>
          <w:tcPr>
            <w:tcW w:w="671" w:type="dxa"/>
            <w:hideMark/>
          </w:tcPr>
          <w:p w14:paraId="4024F16A"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644E4CDE"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2AE7C6ED"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18C7499E" w14:textId="77777777" w:rsidR="00145256" w:rsidRPr="00530906" w:rsidRDefault="00145256" w:rsidP="00C54108">
            <w:pPr>
              <w:spacing w:line="259" w:lineRule="auto"/>
              <w:jc w:val="both"/>
              <w:rPr>
                <w:sz w:val="12"/>
                <w:szCs w:val="12"/>
              </w:rPr>
            </w:pPr>
            <w:r w:rsidRPr="00530906">
              <w:rPr>
                <w:sz w:val="12"/>
                <w:szCs w:val="12"/>
              </w:rPr>
              <w:t>Positive emotion, Product value, Satisfaction</w:t>
            </w:r>
          </w:p>
        </w:tc>
        <w:tc>
          <w:tcPr>
            <w:tcW w:w="413" w:type="dxa"/>
            <w:hideMark/>
          </w:tcPr>
          <w:p w14:paraId="305FEBDF"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AE889B3" w14:textId="77777777" w:rsidR="00145256" w:rsidRPr="00530906" w:rsidRDefault="00145256" w:rsidP="00C54108">
            <w:pPr>
              <w:spacing w:line="259" w:lineRule="auto"/>
              <w:jc w:val="both"/>
              <w:rPr>
                <w:sz w:val="12"/>
                <w:szCs w:val="12"/>
              </w:rPr>
            </w:pPr>
            <w:r w:rsidRPr="00530906">
              <w:rPr>
                <w:sz w:val="12"/>
                <w:szCs w:val="12"/>
              </w:rPr>
              <w:t>Product involvement</w:t>
            </w:r>
          </w:p>
        </w:tc>
        <w:tc>
          <w:tcPr>
            <w:tcW w:w="500" w:type="dxa"/>
            <w:hideMark/>
          </w:tcPr>
          <w:p w14:paraId="75F7810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331CC946"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72624809"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3F7277A8"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5654193"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38915A3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3B3E4067"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5E397C25"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5E5C7147" w14:textId="77777777" w:rsidR="00145256" w:rsidRPr="00530906" w:rsidRDefault="00145256" w:rsidP="00C54108">
            <w:pPr>
              <w:spacing w:line="259" w:lineRule="auto"/>
              <w:jc w:val="both"/>
              <w:rPr>
                <w:sz w:val="12"/>
                <w:szCs w:val="12"/>
              </w:rPr>
            </w:pPr>
            <w:r w:rsidRPr="00530906">
              <w:rPr>
                <w:sz w:val="12"/>
                <w:szCs w:val="12"/>
              </w:rPr>
              <w:t>convenience</w:t>
            </w:r>
          </w:p>
        </w:tc>
        <w:tc>
          <w:tcPr>
            <w:tcW w:w="487" w:type="dxa"/>
            <w:hideMark/>
          </w:tcPr>
          <w:p w14:paraId="1B72A8D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18C3A668"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24D3B202"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860C27A" w14:textId="77777777" w:rsidR="00145256" w:rsidRPr="00530906" w:rsidRDefault="00145256" w:rsidP="00C54108">
            <w:pPr>
              <w:spacing w:line="259" w:lineRule="auto"/>
              <w:jc w:val="both"/>
              <w:rPr>
                <w:sz w:val="12"/>
                <w:szCs w:val="12"/>
              </w:rPr>
            </w:pPr>
            <w:r w:rsidRPr="00530906">
              <w:rPr>
                <w:sz w:val="12"/>
                <w:szCs w:val="12"/>
              </w:rPr>
              <w:t>Type of Media</w:t>
            </w:r>
          </w:p>
        </w:tc>
      </w:tr>
      <w:tr w:rsidR="00145256" w:rsidRPr="00530906" w14:paraId="00D343AF" w14:textId="77777777" w:rsidTr="00C34468">
        <w:trPr>
          <w:trHeight w:val="720"/>
        </w:trPr>
        <w:tc>
          <w:tcPr>
            <w:tcW w:w="528" w:type="dxa"/>
            <w:hideMark/>
          </w:tcPr>
          <w:p w14:paraId="394C9847" w14:textId="77777777" w:rsidR="00145256" w:rsidRPr="00530906" w:rsidRDefault="00145256" w:rsidP="00C54108">
            <w:pPr>
              <w:spacing w:line="259" w:lineRule="auto"/>
              <w:jc w:val="both"/>
              <w:rPr>
                <w:sz w:val="12"/>
                <w:szCs w:val="12"/>
              </w:rPr>
            </w:pPr>
            <w:r w:rsidRPr="00530906">
              <w:rPr>
                <w:sz w:val="12"/>
                <w:szCs w:val="12"/>
              </w:rPr>
              <w:t>Demmers et al (2020)</w:t>
            </w:r>
          </w:p>
        </w:tc>
        <w:tc>
          <w:tcPr>
            <w:tcW w:w="476" w:type="dxa"/>
            <w:hideMark/>
          </w:tcPr>
          <w:p w14:paraId="4A7AB050"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5FCAC2B4"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009C64D6"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0AD5195F"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2C3B0AC2"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7018911F"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7984563F"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64ED9A68"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0A497ACD"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3FF8B6FB"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439090FA"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1C169FD6"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2AFEA67E"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0645E9C6"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325F4AC" w14:textId="77777777" w:rsidR="00145256" w:rsidRPr="00530906" w:rsidRDefault="00145256" w:rsidP="00C54108">
            <w:pPr>
              <w:spacing w:line="259" w:lineRule="auto"/>
              <w:jc w:val="both"/>
              <w:rPr>
                <w:sz w:val="12"/>
                <w:szCs w:val="12"/>
              </w:rPr>
            </w:pPr>
            <w:r w:rsidRPr="00530906">
              <w:rPr>
                <w:sz w:val="12"/>
                <w:szCs w:val="12"/>
              </w:rPr>
              <w:t> </w:t>
            </w:r>
          </w:p>
        </w:tc>
        <w:tc>
          <w:tcPr>
            <w:tcW w:w="501" w:type="dxa"/>
            <w:hideMark/>
          </w:tcPr>
          <w:p w14:paraId="2228369D"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7BC3ED7D"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267AC70D"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4F331444"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759D46AC"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2DAD29C0"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67276890" w14:textId="77777777" w:rsidR="00145256" w:rsidRPr="00530906" w:rsidRDefault="00145256" w:rsidP="00C54108">
            <w:pPr>
              <w:spacing w:line="259" w:lineRule="auto"/>
              <w:jc w:val="both"/>
              <w:rPr>
                <w:sz w:val="12"/>
                <w:szCs w:val="12"/>
              </w:rPr>
            </w:pPr>
            <w:r w:rsidRPr="00530906">
              <w:rPr>
                <w:sz w:val="12"/>
                <w:szCs w:val="12"/>
              </w:rPr>
              <w:t>Stages of purchase, activation</w:t>
            </w:r>
          </w:p>
        </w:tc>
        <w:tc>
          <w:tcPr>
            <w:tcW w:w="487" w:type="dxa"/>
            <w:hideMark/>
          </w:tcPr>
          <w:p w14:paraId="6DE356E5"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45896F53" w14:textId="77777777" w:rsidR="00145256" w:rsidRPr="00530906" w:rsidRDefault="00145256" w:rsidP="00C54108">
            <w:pPr>
              <w:spacing w:line="259" w:lineRule="auto"/>
              <w:jc w:val="both"/>
              <w:rPr>
                <w:sz w:val="12"/>
                <w:szCs w:val="12"/>
              </w:rPr>
            </w:pPr>
            <w:r w:rsidRPr="00530906">
              <w:rPr>
                <w:sz w:val="12"/>
                <w:szCs w:val="12"/>
              </w:rPr>
              <w:t> </w:t>
            </w:r>
          </w:p>
        </w:tc>
        <w:tc>
          <w:tcPr>
            <w:tcW w:w="549" w:type="dxa"/>
            <w:hideMark/>
          </w:tcPr>
          <w:p w14:paraId="44809ECA" w14:textId="77777777" w:rsidR="00145256" w:rsidRPr="00530906" w:rsidRDefault="00145256" w:rsidP="00C54108">
            <w:pPr>
              <w:spacing w:line="259" w:lineRule="auto"/>
              <w:jc w:val="both"/>
              <w:rPr>
                <w:sz w:val="12"/>
                <w:szCs w:val="12"/>
              </w:rPr>
            </w:pPr>
            <w:r w:rsidRPr="00530906">
              <w:rPr>
                <w:sz w:val="12"/>
                <w:szCs w:val="12"/>
              </w:rPr>
              <w:t>Type of content,</w:t>
            </w:r>
          </w:p>
        </w:tc>
        <w:tc>
          <w:tcPr>
            <w:tcW w:w="513" w:type="dxa"/>
            <w:hideMark/>
          </w:tcPr>
          <w:p w14:paraId="15588AD8" w14:textId="77777777" w:rsidR="00145256" w:rsidRPr="00530906" w:rsidRDefault="00145256" w:rsidP="00C54108">
            <w:pPr>
              <w:spacing w:line="259" w:lineRule="auto"/>
              <w:jc w:val="both"/>
              <w:rPr>
                <w:sz w:val="12"/>
                <w:szCs w:val="12"/>
              </w:rPr>
            </w:pPr>
            <w:r w:rsidRPr="00530906">
              <w:rPr>
                <w:sz w:val="12"/>
                <w:szCs w:val="12"/>
              </w:rPr>
              <w:t xml:space="preserve"> vividness of environment</w:t>
            </w:r>
          </w:p>
        </w:tc>
      </w:tr>
      <w:tr w:rsidR="00145256" w:rsidRPr="00530906" w14:paraId="761918FC" w14:textId="77777777" w:rsidTr="00C34468">
        <w:trPr>
          <w:trHeight w:val="960"/>
        </w:trPr>
        <w:tc>
          <w:tcPr>
            <w:tcW w:w="528" w:type="dxa"/>
            <w:hideMark/>
          </w:tcPr>
          <w:p w14:paraId="43D8416D" w14:textId="77777777" w:rsidR="00145256" w:rsidRPr="00530906" w:rsidRDefault="00145256" w:rsidP="00C54108">
            <w:pPr>
              <w:spacing w:line="259" w:lineRule="auto"/>
              <w:jc w:val="both"/>
              <w:rPr>
                <w:sz w:val="12"/>
                <w:szCs w:val="12"/>
              </w:rPr>
            </w:pPr>
            <w:r w:rsidRPr="00530906">
              <w:rPr>
                <w:sz w:val="12"/>
                <w:szCs w:val="12"/>
              </w:rPr>
              <w:t>Wang et al (2020)</w:t>
            </w:r>
          </w:p>
        </w:tc>
        <w:tc>
          <w:tcPr>
            <w:tcW w:w="476" w:type="dxa"/>
            <w:hideMark/>
          </w:tcPr>
          <w:p w14:paraId="5A52DCEC" w14:textId="77777777" w:rsidR="00145256" w:rsidRPr="00530906" w:rsidRDefault="00145256" w:rsidP="00C54108">
            <w:pPr>
              <w:spacing w:line="259" w:lineRule="auto"/>
              <w:jc w:val="both"/>
              <w:rPr>
                <w:sz w:val="12"/>
                <w:szCs w:val="12"/>
              </w:rPr>
            </w:pPr>
            <w:r w:rsidRPr="00530906">
              <w:rPr>
                <w:sz w:val="12"/>
                <w:szCs w:val="12"/>
              </w:rPr>
              <w:t> </w:t>
            </w:r>
          </w:p>
        </w:tc>
        <w:tc>
          <w:tcPr>
            <w:tcW w:w="578" w:type="dxa"/>
            <w:hideMark/>
          </w:tcPr>
          <w:p w14:paraId="37F2255F" w14:textId="77777777" w:rsidR="00145256" w:rsidRPr="00530906" w:rsidRDefault="00145256" w:rsidP="00C54108">
            <w:pPr>
              <w:spacing w:line="259" w:lineRule="auto"/>
              <w:jc w:val="both"/>
              <w:rPr>
                <w:sz w:val="12"/>
                <w:szCs w:val="12"/>
              </w:rPr>
            </w:pPr>
            <w:r w:rsidRPr="00530906">
              <w:rPr>
                <w:sz w:val="12"/>
                <w:szCs w:val="12"/>
              </w:rPr>
              <w:t> </w:t>
            </w:r>
          </w:p>
        </w:tc>
        <w:tc>
          <w:tcPr>
            <w:tcW w:w="443" w:type="dxa"/>
            <w:hideMark/>
          </w:tcPr>
          <w:p w14:paraId="5F908CF8" w14:textId="77777777" w:rsidR="00145256" w:rsidRPr="00530906" w:rsidRDefault="00145256" w:rsidP="00C54108">
            <w:pPr>
              <w:spacing w:line="259" w:lineRule="auto"/>
              <w:jc w:val="both"/>
              <w:rPr>
                <w:sz w:val="12"/>
                <w:szCs w:val="12"/>
              </w:rPr>
            </w:pPr>
            <w:r w:rsidRPr="00530906">
              <w:rPr>
                <w:sz w:val="12"/>
                <w:szCs w:val="12"/>
              </w:rPr>
              <w:t> </w:t>
            </w:r>
          </w:p>
        </w:tc>
        <w:tc>
          <w:tcPr>
            <w:tcW w:w="546" w:type="dxa"/>
            <w:hideMark/>
          </w:tcPr>
          <w:p w14:paraId="477CEFAB" w14:textId="77777777" w:rsidR="00145256" w:rsidRPr="00530906" w:rsidRDefault="00145256" w:rsidP="00C54108">
            <w:pPr>
              <w:spacing w:line="259" w:lineRule="auto"/>
              <w:jc w:val="both"/>
              <w:rPr>
                <w:sz w:val="12"/>
                <w:szCs w:val="12"/>
              </w:rPr>
            </w:pPr>
            <w:r w:rsidRPr="00530906">
              <w:rPr>
                <w:sz w:val="12"/>
                <w:szCs w:val="12"/>
              </w:rPr>
              <w:t> </w:t>
            </w:r>
          </w:p>
        </w:tc>
        <w:tc>
          <w:tcPr>
            <w:tcW w:w="474" w:type="dxa"/>
            <w:hideMark/>
          </w:tcPr>
          <w:p w14:paraId="1F034A57" w14:textId="77777777" w:rsidR="00145256" w:rsidRPr="00530906" w:rsidRDefault="00145256" w:rsidP="00C54108">
            <w:pPr>
              <w:spacing w:line="259" w:lineRule="auto"/>
              <w:jc w:val="both"/>
              <w:rPr>
                <w:sz w:val="12"/>
                <w:szCs w:val="12"/>
              </w:rPr>
            </w:pPr>
            <w:r w:rsidRPr="00530906">
              <w:rPr>
                <w:sz w:val="12"/>
                <w:szCs w:val="12"/>
              </w:rPr>
              <w:t> </w:t>
            </w:r>
          </w:p>
        </w:tc>
        <w:tc>
          <w:tcPr>
            <w:tcW w:w="463" w:type="dxa"/>
            <w:hideMark/>
          </w:tcPr>
          <w:p w14:paraId="5C47AF9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45271DD9" w14:textId="77777777" w:rsidR="00145256" w:rsidRPr="00530906" w:rsidRDefault="00145256" w:rsidP="00C54108">
            <w:pPr>
              <w:spacing w:line="259" w:lineRule="auto"/>
              <w:jc w:val="both"/>
              <w:rPr>
                <w:sz w:val="12"/>
                <w:szCs w:val="12"/>
              </w:rPr>
            </w:pPr>
            <w:r w:rsidRPr="00530906">
              <w:rPr>
                <w:sz w:val="12"/>
                <w:szCs w:val="12"/>
              </w:rPr>
              <w:t> </w:t>
            </w:r>
          </w:p>
        </w:tc>
        <w:tc>
          <w:tcPr>
            <w:tcW w:w="671" w:type="dxa"/>
            <w:hideMark/>
          </w:tcPr>
          <w:p w14:paraId="08B0F550" w14:textId="77777777" w:rsidR="00145256" w:rsidRPr="00530906" w:rsidRDefault="00145256" w:rsidP="00C54108">
            <w:pPr>
              <w:spacing w:line="259" w:lineRule="auto"/>
              <w:jc w:val="both"/>
              <w:rPr>
                <w:sz w:val="12"/>
                <w:szCs w:val="12"/>
              </w:rPr>
            </w:pPr>
            <w:r w:rsidRPr="00530906">
              <w:rPr>
                <w:sz w:val="12"/>
                <w:szCs w:val="12"/>
              </w:rPr>
              <w:t> </w:t>
            </w:r>
          </w:p>
        </w:tc>
        <w:tc>
          <w:tcPr>
            <w:tcW w:w="543" w:type="dxa"/>
            <w:hideMark/>
          </w:tcPr>
          <w:p w14:paraId="07BFAB9F" w14:textId="77777777" w:rsidR="00145256" w:rsidRPr="00530906" w:rsidRDefault="00145256" w:rsidP="00C54108">
            <w:pPr>
              <w:spacing w:line="259" w:lineRule="auto"/>
              <w:jc w:val="both"/>
              <w:rPr>
                <w:sz w:val="12"/>
                <w:szCs w:val="12"/>
              </w:rPr>
            </w:pPr>
            <w:r w:rsidRPr="00530906">
              <w:rPr>
                <w:sz w:val="12"/>
                <w:szCs w:val="12"/>
              </w:rPr>
              <w:t> </w:t>
            </w:r>
          </w:p>
        </w:tc>
        <w:tc>
          <w:tcPr>
            <w:tcW w:w="516" w:type="dxa"/>
            <w:hideMark/>
          </w:tcPr>
          <w:p w14:paraId="5F27B705" w14:textId="77777777" w:rsidR="00145256" w:rsidRPr="00530906" w:rsidRDefault="00145256" w:rsidP="00C54108">
            <w:pPr>
              <w:spacing w:line="259" w:lineRule="auto"/>
              <w:jc w:val="both"/>
              <w:rPr>
                <w:sz w:val="12"/>
                <w:szCs w:val="12"/>
              </w:rPr>
            </w:pPr>
            <w:r w:rsidRPr="00530906">
              <w:rPr>
                <w:sz w:val="12"/>
                <w:szCs w:val="12"/>
              </w:rPr>
              <w:t> </w:t>
            </w:r>
          </w:p>
        </w:tc>
        <w:tc>
          <w:tcPr>
            <w:tcW w:w="550" w:type="dxa"/>
            <w:hideMark/>
          </w:tcPr>
          <w:p w14:paraId="11A526DE" w14:textId="77777777" w:rsidR="00145256" w:rsidRPr="00530906" w:rsidRDefault="00145256" w:rsidP="00C54108">
            <w:pPr>
              <w:spacing w:line="259" w:lineRule="auto"/>
              <w:jc w:val="both"/>
              <w:rPr>
                <w:sz w:val="12"/>
                <w:szCs w:val="12"/>
              </w:rPr>
            </w:pPr>
            <w:r w:rsidRPr="00530906">
              <w:rPr>
                <w:sz w:val="12"/>
                <w:szCs w:val="12"/>
              </w:rPr>
              <w:t> </w:t>
            </w:r>
          </w:p>
        </w:tc>
        <w:tc>
          <w:tcPr>
            <w:tcW w:w="413" w:type="dxa"/>
            <w:hideMark/>
          </w:tcPr>
          <w:p w14:paraId="07D0C348" w14:textId="77777777" w:rsidR="00145256" w:rsidRPr="00530906" w:rsidRDefault="00145256" w:rsidP="00C54108">
            <w:pPr>
              <w:spacing w:line="259" w:lineRule="auto"/>
              <w:jc w:val="both"/>
              <w:rPr>
                <w:sz w:val="12"/>
                <w:szCs w:val="12"/>
              </w:rPr>
            </w:pPr>
            <w:r w:rsidRPr="00530906">
              <w:rPr>
                <w:sz w:val="12"/>
                <w:szCs w:val="12"/>
              </w:rPr>
              <w:t>regret, feelings of invasion of privacy</w:t>
            </w:r>
          </w:p>
        </w:tc>
        <w:tc>
          <w:tcPr>
            <w:tcW w:w="502" w:type="dxa"/>
            <w:hideMark/>
          </w:tcPr>
          <w:p w14:paraId="6EE05035" w14:textId="77777777" w:rsidR="00145256" w:rsidRPr="00530906" w:rsidRDefault="00145256" w:rsidP="00C54108">
            <w:pPr>
              <w:spacing w:line="259" w:lineRule="auto"/>
              <w:jc w:val="both"/>
              <w:rPr>
                <w:sz w:val="12"/>
                <w:szCs w:val="12"/>
              </w:rPr>
            </w:pPr>
            <w:r w:rsidRPr="00530906">
              <w:rPr>
                <w:sz w:val="12"/>
                <w:szCs w:val="12"/>
              </w:rPr>
              <w:t> </w:t>
            </w:r>
          </w:p>
        </w:tc>
        <w:tc>
          <w:tcPr>
            <w:tcW w:w="500" w:type="dxa"/>
            <w:hideMark/>
          </w:tcPr>
          <w:p w14:paraId="2E720428"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7163298" w14:textId="77777777" w:rsidR="00145256" w:rsidRPr="00530906" w:rsidRDefault="00145256" w:rsidP="00C54108">
            <w:pPr>
              <w:spacing w:line="259" w:lineRule="auto"/>
              <w:jc w:val="both"/>
              <w:rPr>
                <w:sz w:val="12"/>
                <w:szCs w:val="12"/>
              </w:rPr>
            </w:pPr>
            <w:r w:rsidRPr="00530906">
              <w:rPr>
                <w:sz w:val="12"/>
                <w:szCs w:val="12"/>
              </w:rPr>
              <w:t>sunk cost and affective commitment</w:t>
            </w:r>
          </w:p>
        </w:tc>
        <w:tc>
          <w:tcPr>
            <w:tcW w:w="501" w:type="dxa"/>
            <w:hideMark/>
          </w:tcPr>
          <w:p w14:paraId="599FD6AC" w14:textId="77777777" w:rsidR="00145256" w:rsidRPr="00530906" w:rsidRDefault="00145256" w:rsidP="00C54108">
            <w:pPr>
              <w:spacing w:line="259" w:lineRule="auto"/>
              <w:jc w:val="both"/>
              <w:rPr>
                <w:sz w:val="12"/>
                <w:szCs w:val="12"/>
              </w:rPr>
            </w:pPr>
            <w:r w:rsidRPr="00530906">
              <w:rPr>
                <w:sz w:val="12"/>
                <w:szCs w:val="12"/>
              </w:rPr>
              <w:t> </w:t>
            </w:r>
          </w:p>
        </w:tc>
        <w:tc>
          <w:tcPr>
            <w:tcW w:w="400" w:type="dxa"/>
            <w:hideMark/>
          </w:tcPr>
          <w:p w14:paraId="63FB5C13" w14:textId="77777777" w:rsidR="00145256" w:rsidRPr="00530906" w:rsidRDefault="00145256" w:rsidP="00C54108">
            <w:pPr>
              <w:spacing w:line="259" w:lineRule="auto"/>
              <w:jc w:val="both"/>
              <w:rPr>
                <w:sz w:val="12"/>
                <w:szCs w:val="12"/>
              </w:rPr>
            </w:pPr>
            <w:r w:rsidRPr="00530906">
              <w:rPr>
                <w:sz w:val="12"/>
                <w:szCs w:val="12"/>
              </w:rPr>
              <w:t> </w:t>
            </w:r>
          </w:p>
        </w:tc>
        <w:tc>
          <w:tcPr>
            <w:tcW w:w="447" w:type="dxa"/>
            <w:hideMark/>
          </w:tcPr>
          <w:p w14:paraId="3D082BB4" w14:textId="77777777" w:rsidR="00145256" w:rsidRPr="00530906" w:rsidRDefault="00145256" w:rsidP="00C54108">
            <w:pPr>
              <w:spacing w:line="259" w:lineRule="auto"/>
              <w:jc w:val="both"/>
              <w:rPr>
                <w:sz w:val="12"/>
                <w:szCs w:val="12"/>
              </w:rPr>
            </w:pPr>
            <w:r w:rsidRPr="00530906">
              <w:rPr>
                <w:sz w:val="12"/>
                <w:szCs w:val="12"/>
              </w:rPr>
              <w:t> </w:t>
            </w:r>
          </w:p>
        </w:tc>
        <w:tc>
          <w:tcPr>
            <w:tcW w:w="553" w:type="dxa"/>
            <w:hideMark/>
          </w:tcPr>
          <w:p w14:paraId="7D817A52" w14:textId="77777777" w:rsidR="00145256" w:rsidRPr="00530906" w:rsidRDefault="00145256" w:rsidP="00C54108">
            <w:pPr>
              <w:spacing w:line="259" w:lineRule="auto"/>
              <w:jc w:val="both"/>
              <w:rPr>
                <w:sz w:val="12"/>
                <w:szCs w:val="12"/>
              </w:rPr>
            </w:pPr>
            <w:r w:rsidRPr="00530906">
              <w:rPr>
                <w:sz w:val="12"/>
                <w:szCs w:val="12"/>
              </w:rPr>
              <w:t> </w:t>
            </w:r>
          </w:p>
        </w:tc>
        <w:tc>
          <w:tcPr>
            <w:tcW w:w="502" w:type="dxa"/>
            <w:hideMark/>
          </w:tcPr>
          <w:p w14:paraId="6B3E8523" w14:textId="77777777" w:rsidR="00145256" w:rsidRPr="00530906" w:rsidRDefault="00145256" w:rsidP="00C54108">
            <w:pPr>
              <w:spacing w:line="259" w:lineRule="auto"/>
              <w:jc w:val="both"/>
              <w:rPr>
                <w:sz w:val="12"/>
                <w:szCs w:val="12"/>
              </w:rPr>
            </w:pPr>
            <w:r w:rsidRPr="00530906">
              <w:rPr>
                <w:sz w:val="12"/>
                <w:szCs w:val="12"/>
              </w:rPr>
              <w:t> </w:t>
            </w:r>
          </w:p>
        </w:tc>
        <w:tc>
          <w:tcPr>
            <w:tcW w:w="518" w:type="dxa"/>
            <w:hideMark/>
          </w:tcPr>
          <w:p w14:paraId="5886788A" w14:textId="77777777" w:rsidR="00145256" w:rsidRPr="00530906" w:rsidRDefault="00145256" w:rsidP="00C54108">
            <w:pPr>
              <w:spacing w:line="259" w:lineRule="auto"/>
              <w:jc w:val="both"/>
              <w:rPr>
                <w:sz w:val="12"/>
                <w:szCs w:val="12"/>
              </w:rPr>
            </w:pPr>
            <w:r w:rsidRPr="00530906">
              <w:rPr>
                <w:sz w:val="12"/>
                <w:szCs w:val="12"/>
              </w:rPr>
              <w:t> </w:t>
            </w:r>
          </w:p>
        </w:tc>
        <w:tc>
          <w:tcPr>
            <w:tcW w:w="727" w:type="dxa"/>
            <w:hideMark/>
          </w:tcPr>
          <w:p w14:paraId="39CB2478" w14:textId="77777777" w:rsidR="00145256" w:rsidRPr="00530906" w:rsidRDefault="00145256" w:rsidP="00C54108">
            <w:pPr>
              <w:spacing w:line="259" w:lineRule="auto"/>
              <w:jc w:val="both"/>
              <w:rPr>
                <w:sz w:val="12"/>
                <w:szCs w:val="12"/>
              </w:rPr>
            </w:pPr>
            <w:r w:rsidRPr="00530906">
              <w:rPr>
                <w:sz w:val="12"/>
                <w:szCs w:val="12"/>
              </w:rPr>
              <w:t> </w:t>
            </w:r>
          </w:p>
        </w:tc>
        <w:tc>
          <w:tcPr>
            <w:tcW w:w="487" w:type="dxa"/>
            <w:hideMark/>
          </w:tcPr>
          <w:p w14:paraId="4142DD5F" w14:textId="77777777" w:rsidR="00145256" w:rsidRPr="00530906" w:rsidRDefault="00145256" w:rsidP="00C54108">
            <w:pPr>
              <w:spacing w:line="259" w:lineRule="auto"/>
              <w:jc w:val="both"/>
              <w:rPr>
                <w:sz w:val="12"/>
                <w:szCs w:val="12"/>
              </w:rPr>
            </w:pPr>
            <w:r w:rsidRPr="00530906">
              <w:rPr>
                <w:sz w:val="12"/>
                <w:szCs w:val="12"/>
              </w:rPr>
              <w:t> </w:t>
            </w:r>
          </w:p>
        </w:tc>
        <w:tc>
          <w:tcPr>
            <w:tcW w:w="522" w:type="dxa"/>
            <w:hideMark/>
          </w:tcPr>
          <w:p w14:paraId="3D334DD1" w14:textId="77777777" w:rsidR="00145256" w:rsidRPr="00530906" w:rsidRDefault="00145256" w:rsidP="00C54108">
            <w:pPr>
              <w:spacing w:line="259" w:lineRule="auto"/>
              <w:jc w:val="both"/>
              <w:rPr>
                <w:sz w:val="12"/>
                <w:szCs w:val="12"/>
              </w:rPr>
            </w:pPr>
            <w:r w:rsidRPr="00530906">
              <w:rPr>
                <w:sz w:val="12"/>
                <w:szCs w:val="12"/>
              </w:rPr>
              <w:t>inertia from social media habit</w:t>
            </w:r>
          </w:p>
        </w:tc>
        <w:tc>
          <w:tcPr>
            <w:tcW w:w="549" w:type="dxa"/>
            <w:hideMark/>
          </w:tcPr>
          <w:p w14:paraId="743D2FA0" w14:textId="77777777" w:rsidR="00145256" w:rsidRPr="00530906" w:rsidRDefault="00145256" w:rsidP="00C54108">
            <w:pPr>
              <w:spacing w:line="259" w:lineRule="auto"/>
              <w:jc w:val="both"/>
              <w:rPr>
                <w:sz w:val="12"/>
                <w:szCs w:val="12"/>
              </w:rPr>
            </w:pPr>
            <w:r w:rsidRPr="00530906">
              <w:rPr>
                <w:sz w:val="12"/>
                <w:szCs w:val="12"/>
              </w:rPr>
              <w:t> </w:t>
            </w:r>
          </w:p>
        </w:tc>
        <w:tc>
          <w:tcPr>
            <w:tcW w:w="513" w:type="dxa"/>
            <w:hideMark/>
          </w:tcPr>
          <w:p w14:paraId="6A59121F" w14:textId="77777777" w:rsidR="00145256" w:rsidRPr="00530906" w:rsidRDefault="00145256" w:rsidP="00C54108">
            <w:pPr>
              <w:spacing w:line="259" w:lineRule="auto"/>
              <w:jc w:val="both"/>
              <w:rPr>
                <w:sz w:val="12"/>
                <w:szCs w:val="12"/>
              </w:rPr>
            </w:pPr>
            <w:r w:rsidRPr="00530906">
              <w:rPr>
                <w:sz w:val="12"/>
                <w:szCs w:val="12"/>
              </w:rPr>
              <w:t> </w:t>
            </w:r>
          </w:p>
        </w:tc>
      </w:tr>
    </w:tbl>
    <w:p w14:paraId="3B612C79" w14:textId="0C79C6A4" w:rsidR="005A254B" w:rsidRPr="00530906" w:rsidRDefault="00145256" w:rsidP="008756B1">
      <w:pPr>
        <w:pStyle w:val="Heading1"/>
        <w:jc w:val="both"/>
      </w:pPr>
      <w:r w:rsidRPr="00530906">
        <w:br w:type="page"/>
      </w:r>
      <w:bookmarkStart w:id="106" w:name="_Toc115726279"/>
      <w:r w:rsidR="00C7217E" w:rsidRPr="00530906">
        <w:t xml:space="preserve">Appendix </w:t>
      </w:r>
      <w:r w:rsidRPr="00530906">
        <w:t>2</w:t>
      </w:r>
      <w:r w:rsidR="001E4D86" w:rsidRPr="00530906">
        <w:t xml:space="preserve">: </w:t>
      </w:r>
      <w:r w:rsidR="00BB0950" w:rsidRPr="00530906">
        <w:t>P</w:t>
      </w:r>
      <w:r w:rsidR="005A254B" w:rsidRPr="00530906">
        <w:t>apers on sustainable behaviour intention</w:t>
      </w:r>
      <w:bookmarkEnd w:id="106"/>
    </w:p>
    <w:p w14:paraId="19F3E55E" w14:textId="77777777" w:rsidR="005A254B" w:rsidRPr="00530906" w:rsidRDefault="005A254B">
      <w:pPr>
        <w:spacing w:line="360" w:lineRule="auto"/>
        <w:jc w:val="both"/>
        <w:rPr>
          <w:rFonts w:ascii="Cambria" w:eastAsia="Calibri" w:hAnsi="Cambria" w:cs="Times New Roman"/>
        </w:rPr>
      </w:pPr>
      <w:r w:rsidRPr="00530906">
        <w:rPr>
          <w:rFonts w:ascii="Cambria" w:eastAsia="Calibri" w:hAnsi="Cambria" w:cs="Times New Roman"/>
        </w:rPr>
        <w:t xml:space="preserve">Table 2: Theories considered in sustainable–behaviour literature: </w:t>
      </w:r>
    </w:p>
    <w:tbl>
      <w:tblPr>
        <w:tblStyle w:val="TableGrid"/>
        <w:tblW w:w="0" w:type="auto"/>
        <w:tblLook w:val="04A0" w:firstRow="1" w:lastRow="0" w:firstColumn="1" w:lastColumn="0" w:noHBand="0" w:noVBand="1"/>
      </w:tblPr>
      <w:tblGrid>
        <w:gridCol w:w="2252"/>
        <w:gridCol w:w="2544"/>
        <w:gridCol w:w="3310"/>
        <w:gridCol w:w="2002"/>
        <w:gridCol w:w="3840"/>
      </w:tblGrid>
      <w:tr w:rsidR="005A254B" w:rsidRPr="00530906" w14:paraId="7507552B" w14:textId="77777777" w:rsidTr="00EC5C4C">
        <w:tc>
          <w:tcPr>
            <w:tcW w:w="2252" w:type="dxa"/>
            <w:shd w:val="clear" w:color="auto" w:fill="FBE4D5"/>
          </w:tcPr>
          <w:p w14:paraId="3CB2FE99"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 xml:space="preserve">Article </w:t>
            </w:r>
          </w:p>
        </w:tc>
        <w:tc>
          <w:tcPr>
            <w:tcW w:w="2544" w:type="dxa"/>
            <w:shd w:val="clear" w:color="auto" w:fill="FBE4D5"/>
          </w:tcPr>
          <w:p w14:paraId="39DDF6F1"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Theory and context</w:t>
            </w:r>
          </w:p>
        </w:tc>
        <w:tc>
          <w:tcPr>
            <w:tcW w:w="3310" w:type="dxa"/>
            <w:shd w:val="clear" w:color="auto" w:fill="FBE4D5"/>
          </w:tcPr>
          <w:p w14:paraId="135760B5"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 xml:space="preserve">Proposition </w:t>
            </w:r>
          </w:p>
        </w:tc>
        <w:tc>
          <w:tcPr>
            <w:tcW w:w="2002" w:type="dxa"/>
            <w:shd w:val="clear" w:color="auto" w:fill="FBE4D5"/>
          </w:tcPr>
          <w:p w14:paraId="1A25BB79"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 xml:space="preserve">Methodology </w:t>
            </w:r>
          </w:p>
        </w:tc>
        <w:tc>
          <w:tcPr>
            <w:tcW w:w="3840" w:type="dxa"/>
            <w:shd w:val="clear" w:color="auto" w:fill="FBE4D5"/>
          </w:tcPr>
          <w:p w14:paraId="3495E1E1"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 xml:space="preserve">Result </w:t>
            </w:r>
          </w:p>
        </w:tc>
      </w:tr>
      <w:tr w:rsidR="005A254B" w:rsidRPr="00530906" w14:paraId="0A34E99C" w14:textId="77777777" w:rsidTr="005A254B">
        <w:tc>
          <w:tcPr>
            <w:tcW w:w="13948" w:type="dxa"/>
            <w:gridSpan w:val="5"/>
            <w:shd w:val="clear" w:color="auto" w:fill="C5E0B3" w:themeFill="accent6" w:themeFillTint="66"/>
          </w:tcPr>
          <w:p w14:paraId="355B4A0F" w14:textId="77777777" w:rsidR="005A254B" w:rsidRPr="00530906" w:rsidRDefault="005A254B">
            <w:pPr>
              <w:spacing w:after="200" w:line="360" w:lineRule="auto"/>
              <w:jc w:val="both"/>
              <w:rPr>
                <w:rFonts w:ascii="Cambria" w:eastAsiaTheme="minorEastAsia" w:hAnsi="Cambria" w:cs="Times New Roman"/>
                <w:b/>
                <w:sz w:val="24"/>
                <w:szCs w:val="24"/>
              </w:rPr>
            </w:pPr>
            <w:r w:rsidRPr="00530906">
              <w:rPr>
                <w:rFonts w:ascii="Cambria" w:eastAsiaTheme="minorEastAsia" w:hAnsi="Cambria" w:cs="Times New Roman"/>
                <w:b/>
                <w:sz w:val="24"/>
                <w:szCs w:val="24"/>
              </w:rPr>
              <w:t>Consumer personal factors</w:t>
            </w:r>
          </w:p>
        </w:tc>
      </w:tr>
      <w:tr w:rsidR="005A254B" w:rsidRPr="00530906" w14:paraId="15E5CFB9" w14:textId="77777777" w:rsidTr="00EC5C4C">
        <w:tc>
          <w:tcPr>
            <w:tcW w:w="2252" w:type="dxa"/>
          </w:tcPr>
          <w:p w14:paraId="2AF2B61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Black et al (1985)</w:t>
            </w:r>
          </w:p>
        </w:tc>
        <w:tc>
          <w:tcPr>
            <w:tcW w:w="2544" w:type="dxa"/>
          </w:tcPr>
          <w:p w14:paraId="3C3FDDC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ABC theory; residential electricity consumers in Massachusetts</w:t>
            </w:r>
          </w:p>
          <w:p w14:paraId="792C0430"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28A9B10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Contextual variables affect the personal variables, which in turn affect the behaviour. </w:t>
            </w:r>
          </w:p>
        </w:tc>
        <w:tc>
          <w:tcPr>
            <w:tcW w:w="2002" w:type="dxa"/>
          </w:tcPr>
          <w:p w14:paraId="10F942A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 478 </w:t>
            </w:r>
          </w:p>
          <w:p w14:paraId="457F6DE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Consumers of Massachusetts Department of Public Utilities,</w:t>
            </w:r>
          </w:p>
          <w:p w14:paraId="44A7A08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6DC5B5E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path analysis {lnter correlation and ordinary least squares estimation (OLS)}</w:t>
            </w:r>
          </w:p>
        </w:tc>
        <w:tc>
          <w:tcPr>
            <w:tcW w:w="3840" w:type="dxa"/>
          </w:tcPr>
          <w:p w14:paraId="54DF4EF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 more unfavourable the context (high price of the gas), the more it will affect constrained actions (activities concerning major economic sacrifice) than unconstrained actions (activities require less effort). Personal variables (norms, attitude) strongly affect unconstrained actions </w:t>
            </w:r>
          </w:p>
        </w:tc>
      </w:tr>
      <w:tr w:rsidR="005A254B" w:rsidRPr="00530906" w14:paraId="20E1F365" w14:textId="77777777" w:rsidTr="00EC5C4C">
        <w:tc>
          <w:tcPr>
            <w:tcW w:w="2252" w:type="dxa"/>
          </w:tcPr>
          <w:p w14:paraId="2C5EAC3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Stern (2000)</w:t>
            </w:r>
          </w:p>
        </w:tc>
        <w:tc>
          <w:tcPr>
            <w:tcW w:w="2544" w:type="dxa"/>
          </w:tcPr>
          <w:p w14:paraId="4700D8A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Value–beliefs–norms</w:t>
            </w:r>
          </w:p>
        </w:tc>
        <w:tc>
          <w:tcPr>
            <w:tcW w:w="3310" w:type="dxa"/>
          </w:tcPr>
          <w:p w14:paraId="0684340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 more consumers hold altruistic value, the more likely for them to adopt new environmental paradigm (NEP). On the other hand, the more consumers hold egoistic value, the more unlikely they are to accept NEP. </w:t>
            </w:r>
          </w:p>
        </w:tc>
        <w:tc>
          <w:tcPr>
            <w:tcW w:w="2002" w:type="dxa"/>
          </w:tcPr>
          <w:p w14:paraId="18CC63E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Not applicable</w:t>
            </w:r>
          </w:p>
        </w:tc>
        <w:tc>
          <w:tcPr>
            <w:tcW w:w="3840" w:type="dxa"/>
          </w:tcPr>
          <w:p w14:paraId="7420943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Proposal </w:t>
            </w:r>
          </w:p>
        </w:tc>
      </w:tr>
      <w:tr w:rsidR="005A254B" w:rsidRPr="00530906" w14:paraId="1C4ABAAA" w14:textId="77777777" w:rsidTr="00EC5C4C">
        <w:tc>
          <w:tcPr>
            <w:tcW w:w="2252" w:type="dxa"/>
          </w:tcPr>
          <w:p w14:paraId="17432A3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Heath and</w:t>
            </w:r>
          </w:p>
          <w:p w14:paraId="06B6F5C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Gifford</w:t>
            </w:r>
          </w:p>
          <w:p w14:paraId="34002B9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(2002)</w:t>
            </w:r>
          </w:p>
        </w:tc>
        <w:tc>
          <w:tcPr>
            <w:tcW w:w="2544" w:type="dxa"/>
          </w:tcPr>
          <w:p w14:paraId="0595E8B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Extended theory of planned</w:t>
            </w:r>
          </w:p>
          <w:p w14:paraId="630DCE0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Behaviour (TPB); mid–sized Canadian university</w:t>
            </w:r>
          </w:p>
        </w:tc>
        <w:tc>
          <w:tcPr>
            <w:tcW w:w="3310" w:type="dxa"/>
          </w:tcPr>
          <w:p w14:paraId="23A5038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TPB constructs along with descriptive norm and the interaction effect between intention and perceived behavioural control will be able to change the attitude and behaviour</w:t>
            </w:r>
          </w:p>
        </w:tc>
        <w:tc>
          <w:tcPr>
            <w:tcW w:w="2002" w:type="dxa"/>
          </w:tcPr>
          <w:p w14:paraId="0C856C5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175</w:t>
            </w:r>
          </w:p>
          <w:p w14:paraId="75995F8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UG classes</w:t>
            </w:r>
          </w:p>
          <w:p w14:paraId="17F3954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longitudinal study with two surveys</w:t>
            </w:r>
          </w:p>
          <w:p w14:paraId="76B3157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Hierarchical multiple regression analyses and paired–sample t tests</w:t>
            </w:r>
          </w:p>
        </w:tc>
        <w:tc>
          <w:tcPr>
            <w:tcW w:w="3840" w:type="dxa"/>
          </w:tcPr>
          <w:p w14:paraId="4F4B716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All the constructs significantly predicted the change in attitude and behaviour regarding transportation mode with the implementation of universal bass pass </w:t>
            </w:r>
          </w:p>
        </w:tc>
      </w:tr>
      <w:tr w:rsidR="005A254B" w:rsidRPr="00530906" w14:paraId="592175AA" w14:textId="77777777" w:rsidTr="00EC5C4C">
        <w:tc>
          <w:tcPr>
            <w:tcW w:w="2252" w:type="dxa"/>
          </w:tcPr>
          <w:p w14:paraId="79E7C65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Kilbourne et al (2002)</w:t>
            </w:r>
          </w:p>
        </w:tc>
        <w:tc>
          <w:tcPr>
            <w:tcW w:w="2544" w:type="dxa"/>
          </w:tcPr>
          <w:p w14:paraId="4BB1462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Dominant social paradigm (DSP); countries– England, USA, Austria, Spain, Netherlands, Denmark, Australia.</w:t>
            </w:r>
          </w:p>
        </w:tc>
        <w:tc>
          <w:tcPr>
            <w:tcW w:w="3310" w:type="dxa"/>
          </w:tcPr>
          <w:p w14:paraId="6ADE4AA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They proposed that, if peoples’ belief in DSP increases, their environmental concern decreases. But if the environmental concern increases their willingness to change for the betterment of the environment also increases. </w:t>
            </w:r>
          </w:p>
        </w:tc>
        <w:tc>
          <w:tcPr>
            <w:tcW w:w="2002" w:type="dxa"/>
          </w:tcPr>
          <w:p w14:paraId="6CE37AE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742</w:t>
            </w:r>
          </w:p>
          <w:p w14:paraId="6DEEE8A0" w14:textId="77777777" w:rsidR="005A254B" w:rsidRPr="00530906" w:rsidRDefault="005A254B">
            <w:pPr>
              <w:tabs>
                <w:tab w:val="center" w:pos="130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major universities </w:t>
            </w:r>
          </w:p>
          <w:p w14:paraId="015F33F2" w14:textId="77777777" w:rsidR="005A254B" w:rsidRPr="00530906" w:rsidRDefault="005A254B">
            <w:pPr>
              <w:tabs>
                <w:tab w:val="left" w:pos="130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3C587B18" w14:textId="77777777" w:rsidR="005A254B" w:rsidRPr="00530906" w:rsidRDefault="005A254B">
            <w:pPr>
              <w:tabs>
                <w:tab w:val="left" w:pos="130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Multiple regression</w:t>
            </w:r>
            <w:r w:rsidRPr="00530906">
              <w:rPr>
                <w:rFonts w:ascii="Cambria" w:eastAsiaTheme="minorEastAsia" w:hAnsi="Cambria" w:cs="Times New Roman"/>
                <w:sz w:val="24"/>
                <w:szCs w:val="24"/>
              </w:rPr>
              <w:tab/>
            </w:r>
          </w:p>
        </w:tc>
        <w:tc>
          <w:tcPr>
            <w:tcW w:w="3840" w:type="dxa"/>
          </w:tcPr>
          <w:p w14:paraId="297719B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In support of the model, it has been observed that, individual’s position on the DSP influences his/her attitude, which is related to expressed willingness to change. Environmental concern positively affects behavioural attitude. </w:t>
            </w:r>
          </w:p>
        </w:tc>
      </w:tr>
      <w:tr w:rsidR="005A254B" w:rsidRPr="00530906" w14:paraId="7889F9D7" w14:textId="77777777" w:rsidTr="00EC5C4C">
        <w:tc>
          <w:tcPr>
            <w:tcW w:w="2252" w:type="dxa"/>
          </w:tcPr>
          <w:p w14:paraId="73ABD6D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Kilbourne (2004)</w:t>
            </w:r>
          </w:p>
        </w:tc>
        <w:tc>
          <w:tcPr>
            <w:tcW w:w="2544" w:type="dxa"/>
          </w:tcPr>
          <w:p w14:paraId="225DFF6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Dominant social paradigm (DSP); western industrial society </w:t>
            </w:r>
          </w:p>
        </w:tc>
        <w:tc>
          <w:tcPr>
            <w:tcW w:w="3310" w:type="dxa"/>
          </w:tcPr>
          <w:p w14:paraId="0B1AD6B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Changes are necessary to have any effect of sustainable communication, which is highly unlikely due to prevalent DSP of western industrial nations. </w:t>
            </w:r>
          </w:p>
        </w:tc>
        <w:tc>
          <w:tcPr>
            <w:tcW w:w="2002" w:type="dxa"/>
          </w:tcPr>
          <w:p w14:paraId="1FAC50A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Not applicable since it is a qualitative paper.</w:t>
            </w:r>
          </w:p>
        </w:tc>
        <w:tc>
          <w:tcPr>
            <w:tcW w:w="3840" w:type="dxa"/>
          </w:tcPr>
          <w:p w14:paraId="309FABA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This article aims to position green advertising and sustainable communication within the DSP of western industrial society.</w:t>
            </w:r>
          </w:p>
        </w:tc>
      </w:tr>
      <w:tr w:rsidR="005A254B" w:rsidRPr="00530906" w14:paraId="502331E1" w14:textId="77777777" w:rsidTr="00EC5C4C">
        <w:tc>
          <w:tcPr>
            <w:tcW w:w="2252" w:type="dxa"/>
          </w:tcPr>
          <w:p w14:paraId="60429FD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Steenhaut and Kenhove (2006)</w:t>
            </w:r>
          </w:p>
        </w:tc>
        <w:tc>
          <w:tcPr>
            <w:tcW w:w="2544" w:type="dxa"/>
          </w:tcPr>
          <w:p w14:paraId="76FA18B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AdvPSBEM"/>
                <w:sz w:val="24"/>
                <w:szCs w:val="24"/>
              </w:rPr>
              <w:t>Hunt–Vitell model</w:t>
            </w:r>
          </w:p>
        </w:tc>
        <w:tc>
          <w:tcPr>
            <w:tcW w:w="3310" w:type="dxa"/>
          </w:tcPr>
          <w:p w14:paraId="73935E7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Anticipation of guilt shapes the ethical behaviour</w:t>
            </w:r>
          </w:p>
        </w:tc>
        <w:tc>
          <w:tcPr>
            <w:tcW w:w="2002" w:type="dxa"/>
          </w:tcPr>
          <w:p w14:paraId="779B5BA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120, 78</w:t>
            </w:r>
          </w:p>
          <w:p w14:paraId="1E1936C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general public, University</w:t>
            </w:r>
          </w:p>
          <w:p w14:paraId="4857EB1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 experiment</w:t>
            </w:r>
          </w:p>
          <w:p w14:paraId="6FE2363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 t–test</w:t>
            </w:r>
          </w:p>
        </w:tc>
        <w:tc>
          <w:tcPr>
            <w:tcW w:w="3840" w:type="dxa"/>
          </w:tcPr>
          <w:p w14:paraId="544758B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 moral philosophies of consumers promote anticipation of guilt and shapes the ethical judgement of the consumers, which in turn reflected in ethical decision making.</w:t>
            </w:r>
          </w:p>
        </w:tc>
      </w:tr>
      <w:tr w:rsidR="005A254B" w:rsidRPr="00530906" w14:paraId="5E2AB31D" w14:textId="77777777" w:rsidTr="00EC5C4C">
        <w:tc>
          <w:tcPr>
            <w:tcW w:w="2252" w:type="dxa"/>
          </w:tcPr>
          <w:p w14:paraId="713D76E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Hirsh and Dolderman (2007)</w:t>
            </w:r>
          </w:p>
        </w:tc>
        <w:tc>
          <w:tcPr>
            <w:tcW w:w="2544" w:type="dxa"/>
          </w:tcPr>
          <w:p w14:paraId="5E085B6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Big five personality traits; Canada, Toronto  </w:t>
            </w:r>
          </w:p>
        </w:tc>
        <w:tc>
          <w:tcPr>
            <w:tcW w:w="3310" w:type="dxa"/>
          </w:tcPr>
          <w:p w14:paraId="01A7819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Since consumerism and environmentalism are two opposite constructs, both can be predicted by personality traits and values.</w:t>
            </w:r>
          </w:p>
        </w:tc>
        <w:tc>
          <w:tcPr>
            <w:tcW w:w="2002" w:type="dxa"/>
          </w:tcPr>
          <w:p w14:paraId="1224664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106</w:t>
            </w:r>
          </w:p>
          <w:p w14:paraId="1973E65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UG student students of university of Toronto </w:t>
            </w:r>
          </w:p>
          <w:p w14:paraId="0E58805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743F8A6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Correlation</w:t>
            </w:r>
          </w:p>
        </w:tc>
        <w:tc>
          <w:tcPr>
            <w:tcW w:w="3840" w:type="dxa"/>
          </w:tcPr>
          <w:p w14:paraId="44ADE4A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Consumerism deemed to be negatively related with agreeableness and environmentalism is positively related with both agreeableness and openness</w:t>
            </w:r>
          </w:p>
        </w:tc>
      </w:tr>
      <w:tr w:rsidR="005A254B" w:rsidRPr="00530906" w14:paraId="6E5B770D" w14:textId="77777777" w:rsidTr="00EC5C4C">
        <w:tc>
          <w:tcPr>
            <w:tcW w:w="2252" w:type="dxa"/>
          </w:tcPr>
          <w:p w14:paraId="2726397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Chan et al (2008)</w:t>
            </w:r>
          </w:p>
        </w:tc>
        <w:tc>
          <w:tcPr>
            <w:tcW w:w="2544" w:type="dxa"/>
          </w:tcPr>
          <w:p w14:paraId="0076C96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General Theory of Marketing Ethics (called the H–V theory hereafter) education has been controlled. Check how.</w:t>
            </w:r>
          </w:p>
        </w:tc>
        <w:tc>
          <w:tcPr>
            <w:tcW w:w="3310" w:type="dxa"/>
          </w:tcPr>
          <w:p w14:paraId="6819E32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Identify the antecedents (habit, deontological evaluation, teleological evaluation, and ethical judgment) of green consumer behaviour, along with moderating effect of perceived importance</w:t>
            </w:r>
          </w:p>
        </w:tc>
        <w:tc>
          <w:tcPr>
            <w:tcW w:w="2002" w:type="dxa"/>
          </w:tcPr>
          <w:p w14:paraId="442BAAA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250</w:t>
            </w:r>
          </w:p>
          <w:p w14:paraId="5A3FA8E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Beijing households</w:t>
            </w:r>
          </w:p>
          <w:p w14:paraId="573FA20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3F36AC0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multiple regression</w:t>
            </w:r>
          </w:p>
        </w:tc>
        <w:tc>
          <w:tcPr>
            <w:tcW w:w="3840" w:type="dxa"/>
          </w:tcPr>
          <w:p w14:paraId="2F731E3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All of the antecedents proved to be effective except ethical judgement significantly predicted behavioural intention. In addition to that, the consumers who perceive the green consumption behaviour to be more important, have higher corresponding behavioural intention.  </w:t>
            </w:r>
          </w:p>
        </w:tc>
      </w:tr>
      <w:tr w:rsidR="005A254B" w:rsidRPr="00530906" w14:paraId="45E04A96" w14:textId="77777777" w:rsidTr="00EC5C4C">
        <w:tc>
          <w:tcPr>
            <w:tcW w:w="2252" w:type="dxa"/>
          </w:tcPr>
          <w:p w14:paraId="45F321B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Vermeira, and Verbeke (2008)</w:t>
            </w:r>
          </w:p>
        </w:tc>
        <w:tc>
          <w:tcPr>
            <w:tcW w:w="2544" w:type="dxa"/>
          </w:tcPr>
          <w:p w14:paraId="1B6123D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w:t>
            </w:r>
          </w:p>
        </w:tc>
        <w:tc>
          <w:tcPr>
            <w:tcW w:w="3310" w:type="dxa"/>
          </w:tcPr>
          <w:p w14:paraId="78A928C6" w14:textId="103B48AA" w:rsidR="005A254B" w:rsidRPr="00530906" w:rsidRDefault="008A6EB3">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Attitudes</w:t>
            </w:r>
            <w:r>
              <w:rPr>
                <w:rFonts w:ascii="Cambria" w:eastAsiaTheme="minorEastAsia" w:hAnsi="Cambria" w:cs="Times New Roman"/>
                <w:sz w:val="24"/>
                <w:szCs w:val="24"/>
              </w:rPr>
              <w:t>,</w:t>
            </w:r>
            <w:r w:rsidR="005A254B" w:rsidRPr="00530906">
              <w:rPr>
                <w:rFonts w:ascii="Cambria" w:eastAsiaTheme="minorEastAsia" w:hAnsi="Cambria" w:cs="Times New Roman"/>
                <w:sz w:val="24"/>
                <w:szCs w:val="24"/>
              </w:rPr>
              <w:t xml:space="preserve"> perceived behavioural control, social norms should affect Sustainable–consumption intention. </w:t>
            </w:r>
          </w:p>
        </w:tc>
        <w:tc>
          <w:tcPr>
            <w:tcW w:w="2002" w:type="dxa"/>
          </w:tcPr>
          <w:p w14:paraId="0C8E382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456</w:t>
            </w:r>
          </w:p>
          <w:p w14:paraId="470E071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0033CB8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multiple regression model</w:t>
            </w:r>
          </w:p>
        </w:tc>
        <w:tc>
          <w:tcPr>
            <w:tcW w:w="3840" w:type="dxa"/>
          </w:tcPr>
          <w:p w14:paraId="5E14251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Different levels of confidence and value orientation have different effect on the relationship between Sustainable–consumption behaviour and other determinants like– attitudes, perceived social influences, perceived consumer effectiveness and perceived availability</w:t>
            </w:r>
          </w:p>
        </w:tc>
      </w:tr>
      <w:tr w:rsidR="005A254B" w:rsidRPr="00530906" w14:paraId="7605B3B3" w14:textId="77777777" w:rsidTr="00EC5C4C">
        <w:tc>
          <w:tcPr>
            <w:tcW w:w="2252" w:type="dxa"/>
          </w:tcPr>
          <w:p w14:paraId="489A332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AdvTT6a9e2faf.B"/>
                <w:sz w:val="24"/>
                <w:szCs w:val="24"/>
              </w:rPr>
              <w:t>Jackson and Papathanasopoulou (2008)</w:t>
            </w:r>
          </w:p>
        </w:tc>
        <w:tc>
          <w:tcPr>
            <w:tcW w:w="2544" w:type="dxa"/>
          </w:tcPr>
          <w:p w14:paraId="5EAA71FB"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4BE3973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 change in fossil fuel consumption pattern in UK from 1968–2000 </w:t>
            </w:r>
          </w:p>
        </w:tc>
        <w:tc>
          <w:tcPr>
            <w:tcW w:w="2002" w:type="dxa"/>
          </w:tcPr>
          <w:p w14:paraId="752C8AB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Secondary research</w:t>
            </w:r>
          </w:p>
        </w:tc>
        <w:tc>
          <w:tcPr>
            <w:tcW w:w="3840" w:type="dxa"/>
          </w:tcPr>
          <w:p w14:paraId="48D3879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Increment of fossil fuel consumption is attributed to recreation and entertainment purpose and commuting and business travel </w:t>
            </w:r>
          </w:p>
        </w:tc>
      </w:tr>
      <w:tr w:rsidR="005A254B" w:rsidRPr="00530906" w14:paraId="48B57518" w14:textId="77777777" w:rsidTr="00EC5C4C">
        <w:tc>
          <w:tcPr>
            <w:tcW w:w="2252" w:type="dxa"/>
          </w:tcPr>
          <w:p w14:paraId="27A690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Carrington et al (2010) </w:t>
            </w:r>
          </w:p>
        </w:tc>
        <w:tc>
          <w:tcPr>
            <w:tcW w:w="2544" w:type="dxa"/>
          </w:tcPr>
          <w:p w14:paraId="3C06C4E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w:t>
            </w:r>
          </w:p>
        </w:tc>
        <w:tc>
          <w:tcPr>
            <w:tcW w:w="3310" w:type="dxa"/>
          </w:tcPr>
          <w:p w14:paraId="6ABBD08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In order to propose a wholesome model of TPB for ethical consumption, with moderators: actual behavioural control (ABC) and situational context (SC) and mediator: implementation intention. </w:t>
            </w:r>
          </w:p>
        </w:tc>
        <w:tc>
          <w:tcPr>
            <w:tcW w:w="2002" w:type="dxa"/>
          </w:tcPr>
          <w:p w14:paraId="423B3D8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Not applicable</w:t>
            </w:r>
          </w:p>
        </w:tc>
        <w:tc>
          <w:tcPr>
            <w:tcW w:w="3840" w:type="dxa"/>
          </w:tcPr>
          <w:p w14:paraId="75B5561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Proposal </w:t>
            </w:r>
          </w:p>
        </w:tc>
      </w:tr>
      <w:tr w:rsidR="005A254B" w:rsidRPr="00530906" w14:paraId="3379C64A" w14:textId="77777777" w:rsidTr="00EC5C4C">
        <w:tc>
          <w:tcPr>
            <w:tcW w:w="2252" w:type="dxa"/>
          </w:tcPr>
          <w:p w14:paraId="7459FC8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Lusch et al (2010)</w:t>
            </w:r>
          </w:p>
        </w:tc>
        <w:tc>
          <w:tcPr>
            <w:tcW w:w="2544" w:type="dxa"/>
          </w:tcPr>
          <w:p w14:paraId="3B3A771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Halo effect</w:t>
            </w:r>
          </w:p>
        </w:tc>
        <w:tc>
          <w:tcPr>
            <w:tcW w:w="3310" w:type="dxa"/>
          </w:tcPr>
          <w:p w14:paraId="4CF7FE2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 presence of ethical attributes of a product may influence consumers’ perception of other attributes of the product, which may result into prefer of reject the product</w:t>
            </w:r>
          </w:p>
        </w:tc>
        <w:tc>
          <w:tcPr>
            <w:tcW w:w="2002" w:type="dxa"/>
          </w:tcPr>
          <w:p w14:paraId="60DF0D7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42, 148, 68, 281</w:t>
            </w:r>
          </w:p>
          <w:p w14:paraId="6814778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students</w:t>
            </w:r>
          </w:p>
          <w:p w14:paraId="7439719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survey, experiment </w:t>
            </w:r>
          </w:p>
          <w:p w14:paraId="5AC6C27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repeated measure analysis, ANOVA, logistic regression</w:t>
            </w:r>
          </w:p>
          <w:p w14:paraId="161FDDCD"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840" w:type="dxa"/>
          </w:tcPr>
          <w:p w14:paraId="5F8CB14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associate gentleness with product with high ethical claim. Hence if they value strength as a product attribute, they will not prefer ethical products. this potential negative impact of sustainability claim on product preference  can be minimised if explicit cue are provided regarding product’s strength.</w:t>
            </w:r>
          </w:p>
        </w:tc>
      </w:tr>
      <w:tr w:rsidR="005A254B" w:rsidRPr="00530906" w14:paraId="2FD68C18" w14:textId="77777777" w:rsidTr="00EC5C4C">
        <w:tc>
          <w:tcPr>
            <w:tcW w:w="2252" w:type="dxa"/>
          </w:tcPr>
          <w:p w14:paraId="61B8C20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Lee et al (2010)</w:t>
            </w:r>
          </w:p>
        </w:tc>
        <w:tc>
          <w:tcPr>
            <w:tcW w:w="2544" w:type="dxa"/>
          </w:tcPr>
          <w:p w14:paraId="07F8426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image formation; USA green hotel</w:t>
            </w:r>
          </w:p>
        </w:tc>
        <w:tc>
          <w:tcPr>
            <w:tcW w:w="3310" w:type="dxa"/>
          </w:tcPr>
          <w:p w14:paraId="5A18950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Cognitive, affective and overall image positively influence behavioural intension.</w:t>
            </w:r>
          </w:p>
        </w:tc>
        <w:tc>
          <w:tcPr>
            <w:tcW w:w="2002" w:type="dxa"/>
          </w:tcPr>
          <w:p w14:paraId="7C191F8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416hotel users</w:t>
            </w:r>
          </w:p>
          <w:p w14:paraId="6ADC5C6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company’s database</w:t>
            </w:r>
          </w:p>
          <w:p w14:paraId="22D1E91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69E89D3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confirmatory factor analysis (CFA)</w:t>
            </w:r>
          </w:p>
        </w:tc>
        <w:tc>
          <w:tcPr>
            <w:tcW w:w="3840" w:type="dxa"/>
          </w:tcPr>
          <w:p w14:paraId="1BE4B3E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Affective image influences the hotels’ over all image. Cognitive image component influence both affective and over all image, which in turn affect favourable behavioural intention.</w:t>
            </w:r>
          </w:p>
        </w:tc>
      </w:tr>
      <w:tr w:rsidR="005A254B" w:rsidRPr="00530906" w14:paraId="4E69B314" w14:textId="77777777" w:rsidTr="00EC5C4C">
        <w:tc>
          <w:tcPr>
            <w:tcW w:w="2252" w:type="dxa"/>
          </w:tcPr>
          <w:p w14:paraId="54C9532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Bondy and Talwar (2011)</w:t>
            </w:r>
          </w:p>
        </w:tc>
        <w:tc>
          <w:tcPr>
            <w:tcW w:w="2544" w:type="dxa"/>
          </w:tcPr>
          <w:p w14:paraId="4A86EDB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 Canada, UK and the US</w:t>
            </w:r>
          </w:p>
        </w:tc>
        <w:tc>
          <w:tcPr>
            <w:tcW w:w="3310" w:type="dxa"/>
          </w:tcPr>
          <w:p w14:paraId="355B097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Fair trade consumption is related with consumer behavioural norm</w:t>
            </w:r>
          </w:p>
        </w:tc>
        <w:tc>
          <w:tcPr>
            <w:tcW w:w="2002" w:type="dxa"/>
          </w:tcPr>
          <w:p w14:paraId="008798C4" w14:textId="77777777" w:rsidR="005A254B" w:rsidRPr="00530906" w:rsidRDefault="005A254B">
            <w:pPr>
              <w:tabs>
                <w:tab w:val="left" w:pos="1762"/>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306</w:t>
            </w:r>
          </w:p>
          <w:p w14:paraId="6CFC4BF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social network</w:t>
            </w:r>
          </w:p>
          <w:p w14:paraId="25FAA4B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1B8CB94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Wilcoxon test</w:t>
            </w:r>
          </w:p>
        </w:tc>
        <w:tc>
          <w:tcPr>
            <w:tcW w:w="3840" w:type="dxa"/>
          </w:tcPr>
          <w:p w14:paraId="00AB806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Occasional Fairtrade consumers became more price conscious at the time of recession. Whereas active consumers remain loyal. This discrepancy is more evident in US and Canadian consumers than that of UK consumers. </w:t>
            </w:r>
          </w:p>
        </w:tc>
      </w:tr>
      <w:tr w:rsidR="005A254B" w:rsidRPr="00530906" w14:paraId="60F4E1A5" w14:textId="77777777" w:rsidTr="00EC5C4C">
        <w:tc>
          <w:tcPr>
            <w:tcW w:w="2252" w:type="dxa"/>
          </w:tcPr>
          <w:p w14:paraId="4807E0EE" w14:textId="77777777" w:rsidR="005A254B" w:rsidRPr="00530906" w:rsidRDefault="005A254B">
            <w:pPr>
              <w:spacing w:after="200" w:line="360" w:lineRule="auto"/>
              <w:jc w:val="both"/>
              <w:rPr>
                <w:rFonts w:ascii="Cambria" w:eastAsiaTheme="minorEastAsia" w:hAnsi="Cambria" w:cs="Times New Roman"/>
                <w:sz w:val="24"/>
                <w:szCs w:val="24"/>
              </w:rPr>
            </w:pPr>
            <w:bookmarkStart w:id="107" w:name="_Hlk29383655"/>
            <w:r w:rsidRPr="00530906">
              <w:rPr>
                <w:rFonts w:ascii="Cambria" w:eastAsiaTheme="minorEastAsia" w:hAnsi="Cambria" w:cs="Times New Roman"/>
                <w:sz w:val="24"/>
                <w:szCs w:val="24"/>
              </w:rPr>
              <w:t>Koller et al (2011)</w:t>
            </w:r>
            <w:bookmarkEnd w:id="107"/>
          </w:p>
        </w:tc>
        <w:tc>
          <w:tcPr>
            <w:tcW w:w="2544" w:type="dxa"/>
          </w:tcPr>
          <w:p w14:paraId="714CE785" w14:textId="1356F2B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Attachment theory and </w:t>
            </w:r>
            <w:r w:rsidR="008A6EB3" w:rsidRPr="00530906">
              <w:rPr>
                <w:rFonts w:ascii="Cambria" w:eastAsiaTheme="minorEastAsia" w:hAnsi="Cambria" w:cs="Times New Roman"/>
                <w:sz w:val="24"/>
                <w:szCs w:val="24"/>
              </w:rPr>
              <w:t>signalling</w:t>
            </w:r>
            <w:r w:rsidRPr="00530906">
              <w:rPr>
                <w:rFonts w:ascii="Cambria" w:eastAsiaTheme="minorEastAsia" w:hAnsi="Cambria" w:cs="Times New Roman"/>
                <w:sz w:val="24"/>
                <w:szCs w:val="24"/>
              </w:rPr>
              <w:t xml:space="preserve"> theory; car industry</w:t>
            </w:r>
          </w:p>
        </w:tc>
        <w:tc>
          <w:tcPr>
            <w:tcW w:w="3310" w:type="dxa"/>
          </w:tcPr>
          <w:p w14:paraId="2E5ACA1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Ecological value affects indirectly to the loyalty through functional, economic, emotional and social value</w:t>
            </w:r>
          </w:p>
        </w:tc>
        <w:tc>
          <w:tcPr>
            <w:tcW w:w="2002" w:type="dxa"/>
          </w:tcPr>
          <w:p w14:paraId="6C076FB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Sample:6 and 228 </w:t>
            </w:r>
          </w:p>
          <w:p w14:paraId="745531B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focus group and paper and pencil interview</w:t>
            </w:r>
          </w:p>
          <w:p w14:paraId="0360435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Analysis: </w:t>
            </w:r>
          </w:p>
        </w:tc>
        <w:tc>
          <w:tcPr>
            <w:tcW w:w="3840" w:type="dxa"/>
          </w:tcPr>
          <w:p w14:paraId="1F03698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Perceived ecological value have a significant impact on all four value dimensions.</w:t>
            </w:r>
          </w:p>
        </w:tc>
      </w:tr>
      <w:tr w:rsidR="005A254B" w:rsidRPr="00530906" w14:paraId="5F542478" w14:textId="77777777" w:rsidTr="00EC5C4C">
        <w:tc>
          <w:tcPr>
            <w:tcW w:w="2252" w:type="dxa"/>
          </w:tcPr>
          <w:p w14:paraId="2D81633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Urien and Kilbourne (2011)</w:t>
            </w:r>
          </w:p>
        </w:tc>
        <w:tc>
          <w:tcPr>
            <w:tcW w:w="2544" w:type="dxa"/>
          </w:tcPr>
          <w:p w14:paraId="57C7FA8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generativity; France and USA</w:t>
            </w:r>
          </w:p>
        </w:tc>
        <w:tc>
          <w:tcPr>
            <w:tcW w:w="3310" w:type="dxa"/>
          </w:tcPr>
          <w:p w14:paraId="2DE2630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People with high generativity, are more concerned about environment and inclined to change their behaviour than people with high level of self enhancement need</w:t>
            </w:r>
          </w:p>
        </w:tc>
        <w:tc>
          <w:tcPr>
            <w:tcW w:w="2002" w:type="dxa"/>
          </w:tcPr>
          <w:p w14:paraId="60FD216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283(US) and 198 (France)</w:t>
            </w:r>
          </w:p>
          <w:p w14:paraId="69F6AEC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w:t>
            </w:r>
          </w:p>
          <w:p w14:paraId="379AE92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4CEF11C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 and Multivariate analysis of variance</w:t>
            </w:r>
          </w:p>
        </w:tc>
        <w:tc>
          <w:tcPr>
            <w:tcW w:w="3840" w:type="dxa"/>
          </w:tcPr>
          <w:p w14:paraId="0A89B0E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People, who are more concerned about the consequence of their actions on the future generation, are likely to change their behaviour. Self enhancement has an interaction effect with generativity, which suggests that self–enhancement occurs through the welfare of others. </w:t>
            </w:r>
          </w:p>
        </w:tc>
      </w:tr>
      <w:tr w:rsidR="005A254B" w:rsidRPr="00530906" w14:paraId="7609555F" w14:textId="77777777" w:rsidTr="00EC5C4C">
        <w:tc>
          <w:tcPr>
            <w:tcW w:w="2252" w:type="dxa"/>
          </w:tcPr>
          <w:p w14:paraId="3A08034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Soyez (2011)</w:t>
            </w:r>
          </w:p>
        </w:tc>
        <w:tc>
          <w:tcPr>
            <w:tcW w:w="2544" w:type="dxa"/>
          </w:tcPr>
          <w:p w14:paraId="6072CC6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 Canada, US, German, Russian and Australian</w:t>
            </w:r>
          </w:p>
        </w:tc>
        <w:tc>
          <w:tcPr>
            <w:tcW w:w="3310" w:type="dxa"/>
          </w:tcPr>
          <w:p w14:paraId="2F177C4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Pro–environmental value orientation is different from national cultural value</w:t>
            </w:r>
          </w:p>
        </w:tc>
        <w:tc>
          <w:tcPr>
            <w:tcW w:w="2002" w:type="dxa"/>
          </w:tcPr>
          <w:p w14:paraId="330898B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Sample:1,096</w:t>
            </w:r>
          </w:p>
          <w:p w14:paraId="6BD7C99F" w14:textId="77777777" w:rsidR="005A254B" w:rsidRPr="00530906" w:rsidRDefault="005A254B">
            <w:pPr>
              <w:tabs>
                <w:tab w:val="center" w:pos="130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Urban area</w:t>
            </w:r>
          </w:p>
          <w:p w14:paraId="505EBF7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5DE4F97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34427EDB" w14:textId="263D1334"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Except for Russia, other countries have individualistic cultural value and eco–centric value orientation. </w:t>
            </w:r>
            <w:r w:rsidR="008A6EB3" w:rsidRPr="00530906">
              <w:rPr>
                <w:rFonts w:ascii="Cambria" w:eastAsiaTheme="minorEastAsia" w:hAnsi="Cambria" w:cs="Times New Roman"/>
                <w:sz w:val="24"/>
                <w:szCs w:val="24"/>
              </w:rPr>
              <w:t>Russians</w:t>
            </w:r>
            <w:r w:rsidRPr="00530906">
              <w:rPr>
                <w:rFonts w:ascii="Cambria" w:eastAsiaTheme="minorEastAsia" w:hAnsi="Cambria" w:cs="Times New Roman"/>
                <w:sz w:val="24"/>
                <w:szCs w:val="24"/>
              </w:rPr>
              <w:t xml:space="preserve"> protect environment for </w:t>
            </w:r>
            <w:r w:rsidR="008A6EB3" w:rsidRPr="00530906">
              <w:rPr>
                <w:rFonts w:ascii="Cambria" w:eastAsiaTheme="minorEastAsia" w:hAnsi="Cambria" w:cs="Times New Roman"/>
                <w:sz w:val="24"/>
                <w:szCs w:val="24"/>
              </w:rPr>
              <w:t>altruistic</w:t>
            </w:r>
            <w:r w:rsidRPr="00530906">
              <w:rPr>
                <w:rFonts w:ascii="Cambria" w:eastAsiaTheme="minorEastAsia" w:hAnsi="Cambria" w:cs="Times New Roman"/>
                <w:sz w:val="24"/>
                <w:szCs w:val="24"/>
              </w:rPr>
              <w:t xml:space="preserve"> reason, since it is a collectivist culture. </w:t>
            </w:r>
          </w:p>
        </w:tc>
      </w:tr>
      <w:tr w:rsidR="005A254B" w:rsidRPr="00530906" w14:paraId="4241E6DC" w14:textId="77777777" w:rsidTr="00EC5C4C">
        <w:tc>
          <w:tcPr>
            <w:tcW w:w="2252" w:type="dxa"/>
          </w:tcPr>
          <w:p w14:paraId="5F1D181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Tucker et al (2012)</w:t>
            </w:r>
          </w:p>
        </w:tc>
        <w:tc>
          <w:tcPr>
            <w:tcW w:w="2544" w:type="dxa"/>
          </w:tcPr>
          <w:p w14:paraId="7A3230D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Assimilation contrast model and </w:t>
            </w:r>
            <w:bookmarkStart w:id="108" w:name="_Hlk29382075"/>
            <w:r w:rsidRPr="00530906">
              <w:rPr>
                <w:rFonts w:ascii="Cambria" w:eastAsiaTheme="minorEastAsia" w:hAnsi="Cambria" w:cs="Times New Roman"/>
                <w:sz w:val="24"/>
                <w:szCs w:val="24"/>
              </w:rPr>
              <w:t xml:space="preserve">Elaboration Likelihood Model </w:t>
            </w:r>
            <w:bookmarkEnd w:id="108"/>
            <w:r w:rsidRPr="00530906">
              <w:rPr>
                <w:rFonts w:ascii="Cambria" w:eastAsiaTheme="minorEastAsia" w:hAnsi="Cambria" w:cs="Times New Roman"/>
                <w:sz w:val="24"/>
                <w:szCs w:val="24"/>
              </w:rPr>
              <w:t>(ELM); Midwestern state in the United States.</w:t>
            </w:r>
          </w:p>
        </w:tc>
        <w:tc>
          <w:tcPr>
            <w:tcW w:w="3310" w:type="dxa"/>
          </w:tcPr>
          <w:p w14:paraId="7288F6C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perception of the credibility of ecologically themed ad is influenced by perceived consumer effectiveness and ecological attitudes and behaviours, which result into ad attitude, brand attitude, and purchase intention</w:t>
            </w:r>
          </w:p>
        </w:tc>
        <w:tc>
          <w:tcPr>
            <w:tcW w:w="2002" w:type="dxa"/>
          </w:tcPr>
          <w:p w14:paraId="0B6F491F" w14:textId="49D1B3A6"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w:t>
            </w:r>
            <w:r w:rsidR="002E6774">
              <w:rPr>
                <w:rFonts w:ascii="Cambria" w:eastAsiaTheme="minorEastAsia" w:hAnsi="Cambria" w:cs="Times New Roman"/>
                <w:sz w:val="24"/>
                <w:szCs w:val="24"/>
              </w:rPr>
              <w:t xml:space="preserve"> 420</w:t>
            </w:r>
          </w:p>
          <w:p w14:paraId="4754D93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members of a church, an informal recreational group, clerical/technical university staff of workers union, and their referred people</w:t>
            </w:r>
          </w:p>
          <w:p w14:paraId="1D1EF51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47AD5DD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 and SEM</w:t>
            </w:r>
          </w:p>
        </w:tc>
        <w:tc>
          <w:tcPr>
            <w:tcW w:w="3840" w:type="dxa"/>
          </w:tcPr>
          <w:p w14:paraId="60F56C2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Positive attitude of consumers towards environmental protection is positively related with perceived consumer effectiveness (PCE) and ad credibility and ad involvement</w:t>
            </w:r>
          </w:p>
        </w:tc>
      </w:tr>
      <w:tr w:rsidR="005A254B" w:rsidRPr="00530906" w14:paraId="7F6B5629" w14:textId="77777777" w:rsidTr="00EC5C4C">
        <w:tc>
          <w:tcPr>
            <w:tcW w:w="2252" w:type="dxa"/>
          </w:tcPr>
          <w:p w14:paraId="75425A9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sz w:val="24"/>
                <w:szCs w:val="24"/>
              </w:rPr>
              <w:t>Thøgersen et al (2012)</w:t>
            </w:r>
          </w:p>
        </w:tc>
        <w:tc>
          <w:tcPr>
            <w:tcW w:w="2544" w:type="dxa"/>
          </w:tcPr>
          <w:p w14:paraId="0D9A3670"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7027299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Adding green attributes to the consumer product make the product more favourable than the conventional product</w:t>
            </w:r>
          </w:p>
        </w:tc>
        <w:tc>
          <w:tcPr>
            <w:tcW w:w="2002" w:type="dxa"/>
          </w:tcPr>
          <w:p w14:paraId="2973B44A"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185</w:t>
            </w:r>
          </w:p>
          <w:p w14:paraId="56D84F53"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walk–in consumers of 1 supermarket and 1 discount store in Denmark. </w:t>
            </w:r>
          </w:p>
          <w:p w14:paraId="43681831"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quantified data from observation and interview</w:t>
            </w:r>
          </w:p>
          <w:p w14:paraId="0B74DF01"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t–test</w:t>
            </w:r>
          </w:p>
        </w:tc>
        <w:tc>
          <w:tcPr>
            <w:tcW w:w="3840" w:type="dxa"/>
          </w:tcPr>
          <w:p w14:paraId="1D9BDC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Organic consumers do not employ more time and effort than conventional consumers. the information about green attributes simply added into the heuristics </w:t>
            </w:r>
          </w:p>
        </w:tc>
      </w:tr>
      <w:tr w:rsidR="005A254B" w:rsidRPr="00530906" w14:paraId="6C375B11" w14:textId="77777777" w:rsidTr="00EC5C4C">
        <w:tc>
          <w:tcPr>
            <w:tcW w:w="2252" w:type="dxa"/>
          </w:tcPr>
          <w:p w14:paraId="53D56F0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Luchs et al (2012)</w:t>
            </w:r>
          </w:p>
        </w:tc>
        <w:tc>
          <w:tcPr>
            <w:tcW w:w="2544" w:type="dxa"/>
          </w:tcPr>
          <w:p w14:paraId="3E10935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Regulatory focus theory</w:t>
            </w:r>
          </w:p>
        </w:tc>
        <w:tc>
          <w:tcPr>
            <w:tcW w:w="3310" w:type="dxa"/>
          </w:tcPr>
          <w:p w14:paraId="1CF154DD"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Consumers will choose functionally superior product over sustainably superior product. this relationship in mediated by emotion </w:t>
            </w:r>
          </w:p>
        </w:tc>
        <w:tc>
          <w:tcPr>
            <w:tcW w:w="2002" w:type="dxa"/>
          </w:tcPr>
          <w:p w14:paraId="7151571B"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119, 308</w:t>
            </w:r>
          </w:p>
          <w:p w14:paraId="5887A92F"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US</w:t>
            </w:r>
          </w:p>
          <w:p w14:paraId="67724C02"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26DAE40F"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bootstrap mediation analysis</w:t>
            </w:r>
          </w:p>
          <w:p w14:paraId="366BEC8A" w14:textId="77777777" w:rsidR="005A254B" w:rsidRPr="00530906" w:rsidRDefault="005A254B" w:rsidP="008756B1">
            <w:pPr>
              <w:spacing w:after="200" w:line="360" w:lineRule="auto"/>
              <w:jc w:val="both"/>
              <w:rPr>
                <w:rFonts w:ascii="Cambria" w:eastAsiaTheme="minorEastAsia" w:hAnsi="Cambria" w:cs="Times New Roman"/>
                <w:sz w:val="24"/>
                <w:szCs w:val="24"/>
              </w:rPr>
            </w:pPr>
          </w:p>
        </w:tc>
        <w:tc>
          <w:tcPr>
            <w:tcW w:w="3840" w:type="dxa"/>
          </w:tcPr>
          <w:p w14:paraId="655E42D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 prefer functionality over sustainability to a certain threshold due to avoid distress. When the minimum requirement of functionality is met, they prefer sustainable attributes. The level of guilt and confidence is dependent on the level of importance sustainability has. The lack of confidence on Sustainable–products can be mitigated by superior aesthetics. </w:t>
            </w:r>
          </w:p>
        </w:tc>
      </w:tr>
      <w:tr w:rsidR="005A254B" w:rsidRPr="00530906" w14:paraId="7D320838" w14:textId="77777777" w:rsidTr="00EC5C4C">
        <w:tc>
          <w:tcPr>
            <w:tcW w:w="2252" w:type="dxa"/>
          </w:tcPr>
          <w:p w14:paraId="22AD8C0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Egea and de Frutos (2013)</w:t>
            </w:r>
          </w:p>
        </w:tc>
        <w:tc>
          <w:tcPr>
            <w:tcW w:w="2544" w:type="dxa"/>
          </w:tcPr>
          <w:p w14:paraId="76E16492" w14:textId="77777777" w:rsidR="005A254B" w:rsidRPr="00530906" w:rsidRDefault="005A254B">
            <w:pPr>
              <w:spacing w:after="200" w:line="360" w:lineRule="auto"/>
              <w:ind w:left="-118"/>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Theory of reasoned action (TRA), norm–activation model (NAM), theory of planned behaviour (TPB) and expectancy–value theory </w:t>
            </w:r>
          </w:p>
        </w:tc>
        <w:tc>
          <w:tcPr>
            <w:tcW w:w="3310" w:type="dxa"/>
          </w:tcPr>
          <w:p w14:paraId="3FDC1D3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Ecological motivations (i.e., altruistic and egoistic motivations) affects psychographics variables (i.e., environmental attitudes, motivations, and knowledge), which in turn affects sustainable consumption</w:t>
            </w:r>
          </w:p>
        </w:tc>
        <w:tc>
          <w:tcPr>
            <w:tcW w:w="2002" w:type="dxa"/>
          </w:tcPr>
          <w:p w14:paraId="7A58A6D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 30,170 </w:t>
            </w:r>
          </w:p>
          <w:p w14:paraId="36061965" w14:textId="77777777" w:rsidR="005A254B" w:rsidRPr="00530906" w:rsidRDefault="005A254B">
            <w:pPr>
              <w:autoSpaceDE w:val="0"/>
              <w:autoSpaceDN w:val="0"/>
              <w:adjustRightInd w:val="0"/>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EU</w:t>
            </w:r>
          </w:p>
          <w:p w14:paraId="2308F8A8" w14:textId="77777777" w:rsidR="005A254B" w:rsidRPr="00530906" w:rsidRDefault="005A254B">
            <w:pPr>
              <w:autoSpaceDE w:val="0"/>
              <w:autoSpaceDN w:val="0"/>
              <w:adjustRightInd w:val="0"/>
              <w:spacing w:after="200" w:line="360" w:lineRule="auto"/>
              <w:jc w:val="both"/>
              <w:rPr>
                <w:rFonts w:ascii="Cambria" w:eastAsiaTheme="minorEastAsia" w:hAnsi="Cambria" w:cs="NewCenturySchlbk-Roman"/>
                <w:sz w:val="24"/>
                <w:szCs w:val="24"/>
              </w:rPr>
            </w:pPr>
            <w:r w:rsidRPr="00530906">
              <w:rPr>
                <w:rFonts w:ascii="Cambria" w:eastAsiaTheme="minorEastAsia" w:hAnsi="Cambria" w:cs="Times New Roman"/>
                <w:sz w:val="24"/>
                <w:szCs w:val="24"/>
              </w:rPr>
              <w:t>Analysis: SEM</w:t>
            </w:r>
          </w:p>
          <w:p w14:paraId="2A380B04" w14:textId="77777777" w:rsidR="005A254B" w:rsidRPr="00530906" w:rsidRDefault="005A254B">
            <w:pPr>
              <w:autoSpaceDE w:val="0"/>
              <w:autoSpaceDN w:val="0"/>
              <w:adjustRightInd w:val="0"/>
              <w:spacing w:after="200" w:line="360" w:lineRule="auto"/>
              <w:jc w:val="both"/>
              <w:rPr>
                <w:rFonts w:ascii="Cambria" w:eastAsiaTheme="minorEastAsia" w:hAnsi="Cambria" w:cs="Times New Roman"/>
                <w:sz w:val="24"/>
                <w:szCs w:val="24"/>
              </w:rPr>
            </w:pPr>
          </w:p>
        </w:tc>
        <w:tc>
          <w:tcPr>
            <w:tcW w:w="3840" w:type="dxa"/>
          </w:tcPr>
          <w:p w14:paraId="430B64F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Environmental knowledge has interrelated effects on ecological motivation. Moreover, perceived environmental threat, gender, age, education, and country value orientation</w:t>
            </w:r>
          </w:p>
          <w:p w14:paraId="272CCFF1" w14:textId="77777777" w:rsidR="005A254B" w:rsidRPr="00530906" w:rsidRDefault="005A254B">
            <w:pPr>
              <w:spacing w:after="200" w:line="360" w:lineRule="auto"/>
              <w:jc w:val="both"/>
              <w:rPr>
                <w:rFonts w:ascii="Cambria" w:eastAsiaTheme="minorEastAsia" w:hAnsi="Cambria" w:cs="Times New Roman"/>
                <w:sz w:val="24"/>
                <w:szCs w:val="24"/>
              </w:rPr>
            </w:pPr>
          </w:p>
        </w:tc>
      </w:tr>
      <w:tr w:rsidR="005A254B" w:rsidRPr="00530906" w14:paraId="2E69D451" w14:textId="77777777" w:rsidTr="00EC5C4C">
        <w:tc>
          <w:tcPr>
            <w:tcW w:w="2252" w:type="dxa"/>
          </w:tcPr>
          <w:p w14:paraId="03724AF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Phipps et al (2013)</w:t>
            </w:r>
          </w:p>
        </w:tc>
        <w:tc>
          <w:tcPr>
            <w:tcW w:w="2544" w:type="dxa"/>
          </w:tcPr>
          <w:p w14:paraId="52B30B65" w14:textId="77777777" w:rsidR="005A254B" w:rsidRPr="00530906" w:rsidRDefault="005A254B">
            <w:pPr>
              <w:spacing w:after="200" w:line="360" w:lineRule="auto"/>
              <w:jc w:val="both"/>
              <w:rPr>
                <w:rFonts w:ascii="Cambria" w:eastAsiaTheme="minorEastAsia" w:hAnsi="Cambria" w:cs="Times New Roman"/>
                <w:sz w:val="24"/>
                <w:szCs w:val="24"/>
              </w:rPr>
            </w:pPr>
            <w:bookmarkStart w:id="109" w:name="_Hlk29382117"/>
            <w:r w:rsidRPr="00530906">
              <w:rPr>
                <w:rFonts w:ascii="Cambria" w:eastAsiaTheme="minorEastAsia" w:hAnsi="Cambria" w:cs="Times New Roman"/>
                <w:sz w:val="24"/>
                <w:szCs w:val="24"/>
              </w:rPr>
              <w:t>Social cognitive theory (SCT)</w:t>
            </w:r>
            <w:bookmarkEnd w:id="109"/>
          </w:p>
        </w:tc>
        <w:tc>
          <w:tcPr>
            <w:tcW w:w="3310" w:type="dxa"/>
          </w:tcPr>
          <w:p w14:paraId="39C912D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Since people regulate their behaviour according to their internal standard and self–evaluation of the outcome of their own behaviour, Sustainable–consumption will be influenced by the consumer perceived effectiveness of their behaviour and their behaviour will in turn affect their personal and environmental factors.</w:t>
            </w:r>
          </w:p>
        </w:tc>
        <w:tc>
          <w:tcPr>
            <w:tcW w:w="2002" w:type="dxa"/>
          </w:tcPr>
          <w:p w14:paraId="71E459D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Not applicable</w:t>
            </w:r>
          </w:p>
        </w:tc>
        <w:tc>
          <w:tcPr>
            <w:tcW w:w="3840" w:type="dxa"/>
          </w:tcPr>
          <w:p w14:paraId="605816A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Proposal </w:t>
            </w:r>
          </w:p>
        </w:tc>
      </w:tr>
      <w:tr w:rsidR="005A254B" w:rsidRPr="00530906" w14:paraId="0A3E8980" w14:textId="77777777" w:rsidTr="00EC5C4C">
        <w:tc>
          <w:tcPr>
            <w:tcW w:w="2252" w:type="dxa"/>
          </w:tcPr>
          <w:p w14:paraId="2D03047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Cho et al (2013)</w:t>
            </w:r>
          </w:p>
        </w:tc>
        <w:tc>
          <w:tcPr>
            <w:tcW w:w="2544" w:type="dxa"/>
          </w:tcPr>
          <w:p w14:paraId="67CFF9D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Value–belief–norm theory (VBN) and cultural dimensions; US and South Korea</w:t>
            </w:r>
          </w:p>
        </w:tc>
        <w:tc>
          <w:tcPr>
            <w:tcW w:w="3310" w:type="dxa"/>
          </w:tcPr>
          <w:p w14:paraId="30AF8890" w14:textId="0131093B"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 level of alike or different people </w:t>
            </w:r>
            <w:r w:rsidR="008A6EB3" w:rsidRPr="00530906">
              <w:rPr>
                <w:rFonts w:ascii="Cambria" w:eastAsiaTheme="minorEastAsia" w:hAnsi="Cambria" w:cs="Times New Roman"/>
                <w:sz w:val="24"/>
                <w:szCs w:val="24"/>
              </w:rPr>
              <w:t>think</w:t>
            </w:r>
            <w:r w:rsidR="008A6EB3">
              <w:rPr>
                <w:rFonts w:ascii="Cambria" w:eastAsiaTheme="minorEastAsia" w:hAnsi="Cambria" w:cs="Times New Roman"/>
                <w:sz w:val="24"/>
                <w:szCs w:val="24"/>
              </w:rPr>
              <w:t xml:space="preserve"> </w:t>
            </w:r>
            <w:r w:rsidRPr="00530906">
              <w:rPr>
                <w:rFonts w:ascii="Cambria" w:eastAsiaTheme="minorEastAsia" w:hAnsi="Cambria" w:cs="Times New Roman"/>
                <w:sz w:val="24"/>
                <w:szCs w:val="24"/>
              </w:rPr>
              <w:t>of themselves in respect of others, influence their perception of effectiveness (PCE) of their action, which affect pro–environmental commitment</w:t>
            </w:r>
          </w:p>
        </w:tc>
        <w:tc>
          <w:tcPr>
            <w:tcW w:w="2002" w:type="dxa"/>
          </w:tcPr>
          <w:p w14:paraId="5916DAA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Sample:726</w:t>
            </w:r>
          </w:p>
          <w:p w14:paraId="5CCEE01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University </w:t>
            </w:r>
          </w:p>
          <w:p w14:paraId="07774DF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06F5AE8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1A354FAE" w14:textId="77D58778"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PCE is influence by horizontal collectivism and vertical individualism. As a </w:t>
            </w:r>
            <w:r w:rsidR="008A6EB3" w:rsidRPr="00530906">
              <w:rPr>
                <w:rFonts w:ascii="Cambria" w:eastAsiaTheme="minorEastAsia" w:hAnsi="Cambria" w:cs="Times New Roman"/>
                <w:sz w:val="24"/>
                <w:szCs w:val="24"/>
              </w:rPr>
              <w:t>result,</w:t>
            </w:r>
            <w:r w:rsidRPr="00530906">
              <w:rPr>
                <w:rFonts w:ascii="Cambria" w:eastAsiaTheme="minorEastAsia" w:hAnsi="Cambria" w:cs="Times New Roman"/>
                <w:sz w:val="24"/>
                <w:szCs w:val="24"/>
              </w:rPr>
              <w:t xml:space="preserve"> PCE influence environmental attitude, which in turn affect pro–environmental commitment and along the line inspire specific behavioural intention </w:t>
            </w:r>
          </w:p>
        </w:tc>
      </w:tr>
      <w:tr w:rsidR="005A254B" w:rsidRPr="00530906" w14:paraId="0399C7EE" w14:textId="77777777" w:rsidTr="00EC5C4C">
        <w:tc>
          <w:tcPr>
            <w:tcW w:w="2252" w:type="dxa"/>
          </w:tcPr>
          <w:p w14:paraId="1C2DAB5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Huang et al (2014)</w:t>
            </w:r>
          </w:p>
        </w:tc>
        <w:tc>
          <w:tcPr>
            <w:tcW w:w="2544" w:type="dxa"/>
          </w:tcPr>
          <w:p w14:paraId="1F124EF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Motivation crowding effect; hotel industry</w:t>
            </w:r>
          </w:p>
        </w:tc>
        <w:tc>
          <w:tcPr>
            <w:tcW w:w="3310" w:type="dxa"/>
          </w:tcPr>
          <w:p w14:paraId="1C6D36D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with different kinds of environmental consciousness would have different green consumption behaviour. Extrinsic motivational drive like cash incentives may negatively internal motivation to adopt green behaviour.</w:t>
            </w:r>
          </w:p>
        </w:tc>
        <w:tc>
          <w:tcPr>
            <w:tcW w:w="2002" w:type="dxa"/>
          </w:tcPr>
          <w:p w14:paraId="24DCFA3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Sample:458 </w:t>
            </w:r>
          </w:p>
          <w:p w14:paraId="4C79023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hotel</w:t>
            </w:r>
          </w:p>
          <w:p w14:paraId="59564B0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5E88FF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Analysis: Confirmatory factor analysis, Hierarchical regression analysis, ANOVA </w:t>
            </w:r>
          </w:p>
        </w:tc>
        <w:tc>
          <w:tcPr>
            <w:tcW w:w="3840" w:type="dxa"/>
          </w:tcPr>
          <w:p w14:paraId="48C3337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Environmental protection conscious–ness positively affects green consumer behaviour of hotel industry rather than financial incentives. Females and young adults behave more environmental consciously</w:t>
            </w:r>
          </w:p>
        </w:tc>
      </w:tr>
      <w:tr w:rsidR="005A254B" w:rsidRPr="00530906" w14:paraId="0B77CE6E" w14:textId="77777777" w:rsidTr="00EC5C4C">
        <w:tc>
          <w:tcPr>
            <w:tcW w:w="2252" w:type="dxa"/>
          </w:tcPr>
          <w:p w14:paraId="3D97A05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Pagiaslis and Krontalis (2014)</w:t>
            </w:r>
          </w:p>
        </w:tc>
        <w:tc>
          <w:tcPr>
            <w:tcW w:w="2544" w:type="dxa"/>
          </w:tcPr>
          <w:p w14:paraId="7CEE3FB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 belief</w:t>
            </w:r>
          </w:p>
        </w:tc>
        <w:tc>
          <w:tcPr>
            <w:tcW w:w="3310" w:type="dxa"/>
          </w:tcPr>
          <w:p w14:paraId="5B0FCFE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Purchase intention of biofuel depends on concern for the environmental belief, knowledge of the environmental knowledge</w:t>
            </w:r>
          </w:p>
        </w:tc>
        <w:tc>
          <w:tcPr>
            <w:tcW w:w="2002" w:type="dxa"/>
          </w:tcPr>
          <w:p w14:paraId="08A7012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1695</w:t>
            </w:r>
          </w:p>
          <w:p w14:paraId="09E2CAF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Greek</w:t>
            </w:r>
          </w:p>
          <w:p w14:paraId="5C9060B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29DBD65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t test, SEM</w:t>
            </w:r>
          </w:p>
        </w:tc>
        <w:tc>
          <w:tcPr>
            <w:tcW w:w="3840" w:type="dxa"/>
          </w:tcPr>
          <w:p w14:paraId="71BA19A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concern about the environment form the positive /negative belief about the aspect of the green product. More importantly, green consumption is hampered due to lack of product specific knowledge</w:t>
            </w:r>
          </w:p>
        </w:tc>
      </w:tr>
      <w:tr w:rsidR="005A254B" w:rsidRPr="00530906" w14:paraId="3A7DC8A7" w14:textId="77777777" w:rsidTr="00EC5C4C">
        <w:tc>
          <w:tcPr>
            <w:tcW w:w="2252" w:type="dxa"/>
          </w:tcPr>
          <w:p w14:paraId="0E36F7A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Vaino and Paloneimi (2014)</w:t>
            </w:r>
          </w:p>
        </w:tc>
        <w:tc>
          <w:tcPr>
            <w:tcW w:w="2544" w:type="dxa"/>
          </w:tcPr>
          <w:p w14:paraId="6DC7832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System justification theory</w:t>
            </w:r>
          </w:p>
        </w:tc>
        <w:tc>
          <w:tcPr>
            <w:tcW w:w="3310" w:type="dxa"/>
          </w:tcPr>
          <w:p w14:paraId="19FF65E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Highly positive attitude toward science may lead to biased evaluation among consumers since they perceive that the current system is fair, legitimate and beneficial</w:t>
            </w:r>
          </w:p>
        </w:tc>
        <w:tc>
          <w:tcPr>
            <w:tcW w:w="2002" w:type="dxa"/>
          </w:tcPr>
          <w:p w14:paraId="75F6318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Denmark= 1305, Finland=1211, Iceland =798, Norway= 1382, Sweden= 1181).</w:t>
            </w:r>
          </w:p>
          <w:p w14:paraId="00D7E31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753090C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632FC3F7" w14:textId="58186848"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Consumers found to avoid pro–environmental behaviour when they have positive attitude toward science. </w:t>
            </w:r>
            <w:r w:rsidR="008A6EB3" w:rsidRPr="00530906">
              <w:rPr>
                <w:rFonts w:ascii="Cambria" w:eastAsiaTheme="minorEastAsia" w:hAnsi="Cambria" w:cs="Times New Roman"/>
                <w:sz w:val="24"/>
                <w:szCs w:val="24"/>
              </w:rPr>
              <w:t>However,</w:t>
            </w:r>
            <w:r w:rsidRPr="00530906">
              <w:rPr>
                <w:rFonts w:ascii="Cambria" w:eastAsiaTheme="minorEastAsia" w:hAnsi="Cambria" w:cs="Times New Roman"/>
                <w:sz w:val="24"/>
                <w:szCs w:val="24"/>
              </w:rPr>
              <w:t xml:space="preserve"> when they believe that pro– environmental behaviour is unnecessary due to science, their pro–environmental consumption increases</w:t>
            </w:r>
          </w:p>
        </w:tc>
      </w:tr>
      <w:tr w:rsidR="005A254B" w:rsidRPr="00530906" w14:paraId="117549AD" w14:textId="77777777" w:rsidTr="00EC5C4C">
        <w:tc>
          <w:tcPr>
            <w:tcW w:w="2252" w:type="dxa"/>
          </w:tcPr>
          <w:p w14:paraId="0687740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Johnstone and Tan (2015)</w:t>
            </w:r>
          </w:p>
        </w:tc>
        <w:tc>
          <w:tcPr>
            <w:tcW w:w="2544" w:type="dxa"/>
          </w:tcPr>
          <w:p w14:paraId="157BF83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w:t>
            </w:r>
          </w:p>
        </w:tc>
        <w:tc>
          <w:tcPr>
            <w:tcW w:w="3310" w:type="dxa"/>
          </w:tcPr>
          <w:p w14:paraId="4FEDC8C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are reluctant to adopt green consumption behaviour because of unfavourable perception of green consumers and green product</w:t>
            </w:r>
          </w:p>
        </w:tc>
        <w:tc>
          <w:tcPr>
            <w:tcW w:w="2002" w:type="dxa"/>
          </w:tcPr>
          <w:p w14:paraId="703CEEC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51</w:t>
            </w:r>
          </w:p>
          <w:p w14:paraId="6CA1631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w:t>
            </w:r>
          </w:p>
          <w:p w14:paraId="0663740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7 focus group interviews</w:t>
            </w:r>
          </w:p>
          <w:p w14:paraId="3067D29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used NVivo</w:t>
            </w:r>
          </w:p>
        </w:tc>
        <w:tc>
          <w:tcPr>
            <w:tcW w:w="3840" w:type="dxa"/>
          </w:tcPr>
          <w:p w14:paraId="1A06C9B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do not adopt green behaviour because ‘it is too hard to be green’, ‘Green stigma’ and ‘Green reservation’</w:t>
            </w:r>
          </w:p>
        </w:tc>
      </w:tr>
      <w:tr w:rsidR="005A254B" w:rsidRPr="00530906" w14:paraId="343C4A17" w14:textId="77777777" w:rsidTr="00EC5C4C">
        <w:tc>
          <w:tcPr>
            <w:tcW w:w="2252" w:type="dxa"/>
          </w:tcPr>
          <w:p w14:paraId="5B981D4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Brooks and Wilson (2015)</w:t>
            </w:r>
          </w:p>
        </w:tc>
        <w:tc>
          <w:tcPr>
            <w:tcW w:w="2544" w:type="dxa"/>
          </w:tcPr>
          <w:p w14:paraId="75A920A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Costly signalling theory</w:t>
            </w:r>
          </w:p>
        </w:tc>
        <w:tc>
          <w:tcPr>
            <w:tcW w:w="3310" w:type="dxa"/>
          </w:tcPr>
          <w:p w14:paraId="7456DFB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Consumers do not adopt consumption reducing behaviour if it indicates lower status and this perceived status depends on the environment orientation of the observer. </w:t>
            </w:r>
          </w:p>
        </w:tc>
        <w:tc>
          <w:tcPr>
            <w:tcW w:w="2002" w:type="dxa"/>
          </w:tcPr>
          <w:p w14:paraId="43D248A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484</w:t>
            </w:r>
          </w:p>
          <w:p w14:paraId="753AE7C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U.S university undergrad students</w:t>
            </w:r>
          </w:p>
          <w:p w14:paraId="6FDB338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4753D74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Mixed effect linear regression</w:t>
            </w:r>
          </w:p>
        </w:tc>
        <w:tc>
          <w:tcPr>
            <w:tcW w:w="3840" w:type="dxa"/>
          </w:tcPr>
          <w:p w14:paraId="7676523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Perceived status will be higher if the contextual information indicating that consumption–reducing behaviour is the choice of the consumer rather than necessity. However, consumption –intensive behaviour is more suitable than consumption–reducing behaviour to convey status to other. </w:t>
            </w:r>
          </w:p>
        </w:tc>
      </w:tr>
      <w:tr w:rsidR="005A254B" w:rsidRPr="00530906" w14:paraId="3488A51B" w14:textId="77777777" w:rsidTr="00EC5C4C">
        <w:tc>
          <w:tcPr>
            <w:tcW w:w="2252" w:type="dxa"/>
          </w:tcPr>
          <w:p w14:paraId="07F32D0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Van Doorn and Verhoef (2015)</w:t>
            </w:r>
          </w:p>
        </w:tc>
        <w:tc>
          <w:tcPr>
            <w:tcW w:w="2544" w:type="dxa"/>
          </w:tcPr>
          <w:p w14:paraId="171207E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Cost–benefit</w:t>
            </w:r>
          </w:p>
        </w:tc>
        <w:tc>
          <w:tcPr>
            <w:tcW w:w="3310" w:type="dxa"/>
          </w:tcPr>
          <w:p w14:paraId="29C61DE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Supply–side factor and consumer characteristics drive or hinder organic purchases</w:t>
            </w:r>
          </w:p>
        </w:tc>
        <w:tc>
          <w:tcPr>
            <w:tcW w:w="2002" w:type="dxa"/>
          </w:tcPr>
          <w:p w14:paraId="30752F5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1246 households</w:t>
            </w:r>
          </w:p>
          <w:p w14:paraId="1AA5AD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Dutch GfK household panel</w:t>
            </w:r>
          </w:p>
          <w:p w14:paraId="610242C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2EC928A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Logistic model</w:t>
            </w:r>
          </w:p>
        </w:tc>
        <w:tc>
          <w:tcPr>
            <w:tcW w:w="3840" w:type="dxa"/>
          </w:tcPr>
          <w:p w14:paraId="762996B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There is low share of organics products in the indulging (vice) product category. Non–human (biospheric) values is the silent driver of organic product purchase and they are willing to pay premium price. Curiously, consumers motivated for health purpose, their purchase of organic food depends on discount.</w:t>
            </w:r>
          </w:p>
        </w:tc>
      </w:tr>
      <w:tr w:rsidR="005A254B" w:rsidRPr="00530906" w14:paraId="264A790F" w14:textId="77777777" w:rsidTr="00EC5C4C">
        <w:tc>
          <w:tcPr>
            <w:tcW w:w="2252" w:type="dxa"/>
          </w:tcPr>
          <w:p w14:paraId="7932CB8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Lin and Hsu (2015)</w:t>
            </w:r>
          </w:p>
        </w:tc>
        <w:tc>
          <w:tcPr>
            <w:tcW w:w="2544" w:type="dxa"/>
          </w:tcPr>
          <w:p w14:paraId="2CB8031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Social Cognitive Theory (SCT); Taiwan</w:t>
            </w:r>
          </w:p>
        </w:tc>
        <w:tc>
          <w:tcPr>
            <w:tcW w:w="3310" w:type="dxa"/>
          </w:tcPr>
          <w:p w14:paraId="2A5C6B8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Self–regulatory behaviour is the result of external environmental factor, personal cognition, self–awakening, personal characteristics and their interaction.</w:t>
            </w:r>
          </w:p>
        </w:tc>
        <w:tc>
          <w:tcPr>
            <w:tcW w:w="2002" w:type="dxa"/>
          </w:tcPr>
          <w:p w14:paraId="36967E9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231</w:t>
            </w:r>
          </w:p>
          <w:p w14:paraId="4682A76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Facebook</w:t>
            </w:r>
          </w:p>
          <w:p w14:paraId="1D5C86F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01B1765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1015903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Personal self–concepts, personal outcome expectation and social sanction have significant affect. Whereas expected outcome of green consumer behaviour effect of mass media was insignificant.</w:t>
            </w:r>
          </w:p>
        </w:tc>
      </w:tr>
      <w:tr w:rsidR="005A254B" w:rsidRPr="00530906" w14:paraId="5AEB0224" w14:textId="77777777" w:rsidTr="00EC5C4C">
        <w:tc>
          <w:tcPr>
            <w:tcW w:w="2252" w:type="dxa"/>
          </w:tcPr>
          <w:p w14:paraId="1212EE3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Minton, et al (2015)</w:t>
            </w:r>
          </w:p>
        </w:tc>
        <w:tc>
          <w:tcPr>
            <w:tcW w:w="2544" w:type="dxa"/>
          </w:tcPr>
          <w:p w14:paraId="7B49B5E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self–determination theory and inoculation theory; South Korea and US</w:t>
            </w:r>
          </w:p>
        </w:tc>
        <w:tc>
          <w:tcPr>
            <w:tcW w:w="3310" w:type="dxa"/>
          </w:tcPr>
          <w:p w14:paraId="55D45DC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Highly religious people are more likely to adopt sustainable behaviour.</w:t>
            </w:r>
          </w:p>
        </w:tc>
        <w:tc>
          <w:tcPr>
            <w:tcW w:w="2002" w:type="dxa"/>
          </w:tcPr>
          <w:p w14:paraId="4F1E3C5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388</w:t>
            </w:r>
          </w:p>
          <w:p w14:paraId="55FD8D0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EZ Survey, a company of Micro Mills Embrain (South Korea) and Amazon.com's Mechanical Turk service (US)</w:t>
            </w:r>
          </w:p>
          <w:p w14:paraId="7B19157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0C589B9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Descriptive statistics</w:t>
            </w:r>
          </w:p>
        </w:tc>
        <w:tc>
          <w:tcPr>
            <w:tcW w:w="3840" w:type="dxa"/>
          </w:tcPr>
          <w:p w14:paraId="3E54EBE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Highly religious Buddhist are more likely to be practicing sustainable behaviour than Christians and Atheists. Location is not a significant factor to undertake sustainable behaviour. </w:t>
            </w:r>
          </w:p>
        </w:tc>
      </w:tr>
      <w:tr w:rsidR="005A254B" w:rsidRPr="00530906" w14:paraId="1A41D8D1" w14:textId="77777777" w:rsidTr="00EC5C4C">
        <w:tc>
          <w:tcPr>
            <w:tcW w:w="2252" w:type="dxa"/>
          </w:tcPr>
          <w:p w14:paraId="04BDF74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Ertz et al (2016)</w:t>
            </w:r>
          </w:p>
        </w:tc>
        <w:tc>
          <w:tcPr>
            <w:tcW w:w="2544" w:type="dxa"/>
          </w:tcPr>
          <w:p w14:paraId="06C3E3E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ABC theory</w:t>
            </w:r>
          </w:p>
        </w:tc>
        <w:tc>
          <w:tcPr>
            <w:tcW w:w="3310" w:type="dxa"/>
          </w:tcPr>
          <w:p w14:paraId="240A62C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 context of the pre–environmental–behaviour mediates the environmental attitude and behaviour of the consumers</w:t>
            </w:r>
          </w:p>
        </w:tc>
        <w:tc>
          <w:tcPr>
            <w:tcW w:w="2002" w:type="dxa"/>
          </w:tcPr>
          <w:p w14:paraId="3D7CCBB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400</w:t>
            </w:r>
          </w:p>
          <w:p w14:paraId="77A0916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MTurk</w:t>
            </w:r>
          </w:p>
          <w:p w14:paraId="65F83A9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7EEDC3C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PROCESS Macro</w:t>
            </w:r>
          </w:p>
        </w:tc>
        <w:tc>
          <w:tcPr>
            <w:tcW w:w="3840" w:type="dxa"/>
          </w:tcPr>
          <w:p w14:paraId="027D4161" w14:textId="0AFFFC40"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Contextual factors (busyness and wealth) </w:t>
            </w:r>
            <w:r w:rsidR="008A6EB3" w:rsidRPr="00530906">
              <w:rPr>
                <w:rFonts w:ascii="Cambria" w:eastAsiaTheme="minorEastAsia" w:hAnsi="Cambria" w:cs="Times New Roman"/>
                <w:sz w:val="24"/>
                <w:szCs w:val="24"/>
              </w:rPr>
              <w:t>have</w:t>
            </w:r>
            <w:r w:rsidRPr="00530906">
              <w:rPr>
                <w:rFonts w:ascii="Cambria" w:eastAsiaTheme="minorEastAsia" w:hAnsi="Cambria" w:cs="Times New Roman"/>
                <w:sz w:val="24"/>
                <w:szCs w:val="24"/>
              </w:rPr>
              <w:t xml:space="preserve"> indirect effect on attitude factors (importance and cost). Another contextual factor– perceived power has direct effect on PEB</w:t>
            </w:r>
          </w:p>
        </w:tc>
      </w:tr>
      <w:tr w:rsidR="005A254B" w:rsidRPr="00530906" w14:paraId="522614B8" w14:textId="77777777" w:rsidTr="00EC5C4C">
        <w:tc>
          <w:tcPr>
            <w:tcW w:w="2252" w:type="dxa"/>
          </w:tcPr>
          <w:p w14:paraId="6B2794B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Wu et al (2016)</w:t>
            </w:r>
          </w:p>
        </w:tc>
        <w:tc>
          <w:tcPr>
            <w:tcW w:w="2544" w:type="dxa"/>
          </w:tcPr>
          <w:p w14:paraId="6880B8D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Theory of Planned Behaviour (TPB), Norm Activation Theory, Value Belief Norm (VBN), Interpersonal behaviour model, System Theory of Behaviour Change, Sustainable consumer behaviour influence factors model; china </w:t>
            </w:r>
          </w:p>
        </w:tc>
        <w:tc>
          <w:tcPr>
            <w:tcW w:w="3310" w:type="dxa"/>
          </w:tcPr>
          <w:p w14:paraId="2D412A0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Sustainable consumer behaviour is affected by variables including two–type attitude (individual's attitude and general attitude), two–type knowledge and skills (individuals' recognition of resource and environment issues along with the knowledge and skills needed for sustainable consumption), life values, age, gender</w:t>
            </w:r>
          </w:p>
        </w:tc>
        <w:tc>
          <w:tcPr>
            <w:tcW w:w="2002" w:type="dxa"/>
          </w:tcPr>
          <w:p w14:paraId="37F6921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4207</w:t>
            </w:r>
          </w:p>
          <w:p w14:paraId="094FF2C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Central and western regions of China</w:t>
            </w:r>
          </w:p>
          <w:p w14:paraId="5B223F8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4BECA3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 and regression analyses</w:t>
            </w:r>
          </w:p>
        </w:tc>
        <w:tc>
          <w:tcPr>
            <w:tcW w:w="3840" w:type="dxa"/>
          </w:tcPr>
          <w:p w14:paraId="504DC25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Individual’s both types of attitudes and sustainable behaviour is influenced by contextual factors (like, social norms). Sustainable behaviour is different for different consumers because of their demographic factors. </w:t>
            </w:r>
          </w:p>
        </w:tc>
      </w:tr>
      <w:tr w:rsidR="005A254B" w:rsidRPr="00530906" w14:paraId="1D3721DA" w14:textId="77777777" w:rsidTr="00EC5C4C">
        <w:tc>
          <w:tcPr>
            <w:tcW w:w="2252" w:type="dxa"/>
          </w:tcPr>
          <w:p w14:paraId="19F5B3C2" w14:textId="357FC0A8"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Ibrahim and Al–Ajlouni (201</w:t>
            </w:r>
            <w:r w:rsidR="00EF4535" w:rsidRPr="00530906">
              <w:rPr>
                <w:rFonts w:ascii="Cambria" w:eastAsiaTheme="minorEastAsia" w:hAnsi="Cambria" w:cs="Times New Roman"/>
                <w:sz w:val="24"/>
                <w:szCs w:val="24"/>
              </w:rPr>
              <w:t>8</w:t>
            </w:r>
            <w:r w:rsidRPr="00530906">
              <w:rPr>
                <w:rFonts w:ascii="Cambria" w:eastAsiaTheme="minorEastAsia" w:hAnsi="Cambria" w:cs="Times New Roman"/>
                <w:sz w:val="24"/>
                <w:szCs w:val="24"/>
              </w:rPr>
              <w:t>)</w:t>
            </w:r>
          </w:p>
        </w:tc>
        <w:tc>
          <w:tcPr>
            <w:tcW w:w="2544" w:type="dxa"/>
          </w:tcPr>
          <w:p w14:paraId="01FDD5F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Protection motivation (PMT), deontic justice (DJT) and construal level (CLT)</w:t>
            </w:r>
          </w:p>
        </w:tc>
        <w:tc>
          <w:tcPr>
            <w:tcW w:w="3310" w:type="dxa"/>
          </w:tcPr>
          <w:p w14:paraId="02056EC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Scrutinises three theories to find which one explains green purchase intention </w:t>
            </w:r>
          </w:p>
        </w:tc>
        <w:tc>
          <w:tcPr>
            <w:tcW w:w="2002" w:type="dxa"/>
          </w:tcPr>
          <w:p w14:paraId="25783F5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 471 </w:t>
            </w:r>
          </w:p>
          <w:p w14:paraId="11228BB3" w14:textId="77777777" w:rsidR="005A254B" w:rsidRPr="00530906" w:rsidRDefault="005A254B">
            <w:pPr>
              <w:tabs>
                <w:tab w:val="center" w:pos="130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University </w:t>
            </w:r>
          </w:p>
          <w:p w14:paraId="75560C7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Laboratory experiment </w:t>
            </w:r>
          </w:p>
          <w:p w14:paraId="01294B8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2842941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PMT and DJT has proved be suitable to explain Sustainable–consumption through the concept of coping appraisal and moral obligation respectively. The moderating constructs of CLT was also significant</w:t>
            </w:r>
          </w:p>
        </w:tc>
      </w:tr>
      <w:tr w:rsidR="005A254B" w:rsidRPr="00530906" w14:paraId="7005FC96" w14:textId="77777777" w:rsidTr="00EC5C4C">
        <w:tc>
          <w:tcPr>
            <w:tcW w:w="2252" w:type="dxa"/>
          </w:tcPr>
          <w:p w14:paraId="671A66B9" w14:textId="77777777" w:rsidR="005A254B" w:rsidRPr="00530906" w:rsidRDefault="005A254B">
            <w:pPr>
              <w:spacing w:after="200" w:line="360" w:lineRule="auto"/>
              <w:jc w:val="both"/>
              <w:rPr>
                <w:rFonts w:ascii="Cambria" w:eastAsiaTheme="minorEastAsia" w:hAnsi="Cambria" w:cs="Times New Roman"/>
                <w:sz w:val="24"/>
                <w:szCs w:val="24"/>
              </w:rPr>
            </w:pPr>
            <w:bookmarkStart w:id="110" w:name="_Hlk29383574"/>
            <w:r w:rsidRPr="00530906">
              <w:rPr>
                <w:rFonts w:ascii="Cambria" w:eastAsiaTheme="minorEastAsia" w:hAnsi="Cambria" w:cs="Times New Roman"/>
                <w:sz w:val="24"/>
                <w:szCs w:val="24"/>
              </w:rPr>
              <w:t>Gonçalves et al (2016)</w:t>
            </w:r>
            <w:bookmarkEnd w:id="110"/>
          </w:p>
        </w:tc>
        <w:tc>
          <w:tcPr>
            <w:tcW w:w="2544" w:type="dxa"/>
          </w:tcPr>
          <w:p w14:paraId="7AE3A41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consumption values; Portugal</w:t>
            </w:r>
          </w:p>
        </w:tc>
        <w:tc>
          <w:tcPr>
            <w:tcW w:w="3310" w:type="dxa"/>
          </w:tcPr>
          <w:p w14:paraId="0A1A85C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Consumption values can predict green buying behaviour</w:t>
            </w:r>
          </w:p>
        </w:tc>
        <w:tc>
          <w:tcPr>
            <w:tcW w:w="2002" w:type="dxa"/>
          </w:tcPr>
          <w:p w14:paraId="368A2BE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197 people of 18+ of age</w:t>
            </w:r>
          </w:p>
          <w:p w14:paraId="6DC43C1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email</w:t>
            </w:r>
          </w:p>
          <w:p w14:paraId="1C4287D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3F62073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fuzzy–set qualitative comparative analysis.</w:t>
            </w:r>
          </w:p>
        </w:tc>
        <w:tc>
          <w:tcPr>
            <w:tcW w:w="3840" w:type="dxa"/>
          </w:tcPr>
          <w:p w14:paraId="2EBBA71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Emotional, </w:t>
            </w:r>
            <w:bookmarkStart w:id="111" w:name="_Hlk29383610"/>
            <w:r w:rsidRPr="00530906">
              <w:rPr>
                <w:rFonts w:ascii="Cambria" w:eastAsiaTheme="minorEastAsia" w:hAnsi="Cambria" w:cs="Times New Roman"/>
                <w:sz w:val="24"/>
                <w:szCs w:val="24"/>
              </w:rPr>
              <w:t xml:space="preserve">conditional and social </w:t>
            </w:r>
            <w:bookmarkEnd w:id="111"/>
            <w:r w:rsidRPr="00530906">
              <w:rPr>
                <w:rFonts w:ascii="Cambria" w:eastAsiaTheme="minorEastAsia" w:hAnsi="Cambria" w:cs="Times New Roman"/>
                <w:sz w:val="24"/>
                <w:szCs w:val="24"/>
              </w:rPr>
              <w:t>values combined individually with the functional value have successfully predicted green buying. But absence of functional value ascertains non–purchase of green products.</w:t>
            </w:r>
          </w:p>
        </w:tc>
      </w:tr>
      <w:tr w:rsidR="005A254B" w:rsidRPr="00530906" w14:paraId="3E64942B" w14:textId="77777777" w:rsidTr="00EC5C4C">
        <w:tc>
          <w:tcPr>
            <w:tcW w:w="2252" w:type="dxa"/>
          </w:tcPr>
          <w:p w14:paraId="30B8018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Grimmer et al (2016)</w:t>
            </w:r>
          </w:p>
        </w:tc>
        <w:tc>
          <w:tcPr>
            <w:tcW w:w="2544" w:type="dxa"/>
          </w:tcPr>
          <w:p w14:paraId="1E1F556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Intention–plans–behaviour model; Australia</w:t>
            </w:r>
          </w:p>
        </w:tc>
        <w:tc>
          <w:tcPr>
            <w:tcW w:w="3310" w:type="dxa"/>
          </w:tcPr>
          <w:p w14:paraId="331C6DE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Purchase situation should explain the reason for attitude–behaviour gap.</w:t>
            </w:r>
          </w:p>
        </w:tc>
        <w:tc>
          <w:tcPr>
            <w:tcW w:w="2002" w:type="dxa"/>
          </w:tcPr>
          <w:p w14:paraId="64B1A2D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772</w:t>
            </w:r>
          </w:p>
          <w:p w14:paraId="0DC1F7F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commercial research panel</w:t>
            </w:r>
          </w:p>
          <w:p w14:paraId="655285F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29EB0AC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linear regression</w:t>
            </w:r>
          </w:p>
        </w:tc>
        <w:tc>
          <w:tcPr>
            <w:tcW w:w="3840" w:type="dxa"/>
          </w:tcPr>
          <w:p w14:paraId="39098C9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Purchase situations like time, price, willingness to drive long distances, availability, and ease of purchase moderate intention–behaviour relationship.</w:t>
            </w:r>
          </w:p>
        </w:tc>
      </w:tr>
      <w:tr w:rsidR="005A254B" w:rsidRPr="00530906" w14:paraId="6DB78702" w14:textId="77777777" w:rsidTr="00EC5C4C">
        <w:tc>
          <w:tcPr>
            <w:tcW w:w="2252" w:type="dxa"/>
          </w:tcPr>
          <w:p w14:paraId="3394F86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Brough et al (2016)</w:t>
            </w:r>
          </w:p>
        </w:tc>
        <w:tc>
          <w:tcPr>
            <w:tcW w:w="2544" w:type="dxa"/>
          </w:tcPr>
          <w:p w14:paraId="75099B5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Social identity theory</w:t>
            </w:r>
          </w:p>
        </w:tc>
        <w:tc>
          <w:tcPr>
            <w:tcW w:w="3310" w:type="dxa"/>
          </w:tcPr>
          <w:p w14:paraId="0C9A683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Gender identity influence green behaviour</w:t>
            </w:r>
          </w:p>
        </w:tc>
        <w:tc>
          <w:tcPr>
            <w:tcW w:w="2002" w:type="dxa"/>
          </w:tcPr>
          <w:p w14:paraId="1A9C3A8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127, 194, 131, 403, 472 and 322</w:t>
            </w:r>
          </w:p>
          <w:p w14:paraId="767E2A4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Mechanical Turk (MTurk)</w:t>
            </w:r>
          </w:p>
          <w:p w14:paraId="6127D7F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Method:6 experiments </w:t>
            </w:r>
          </w:p>
        </w:tc>
        <w:tc>
          <w:tcPr>
            <w:tcW w:w="3840" w:type="dxa"/>
          </w:tcPr>
          <w:p w14:paraId="50948B79" w14:textId="66D8DD22"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Green behaviour is deemed to </w:t>
            </w:r>
            <w:r w:rsidR="008A6EB3" w:rsidRPr="00530906">
              <w:rPr>
                <w:rFonts w:ascii="Cambria" w:eastAsiaTheme="minorEastAsia" w:hAnsi="Cambria" w:cs="Times New Roman"/>
                <w:sz w:val="24"/>
                <w:szCs w:val="24"/>
              </w:rPr>
              <w:t>be associated</w:t>
            </w:r>
            <w:r w:rsidRPr="00530906">
              <w:rPr>
                <w:rFonts w:ascii="Cambria" w:eastAsiaTheme="minorEastAsia" w:hAnsi="Cambria" w:cs="Times New Roman"/>
                <w:sz w:val="24"/>
                <w:szCs w:val="24"/>
              </w:rPr>
              <w:t xml:space="preserve"> with femininity, so men tend to avoid it.</w:t>
            </w:r>
          </w:p>
        </w:tc>
      </w:tr>
      <w:tr w:rsidR="005A254B" w:rsidRPr="00530906" w14:paraId="1D6548B4" w14:textId="77777777" w:rsidTr="00EC5C4C">
        <w:tc>
          <w:tcPr>
            <w:tcW w:w="2252" w:type="dxa"/>
          </w:tcPr>
          <w:p w14:paraId="34C340B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Chen and Hung (2016)</w:t>
            </w:r>
          </w:p>
        </w:tc>
        <w:tc>
          <w:tcPr>
            <w:tcW w:w="2544" w:type="dxa"/>
          </w:tcPr>
          <w:p w14:paraId="4195FF4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Extended theory of planned behavioural (TPB).</w:t>
            </w:r>
          </w:p>
        </w:tc>
        <w:tc>
          <w:tcPr>
            <w:tcW w:w="3310" w:type="dxa"/>
          </w:tcPr>
          <w:p w14:paraId="326FF282"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Whether social impression, environmental consciousness, and environmental ethics and beliefs act as determinant of the intention to purchase green product along with other constructs of TPB</w:t>
            </w:r>
          </w:p>
        </w:tc>
        <w:tc>
          <w:tcPr>
            <w:tcW w:w="2002" w:type="dxa"/>
          </w:tcPr>
          <w:p w14:paraId="0BB72E49" w14:textId="77777777" w:rsidR="005A254B" w:rsidRPr="00530906" w:rsidRDefault="005A254B">
            <w:pPr>
              <w:tabs>
                <w:tab w:val="left" w:pos="1200"/>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406</w:t>
            </w:r>
          </w:p>
          <w:p w14:paraId="0D775DD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w:t>
            </w:r>
          </w:p>
          <w:p w14:paraId="3756F6B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1E43918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21322FE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Attitude, perceived behavioural control, environmental consciousness, and environmental ethics and beliefs are positively related with using green products</w:t>
            </w:r>
          </w:p>
        </w:tc>
      </w:tr>
      <w:tr w:rsidR="005A254B" w:rsidRPr="00530906" w14:paraId="525B5179" w14:textId="77777777" w:rsidTr="00EC5C4C">
        <w:tc>
          <w:tcPr>
            <w:tcW w:w="2252" w:type="dxa"/>
          </w:tcPr>
          <w:p w14:paraId="51A2DE4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Liobikienė, et al (2016)</w:t>
            </w:r>
          </w:p>
        </w:tc>
        <w:tc>
          <w:tcPr>
            <w:tcW w:w="2544" w:type="dxa"/>
          </w:tcPr>
          <w:p w14:paraId="70374A0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 (TPB); EU</w:t>
            </w:r>
          </w:p>
        </w:tc>
        <w:tc>
          <w:tcPr>
            <w:tcW w:w="3310" w:type="dxa"/>
          </w:tcPr>
          <w:p w14:paraId="141FB368"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Assess the determinants of green purchase behaviour</w:t>
            </w:r>
          </w:p>
        </w:tc>
        <w:tc>
          <w:tcPr>
            <w:tcW w:w="2002" w:type="dxa"/>
          </w:tcPr>
          <w:p w14:paraId="1F324D90" w14:textId="2D4347BE"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w:t>
            </w:r>
            <w:r w:rsidR="001C72F0">
              <w:rPr>
                <w:rFonts w:ascii="Cambria" w:eastAsiaTheme="minorEastAsia" w:hAnsi="Cambria" w:cs="Times New Roman"/>
                <w:sz w:val="24"/>
                <w:szCs w:val="24"/>
              </w:rPr>
              <w:t xml:space="preserve"> not mentioned</w:t>
            </w:r>
          </w:p>
          <w:p w14:paraId="67D64A4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TNS political &amp; social network</w:t>
            </w:r>
          </w:p>
          <w:p w14:paraId="22ED66A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0887159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linear regression</w:t>
            </w:r>
          </w:p>
        </w:tc>
        <w:tc>
          <w:tcPr>
            <w:tcW w:w="3840" w:type="dxa"/>
          </w:tcPr>
          <w:p w14:paraId="4154194C" w14:textId="5E68999E"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Subjective norm is the most influential factor of green purchase behaviour and also depend </w:t>
            </w:r>
            <w:r w:rsidR="008A6EB3" w:rsidRPr="00530906">
              <w:rPr>
                <w:rFonts w:ascii="Cambria" w:eastAsiaTheme="minorEastAsia" w:hAnsi="Cambria" w:cs="Times New Roman"/>
                <w:sz w:val="24"/>
                <w:szCs w:val="24"/>
              </w:rPr>
              <w:t>on</w:t>
            </w:r>
            <w:r w:rsidRPr="00530906">
              <w:rPr>
                <w:rFonts w:ascii="Cambria" w:eastAsiaTheme="minorEastAsia" w:hAnsi="Cambria" w:cs="Times New Roman"/>
                <w:sz w:val="24"/>
                <w:szCs w:val="24"/>
              </w:rPr>
              <w:t xml:space="preserve"> economic development</w:t>
            </w:r>
          </w:p>
        </w:tc>
      </w:tr>
      <w:tr w:rsidR="005A254B" w:rsidRPr="00530906" w14:paraId="54F32B63" w14:textId="77777777" w:rsidTr="00EC5C4C">
        <w:tc>
          <w:tcPr>
            <w:tcW w:w="2252" w:type="dxa"/>
          </w:tcPr>
          <w:p w14:paraId="1451792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Wei et al (2017)</w:t>
            </w:r>
          </w:p>
        </w:tc>
        <w:tc>
          <w:tcPr>
            <w:tcW w:w="2544" w:type="dxa"/>
          </w:tcPr>
          <w:p w14:paraId="14A0CF9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cognitive behaviour theory; Taiwan</w:t>
            </w:r>
          </w:p>
        </w:tc>
        <w:tc>
          <w:tcPr>
            <w:tcW w:w="3310" w:type="dxa"/>
          </w:tcPr>
          <w:p w14:paraId="78489D35"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Consumers’ attitude toward the green product affects their intention to purchase and in turn purchase behaviour. </w:t>
            </w:r>
          </w:p>
        </w:tc>
        <w:tc>
          <w:tcPr>
            <w:tcW w:w="2002" w:type="dxa"/>
          </w:tcPr>
          <w:p w14:paraId="14C3F3C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375</w:t>
            </w:r>
          </w:p>
          <w:p w14:paraId="3C6C57D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Undergraduate students of China</w:t>
            </w:r>
          </w:p>
          <w:p w14:paraId="2372833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7B20799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27E69BC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Environmental involvement, informational utility, green advertising scepticism and green trust affect consumers’ attitude regarding green products. </w:t>
            </w:r>
          </w:p>
        </w:tc>
      </w:tr>
      <w:tr w:rsidR="005A254B" w:rsidRPr="00530906" w14:paraId="15437A9D" w14:textId="77777777" w:rsidTr="00EC5C4C">
        <w:tc>
          <w:tcPr>
            <w:tcW w:w="2252" w:type="dxa"/>
          </w:tcPr>
          <w:p w14:paraId="0FD445B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AdvOT8cb2ddbd" w:hAnsi="AdvOT8cb2ddbd" w:cs="AdvOT8cb2ddbd"/>
                <w:sz w:val="24"/>
                <w:szCs w:val="24"/>
              </w:rPr>
              <w:t>Antonetti and Manika (2017)</w:t>
            </w:r>
          </w:p>
        </w:tc>
        <w:tc>
          <w:tcPr>
            <w:tcW w:w="2544" w:type="dxa"/>
          </w:tcPr>
          <w:p w14:paraId="5D84362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Stakeholder theory</w:t>
            </w:r>
          </w:p>
        </w:tc>
        <w:tc>
          <w:tcPr>
            <w:tcW w:w="3310" w:type="dxa"/>
          </w:tcPr>
          <w:p w14:paraId="341E75D9" w14:textId="21F62103"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Consumers’ cognitive, </w:t>
            </w:r>
            <w:r w:rsidR="001C72F0" w:rsidRPr="00530906">
              <w:rPr>
                <w:rFonts w:ascii="Cambria" w:eastAsiaTheme="minorEastAsia" w:hAnsi="Cambria" w:cs="Times New Roman"/>
                <w:sz w:val="24"/>
                <w:szCs w:val="24"/>
              </w:rPr>
              <w:t>emotional,</w:t>
            </w:r>
            <w:r w:rsidRPr="00530906">
              <w:rPr>
                <w:rFonts w:ascii="Cambria" w:eastAsiaTheme="minorEastAsia" w:hAnsi="Cambria" w:cs="Times New Roman"/>
                <w:sz w:val="24"/>
                <w:szCs w:val="24"/>
              </w:rPr>
              <w:t xml:space="preserve"> and behavioural online and offline reaction to the perceived corporate malpractice</w:t>
            </w:r>
          </w:p>
        </w:tc>
        <w:tc>
          <w:tcPr>
            <w:tcW w:w="2002" w:type="dxa"/>
          </w:tcPr>
          <w:p w14:paraId="0F9BCD1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291 USA and 156 UK</w:t>
            </w:r>
          </w:p>
          <w:p w14:paraId="6717BB3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Amazon MTurk and Prolific</w:t>
            </w:r>
          </w:p>
          <w:p w14:paraId="1476920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 with cross sectional and longitudinal data</w:t>
            </w:r>
          </w:p>
        </w:tc>
        <w:tc>
          <w:tcPr>
            <w:tcW w:w="3840" w:type="dxa"/>
          </w:tcPr>
          <w:p w14:paraId="23CD47A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feel anger and compassion by corporate irresponsible behaviour. If they feel compassion, they partake in online petition to help others, but if they feel anger, they do so to punish the institute. In both instances, consumers’ online behaviour have an spill over effect on their offline behaviour in the form of negative word of mouth</w:t>
            </w:r>
          </w:p>
        </w:tc>
      </w:tr>
      <w:tr w:rsidR="005A254B" w:rsidRPr="00530906" w14:paraId="40BB00B0" w14:textId="77777777" w:rsidTr="00EC5C4C">
        <w:tc>
          <w:tcPr>
            <w:tcW w:w="2252" w:type="dxa"/>
          </w:tcPr>
          <w:p w14:paraId="58C3867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Luchs and Kumar 2017</w:t>
            </w:r>
          </w:p>
        </w:tc>
        <w:tc>
          <w:tcPr>
            <w:tcW w:w="2544" w:type="dxa"/>
          </w:tcPr>
          <w:p w14:paraId="600979B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 </w:t>
            </w:r>
          </w:p>
        </w:tc>
        <w:tc>
          <w:tcPr>
            <w:tcW w:w="3310" w:type="dxa"/>
          </w:tcPr>
          <w:p w14:paraId="6690159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response and emotion varies depending on the types of trade–off they make between sustainability value and hedonic/ utilitarian values while choosing sustainable–products</w:t>
            </w:r>
          </w:p>
        </w:tc>
        <w:tc>
          <w:tcPr>
            <w:tcW w:w="2002" w:type="dxa"/>
          </w:tcPr>
          <w:p w14:paraId="4098F1B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149, 247, 141</w:t>
            </w:r>
          </w:p>
          <w:p w14:paraId="467E95C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students</w:t>
            </w:r>
          </w:p>
          <w:p w14:paraId="014412D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2B94648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Series of logistic regression and bootstrapped parallel mediation analysis</w:t>
            </w:r>
          </w:p>
        </w:tc>
        <w:tc>
          <w:tcPr>
            <w:tcW w:w="3840" w:type="dxa"/>
          </w:tcPr>
          <w:p w14:paraId="76E16A6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are likely trade off hedonic value (e.g. aesthetic) for sustainability than utilitarian value (e.g. functional performance). This willingness to trade–off weakens if the importance for hedonic or utilitarian value increases. The trade–off of hedonic value lower distress and the trade–off of utilitarian value enhances confidence</w:t>
            </w:r>
          </w:p>
        </w:tc>
      </w:tr>
      <w:tr w:rsidR="005A254B" w:rsidRPr="00530906" w14:paraId="46525787" w14:textId="77777777" w:rsidTr="00EC5C4C">
        <w:tc>
          <w:tcPr>
            <w:tcW w:w="2252" w:type="dxa"/>
          </w:tcPr>
          <w:p w14:paraId="6116425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Ryoo et al (2017)</w:t>
            </w:r>
          </w:p>
        </w:tc>
        <w:tc>
          <w:tcPr>
            <w:tcW w:w="2544" w:type="dxa"/>
          </w:tcPr>
          <w:p w14:paraId="2DFB0A3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Construal–level theory; South Korea</w:t>
            </w:r>
          </w:p>
        </w:tc>
        <w:tc>
          <w:tcPr>
            <w:tcW w:w="3310" w:type="dxa"/>
          </w:tcPr>
          <w:p w14:paraId="12C3FCA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Since provincial norm and general norms have differential effect due to an individual’s perception of closeness with the group (Spatial distance), so types of norms will be affecting the sustainable behaviour of the customer and moderated by the level of control in message</w:t>
            </w:r>
          </w:p>
        </w:tc>
        <w:tc>
          <w:tcPr>
            <w:tcW w:w="2002" w:type="dxa"/>
          </w:tcPr>
          <w:p w14:paraId="03C08B9B" w14:textId="77777777" w:rsidR="005A254B" w:rsidRPr="00530906" w:rsidRDefault="005A254B">
            <w:pPr>
              <w:tabs>
                <w:tab w:val="left" w:pos="1530"/>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148</w:t>
            </w:r>
          </w:p>
          <w:p w14:paraId="0CB8733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online mail</w:t>
            </w:r>
          </w:p>
          <w:p w14:paraId="1B29619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1D90EE4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Analysis: </w:t>
            </w:r>
            <w:r w:rsidRPr="00530906">
              <w:rPr>
                <w:rFonts w:ascii="Cambria" w:eastAsiaTheme="minorEastAsia" w:hAnsi="Cambria" w:cs="AdvP6F00"/>
                <w:sz w:val="24"/>
                <w:szCs w:val="24"/>
              </w:rPr>
              <w:t>ANCOVA</w:t>
            </w:r>
          </w:p>
        </w:tc>
        <w:tc>
          <w:tcPr>
            <w:tcW w:w="3840" w:type="dxa"/>
          </w:tcPr>
          <w:p w14:paraId="5C1254F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When reference group is close (provincial norm) is more effective to encourage consumers to participate in sustainability campaign with events those are perceived to occur in near future (low construal level message) than that of when the reference group is distant (general norm). However, neither norm is significant with high construal level message</w:t>
            </w:r>
          </w:p>
        </w:tc>
      </w:tr>
      <w:tr w:rsidR="005A254B" w:rsidRPr="00530906" w14:paraId="0351E836" w14:textId="77777777" w:rsidTr="00EC5C4C">
        <w:tc>
          <w:tcPr>
            <w:tcW w:w="2252" w:type="dxa"/>
          </w:tcPr>
          <w:p w14:paraId="5FF4C10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Juhl et al (2017)</w:t>
            </w:r>
          </w:p>
        </w:tc>
        <w:tc>
          <w:tcPr>
            <w:tcW w:w="2544" w:type="dxa"/>
          </w:tcPr>
          <w:p w14:paraId="4B9E852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Behavioural spill–over and Moral licensing </w:t>
            </w:r>
          </w:p>
        </w:tc>
        <w:tc>
          <w:tcPr>
            <w:tcW w:w="3310" w:type="dxa"/>
          </w:tcPr>
          <w:p w14:paraId="1B67384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Understanding the general pattern of adopting organic product</w:t>
            </w:r>
          </w:p>
        </w:tc>
        <w:tc>
          <w:tcPr>
            <w:tcW w:w="2002" w:type="dxa"/>
          </w:tcPr>
          <w:p w14:paraId="61E6F972" w14:textId="77777777" w:rsidR="005A254B" w:rsidRPr="00530906" w:rsidRDefault="005A254B">
            <w:pPr>
              <w:tabs>
                <w:tab w:val="left" w:pos="1530"/>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8704</w:t>
            </w:r>
          </w:p>
          <w:p w14:paraId="74FC7BB4" w14:textId="77777777" w:rsidR="005A254B" w:rsidRPr="00530906" w:rsidRDefault="005A254B">
            <w:pPr>
              <w:tabs>
                <w:tab w:val="left" w:pos="1530"/>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Customer with loyalty card of a Danish retailer</w:t>
            </w:r>
          </w:p>
          <w:p w14:paraId="15229ACF" w14:textId="77777777" w:rsidR="005A254B" w:rsidRPr="00530906" w:rsidRDefault="005A254B">
            <w:pPr>
              <w:tabs>
                <w:tab w:val="left" w:pos="1530"/>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hidden Markov model</w:t>
            </w:r>
          </w:p>
        </w:tc>
        <w:tc>
          <w:tcPr>
            <w:tcW w:w="3840" w:type="dxa"/>
          </w:tcPr>
          <w:p w14:paraId="6B99B8C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who buy organic products, will extend their buying practice to other products categories</w:t>
            </w:r>
          </w:p>
        </w:tc>
      </w:tr>
      <w:tr w:rsidR="005A254B" w:rsidRPr="00530906" w14:paraId="70172B51" w14:textId="77777777" w:rsidTr="00EC5C4C">
        <w:tc>
          <w:tcPr>
            <w:tcW w:w="2252" w:type="dxa"/>
          </w:tcPr>
          <w:p w14:paraId="78460B4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Kristensson et al (2017)</w:t>
            </w:r>
          </w:p>
        </w:tc>
        <w:tc>
          <w:tcPr>
            <w:tcW w:w="2544" w:type="dxa"/>
          </w:tcPr>
          <w:p w14:paraId="322C5ED8" w14:textId="77777777" w:rsidR="005A254B" w:rsidRPr="00530906" w:rsidRDefault="005A254B">
            <w:pPr>
              <w:spacing w:after="200" w:line="360" w:lineRule="auto"/>
              <w:ind w:left="-126"/>
              <w:jc w:val="both"/>
              <w:rPr>
                <w:rFonts w:ascii="Cambria" w:eastAsiaTheme="minorEastAsia" w:hAnsi="Cambria" w:cs="Times New Roman"/>
                <w:sz w:val="24"/>
                <w:szCs w:val="24"/>
              </w:rPr>
            </w:pPr>
            <w:r w:rsidRPr="00530906">
              <w:rPr>
                <w:rFonts w:ascii="Cambria" w:eastAsiaTheme="minorEastAsia" w:hAnsi="Cambria" w:cs="Times New Roman"/>
                <w:sz w:val="24"/>
                <w:szCs w:val="24"/>
              </w:rPr>
              <w:t>Question behaviour effect</w:t>
            </w:r>
          </w:p>
        </w:tc>
        <w:tc>
          <w:tcPr>
            <w:tcW w:w="3310" w:type="dxa"/>
          </w:tcPr>
          <w:p w14:paraId="6B3F552A"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If nudging questions are presented, consumers with pre–existing intention are motivated to engage in pro environmental behaviour. </w:t>
            </w:r>
          </w:p>
        </w:tc>
        <w:tc>
          <w:tcPr>
            <w:tcW w:w="2002" w:type="dxa"/>
          </w:tcPr>
          <w:p w14:paraId="77B31E2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Sample:400, 400</w:t>
            </w:r>
          </w:p>
          <w:p w14:paraId="2D98753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grocery stores</w:t>
            </w:r>
          </w:p>
          <w:p w14:paraId="4CD6927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2 studies </w:t>
            </w:r>
          </w:p>
          <w:p w14:paraId="5EBE530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Chi square tests, Chi square tests</w:t>
            </w:r>
          </w:p>
        </w:tc>
        <w:tc>
          <w:tcPr>
            <w:tcW w:w="3840" w:type="dxa"/>
          </w:tcPr>
          <w:p w14:paraId="4684CF7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 difference between consumers’ perception about the factors that may change their behaviour and the factors actually does it, influences whether the question–based nudging in retail scenario of environment friendly products</w:t>
            </w:r>
          </w:p>
        </w:tc>
      </w:tr>
      <w:tr w:rsidR="005A254B" w:rsidRPr="00530906" w14:paraId="4B50CCAA" w14:textId="77777777" w:rsidTr="00EC5C4C">
        <w:tc>
          <w:tcPr>
            <w:tcW w:w="2252" w:type="dxa"/>
          </w:tcPr>
          <w:p w14:paraId="43E5B9A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Yadav and Pathak (2017)</w:t>
            </w:r>
          </w:p>
        </w:tc>
        <w:tc>
          <w:tcPr>
            <w:tcW w:w="2544" w:type="dxa"/>
          </w:tcPr>
          <w:p w14:paraId="5F0F7BC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Extended theory of planned behaviour (TPB); India</w:t>
            </w:r>
          </w:p>
        </w:tc>
        <w:tc>
          <w:tcPr>
            <w:tcW w:w="3310" w:type="dxa"/>
          </w:tcPr>
          <w:p w14:paraId="700B7746"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Whether perceived value and willingness to pay premium (WPP) along with other constructs of TPB affect green purchase behaviour.</w:t>
            </w:r>
          </w:p>
        </w:tc>
        <w:tc>
          <w:tcPr>
            <w:tcW w:w="2002" w:type="dxa"/>
          </w:tcPr>
          <w:p w14:paraId="02EBA24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620</w:t>
            </w:r>
          </w:p>
          <w:p w14:paraId="24BE572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Urban area</w:t>
            </w:r>
          </w:p>
          <w:p w14:paraId="3521BA8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69FD8B3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3ED34D7F"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The additional constructs perceived value and willingness to pay premium (WPP) have significantly predicted the green purchasing behaviour along with TPB</w:t>
            </w:r>
          </w:p>
        </w:tc>
      </w:tr>
      <w:tr w:rsidR="005A254B" w:rsidRPr="00530906" w14:paraId="3D54E7F8" w14:textId="77777777" w:rsidTr="00EC5C4C">
        <w:tc>
          <w:tcPr>
            <w:tcW w:w="2252" w:type="dxa"/>
          </w:tcPr>
          <w:p w14:paraId="75C8733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Evers et al (2018)</w:t>
            </w:r>
          </w:p>
        </w:tc>
        <w:tc>
          <w:tcPr>
            <w:tcW w:w="2544" w:type="dxa"/>
          </w:tcPr>
          <w:p w14:paraId="25F80C0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Self–determination Theory</w:t>
            </w:r>
          </w:p>
        </w:tc>
        <w:tc>
          <w:tcPr>
            <w:tcW w:w="3310" w:type="dxa"/>
          </w:tcPr>
          <w:p w14:paraId="37F2FBE8"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Identity of frugal consumers in closely related with their intention of extracting the value of their money</w:t>
            </w:r>
          </w:p>
        </w:tc>
        <w:tc>
          <w:tcPr>
            <w:tcW w:w="2002" w:type="dxa"/>
          </w:tcPr>
          <w:p w14:paraId="7FB6BB0F"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398</w:t>
            </w:r>
            <w:r w:rsidRPr="00530906">
              <w:rPr>
                <w:rFonts w:ascii="Cambria" w:eastAsiaTheme="minorEastAsia" w:hAnsi="Cambria" w:cs="Times New Roman"/>
                <w:sz w:val="24"/>
                <w:szCs w:val="24"/>
              </w:rPr>
              <w:tab/>
            </w:r>
          </w:p>
          <w:p w14:paraId="20332F1A"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66A2CDA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PLS–SEM</w:t>
            </w:r>
          </w:p>
        </w:tc>
        <w:tc>
          <w:tcPr>
            <w:tcW w:w="3840" w:type="dxa"/>
          </w:tcPr>
          <w:p w14:paraId="0EB7D437"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Frugal intention of the consumer affects materialistic intention which motivate them to find alternative methods of product disposal</w:t>
            </w:r>
          </w:p>
        </w:tc>
      </w:tr>
      <w:tr w:rsidR="005A254B" w:rsidRPr="00530906" w14:paraId="50C2AC37" w14:textId="77777777" w:rsidTr="00EC5C4C">
        <w:tc>
          <w:tcPr>
            <w:tcW w:w="2252" w:type="dxa"/>
          </w:tcPr>
          <w:p w14:paraId="7D53F273" w14:textId="77777777" w:rsidR="005A254B" w:rsidRPr="00530906" w:rsidRDefault="005A254B">
            <w:pPr>
              <w:spacing w:after="200" w:line="360" w:lineRule="auto"/>
              <w:jc w:val="both"/>
              <w:rPr>
                <w:rFonts w:ascii="Cambria" w:eastAsiaTheme="minorEastAsia" w:hAnsi="Cambria" w:cs="Times New Roman"/>
                <w:sz w:val="24"/>
                <w:szCs w:val="24"/>
              </w:rPr>
            </w:pPr>
            <w:bookmarkStart w:id="112" w:name="_Hlk29383467"/>
            <w:r w:rsidRPr="00530906">
              <w:rPr>
                <w:rFonts w:ascii="Cambria" w:eastAsiaTheme="minorEastAsia" w:hAnsi="Cambria" w:cs="Times New Roman"/>
                <w:sz w:val="24"/>
                <w:szCs w:val="24"/>
              </w:rPr>
              <w:t>Perera et al (2018)</w:t>
            </w:r>
            <w:bookmarkEnd w:id="112"/>
          </w:p>
        </w:tc>
        <w:tc>
          <w:tcPr>
            <w:tcW w:w="2544" w:type="dxa"/>
          </w:tcPr>
          <w:p w14:paraId="1889326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Practice Theory</w:t>
            </w:r>
          </w:p>
        </w:tc>
        <w:tc>
          <w:tcPr>
            <w:tcW w:w="3310" w:type="dxa"/>
          </w:tcPr>
          <w:p w14:paraId="62600A76"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Explore the experience of young environmentalist, who have undertaken green consumption.</w:t>
            </w:r>
          </w:p>
        </w:tc>
        <w:tc>
          <w:tcPr>
            <w:tcW w:w="2002" w:type="dxa"/>
          </w:tcPr>
          <w:p w14:paraId="197E37AC"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21</w:t>
            </w:r>
          </w:p>
          <w:p w14:paraId="1A2A7D0E"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Interview</w:t>
            </w:r>
          </w:p>
        </w:tc>
        <w:tc>
          <w:tcPr>
            <w:tcW w:w="3840" w:type="dxa"/>
          </w:tcPr>
          <w:p w14:paraId="6B0C451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They proposed that Sustainable–consumption is adopted in three phases: learning and acquiring alternative products that evoke positive emotion, but adopting the practice is susceptible to social settings. </w:t>
            </w:r>
          </w:p>
        </w:tc>
      </w:tr>
      <w:tr w:rsidR="005A254B" w:rsidRPr="00530906" w14:paraId="672B212B" w14:textId="77777777" w:rsidTr="00EC5C4C">
        <w:tc>
          <w:tcPr>
            <w:tcW w:w="2252" w:type="dxa"/>
          </w:tcPr>
          <w:p w14:paraId="57558A6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Song and Kim (2018)</w:t>
            </w:r>
          </w:p>
        </w:tc>
        <w:tc>
          <w:tcPr>
            <w:tcW w:w="2544" w:type="dxa"/>
          </w:tcPr>
          <w:p w14:paraId="07AA814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virtue of ethics</w:t>
            </w:r>
          </w:p>
        </w:tc>
        <w:tc>
          <w:tcPr>
            <w:tcW w:w="3310" w:type="dxa"/>
          </w:tcPr>
          <w:p w14:paraId="332D8889"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Individuals’ virtuous traits leads them to ethical behaviour, which is an expression of their good personality traits</w:t>
            </w:r>
          </w:p>
        </w:tc>
        <w:tc>
          <w:tcPr>
            <w:tcW w:w="2002" w:type="dxa"/>
          </w:tcPr>
          <w:p w14:paraId="74DBB526"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400</w:t>
            </w:r>
          </w:p>
          <w:p w14:paraId="2BC17AA7"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US university</w:t>
            </w:r>
          </w:p>
          <w:p w14:paraId="388B1848"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online survey</w:t>
            </w:r>
          </w:p>
          <w:p w14:paraId="4B2F6429"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generated classification tree predictive model</w:t>
            </w:r>
          </w:p>
        </w:tc>
        <w:tc>
          <w:tcPr>
            <w:tcW w:w="3840" w:type="dxa"/>
          </w:tcPr>
          <w:p w14:paraId="7422693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Virtuous traits like– self–efficacy, courage, and self–control, and personality traits like– openness and conscientiousness have successfully predicted socially responsible behaviour</w:t>
            </w:r>
          </w:p>
        </w:tc>
      </w:tr>
      <w:tr w:rsidR="005A254B" w:rsidRPr="00530906" w14:paraId="313BA58D" w14:textId="77777777" w:rsidTr="00EC5C4C">
        <w:tc>
          <w:tcPr>
            <w:tcW w:w="2252" w:type="dxa"/>
          </w:tcPr>
          <w:p w14:paraId="7CA465D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Sharma and Foropon (2019)</w:t>
            </w:r>
          </w:p>
        </w:tc>
        <w:tc>
          <w:tcPr>
            <w:tcW w:w="2544" w:type="dxa"/>
          </w:tcPr>
          <w:p w14:paraId="49E375D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theory of planned behaviour</w:t>
            </w:r>
          </w:p>
        </w:tc>
        <w:tc>
          <w:tcPr>
            <w:tcW w:w="3310" w:type="dxa"/>
          </w:tcPr>
          <w:p w14:paraId="362CB4D0"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Replaced subjective norm and perceived behavioural control with environmental knowledge and PCE respectively. Moreover, purchase behaviour was classified in 3 purchase patterns– unconditional, conditional and accidental purchase.</w:t>
            </w:r>
          </w:p>
        </w:tc>
        <w:tc>
          <w:tcPr>
            <w:tcW w:w="2002" w:type="dxa"/>
          </w:tcPr>
          <w:p w14:paraId="6C216521" w14:textId="3E556D0C"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w:t>
            </w:r>
            <w:r w:rsidR="00DB43FF">
              <w:rPr>
                <w:rFonts w:ascii="Cambria" w:eastAsiaTheme="minorEastAsia" w:hAnsi="Cambria" w:cs="Times New Roman"/>
                <w:sz w:val="24"/>
                <w:szCs w:val="24"/>
              </w:rPr>
              <w:t xml:space="preserve"> 395 (app)</w:t>
            </w:r>
          </w:p>
          <w:p w14:paraId="58318D76" w14:textId="70AA909D"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w:t>
            </w:r>
            <w:r w:rsidR="00DB43FF">
              <w:rPr>
                <w:rFonts w:ascii="Cambria" w:eastAsiaTheme="minorEastAsia" w:hAnsi="Cambria" w:cs="Times New Roman"/>
                <w:sz w:val="24"/>
                <w:szCs w:val="24"/>
              </w:rPr>
              <w:t xml:space="preserve"> not mentioned</w:t>
            </w:r>
          </w:p>
          <w:p w14:paraId="000CC60E" w14:textId="260E8F61"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w:t>
            </w:r>
            <w:r w:rsidR="00DB43FF">
              <w:rPr>
                <w:rFonts w:ascii="Cambria" w:eastAsiaTheme="minorEastAsia" w:hAnsi="Cambria" w:cs="Times New Roman"/>
                <w:sz w:val="24"/>
                <w:szCs w:val="24"/>
              </w:rPr>
              <w:t xml:space="preserve"> not mentioned</w:t>
            </w:r>
          </w:p>
          <w:p w14:paraId="0516C6EE" w14:textId="6B9679EE"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Analysis: </w:t>
            </w:r>
            <w:r w:rsidR="00DB43FF">
              <w:rPr>
                <w:rFonts w:ascii="Cambria" w:eastAsiaTheme="minorEastAsia" w:hAnsi="Cambria" w:cs="Times New Roman"/>
                <w:sz w:val="24"/>
                <w:szCs w:val="24"/>
              </w:rPr>
              <w:t xml:space="preserve">Path analysis and </w:t>
            </w:r>
            <w:r w:rsidRPr="00530906">
              <w:rPr>
                <w:rFonts w:ascii="Cambria" w:eastAsiaTheme="minorEastAsia" w:hAnsi="Cambria" w:cs="Times New Roman"/>
                <w:sz w:val="24"/>
                <w:szCs w:val="24"/>
              </w:rPr>
              <w:t>ANOVA</w:t>
            </w:r>
          </w:p>
        </w:tc>
        <w:tc>
          <w:tcPr>
            <w:tcW w:w="3840" w:type="dxa"/>
          </w:tcPr>
          <w:p w14:paraId="55DA42A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Green product attributes influence the green purchase intention</w:t>
            </w:r>
          </w:p>
        </w:tc>
      </w:tr>
      <w:tr w:rsidR="005A254B" w:rsidRPr="00530906" w14:paraId="1A9DDC31" w14:textId="77777777" w:rsidTr="00EC5C4C">
        <w:tc>
          <w:tcPr>
            <w:tcW w:w="2252" w:type="dxa"/>
          </w:tcPr>
          <w:p w14:paraId="584AF248" w14:textId="77777777" w:rsidR="005A254B" w:rsidRPr="00530906" w:rsidRDefault="005A254B">
            <w:pPr>
              <w:spacing w:after="200" w:line="360" w:lineRule="auto"/>
              <w:jc w:val="both"/>
              <w:rPr>
                <w:rFonts w:ascii="Cambria" w:eastAsiaTheme="minorEastAsia" w:hAnsi="Cambria" w:cs="Times New Roman"/>
                <w:sz w:val="24"/>
                <w:szCs w:val="24"/>
              </w:rPr>
            </w:pPr>
            <w:bookmarkStart w:id="113" w:name="_Hlk29383401"/>
            <w:r w:rsidRPr="00530906">
              <w:rPr>
                <w:rFonts w:ascii="Cambria" w:eastAsiaTheme="minorEastAsia" w:hAnsi="Cambria" w:cs="Times New Roman"/>
                <w:sz w:val="24"/>
                <w:szCs w:val="24"/>
              </w:rPr>
              <w:t>Rowe et al (2019)</w:t>
            </w:r>
            <w:bookmarkEnd w:id="113"/>
          </w:p>
        </w:tc>
        <w:tc>
          <w:tcPr>
            <w:tcW w:w="2544" w:type="dxa"/>
          </w:tcPr>
          <w:p w14:paraId="4E3D88C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Appraisal theory</w:t>
            </w:r>
          </w:p>
        </w:tc>
        <w:tc>
          <w:tcPr>
            <w:tcW w:w="3310" w:type="dxa"/>
          </w:tcPr>
          <w:p w14:paraId="29B40A5D"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Emotions like pride and guilt form past behaviour may influence future Sustainable–consumption </w:t>
            </w:r>
          </w:p>
        </w:tc>
        <w:tc>
          <w:tcPr>
            <w:tcW w:w="2002" w:type="dxa"/>
          </w:tcPr>
          <w:p w14:paraId="7AFE58BD"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152, 328</w:t>
            </w:r>
          </w:p>
          <w:p w14:paraId="0A9F4B64"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MTurk</w:t>
            </w:r>
          </w:p>
          <w:p w14:paraId="1C1BF134"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7701225E"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w:t>
            </w:r>
          </w:p>
        </w:tc>
        <w:tc>
          <w:tcPr>
            <w:tcW w:w="3840" w:type="dxa"/>
          </w:tcPr>
          <w:p w14:paraId="01905F1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Unlike guilt, pride in the last buying behaviour increase the possibility to purchase Sustainable–products. but the anticipation of future feelings of pride and guilt both affects the sustainable consumption. </w:t>
            </w:r>
          </w:p>
        </w:tc>
      </w:tr>
      <w:tr w:rsidR="005A254B" w:rsidRPr="00530906" w14:paraId="7FAA241C" w14:textId="77777777" w:rsidTr="005A254B">
        <w:tc>
          <w:tcPr>
            <w:tcW w:w="13948" w:type="dxa"/>
            <w:gridSpan w:val="5"/>
            <w:shd w:val="clear" w:color="auto" w:fill="C5E0B3" w:themeFill="accent6" w:themeFillTint="66"/>
          </w:tcPr>
          <w:p w14:paraId="3514F28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b/>
                <w:sz w:val="24"/>
                <w:szCs w:val="24"/>
              </w:rPr>
              <w:t xml:space="preserve">Organisation’s and consumers perspective </w:t>
            </w:r>
          </w:p>
        </w:tc>
      </w:tr>
      <w:tr w:rsidR="005A254B" w:rsidRPr="00530906" w14:paraId="1C4D2616" w14:textId="77777777" w:rsidTr="00EC5C4C">
        <w:tc>
          <w:tcPr>
            <w:tcW w:w="2252" w:type="dxa"/>
          </w:tcPr>
          <w:p w14:paraId="3D384BA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Schuhwerk and Lefkoff–Haguis (1995)</w:t>
            </w:r>
          </w:p>
        </w:tc>
        <w:tc>
          <w:tcPr>
            <w:tcW w:w="2544" w:type="dxa"/>
          </w:tcPr>
          <w:p w14:paraId="33BB497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Salience theory/ literature</w:t>
            </w:r>
          </w:p>
        </w:tc>
        <w:tc>
          <w:tcPr>
            <w:tcW w:w="3310" w:type="dxa"/>
          </w:tcPr>
          <w:p w14:paraId="32FE477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level of involvement influences their response to green /non–green ad.</w:t>
            </w:r>
          </w:p>
        </w:tc>
        <w:tc>
          <w:tcPr>
            <w:tcW w:w="2002" w:type="dxa"/>
          </w:tcPr>
          <w:p w14:paraId="6008E6B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85</w:t>
            </w:r>
          </w:p>
          <w:p w14:paraId="5087DAB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Undergraduate students</w:t>
            </w:r>
          </w:p>
          <w:p w14:paraId="06DD747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Experiment</w:t>
            </w:r>
          </w:p>
          <w:p w14:paraId="78C9F3F6" w14:textId="77777777" w:rsidR="005A254B" w:rsidRPr="00530906" w:rsidRDefault="005A254B">
            <w:pPr>
              <w:tabs>
                <w:tab w:val="left" w:pos="1333"/>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 and t test</w:t>
            </w:r>
          </w:p>
        </w:tc>
        <w:tc>
          <w:tcPr>
            <w:tcW w:w="3840" w:type="dxa"/>
          </w:tcPr>
          <w:p w14:paraId="76A1126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Type of ad or type of argument do not affect consumers with high involvement with environment. But they do affect consumers with high involvement with environment.</w:t>
            </w:r>
          </w:p>
        </w:tc>
      </w:tr>
      <w:tr w:rsidR="005A254B" w:rsidRPr="00530906" w14:paraId="32CA5F96" w14:textId="77777777" w:rsidTr="00EC5C4C">
        <w:tc>
          <w:tcPr>
            <w:tcW w:w="2252" w:type="dxa"/>
          </w:tcPr>
          <w:p w14:paraId="56BAD3E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Schlegelmilch (1996)</w:t>
            </w:r>
          </w:p>
        </w:tc>
        <w:tc>
          <w:tcPr>
            <w:tcW w:w="2544" w:type="dxa"/>
          </w:tcPr>
          <w:p w14:paraId="58607B24"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08610AB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Propose a scale to calculate environment consciousness and how it influences green behaviour</w:t>
            </w:r>
          </w:p>
        </w:tc>
        <w:tc>
          <w:tcPr>
            <w:tcW w:w="2002" w:type="dxa"/>
          </w:tcPr>
          <w:p w14:paraId="0DE3F06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Sample: 160 UG student </w:t>
            </w:r>
          </w:p>
          <w:p w14:paraId="7C89AF6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and 600 general public</w:t>
            </w:r>
          </w:p>
          <w:p w14:paraId="491AC70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and database of professional</w:t>
            </w:r>
          </w:p>
          <w:p w14:paraId="2353264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sampling agency (CACI)</w:t>
            </w:r>
          </w:p>
          <w:p w14:paraId="47EF27A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3CD06F82"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regression and MANOVA</w:t>
            </w:r>
          </w:p>
        </w:tc>
        <w:tc>
          <w:tcPr>
            <w:tcW w:w="3840" w:type="dxa"/>
          </w:tcPr>
          <w:p w14:paraId="2352992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Environmental–consciousness is more appropriate than socio–demographic or personality traits variables to profile green consumers. more variance is found in general purchasing behaviour than specific purchasing items. However, student data differs from general public data. </w:t>
            </w:r>
          </w:p>
        </w:tc>
      </w:tr>
      <w:tr w:rsidR="005A254B" w:rsidRPr="00530906" w14:paraId="3586967B" w14:textId="77777777" w:rsidTr="00EC5C4C">
        <w:tc>
          <w:tcPr>
            <w:tcW w:w="2252" w:type="dxa"/>
          </w:tcPr>
          <w:p w14:paraId="18C1BEF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Montororios et al (2008)</w:t>
            </w:r>
          </w:p>
        </w:tc>
        <w:tc>
          <w:tcPr>
            <w:tcW w:w="2544" w:type="dxa"/>
          </w:tcPr>
          <w:p w14:paraId="5BC8739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Elaborative likelihood model (ELM) and Dual mediation model; Spain</w:t>
            </w:r>
          </w:p>
        </w:tc>
        <w:tc>
          <w:tcPr>
            <w:tcW w:w="3310" w:type="dxa"/>
          </w:tcPr>
          <w:p w14:paraId="3406F12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Product category and brand condition the relationship between environmental associations and attitude </w:t>
            </w:r>
          </w:p>
        </w:tc>
        <w:tc>
          <w:tcPr>
            <w:tcW w:w="2002" w:type="dxa"/>
          </w:tcPr>
          <w:p w14:paraId="095E065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828</w:t>
            </w:r>
          </w:p>
          <w:p w14:paraId="7726E32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convenience of public places</w:t>
            </w:r>
          </w:p>
          <w:p w14:paraId="29E5CA1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6F872D6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SEM</w:t>
            </w:r>
          </w:p>
        </w:tc>
        <w:tc>
          <w:tcPr>
            <w:tcW w:w="3840" w:type="dxa"/>
          </w:tcPr>
          <w:p w14:paraId="2FE66A3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Environmental association with the brand will have higher effect to form brand attitude with High involvement and familiarity than brands with low involvement and/low familiarity</w:t>
            </w:r>
          </w:p>
        </w:tc>
      </w:tr>
      <w:tr w:rsidR="005A254B" w:rsidRPr="00530906" w14:paraId="325E734D" w14:textId="77777777" w:rsidTr="00EC5C4C">
        <w:tc>
          <w:tcPr>
            <w:tcW w:w="2252" w:type="dxa"/>
          </w:tcPr>
          <w:p w14:paraId="0747AAE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Choi and Ng (2011)</w:t>
            </w:r>
          </w:p>
        </w:tc>
        <w:tc>
          <w:tcPr>
            <w:tcW w:w="2544" w:type="dxa"/>
          </w:tcPr>
          <w:p w14:paraId="6373241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Social identity theory and Stakeholder theory; USA purchase intention was measured </w:t>
            </w:r>
          </w:p>
        </w:tc>
        <w:tc>
          <w:tcPr>
            <w:tcW w:w="3310" w:type="dxa"/>
          </w:tcPr>
          <w:p w14:paraId="533BB86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Economic dimension of sustainability of the firm along with environmental and social dimension may influence consumers’ sustainable purchase choices. They are likely to patronise companies which offers employment, opportunity and economic development of local communities they care about.</w:t>
            </w:r>
          </w:p>
        </w:tc>
        <w:tc>
          <w:tcPr>
            <w:tcW w:w="2002" w:type="dxa"/>
          </w:tcPr>
          <w:p w14:paraId="351F3166" w14:textId="77777777" w:rsidR="005A254B" w:rsidRPr="00530906" w:rsidRDefault="005A254B">
            <w:pPr>
              <w:tabs>
                <w:tab w:val="left" w:pos="1333"/>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219</w:t>
            </w:r>
          </w:p>
          <w:p w14:paraId="08B6DCF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electronic telephone–based list</w:t>
            </w:r>
          </w:p>
          <w:p w14:paraId="6A46B69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35D7525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w:t>
            </w:r>
          </w:p>
        </w:tc>
        <w:tc>
          <w:tcPr>
            <w:tcW w:w="3840" w:type="dxa"/>
          </w:tcPr>
          <w:p w14:paraId="207E8FC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favour companies with sustainability dimensions (environmental and economic), especially companies with environmental sustainability. They do not response to low price favourably, if the company is having poor environmental sustainability reputation.</w:t>
            </w:r>
          </w:p>
        </w:tc>
      </w:tr>
      <w:tr w:rsidR="005A254B" w:rsidRPr="00530906" w14:paraId="52C284C5" w14:textId="77777777" w:rsidTr="00EC5C4C">
        <w:tc>
          <w:tcPr>
            <w:tcW w:w="2252" w:type="dxa"/>
          </w:tcPr>
          <w:p w14:paraId="6C7A18A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Larceneux et al (2012)</w:t>
            </w:r>
          </w:p>
        </w:tc>
        <w:tc>
          <w:tcPr>
            <w:tcW w:w="2544" w:type="dxa"/>
          </w:tcPr>
          <w:p w14:paraId="23119E8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Cobranding theoretical framework </w:t>
            </w:r>
          </w:p>
        </w:tc>
        <w:tc>
          <w:tcPr>
            <w:tcW w:w="3310" w:type="dxa"/>
          </w:tcPr>
          <w:p w14:paraId="75FBA0A5" w14:textId="53C5F6FA"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Organic labels </w:t>
            </w:r>
            <w:r w:rsidR="00AB059D" w:rsidRPr="00530906">
              <w:rPr>
                <w:rFonts w:ascii="Cambria" w:eastAsiaTheme="minorEastAsia" w:hAnsi="Cambria" w:cs="Times New Roman"/>
                <w:sz w:val="24"/>
                <w:szCs w:val="24"/>
              </w:rPr>
              <w:t>affect</w:t>
            </w:r>
            <w:r w:rsidRPr="00530906">
              <w:rPr>
                <w:rFonts w:ascii="Cambria" w:eastAsiaTheme="minorEastAsia" w:hAnsi="Cambria" w:cs="Times New Roman"/>
                <w:sz w:val="24"/>
                <w:szCs w:val="24"/>
              </w:rPr>
              <w:t xml:space="preserve"> the perception of product quality and moderated by brand equity</w:t>
            </w:r>
          </w:p>
        </w:tc>
        <w:tc>
          <w:tcPr>
            <w:tcW w:w="2002" w:type="dxa"/>
          </w:tcPr>
          <w:p w14:paraId="514EC098"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122</w:t>
            </w:r>
          </w:p>
          <w:p w14:paraId="553F5B5D"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customer at Monoprix store.</w:t>
            </w:r>
          </w:p>
          <w:p w14:paraId="7AA0D7F2"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experiment</w:t>
            </w:r>
          </w:p>
          <w:p w14:paraId="078964F7" w14:textId="77777777" w:rsidR="005A254B" w:rsidRPr="00530906" w:rsidRDefault="005A254B">
            <w:pPr>
              <w:tabs>
                <w:tab w:val="left" w:pos="1333"/>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one–way MANOVA, 2 x 2 ANOVA and 2 x 2 MANOVA</w:t>
            </w:r>
          </w:p>
        </w:tc>
        <w:tc>
          <w:tcPr>
            <w:tcW w:w="3840" w:type="dxa"/>
          </w:tcPr>
          <w:p w14:paraId="3CF3098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For high brand equity, the organic label is less effective. But regardless brand equity, organic labels signals high product quality in terms of environment friendly attributes</w:t>
            </w:r>
          </w:p>
        </w:tc>
      </w:tr>
      <w:tr w:rsidR="005A254B" w:rsidRPr="00530906" w14:paraId="0CCAC935" w14:textId="77777777" w:rsidTr="00EC5C4C">
        <w:tc>
          <w:tcPr>
            <w:tcW w:w="2252" w:type="dxa"/>
          </w:tcPr>
          <w:p w14:paraId="0B6C60E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Lyon, and Montgomery (2014)</w:t>
            </w:r>
          </w:p>
        </w:tc>
        <w:tc>
          <w:tcPr>
            <w:tcW w:w="2544" w:type="dxa"/>
          </w:tcPr>
          <w:p w14:paraId="57CDF72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Communication theory </w:t>
            </w:r>
          </w:p>
          <w:p w14:paraId="139045DA"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20D4812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Enhanced the theory by proposing that social–media can enhance and redefine the flow of information form the companies to the consumers regarding environmental issues </w:t>
            </w:r>
          </w:p>
        </w:tc>
        <w:tc>
          <w:tcPr>
            <w:tcW w:w="2002" w:type="dxa"/>
          </w:tcPr>
          <w:p w14:paraId="136AAD0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Not applicable </w:t>
            </w:r>
          </w:p>
        </w:tc>
        <w:tc>
          <w:tcPr>
            <w:tcW w:w="3840" w:type="dxa"/>
          </w:tcPr>
          <w:p w14:paraId="7E7C977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Proposal</w:t>
            </w:r>
          </w:p>
        </w:tc>
      </w:tr>
      <w:tr w:rsidR="005A254B" w:rsidRPr="00530906" w14:paraId="521C658E" w14:textId="77777777" w:rsidTr="00EC5C4C">
        <w:tc>
          <w:tcPr>
            <w:tcW w:w="2252" w:type="dxa"/>
          </w:tcPr>
          <w:p w14:paraId="5A95B32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Kalamas et al (2014)</w:t>
            </w:r>
          </w:p>
        </w:tc>
        <w:tc>
          <w:tcPr>
            <w:tcW w:w="2544" w:type="dxa"/>
          </w:tcPr>
          <w:p w14:paraId="3C076C50" w14:textId="69F4EB1A"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Locus of control </w:t>
            </w:r>
            <w:r w:rsidR="00AB059D" w:rsidRPr="00530906">
              <w:rPr>
                <w:rFonts w:ascii="Cambria" w:eastAsiaTheme="minorEastAsia" w:hAnsi="Cambria" w:cs="Times New Roman"/>
                <w:sz w:val="24"/>
                <w:szCs w:val="24"/>
              </w:rPr>
              <w:t>theory;</w:t>
            </w:r>
            <w:r w:rsidRPr="00530906">
              <w:rPr>
                <w:rFonts w:ascii="Cambria" w:eastAsiaTheme="minorEastAsia" w:hAnsi="Cambria" w:cs="Times New Roman"/>
                <w:sz w:val="24"/>
                <w:szCs w:val="24"/>
              </w:rPr>
              <w:t xml:space="preserve"> Canada</w:t>
            </w:r>
          </w:p>
        </w:tc>
        <w:tc>
          <w:tcPr>
            <w:tcW w:w="3310" w:type="dxa"/>
          </w:tcPr>
          <w:p w14:paraId="03D2FDE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Customer pro environmental behaviour is affected by their attribution of environmental responsibility to the external forces.</w:t>
            </w:r>
          </w:p>
        </w:tc>
        <w:tc>
          <w:tcPr>
            <w:tcW w:w="2002" w:type="dxa"/>
          </w:tcPr>
          <w:p w14:paraId="50641DCD" w14:textId="77777777" w:rsidR="005A254B" w:rsidRPr="00530906" w:rsidRDefault="005A254B">
            <w:pPr>
              <w:tabs>
                <w:tab w:val="left" w:pos="1695"/>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263</w:t>
            </w:r>
            <w:r w:rsidRPr="00530906">
              <w:rPr>
                <w:rFonts w:ascii="Cambria" w:eastAsiaTheme="minorEastAsia" w:hAnsi="Cambria" w:cs="Times New Roman"/>
                <w:sz w:val="24"/>
                <w:szCs w:val="24"/>
              </w:rPr>
              <w:tab/>
            </w:r>
          </w:p>
          <w:p w14:paraId="2BD81DD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street of urban area</w:t>
            </w:r>
          </w:p>
          <w:p w14:paraId="1CFE595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64B61EF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Exploratory and confirmatory factor analysis</w:t>
            </w:r>
          </w:p>
        </w:tc>
        <w:tc>
          <w:tcPr>
            <w:tcW w:w="3840" w:type="dxa"/>
          </w:tcPr>
          <w:p w14:paraId="39CEEB0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who think government or corporates are environmentally responsible engage in pro–environmental behaviour; whereas it is a natural phase, will not engage in such behaviour</w:t>
            </w:r>
          </w:p>
        </w:tc>
      </w:tr>
      <w:tr w:rsidR="005A254B" w:rsidRPr="00530906" w14:paraId="74C30AB2" w14:textId="77777777" w:rsidTr="00EC5C4C">
        <w:tc>
          <w:tcPr>
            <w:tcW w:w="2252" w:type="dxa"/>
          </w:tcPr>
          <w:p w14:paraId="2670E0E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Davari and Strutton (2014)</w:t>
            </w:r>
          </w:p>
        </w:tc>
        <w:tc>
          <w:tcPr>
            <w:tcW w:w="2544" w:type="dxa"/>
          </w:tcPr>
          <w:p w14:paraId="5370384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consumer–based brand equity (CBBE)</w:t>
            </w:r>
          </w:p>
        </w:tc>
        <w:tc>
          <w:tcPr>
            <w:tcW w:w="3310" w:type="dxa"/>
          </w:tcPr>
          <w:p w14:paraId="132D125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Marketing mix 4P (product, price, place and promotion) affect the dimensions of CBBE (Brand association, Loyalty, quality and trust). These effects will be moderated by Environmental concerns and consideration of consequence</w:t>
            </w:r>
          </w:p>
        </w:tc>
        <w:tc>
          <w:tcPr>
            <w:tcW w:w="2002" w:type="dxa"/>
          </w:tcPr>
          <w:p w14:paraId="4325F6DD" w14:textId="77777777" w:rsidR="005A254B" w:rsidRPr="00530906" w:rsidRDefault="005A254B">
            <w:pPr>
              <w:tabs>
                <w:tab w:val="left" w:pos="1695"/>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286</w:t>
            </w:r>
          </w:p>
          <w:p w14:paraId="227C52E8" w14:textId="77777777" w:rsidR="005A254B" w:rsidRPr="00530906" w:rsidRDefault="005A254B">
            <w:pPr>
              <w:tabs>
                <w:tab w:val="left" w:pos="1695"/>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students</w:t>
            </w:r>
          </w:p>
          <w:p w14:paraId="168540DC" w14:textId="77777777" w:rsidR="005A254B" w:rsidRPr="00530906" w:rsidRDefault="005A254B">
            <w:pPr>
              <w:tabs>
                <w:tab w:val="left" w:pos="1695"/>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111602B4" w14:textId="77777777" w:rsidR="005A254B" w:rsidRPr="00530906" w:rsidRDefault="005A254B">
            <w:pPr>
              <w:tabs>
                <w:tab w:val="left" w:pos="1695"/>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Linear regression analysis</w:t>
            </w:r>
          </w:p>
        </w:tc>
        <w:tc>
          <w:tcPr>
            <w:tcW w:w="3840" w:type="dxa"/>
          </w:tcPr>
          <w:p w14:paraId="1472718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All 4ps are related to loyalty. </w:t>
            </w:r>
          </w:p>
          <w:p w14:paraId="057951F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Product influences association</w:t>
            </w:r>
          </w:p>
          <w:p w14:paraId="1A49F3A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Product &amp; place influenced quality </w:t>
            </w:r>
          </w:p>
          <w:p w14:paraId="22152ABB"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Product &amp;price influenced trust</w:t>
            </w:r>
          </w:p>
          <w:p w14:paraId="2115125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Price has negative affect o loyalty and trust. </w:t>
            </w:r>
          </w:p>
          <w:p w14:paraId="406D553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Promotion &amp; place has least effect</w:t>
            </w:r>
          </w:p>
          <w:p w14:paraId="3D6C09D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Environmental concerns and consideration of consequence have significant moderating effect</w:t>
            </w:r>
          </w:p>
        </w:tc>
      </w:tr>
      <w:tr w:rsidR="005A254B" w:rsidRPr="00530906" w14:paraId="7FD45154" w14:textId="77777777" w:rsidTr="00EC5C4C">
        <w:tc>
          <w:tcPr>
            <w:tcW w:w="2252" w:type="dxa"/>
          </w:tcPr>
          <w:p w14:paraId="797E3D5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Line et al (2016)</w:t>
            </w:r>
          </w:p>
        </w:tc>
        <w:tc>
          <w:tcPr>
            <w:tcW w:w="2544" w:type="dxa"/>
          </w:tcPr>
          <w:p w14:paraId="7B03CAA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Construal level theory and information processing theory; USA restaurant consumers </w:t>
            </w:r>
          </w:p>
        </w:tc>
        <w:tc>
          <w:tcPr>
            <w:tcW w:w="3310" w:type="dxa"/>
          </w:tcPr>
          <w:p w14:paraId="5B8274B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How the CSR message of the company can be more effective</w:t>
            </w:r>
          </w:p>
        </w:tc>
        <w:tc>
          <w:tcPr>
            <w:tcW w:w="2002" w:type="dxa"/>
          </w:tcPr>
          <w:p w14:paraId="36C4305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232</w:t>
            </w:r>
          </w:p>
          <w:p w14:paraId="1F7EC19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Amazon Mechanical Turk</w:t>
            </w:r>
          </w:p>
          <w:p w14:paraId="5CD469E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5BEEE24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ANCOVA (3way interaction) and ANOVA (to interpret)</w:t>
            </w:r>
          </w:p>
        </w:tc>
        <w:tc>
          <w:tcPr>
            <w:tcW w:w="3840" w:type="dxa"/>
          </w:tcPr>
          <w:p w14:paraId="766AF20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If the sustainable messages depicts a far future, consumers do not look for additional information and have positive attitude, but if the message present a near future, consumers critically evaluate the message. In the 2</w:t>
            </w:r>
            <w:r w:rsidRPr="00530906">
              <w:rPr>
                <w:rFonts w:ascii="Cambria" w:eastAsiaTheme="minorEastAsia" w:hAnsi="Cambria" w:cs="Times New Roman"/>
                <w:sz w:val="24"/>
                <w:szCs w:val="24"/>
                <w:vertAlign w:val="superscript"/>
              </w:rPr>
              <w:t>nd</w:t>
            </w:r>
            <w:r w:rsidRPr="00530906">
              <w:rPr>
                <w:rFonts w:ascii="Cambria" w:eastAsiaTheme="minorEastAsia" w:hAnsi="Cambria" w:cs="Times New Roman"/>
                <w:sz w:val="24"/>
                <w:szCs w:val="24"/>
              </w:rPr>
              <w:t xml:space="preserve"> case, the message generate more positive attitude with it incorporating close social groups and close physical surroundings.</w:t>
            </w:r>
          </w:p>
        </w:tc>
      </w:tr>
      <w:tr w:rsidR="005A254B" w:rsidRPr="00530906" w14:paraId="49096E1B" w14:textId="77777777" w:rsidTr="00EC5C4C">
        <w:tc>
          <w:tcPr>
            <w:tcW w:w="2252" w:type="dxa"/>
          </w:tcPr>
          <w:p w14:paraId="0F4112B5" w14:textId="77777777" w:rsidR="005A254B" w:rsidRPr="00530906" w:rsidRDefault="005A254B">
            <w:pPr>
              <w:spacing w:after="200" w:line="360" w:lineRule="auto"/>
              <w:jc w:val="both"/>
              <w:rPr>
                <w:rFonts w:ascii="Cambria" w:eastAsiaTheme="minorEastAsia" w:hAnsi="Cambria" w:cs="Times New Roman"/>
                <w:sz w:val="24"/>
                <w:szCs w:val="24"/>
              </w:rPr>
            </w:pPr>
            <w:bookmarkStart w:id="114" w:name="_Hlk53917955"/>
            <w:r w:rsidRPr="00530906">
              <w:rPr>
                <w:rFonts w:ascii="Cambria" w:eastAsiaTheme="minorEastAsia" w:hAnsi="Cambria" w:cs="Adobe Devanagari"/>
                <w:sz w:val="24"/>
                <w:szCs w:val="24"/>
              </w:rPr>
              <w:t>(Herédia–Colaço and do Vale 2018)</w:t>
            </w:r>
            <w:bookmarkEnd w:id="114"/>
          </w:p>
        </w:tc>
        <w:tc>
          <w:tcPr>
            <w:tcW w:w="2544" w:type="dxa"/>
          </w:tcPr>
          <w:p w14:paraId="4E7761BA"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310" w:type="dxa"/>
          </w:tcPr>
          <w:p w14:paraId="54ECEA5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 fit between product type and ethical claims type influences the consumers evaluation of the product. Additionally, people are more likely to choose non Sustainable–product if the main purpose is to enjoy the product</w:t>
            </w:r>
          </w:p>
        </w:tc>
        <w:tc>
          <w:tcPr>
            <w:tcW w:w="2002" w:type="dxa"/>
          </w:tcPr>
          <w:p w14:paraId="1FE720A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1</w:t>
            </w:r>
            <w:r w:rsidRPr="00530906">
              <w:rPr>
                <w:rFonts w:ascii="Cambria" w:eastAsiaTheme="minorEastAsia" w:hAnsi="Cambria" w:cs="Times New Roman"/>
                <w:sz w:val="24"/>
                <w:szCs w:val="24"/>
                <w:vertAlign w:val="superscript"/>
              </w:rPr>
              <w:t>st</w:t>
            </w:r>
            <w:r w:rsidRPr="00530906">
              <w:rPr>
                <w:rFonts w:ascii="Cambria" w:eastAsiaTheme="minorEastAsia" w:hAnsi="Cambria" w:cs="Times New Roman"/>
                <w:sz w:val="24"/>
                <w:szCs w:val="24"/>
              </w:rPr>
              <w:t xml:space="preserve"> study– Sample: 100 </w:t>
            </w:r>
          </w:p>
          <w:p w14:paraId="00DBF1E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University </w:t>
            </w:r>
          </w:p>
          <w:p w14:paraId="10DCA30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Method: experiment </w:t>
            </w:r>
          </w:p>
          <w:p w14:paraId="7B66470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t–test, MANOVA, model 8 in Heyes (2013) for mediation</w:t>
            </w:r>
          </w:p>
          <w:p w14:paraId="1DBF27C7"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2</w:t>
            </w:r>
            <w:r w:rsidRPr="00530906">
              <w:rPr>
                <w:rFonts w:ascii="Cambria" w:eastAsiaTheme="minorEastAsia" w:hAnsi="Cambria" w:cs="Times New Roman"/>
                <w:sz w:val="24"/>
                <w:szCs w:val="24"/>
                <w:vertAlign w:val="superscript"/>
              </w:rPr>
              <w:t>nd</w:t>
            </w:r>
            <w:r w:rsidRPr="00530906">
              <w:rPr>
                <w:rFonts w:ascii="Cambria" w:eastAsiaTheme="minorEastAsia" w:hAnsi="Cambria" w:cs="Times New Roman"/>
                <w:sz w:val="24"/>
                <w:szCs w:val="24"/>
              </w:rPr>
              <w:t xml:space="preserve"> study– 143</w:t>
            </w:r>
          </w:p>
          <w:p w14:paraId="4965CBE4"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Mturk</w:t>
            </w:r>
          </w:p>
          <w:p w14:paraId="614BD86C" w14:textId="77777777" w:rsidR="005A254B" w:rsidRPr="00530906" w:rsidRDefault="005A254B" w:rsidP="008756B1">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w:t>
            </w:r>
          </w:p>
          <w:p w14:paraId="35BA84F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t–test, MANOVA</w:t>
            </w:r>
          </w:p>
        </w:tc>
        <w:tc>
          <w:tcPr>
            <w:tcW w:w="3840" w:type="dxa"/>
          </w:tcPr>
          <w:p w14:paraId="4F8C00D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Strong ethical claim impairs the evaluation of sophisticated products and enhances the evaluation of simple products. and consumers prefer non Sustainable–products for hedonic gratification.</w:t>
            </w:r>
          </w:p>
        </w:tc>
      </w:tr>
      <w:tr w:rsidR="005A254B" w:rsidRPr="00530906" w14:paraId="54121365" w14:textId="77777777" w:rsidTr="005A254B">
        <w:tc>
          <w:tcPr>
            <w:tcW w:w="13948" w:type="dxa"/>
            <w:gridSpan w:val="5"/>
            <w:shd w:val="clear" w:color="auto" w:fill="C5E0B3" w:themeFill="accent6" w:themeFillTint="66"/>
          </w:tcPr>
          <w:p w14:paraId="09D1E38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b/>
                <w:sz w:val="24"/>
                <w:szCs w:val="24"/>
              </w:rPr>
              <w:t>Proposing strategy</w:t>
            </w:r>
          </w:p>
        </w:tc>
      </w:tr>
      <w:tr w:rsidR="005A254B" w:rsidRPr="00530906" w14:paraId="1D5D58F4" w14:textId="77777777" w:rsidTr="00EC5C4C">
        <w:tc>
          <w:tcPr>
            <w:tcW w:w="2252" w:type="dxa"/>
          </w:tcPr>
          <w:p w14:paraId="547EFEBA" w14:textId="77777777" w:rsidR="005A254B" w:rsidRPr="00530906" w:rsidRDefault="005A254B">
            <w:pPr>
              <w:spacing w:after="200" w:line="360" w:lineRule="auto"/>
              <w:jc w:val="both"/>
              <w:rPr>
                <w:rFonts w:ascii="Cambria" w:eastAsiaTheme="minorEastAsia" w:hAnsi="Cambria" w:cs="Times New Roman"/>
                <w:sz w:val="24"/>
                <w:szCs w:val="24"/>
              </w:rPr>
            </w:pPr>
            <w:bookmarkStart w:id="115" w:name="_Hlk29211073"/>
            <w:r w:rsidRPr="00530906">
              <w:rPr>
                <w:rFonts w:ascii="Cambria" w:eastAsiaTheme="minorEastAsia" w:hAnsi="Cambria" w:cs="Times New Roman"/>
                <w:sz w:val="24"/>
                <w:szCs w:val="24"/>
              </w:rPr>
              <w:t>Buenstorf, and Cordes (2008)</w:t>
            </w:r>
            <w:bookmarkEnd w:id="115"/>
          </w:p>
        </w:tc>
        <w:tc>
          <w:tcPr>
            <w:tcW w:w="2544" w:type="dxa"/>
          </w:tcPr>
          <w:p w14:paraId="26FF1B2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Learning theory of consumption</w:t>
            </w:r>
          </w:p>
        </w:tc>
        <w:tc>
          <w:tcPr>
            <w:tcW w:w="3310" w:type="dxa"/>
          </w:tcPr>
          <w:p w14:paraId="23C0C0F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Proposed that, even the population is accustomed to consume environmentally harmful products; Sustainable–consumption can be promoted through social learning. The knowledge transmission should take into account 3 cognitive forces– hedonistic, role model, and conformity bias.</w:t>
            </w:r>
          </w:p>
        </w:tc>
        <w:tc>
          <w:tcPr>
            <w:tcW w:w="2002" w:type="dxa"/>
          </w:tcPr>
          <w:p w14:paraId="34B7A6D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Not applicable </w:t>
            </w:r>
          </w:p>
        </w:tc>
        <w:tc>
          <w:tcPr>
            <w:tcW w:w="3840" w:type="dxa"/>
          </w:tcPr>
          <w:p w14:paraId="04892BA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Proposition</w:t>
            </w:r>
          </w:p>
        </w:tc>
      </w:tr>
      <w:tr w:rsidR="005A254B" w:rsidRPr="00530906" w14:paraId="15886FB4" w14:textId="77777777" w:rsidTr="00EC5C4C">
        <w:tc>
          <w:tcPr>
            <w:tcW w:w="2252" w:type="dxa"/>
          </w:tcPr>
          <w:p w14:paraId="212A389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White et al (2011)</w:t>
            </w:r>
          </w:p>
        </w:tc>
        <w:tc>
          <w:tcPr>
            <w:tcW w:w="2544" w:type="dxa"/>
          </w:tcPr>
          <w:p w14:paraId="6BCA02A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Construal level theory</w:t>
            </w:r>
          </w:p>
        </w:tc>
        <w:tc>
          <w:tcPr>
            <w:tcW w:w="3310" w:type="dxa"/>
          </w:tcPr>
          <w:p w14:paraId="3FD4759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Concrete (immediate future) or abstract (long term future) oriented mind set moderates the impact of sustainability message focusing on loss or gain</w:t>
            </w:r>
          </w:p>
        </w:tc>
        <w:tc>
          <w:tcPr>
            <w:tcW w:w="2002" w:type="dxa"/>
          </w:tcPr>
          <w:p w14:paraId="54AF1EC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390, 119 &amp; 107</w:t>
            </w:r>
          </w:p>
          <w:p w14:paraId="5D3DAA9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North American Metropolitan, university</w:t>
            </w:r>
          </w:p>
          <w:p w14:paraId="21C62FF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survey–based experiment, between–subject–experiment.</w:t>
            </w:r>
          </w:p>
          <w:p w14:paraId="4B2AA05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ANCOVA, ANOVA</w:t>
            </w:r>
          </w:p>
          <w:p w14:paraId="3D554D38" w14:textId="77777777" w:rsidR="005A254B" w:rsidRPr="00530906" w:rsidRDefault="005A254B">
            <w:pPr>
              <w:spacing w:after="200" w:line="360" w:lineRule="auto"/>
              <w:jc w:val="both"/>
              <w:rPr>
                <w:rFonts w:ascii="Cambria" w:eastAsiaTheme="minorEastAsia" w:hAnsi="Cambria" w:cs="Times New Roman"/>
                <w:sz w:val="24"/>
                <w:szCs w:val="24"/>
              </w:rPr>
            </w:pPr>
          </w:p>
          <w:p w14:paraId="0C80389C" w14:textId="77777777" w:rsidR="005A254B" w:rsidRPr="00530906" w:rsidRDefault="005A254B">
            <w:pPr>
              <w:spacing w:after="200" w:line="360" w:lineRule="auto"/>
              <w:jc w:val="both"/>
              <w:rPr>
                <w:rFonts w:ascii="Cambria" w:eastAsiaTheme="minorEastAsia" w:hAnsi="Cambria" w:cs="Times New Roman"/>
                <w:sz w:val="24"/>
                <w:szCs w:val="24"/>
              </w:rPr>
            </w:pPr>
          </w:p>
        </w:tc>
        <w:tc>
          <w:tcPr>
            <w:tcW w:w="3840" w:type="dxa"/>
          </w:tcPr>
          <w:p w14:paraId="2E08754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Message focused on loss (negative consequence) is most effective with low/concrete construal level (how should we recycle). On the other hand, message focused on gain (positive consequence) is most effective with high/abstract construal level (Why should we recycle).</w:t>
            </w:r>
          </w:p>
        </w:tc>
      </w:tr>
      <w:tr w:rsidR="005A254B" w:rsidRPr="00530906" w14:paraId="4BC8232C" w14:textId="77777777" w:rsidTr="00EC5C4C">
        <w:tc>
          <w:tcPr>
            <w:tcW w:w="2252" w:type="dxa"/>
          </w:tcPr>
          <w:p w14:paraId="2E31FB5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Rettie et al (2012)</w:t>
            </w:r>
          </w:p>
        </w:tc>
        <w:tc>
          <w:tcPr>
            <w:tcW w:w="2544" w:type="dxa"/>
          </w:tcPr>
          <w:p w14:paraId="4E854114"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theories of social normalisation, conformity, and social practice theory; UK</w:t>
            </w:r>
          </w:p>
        </w:tc>
        <w:tc>
          <w:tcPr>
            <w:tcW w:w="3310" w:type="dxa"/>
          </w:tcPr>
          <w:p w14:paraId="691E86B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Despite of having knowledge of green behaviour, consumers do not adopt it due to socially shared notion. Green products should position themselves as normal so that mass consumer adopt their product. </w:t>
            </w:r>
          </w:p>
        </w:tc>
        <w:tc>
          <w:tcPr>
            <w:tcW w:w="2002" w:type="dxa"/>
          </w:tcPr>
          <w:p w14:paraId="5323DEC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1000</w:t>
            </w:r>
          </w:p>
          <w:p w14:paraId="22260AC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professional market research agency</w:t>
            </w:r>
          </w:p>
          <w:p w14:paraId="28792F2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as a part of a telephone omnibus survey</w:t>
            </w:r>
          </w:p>
          <w:p w14:paraId="4C125BA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w:t>
            </w:r>
          </w:p>
        </w:tc>
        <w:tc>
          <w:tcPr>
            <w:tcW w:w="3840" w:type="dxa"/>
          </w:tcPr>
          <w:p w14:paraId="7753253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Rather than the understanding of what is deemed to be green behaviour, consumers’ green behaviour is dictated by socially shared connotations. </w:t>
            </w:r>
          </w:p>
        </w:tc>
      </w:tr>
      <w:tr w:rsidR="005A254B" w:rsidRPr="00530906" w14:paraId="69E9F023" w14:textId="77777777" w:rsidTr="00EC5C4C">
        <w:tc>
          <w:tcPr>
            <w:tcW w:w="2252" w:type="dxa"/>
          </w:tcPr>
          <w:p w14:paraId="57FA27A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Axsen et al (2013)</w:t>
            </w:r>
          </w:p>
        </w:tc>
        <w:tc>
          <w:tcPr>
            <w:tcW w:w="2544" w:type="dxa"/>
          </w:tcPr>
          <w:p w14:paraId="32CEFA6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reflexive layers of influence conceptual framework</w:t>
            </w:r>
          </w:p>
        </w:tc>
        <w:tc>
          <w:tcPr>
            <w:tcW w:w="3310" w:type="dxa"/>
          </w:tcPr>
          <w:p w14:paraId="4968C34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Perceptions and preferences of Pro–environmental technology is influenced by social interaction</w:t>
            </w:r>
          </w:p>
        </w:tc>
        <w:tc>
          <w:tcPr>
            <w:tcW w:w="2002" w:type="dxa"/>
          </w:tcPr>
          <w:p w14:paraId="5318DC7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21</w:t>
            </w:r>
          </w:p>
          <w:p w14:paraId="7BCF120D"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technology–based workplace in the U.K.</w:t>
            </w:r>
          </w:p>
          <w:p w14:paraId="51F485D7"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Semi structured interview</w:t>
            </w:r>
          </w:p>
          <w:p w14:paraId="2CBF7288"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w:t>
            </w:r>
            <w:r w:rsidRPr="00530906">
              <w:rPr>
                <w:rFonts w:ascii="Cambria" w:eastAsiaTheme="minorEastAsia" w:hAnsi="Cambria"/>
                <w:sz w:val="24"/>
                <w:szCs w:val="24"/>
              </w:rPr>
              <w:t xml:space="preserve"> Qualitative </w:t>
            </w:r>
          </w:p>
        </w:tc>
        <w:tc>
          <w:tcPr>
            <w:tcW w:w="3840" w:type="dxa"/>
          </w:tcPr>
          <w:p w14:paraId="479994B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Perception of the meaning of Sustainable–product, lifestyle and identity of the consumers change depending on the social negotiation</w:t>
            </w:r>
          </w:p>
        </w:tc>
      </w:tr>
      <w:tr w:rsidR="005A254B" w:rsidRPr="00530906" w14:paraId="61970851" w14:textId="77777777" w:rsidTr="00EC5C4C">
        <w:tc>
          <w:tcPr>
            <w:tcW w:w="2252" w:type="dxa"/>
          </w:tcPr>
          <w:p w14:paraId="4EAE648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Yang et al (2015)</w:t>
            </w:r>
          </w:p>
        </w:tc>
        <w:tc>
          <w:tcPr>
            <w:tcW w:w="2544" w:type="dxa"/>
          </w:tcPr>
          <w:p w14:paraId="13527106" w14:textId="77777777" w:rsidR="005A254B" w:rsidRPr="00530906" w:rsidRDefault="005A254B">
            <w:pPr>
              <w:spacing w:after="200" w:line="360" w:lineRule="auto"/>
              <w:jc w:val="both"/>
              <w:rPr>
                <w:rFonts w:ascii="Cambria" w:eastAsiaTheme="minorEastAsia" w:hAnsi="Cambria" w:cs="Times New Roman"/>
                <w:sz w:val="24"/>
                <w:szCs w:val="24"/>
              </w:rPr>
            </w:pPr>
            <w:bookmarkStart w:id="116" w:name="_Hlk29382148"/>
            <w:r w:rsidRPr="00530906">
              <w:rPr>
                <w:rFonts w:ascii="Cambria" w:eastAsiaTheme="minorEastAsia" w:hAnsi="Cambria" w:cs="Times New Roman"/>
                <w:sz w:val="24"/>
                <w:szCs w:val="24"/>
              </w:rPr>
              <w:t>construal level theory</w:t>
            </w:r>
            <w:bookmarkEnd w:id="116"/>
          </w:p>
        </w:tc>
        <w:tc>
          <w:tcPr>
            <w:tcW w:w="3310" w:type="dxa"/>
          </w:tcPr>
          <w:p w14:paraId="5CC6A39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Abstracts appeal is more potent to evoke green purchase intention than concrete appeal where it is beneficial to others. Public self–awareness and identity salience moderate this relationship </w:t>
            </w:r>
          </w:p>
        </w:tc>
        <w:tc>
          <w:tcPr>
            <w:tcW w:w="2002" w:type="dxa"/>
          </w:tcPr>
          <w:p w14:paraId="4B7E7201"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89, 156, 165 Undergraduate students</w:t>
            </w:r>
          </w:p>
          <w:p w14:paraId="4CE87943"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Frame: business course of a university </w:t>
            </w:r>
          </w:p>
          <w:p w14:paraId="0D80E49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3 experiments</w:t>
            </w:r>
          </w:p>
          <w:p w14:paraId="24CD77BA"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Analysis: ANOVA for all three experiments</w:t>
            </w:r>
          </w:p>
        </w:tc>
        <w:tc>
          <w:tcPr>
            <w:tcW w:w="3840" w:type="dxa"/>
          </w:tcPr>
          <w:p w14:paraId="7976E75E"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Abstract appeal is more effective than concreate appeal predicting sustainable purchase intention when green product is associated with the benefits of others. </w:t>
            </w:r>
          </w:p>
        </w:tc>
      </w:tr>
      <w:tr w:rsidR="005A254B" w:rsidRPr="00530906" w14:paraId="17083625" w14:textId="77777777" w:rsidTr="00EC5C4C">
        <w:tc>
          <w:tcPr>
            <w:tcW w:w="2252" w:type="dxa"/>
          </w:tcPr>
          <w:p w14:paraId="7A26FF56"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Han et al (2017)</w:t>
            </w:r>
          </w:p>
        </w:tc>
        <w:tc>
          <w:tcPr>
            <w:tcW w:w="2544" w:type="dxa"/>
          </w:tcPr>
          <w:p w14:paraId="451E865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Balance theory; South Korea</w:t>
            </w:r>
          </w:p>
        </w:tc>
        <w:tc>
          <w:tcPr>
            <w:tcW w:w="3310" w:type="dxa"/>
          </w:tcPr>
          <w:p w14:paraId="3F15B55E"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Since psychological imbalance causes attitude–behaviour gap, information about sustainable fashion should be available in the media, which will go beyond mere advertisement.</w:t>
            </w:r>
          </w:p>
        </w:tc>
        <w:tc>
          <w:tcPr>
            <w:tcW w:w="2002" w:type="dxa"/>
          </w:tcPr>
          <w:p w14:paraId="3EDB9C3C"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24</w:t>
            </w:r>
          </w:p>
          <w:p w14:paraId="0A056F6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w:t>
            </w:r>
          </w:p>
          <w:p w14:paraId="0D8FB8C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focus group interview, direct observations and post–behaviour interviews of staged shopping trips</w:t>
            </w:r>
          </w:p>
        </w:tc>
        <w:tc>
          <w:tcPr>
            <w:tcW w:w="3840" w:type="dxa"/>
          </w:tcPr>
          <w:p w14:paraId="5DB19060"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Consumers were motivated to adopt sustainable fashion products consumption (SFPC), because their imbalance were mitigated by memorable</w:t>
            </w:r>
          </w:p>
          <w:p w14:paraId="7FFC8F09"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Consumer centred experiences</w:t>
            </w:r>
          </w:p>
        </w:tc>
      </w:tr>
      <w:tr w:rsidR="005A254B" w:rsidRPr="00530906" w14:paraId="188FB41D" w14:textId="77777777" w:rsidTr="00EC5C4C">
        <w:tc>
          <w:tcPr>
            <w:tcW w:w="2252" w:type="dxa"/>
          </w:tcPr>
          <w:p w14:paraId="3111F63F"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Han et al (2019)</w:t>
            </w:r>
          </w:p>
        </w:tc>
        <w:tc>
          <w:tcPr>
            <w:tcW w:w="2544" w:type="dxa"/>
          </w:tcPr>
          <w:p w14:paraId="19208955"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Construal level theory and Paivio's dual–coding theory</w:t>
            </w:r>
          </w:p>
        </w:tc>
        <w:tc>
          <w:tcPr>
            <w:tcW w:w="3310" w:type="dxa"/>
          </w:tcPr>
          <w:p w14:paraId="10414F6F" w14:textId="77777777" w:rsidR="005A254B" w:rsidRPr="00530906" w:rsidRDefault="005A254B">
            <w:pPr>
              <w:spacing w:after="200" w:line="360" w:lineRule="auto"/>
              <w:ind w:left="-114"/>
              <w:jc w:val="both"/>
              <w:rPr>
                <w:rFonts w:ascii="Cambria" w:eastAsiaTheme="minorEastAsia" w:hAnsi="Cambria" w:cs="Times New Roman"/>
                <w:sz w:val="24"/>
                <w:szCs w:val="24"/>
              </w:rPr>
            </w:pPr>
            <w:r w:rsidRPr="00530906">
              <w:rPr>
                <w:rFonts w:ascii="Cambria" w:eastAsiaTheme="minorEastAsia" w:hAnsi="Cambria" w:cs="Times New Roman"/>
                <w:sz w:val="24"/>
                <w:szCs w:val="24"/>
              </w:rPr>
              <w:t>Feasibility appeal Sustainability–ad has greater affect than desirability appeal on attitude and behavioural intention. Moreover, human like personification of the ad/ product (Anthropomorphism) will moderate the relationships</w:t>
            </w:r>
          </w:p>
        </w:tc>
        <w:tc>
          <w:tcPr>
            <w:tcW w:w="2002" w:type="dxa"/>
          </w:tcPr>
          <w:p w14:paraId="349108BA"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Sample: 142, 122</w:t>
            </w:r>
          </w:p>
          <w:p w14:paraId="3B089246"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Frame: University students</w:t>
            </w:r>
          </w:p>
          <w:p w14:paraId="52E064F0"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Method: Experiment</w:t>
            </w:r>
          </w:p>
          <w:p w14:paraId="058D3F68" w14:textId="77777777" w:rsidR="005A254B" w:rsidRPr="00530906" w:rsidRDefault="005A254B">
            <w:pPr>
              <w:tabs>
                <w:tab w:val="left" w:pos="1589"/>
              </w:tabs>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 xml:space="preserve">Analysis: series of t–test, </w:t>
            </w:r>
          </w:p>
          <w:p w14:paraId="16C621B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ANOVA</w:t>
            </w:r>
          </w:p>
        </w:tc>
        <w:tc>
          <w:tcPr>
            <w:tcW w:w="3840" w:type="dxa"/>
          </w:tcPr>
          <w:p w14:paraId="4A0763E2" w14:textId="77777777" w:rsidR="005A254B" w:rsidRPr="00530906" w:rsidRDefault="005A254B">
            <w:pPr>
              <w:spacing w:after="200" w:line="360" w:lineRule="auto"/>
              <w:jc w:val="both"/>
              <w:rPr>
                <w:rFonts w:ascii="Cambria" w:eastAsiaTheme="minorEastAsia" w:hAnsi="Cambria" w:cs="Times New Roman"/>
                <w:sz w:val="24"/>
                <w:szCs w:val="24"/>
              </w:rPr>
            </w:pPr>
            <w:r w:rsidRPr="00530906">
              <w:rPr>
                <w:rFonts w:ascii="Cambria" w:eastAsiaTheme="minorEastAsia" w:hAnsi="Cambria" w:cs="Times New Roman"/>
                <w:sz w:val="24"/>
                <w:szCs w:val="24"/>
              </w:rPr>
              <w:t>Feasibility appeal (how to do) is more effective to promote Sustainable–products than desirability appeal (why to do). However, anthropomorphic imagery in the ad makes the desirability appeal more effective than feasibility</w:t>
            </w:r>
          </w:p>
        </w:tc>
      </w:tr>
    </w:tbl>
    <w:p w14:paraId="5BFD7C4C" w14:textId="77777777" w:rsidR="005A254B" w:rsidRPr="00530906" w:rsidRDefault="005A254B">
      <w:pPr>
        <w:spacing w:line="360" w:lineRule="auto"/>
        <w:jc w:val="both"/>
        <w:rPr>
          <w:rFonts w:ascii="Cambria" w:eastAsia="Calibri" w:hAnsi="Cambria" w:cs="Times New Roman"/>
          <w:sz w:val="24"/>
          <w:szCs w:val="24"/>
        </w:rPr>
        <w:sectPr w:rsidR="005A254B" w:rsidRPr="00530906" w:rsidSect="00C7217E">
          <w:pgSz w:w="16838" w:h="11906" w:orient="landscape"/>
          <w:pgMar w:top="1440" w:right="1440" w:bottom="1440" w:left="1440" w:header="709" w:footer="709" w:gutter="0"/>
          <w:cols w:space="708"/>
          <w:docGrid w:linePitch="360"/>
        </w:sectPr>
      </w:pPr>
    </w:p>
    <w:p w14:paraId="32A44A36" w14:textId="6B309FCD" w:rsidR="00E13976" w:rsidRPr="00530906" w:rsidRDefault="0064799D" w:rsidP="008756B1">
      <w:pPr>
        <w:pStyle w:val="Heading2"/>
        <w:jc w:val="both"/>
        <w:rPr>
          <w:rFonts w:eastAsiaTheme="minorEastAsia"/>
        </w:rPr>
      </w:pPr>
      <w:r w:rsidRPr="00530906">
        <w:rPr>
          <w:rFonts w:eastAsiaTheme="minorEastAsia"/>
        </w:rPr>
        <w:t xml:space="preserve"> </w:t>
      </w:r>
      <w:bookmarkStart w:id="117" w:name="_Toc115726280"/>
      <w:r w:rsidR="00E13976" w:rsidRPr="00530906">
        <w:rPr>
          <w:rFonts w:eastAsiaTheme="minorEastAsia"/>
        </w:rPr>
        <w:t xml:space="preserve">Appendix </w:t>
      </w:r>
      <w:r w:rsidR="00145256" w:rsidRPr="00530906">
        <w:rPr>
          <w:rFonts w:eastAsiaTheme="minorEastAsia"/>
        </w:rPr>
        <w:t>2</w:t>
      </w:r>
      <w:r w:rsidR="00E13976" w:rsidRPr="00530906">
        <w:rPr>
          <w:rFonts w:eastAsiaTheme="minorEastAsia"/>
        </w:rPr>
        <w:t xml:space="preserve">.1: </w:t>
      </w:r>
      <w:r w:rsidR="003427AE" w:rsidRPr="00530906">
        <w:rPr>
          <w:rFonts w:eastAsiaTheme="minorEastAsia"/>
        </w:rPr>
        <w:t>classification of A</w:t>
      </w:r>
      <w:r w:rsidR="00E13976" w:rsidRPr="00530906">
        <w:rPr>
          <w:rFonts w:eastAsiaTheme="minorEastAsia"/>
        </w:rPr>
        <w:t>ntecedent of Sustainable behaviour</w:t>
      </w:r>
      <w:bookmarkEnd w:id="117"/>
      <w:r w:rsidR="003427AE" w:rsidRPr="00530906">
        <w:rPr>
          <w:rFonts w:eastAsiaTheme="minorEastAsia"/>
        </w:rPr>
        <w:t xml:space="preserve"> </w:t>
      </w:r>
    </w:p>
    <w:tbl>
      <w:tblPr>
        <w:tblStyle w:val="TableGrid1"/>
        <w:tblW w:w="14879" w:type="dxa"/>
        <w:tblLayout w:type="fixed"/>
        <w:tblCellMar>
          <w:left w:w="0" w:type="dxa"/>
          <w:right w:w="0" w:type="dxa"/>
        </w:tblCellMar>
        <w:tblLook w:val="04A0" w:firstRow="1" w:lastRow="0" w:firstColumn="1" w:lastColumn="0" w:noHBand="0" w:noVBand="1"/>
      </w:tblPr>
      <w:tblGrid>
        <w:gridCol w:w="1271"/>
        <w:gridCol w:w="1010"/>
        <w:gridCol w:w="850"/>
        <w:gridCol w:w="992"/>
        <w:gridCol w:w="709"/>
        <w:gridCol w:w="891"/>
        <w:gridCol w:w="810"/>
        <w:gridCol w:w="8"/>
        <w:gridCol w:w="984"/>
        <w:gridCol w:w="8"/>
        <w:gridCol w:w="985"/>
        <w:gridCol w:w="992"/>
        <w:gridCol w:w="992"/>
        <w:gridCol w:w="8"/>
        <w:gridCol w:w="918"/>
        <w:gridCol w:w="8"/>
        <w:gridCol w:w="892"/>
        <w:gridCol w:w="850"/>
        <w:gridCol w:w="851"/>
        <w:gridCol w:w="850"/>
      </w:tblGrid>
      <w:tr w:rsidR="00E13976" w:rsidRPr="00530906" w14:paraId="62046726" w14:textId="77777777" w:rsidTr="008756B1">
        <w:trPr>
          <w:trHeight w:val="480"/>
        </w:trPr>
        <w:tc>
          <w:tcPr>
            <w:tcW w:w="1271" w:type="dxa"/>
            <w:hideMark/>
          </w:tcPr>
          <w:p w14:paraId="63BFB808" w14:textId="77777777" w:rsidR="00E13976" w:rsidRPr="00530906" w:rsidRDefault="00E13976" w:rsidP="008756B1">
            <w:pPr>
              <w:spacing w:line="240" w:lineRule="auto"/>
              <w:jc w:val="both"/>
              <w:rPr>
                <w:rFonts w:ascii="Calibri" w:hAnsi="Calibri" w:cs="Calibri"/>
                <w:color w:val="000000"/>
                <w:sz w:val="14"/>
                <w:szCs w:val="14"/>
              </w:rPr>
            </w:pPr>
            <w:r w:rsidRPr="00530906">
              <w:rPr>
                <w:rFonts w:ascii="Calibri" w:hAnsi="Calibri" w:cs="Calibri"/>
                <w:color w:val="000000"/>
                <w:sz w:val="14"/>
                <w:szCs w:val="14"/>
              </w:rPr>
              <w:t> </w:t>
            </w:r>
          </w:p>
        </w:tc>
        <w:tc>
          <w:tcPr>
            <w:tcW w:w="5270" w:type="dxa"/>
            <w:gridSpan w:val="7"/>
            <w:hideMark/>
          </w:tcPr>
          <w:p w14:paraId="4D03F08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consumers' characteristics</w:t>
            </w:r>
          </w:p>
        </w:tc>
        <w:tc>
          <w:tcPr>
            <w:tcW w:w="992" w:type="dxa"/>
            <w:gridSpan w:val="2"/>
            <w:hideMark/>
          </w:tcPr>
          <w:p w14:paraId="2B2E90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sense of community</w:t>
            </w:r>
          </w:p>
        </w:tc>
        <w:tc>
          <w:tcPr>
            <w:tcW w:w="2977" w:type="dxa"/>
            <w:gridSpan w:val="4"/>
            <w:hideMark/>
          </w:tcPr>
          <w:p w14:paraId="34741A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 mindset</w:t>
            </w:r>
          </w:p>
        </w:tc>
        <w:tc>
          <w:tcPr>
            <w:tcW w:w="926" w:type="dxa"/>
            <w:gridSpan w:val="2"/>
            <w:hideMark/>
          </w:tcPr>
          <w:p w14:paraId="65301B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emotional reaction</w:t>
            </w:r>
          </w:p>
        </w:tc>
        <w:tc>
          <w:tcPr>
            <w:tcW w:w="2593" w:type="dxa"/>
            <w:gridSpan w:val="3"/>
            <w:hideMark/>
          </w:tcPr>
          <w:p w14:paraId="018EFC9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personal relevancy/ involvement</w:t>
            </w:r>
          </w:p>
        </w:tc>
        <w:tc>
          <w:tcPr>
            <w:tcW w:w="850" w:type="dxa"/>
            <w:hideMark/>
          </w:tcPr>
          <w:p w14:paraId="657C06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A26A4FF" w14:textId="77777777" w:rsidTr="008756B1">
        <w:trPr>
          <w:trHeight w:val="2055"/>
        </w:trPr>
        <w:tc>
          <w:tcPr>
            <w:tcW w:w="1271" w:type="dxa"/>
            <w:hideMark/>
          </w:tcPr>
          <w:p w14:paraId="5DF5FA77" w14:textId="77777777" w:rsidR="00E13976" w:rsidRPr="00530906" w:rsidRDefault="00E13976" w:rsidP="008756B1">
            <w:pPr>
              <w:jc w:val="both"/>
              <w:rPr>
                <w:rFonts w:ascii="Calibri" w:hAnsi="Calibri" w:cs="Calibri"/>
                <w:b/>
                <w:bCs/>
                <w:color w:val="FF0000"/>
                <w:sz w:val="14"/>
                <w:szCs w:val="14"/>
              </w:rPr>
            </w:pPr>
            <w:r w:rsidRPr="00530906">
              <w:rPr>
                <w:rFonts w:ascii="Calibri" w:hAnsi="Calibri" w:cs="Calibri"/>
                <w:b/>
                <w:bCs/>
                <w:color w:val="FF0000"/>
                <w:sz w:val="14"/>
                <w:szCs w:val="14"/>
              </w:rPr>
              <w:t>Consumer personal factors</w:t>
            </w:r>
          </w:p>
        </w:tc>
        <w:tc>
          <w:tcPr>
            <w:tcW w:w="1010" w:type="dxa"/>
            <w:textDirection w:val="btLr"/>
            <w:hideMark/>
          </w:tcPr>
          <w:p w14:paraId="409683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socio demographic variable</w:t>
            </w:r>
          </w:p>
        </w:tc>
        <w:tc>
          <w:tcPr>
            <w:tcW w:w="850" w:type="dxa"/>
            <w:textDirection w:val="btLr"/>
            <w:hideMark/>
          </w:tcPr>
          <w:p w14:paraId="692D1D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Contextual factor</w:t>
            </w:r>
          </w:p>
        </w:tc>
        <w:tc>
          <w:tcPr>
            <w:tcW w:w="992" w:type="dxa"/>
            <w:textDirection w:val="btLr"/>
            <w:hideMark/>
          </w:tcPr>
          <w:p w14:paraId="02DEEF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personal capabilities</w:t>
            </w:r>
          </w:p>
        </w:tc>
        <w:tc>
          <w:tcPr>
            <w:tcW w:w="709" w:type="dxa"/>
            <w:textDirection w:val="btLr"/>
            <w:hideMark/>
          </w:tcPr>
          <w:p w14:paraId="3D89F63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personal characteristics</w:t>
            </w:r>
          </w:p>
        </w:tc>
        <w:tc>
          <w:tcPr>
            <w:tcW w:w="891" w:type="dxa"/>
            <w:textDirection w:val="btLr"/>
            <w:hideMark/>
          </w:tcPr>
          <w:p w14:paraId="70B7CBF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previous behaviour</w:t>
            </w:r>
          </w:p>
        </w:tc>
        <w:tc>
          <w:tcPr>
            <w:tcW w:w="810" w:type="dxa"/>
            <w:textDirection w:val="btLr"/>
            <w:hideMark/>
          </w:tcPr>
          <w:p w14:paraId="56198D3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knowledge</w:t>
            </w:r>
          </w:p>
        </w:tc>
        <w:tc>
          <w:tcPr>
            <w:tcW w:w="992" w:type="dxa"/>
            <w:gridSpan w:val="2"/>
            <w:textDirection w:val="btLr"/>
            <w:hideMark/>
          </w:tcPr>
          <w:p w14:paraId="2D4C3F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norm</w:t>
            </w:r>
          </w:p>
        </w:tc>
        <w:tc>
          <w:tcPr>
            <w:tcW w:w="993" w:type="dxa"/>
            <w:gridSpan w:val="2"/>
            <w:textDirection w:val="btLr"/>
            <w:hideMark/>
          </w:tcPr>
          <w:p w14:paraId="6128BE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w:t>
            </w:r>
          </w:p>
        </w:tc>
        <w:tc>
          <w:tcPr>
            <w:tcW w:w="992" w:type="dxa"/>
            <w:textDirection w:val="btLr"/>
            <w:hideMark/>
          </w:tcPr>
          <w:p w14:paraId="73150FA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behavioural control/ brands' performance</w:t>
            </w:r>
          </w:p>
        </w:tc>
        <w:tc>
          <w:tcPr>
            <w:tcW w:w="992" w:type="dxa"/>
            <w:textDirection w:val="btLr"/>
            <w:hideMark/>
          </w:tcPr>
          <w:p w14:paraId="0A05655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Belief/ perception</w:t>
            </w:r>
          </w:p>
        </w:tc>
        <w:tc>
          <w:tcPr>
            <w:tcW w:w="926" w:type="dxa"/>
            <w:gridSpan w:val="2"/>
            <w:textDirection w:val="btLr"/>
            <w:hideMark/>
          </w:tcPr>
          <w:p w14:paraId="0C0C6F0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Emotion</w:t>
            </w:r>
          </w:p>
        </w:tc>
        <w:tc>
          <w:tcPr>
            <w:tcW w:w="900" w:type="dxa"/>
            <w:gridSpan w:val="2"/>
            <w:textDirection w:val="btLr"/>
            <w:hideMark/>
          </w:tcPr>
          <w:p w14:paraId="540C258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Product information/ attribute/ brand</w:t>
            </w:r>
          </w:p>
        </w:tc>
        <w:tc>
          <w:tcPr>
            <w:tcW w:w="850" w:type="dxa"/>
            <w:textDirection w:val="btLr"/>
            <w:hideMark/>
          </w:tcPr>
          <w:p w14:paraId="7108788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involvement</w:t>
            </w:r>
          </w:p>
        </w:tc>
        <w:tc>
          <w:tcPr>
            <w:tcW w:w="851" w:type="dxa"/>
            <w:textDirection w:val="btLr"/>
            <w:hideMark/>
          </w:tcPr>
          <w:p w14:paraId="6D0557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value</w:t>
            </w:r>
          </w:p>
        </w:tc>
        <w:tc>
          <w:tcPr>
            <w:tcW w:w="850" w:type="dxa"/>
            <w:textDirection w:val="btLr"/>
            <w:hideMark/>
          </w:tcPr>
          <w:p w14:paraId="0105E4C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Intention</w:t>
            </w:r>
          </w:p>
        </w:tc>
      </w:tr>
      <w:tr w:rsidR="00E13976" w:rsidRPr="00530906" w14:paraId="195CB8A9" w14:textId="77777777" w:rsidTr="008756B1">
        <w:trPr>
          <w:trHeight w:val="720"/>
        </w:trPr>
        <w:tc>
          <w:tcPr>
            <w:tcW w:w="1271" w:type="dxa"/>
            <w:hideMark/>
          </w:tcPr>
          <w:p w14:paraId="1794AA66"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Black et al (1985)</w:t>
            </w:r>
          </w:p>
        </w:tc>
        <w:tc>
          <w:tcPr>
            <w:tcW w:w="1010" w:type="dxa"/>
            <w:hideMark/>
          </w:tcPr>
          <w:p w14:paraId="3D59CF3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demographic, economic, and structural</w:t>
            </w:r>
          </w:p>
        </w:tc>
        <w:tc>
          <w:tcPr>
            <w:tcW w:w="850" w:type="dxa"/>
            <w:hideMark/>
          </w:tcPr>
          <w:p w14:paraId="39703C3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1C3CB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F5A117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D5D2F03" w14:textId="77777777" w:rsidR="00E13976" w:rsidRPr="00530906" w:rsidRDefault="00E13976" w:rsidP="008756B1">
            <w:pPr>
              <w:ind w:left="-209" w:firstLine="209"/>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AE181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282645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F501C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F518F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6EE3A0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C356E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8D04DF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A4C27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6A5244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86D04C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9C29905" w14:textId="77777777" w:rsidTr="008756B1">
        <w:trPr>
          <w:trHeight w:val="1600"/>
        </w:trPr>
        <w:tc>
          <w:tcPr>
            <w:tcW w:w="1271" w:type="dxa"/>
            <w:hideMark/>
          </w:tcPr>
          <w:p w14:paraId="1524DCA0"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Stern (2000)</w:t>
            </w:r>
          </w:p>
        </w:tc>
        <w:tc>
          <w:tcPr>
            <w:tcW w:w="1010" w:type="dxa"/>
            <w:hideMark/>
          </w:tcPr>
          <w:p w14:paraId="4230A69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F72C4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Material costs and rewards Laws and regulations Available technology, Supportive policies Advertising</w:t>
            </w:r>
          </w:p>
        </w:tc>
        <w:tc>
          <w:tcPr>
            <w:tcW w:w="992" w:type="dxa"/>
            <w:hideMark/>
          </w:tcPr>
          <w:p w14:paraId="50DF67D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Literacy</w:t>
            </w:r>
            <w:r w:rsidRPr="00530906">
              <w:rPr>
                <w:rFonts w:ascii="Calibri" w:hAnsi="Calibri" w:cs="Calibri"/>
                <w:color w:val="000000"/>
                <w:sz w:val="14"/>
                <w:szCs w:val="14"/>
              </w:rPr>
              <w:br/>
              <w:t>Social status Financial resources Behaviour-specific knowledge and skills</w:t>
            </w:r>
          </w:p>
        </w:tc>
        <w:tc>
          <w:tcPr>
            <w:tcW w:w="709" w:type="dxa"/>
            <w:hideMark/>
          </w:tcPr>
          <w:p w14:paraId="25A0BE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2C0364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2EE77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167030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Behaviour-specific norms and beliefs, Social norms and expectations</w:t>
            </w:r>
          </w:p>
        </w:tc>
        <w:tc>
          <w:tcPr>
            <w:tcW w:w="993" w:type="dxa"/>
            <w:gridSpan w:val="2"/>
            <w:hideMark/>
          </w:tcPr>
          <w:p w14:paraId="77EB28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General environmentalist predisposition, Nonenvironmental attitudes</w:t>
            </w:r>
          </w:p>
        </w:tc>
        <w:tc>
          <w:tcPr>
            <w:tcW w:w="992" w:type="dxa"/>
            <w:hideMark/>
          </w:tcPr>
          <w:p w14:paraId="138699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DB3F3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B829F1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D1D088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DDBC85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3A1105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costs and benefits of action</w:t>
            </w:r>
          </w:p>
        </w:tc>
        <w:tc>
          <w:tcPr>
            <w:tcW w:w="850" w:type="dxa"/>
            <w:hideMark/>
          </w:tcPr>
          <w:p w14:paraId="34FC9A9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DC71FDB" w14:textId="77777777" w:rsidTr="008756B1">
        <w:trPr>
          <w:trHeight w:val="450"/>
        </w:trPr>
        <w:tc>
          <w:tcPr>
            <w:tcW w:w="1271" w:type="dxa"/>
            <w:hideMark/>
          </w:tcPr>
          <w:p w14:paraId="197547AF"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Heath and Gifford (2002)</w:t>
            </w:r>
          </w:p>
        </w:tc>
        <w:tc>
          <w:tcPr>
            <w:tcW w:w="1010" w:type="dxa"/>
            <w:hideMark/>
          </w:tcPr>
          <w:p w14:paraId="434BC982"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D7E5E4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3F3089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D9DFB1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50B6D1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087CA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466758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moral norm, social norm</w:t>
            </w:r>
          </w:p>
        </w:tc>
        <w:tc>
          <w:tcPr>
            <w:tcW w:w="993" w:type="dxa"/>
            <w:gridSpan w:val="2"/>
            <w:hideMark/>
          </w:tcPr>
          <w:p w14:paraId="29B6AC8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w:t>
            </w:r>
          </w:p>
        </w:tc>
        <w:tc>
          <w:tcPr>
            <w:tcW w:w="992" w:type="dxa"/>
            <w:hideMark/>
          </w:tcPr>
          <w:p w14:paraId="6006A3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perceived behavioural control </w:t>
            </w:r>
          </w:p>
        </w:tc>
        <w:tc>
          <w:tcPr>
            <w:tcW w:w="992" w:type="dxa"/>
            <w:hideMark/>
          </w:tcPr>
          <w:p w14:paraId="79BB05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16DA219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947D7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41B945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115BE1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Concerns und Values</w:t>
            </w:r>
          </w:p>
        </w:tc>
        <w:tc>
          <w:tcPr>
            <w:tcW w:w="850" w:type="dxa"/>
            <w:hideMark/>
          </w:tcPr>
          <w:p w14:paraId="0A2B64C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64D8FEFA" w14:textId="77777777" w:rsidTr="008756B1">
        <w:trPr>
          <w:trHeight w:val="1107"/>
        </w:trPr>
        <w:tc>
          <w:tcPr>
            <w:tcW w:w="1271" w:type="dxa"/>
            <w:hideMark/>
          </w:tcPr>
          <w:p w14:paraId="1B1DF96A"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Kilbourne et al (2002)</w:t>
            </w:r>
          </w:p>
        </w:tc>
        <w:tc>
          <w:tcPr>
            <w:tcW w:w="1010" w:type="dxa"/>
            <w:hideMark/>
          </w:tcPr>
          <w:p w14:paraId="67F61D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7DED6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Political dimension, technological dimension, economic dimension</w:t>
            </w:r>
          </w:p>
        </w:tc>
        <w:tc>
          <w:tcPr>
            <w:tcW w:w="992" w:type="dxa"/>
            <w:hideMark/>
          </w:tcPr>
          <w:p w14:paraId="6AE6A1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CCAA5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530FC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36046A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F8355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C70171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Ecological problem, concern, ecological condition</w:t>
            </w:r>
          </w:p>
        </w:tc>
        <w:tc>
          <w:tcPr>
            <w:tcW w:w="992" w:type="dxa"/>
            <w:hideMark/>
          </w:tcPr>
          <w:p w14:paraId="733218C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3EC90D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057D2AC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DDFB1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9B3AE5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D34A01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6EE73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F2C7FD8" w14:textId="77777777" w:rsidTr="008756B1">
        <w:trPr>
          <w:trHeight w:val="1109"/>
        </w:trPr>
        <w:tc>
          <w:tcPr>
            <w:tcW w:w="1271" w:type="dxa"/>
            <w:hideMark/>
          </w:tcPr>
          <w:p w14:paraId="73BAA711"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Kilbourne (2004)</w:t>
            </w:r>
          </w:p>
        </w:tc>
        <w:tc>
          <w:tcPr>
            <w:tcW w:w="1010" w:type="dxa"/>
            <w:hideMark/>
          </w:tcPr>
          <w:p w14:paraId="5AA826B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FE332B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Political dimension, technological dimension, economic dimension</w:t>
            </w:r>
          </w:p>
        </w:tc>
        <w:tc>
          <w:tcPr>
            <w:tcW w:w="992" w:type="dxa"/>
            <w:hideMark/>
          </w:tcPr>
          <w:p w14:paraId="4A1CB1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9C5F5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A6318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6A347F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10BE15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FD072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AC8D63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5CF8B4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161FB1B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58F24B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25843C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F2DF4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1171FD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D5E1E4A" w14:textId="77777777" w:rsidTr="008756B1">
        <w:trPr>
          <w:trHeight w:val="480"/>
        </w:trPr>
        <w:tc>
          <w:tcPr>
            <w:tcW w:w="1271" w:type="dxa"/>
            <w:hideMark/>
          </w:tcPr>
          <w:p w14:paraId="69318963"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Steenhaut and Kenhove (2006)</w:t>
            </w:r>
          </w:p>
        </w:tc>
        <w:tc>
          <w:tcPr>
            <w:tcW w:w="1010" w:type="dxa"/>
            <w:hideMark/>
          </w:tcPr>
          <w:p w14:paraId="2C7087F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41DB3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2783CA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9BAA7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8BCCB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DCCB1A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0C848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E8317F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idealism, relativism</w:t>
            </w:r>
          </w:p>
        </w:tc>
        <w:tc>
          <w:tcPr>
            <w:tcW w:w="992" w:type="dxa"/>
            <w:hideMark/>
          </w:tcPr>
          <w:p w14:paraId="763C192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A9CE7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05B6BE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aticipational guilt</w:t>
            </w:r>
          </w:p>
        </w:tc>
        <w:tc>
          <w:tcPr>
            <w:tcW w:w="900" w:type="dxa"/>
            <w:gridSpan w:val="2"/>
            <w:hideMark/>
          </w:tcPr>
          <w:p w14:paraId="7E47361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CF2DA9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BB96CC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3902EB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B90A2C9" w14:textId="77777777" w:rsidTr="008756B1">
        <w:trPr>
          <w:trHeight w:val="720"/>
        </w:trPr>
        <w:tc>
          <w:tcPr>
            <w:tcW w:w="1271" w:type="dxa"/>
            <w:hideMark/>
          </w:tcPr>
          <w:p w14:paraId="1EBCF30C"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Hirsh and Dolderman (2007)</w:t>
            </w:r>
          </w:p>
        </w:tc>
        <w:tc>
          <w:tcPr>
            <w:tcW w:w="1010" w:type="dxa"/>
            <w:hideMark/>
          </w:tcPr>
          <w:p w14:paraId="51C4D8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7A1F3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B0DCBB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B4E5C6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personality trait of Agreeableness</w:t>
            </w:r>
          </w:p>
        </w:tc>
        <w:tc>
          <w:tcPr>
            <w:tcW w:w="891" w:type="dxa"/>
            <w:hideMark/>
          </w:tcPr>
          <w:p w14:paraId="583C3C6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9E70D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FF7CA7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01E83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attitudes</w:t>
            </w:r>
          </w:p>
        </w:tc>
        <w:tc>
          <w:tcPr>
            <w:tcW w:w="992" w:type="dxa"/>
            <w:hideMark/>
          </w:tcPr>
          <w:p w14:paraId="5DAE853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B3AB6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67452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78264F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0691E6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BC0C6E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consumer goals</w:t>
            </w:r>
          </w:p>
        </w:tc>
        <w:tc>
          <w:tcPr>
            <w:tcW w:w="850" w:type="dxa"/>
            <w:hideMark/>
          </w:tcPr>
          <w:p w14:paraId="0D9BC2E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0473AA4" w14:textId="77777777" w:rsidTr="008756B1">
        <w:trPr>
          <w:trHeight w:val="745"/>
        </w:trPr>
        <w:tc>
          <w:tcPr>
            <w:tcW w:w="1271" w:type="dxa"/>
            <w:hideMark/>
          </w:tcPr>
          <w:p w14:paraId="66C1B975"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Chan et al (2008)</w:t>
            </w:r>
          </w:p>
        </w:tc>
        <w:tc>
          <w:tcPr>
            <w:tcW w:w="1010" w:type="dxa"/>
            <w:hideMark/>
          </w:tcPr>
          <w:p w14:paraId="30F49F7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3954E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1F805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2EAC63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3C321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habit</w:t>
            </w:r>
          </w:p>
        </w:tc>
        <w:tc>
          <w:tcPr>
            <w:tcW w:w="810" w:type="dxa"/>
            <w:hideMark/>
          </w:tcPr>
          <w:p w14:paraId="0FE5026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F98D8D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5C2AF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8DD532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DCD044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Deontological evaluation, Teleological evaluation</w:t>
            </w:r>
          </w:p>
        </w:tc>
        <w:tc>
          <w:tcPr>
            <w:tcW w:w="926" w:type="dxa"/>
            <w:gridSpan w:val="2"/>
            <w:hideMark/>
          </w:tcPr>
          <w:p w14:paraId="3D29AED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32678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5F3527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2B05F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importance of an ethical issue</w:t>
            </w:r>
          </w:p>
        </w:tc>
        <w:tc>
          <w:tcPr>
            <w:tcW w:w="850" w:type="dxa"/>
            <w:hideMark/>
          </w:tcPr>
          <w:p w14:paraId="133D43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5F43060" w14:textId="77777777" w:rsidTr="008756B1">
        <w:trPr>
          <w:trHeight w:val="621"/>
        </w:trPr>
        <w:tc>
          <w:tcPr>
            <w:tcW w:w="1271" w:type="dxa"/>
            <w:hideMark/>
          </w:tcPr>
          <w:p w14:paraId="37A173E1"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Vermeir, and Verbeke (2008)</w:t>
            </w:r>
          </w:p>
        </w:tc>
        <w:tc>
          <w:tcPr>
            <w:tcW w:w="1010" w:type="dxa"/>
            <w:hideMark/>
          </w:tcPr>
          <w:p w14:paraId="47E751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02CE3BA" w14:textId="4932BF3C"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perceived </w:t>
            </w:r>
            <w:r w:rsidR="005C337A" w:rsidRPr="00530906">
              <w:rPr>
                <w:rFonts w:ascii="Calibri" w:hAnsi="Calibri" w:cs="Calibri"/>
                <w:color w:val="000000"/>
                <w:sz w:val="14"/>
                <w:szCs w:val="14"/>
              </w:rPr>
              <w:t>availability</w:t>
            </w:r>
          </w:p>
        </w:tc>
        <w:tc>
          <w:tcPr>
            <w:tcW w:w="992" w:type="dxa"/>
            <w:hideMark/>
          </w:tcPr>
          <w:p w14:paraId="252911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38FD33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Confidence</w:t>
            </w:r>
          </w:p>
        </w:tc>
        <w:tc>
          <w:tcPr>
            <w:tcW w:w="891" w:type="dxa"/>
            <w:hideMark/>
          </w:tcPr>
          <w:p w14:paraId="2FA73F7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E3AD1E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7193A00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social norms</w:t>
            </w:r>
          </w:p>
        </w:tc>
        <w:tc>
          <w:tcPr>
            <w:tcW w:w="993" w:type="dxa"/>
            <w:gridSpan w:val="2"/>
            <w:hideMark/>
          </w:tcPr>
          <w:p w14:paraId="476EF1D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Attitude </w:t>
            </w:r>
          </w:p>
        </w:tc>
        <w:tc>
          <w:tcPr>
            <w:tcW w:w="992" w:type="dxa"/>
            <w:hideMark/>
          </w:tcPr>
          <w:p w14:paraId="064112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consumer effectiveness</w:t>
            </w:r>
          </w:p>
        </w:tc>
        <w:tc>
          <w:tcPr>
            <w:tcW w:w="992" w:type="dxa"/>
            <w:hideMark/>
          </w:tcPr>
          <w:p w14:paraId="097A73A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9B37D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5EFBFC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99E10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FF4E0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Human value</w:t>
            </w:r>
          </w:p>
        </w:tc>
        <w:tc>
          <w:tcPr>
            <w:tcW w:w="850" w:type="dxa"/>
            <w:hideMark/>
          </w:tcPr>
          <w:p w14:paraId="00519C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2432966" w14:textId="77777777" w:rsidTr="008756B1">
        <w:trPr>
          <w:trHeight w:val="559"/>
        </w:trPr>
        <w:tc>
          <w:tcPr>
            <w:tcW w:w="1271" w:type="dxa"/>
            <w:hideMark/>
          </w:tcPr>
          <w:p w14:paraId="13F0AE11"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Jackson and Papathanasopoulou (2008)</w:t>
            </w:r>
          </w:p>
        </w:tc>
        <w:tc>
          <w:tcPr>
            <w:tcW w:w="1010" w:type="dxa"/>
            <w:hideMark/>
          </w:tcPr>
          <w:p w14:paraId="135286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FF39C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FD1A1D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83A3C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D36799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household consumption</w:t>
            </w:r>
          </w:p>
        </w:tc>
        <w:tc>
          <w:tcPr>
            <w:tcW w:w="810" w:type="dxa"/>
            <w:hideMark/>
          </w:tcPr>
          <w:p w14:paraId="2DE346E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32517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10D84F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EB375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5B5DB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CB2375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C027B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659BD3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BBDD48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C902E0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4DF23A5" w14:textId="77777777" w:rsidTr="008756B1">
        <w:trPr>
          <w:trHeight w:val="480"/>
        </w:trPr>
        <w:tc>
          <w:tcPr>
            <w:tcW w:w="1271" w:type="dxa"/>
            <w:hideMark/>
          </w:tcPr>
          <w:p w14:paraId="77D122CF"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 xml:space="preserve">Carrington et al (2010) </w:t>
            </w:r>
          </w:p>
        </w:tc>
        <w:tc>
          <w:tcPr>
            <w:tcW w:w="1010" w:type="dxa"/>
            <w:hideMark/>
          </w:tcPr>
          <w:p w14:paraId="2D31549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887D6C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situational context</w:t>
            </w:r>
          </w:p>
        </w:tc>
        <w:tc>
          <w:tcPr>
            <w:tcW w:w="992" w:type="dxa"/>
            <w:hideMark/>
          </w:tcPr>
          <w:p w14:paraId="6E47CF5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3EADD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438CD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241001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2AC9F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37D95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3D4ED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actual behavioural control</w:t>
            </w:r>
          </w:p>
        </w:tc>
        <w:tc>
          <w:tcPr>
            <w:tcW w:w="992" w:type="dxa"/>
            <w:hideMark/>
          </w:tcPr>
          <w:p w14:paraId="5AAC36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1BA8ACD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0FB1A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C33B5E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6D5405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E1348D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intention, implementation intention</w:t>
            </w:r>
          </w:p>
        </w:tc>
      </w:tr>
      <w:tr w:rsidR="00E13976" w:rsidRPr="00530906" w14:paraId="45067D47" w14:textId="77777777" w:rsidTr="008756B1">
        <w:trPr>
          <w:trHeight w:val="644"/>
        </w:trPr>
        <w:tc>
          <w:tcPr>
            <w:tcW w:w="1271" w:type="dxa"/>
            <w:hideMark/>
          </w:tcPr>
          <w:p w14:paraId="0F67573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Lusch et al (2010)</w:t>
            </w:r>
          </w:p>
        </w:tc>
        <w:tc>
          <w:tcPr>
            <w:tcW w:w="1010" w:type="dxa"/>
            <w:hideMark/>
          </w:tcPr>
          <w:p w14:paraId="0A89D6D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50495C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BF1F3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C0A7B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92672B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30B4F4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3ED92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C2ADE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3B4069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C6EC8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association of sustainability with product attribute</w:t>
            </w:r>
          </w:p>
        </w:tc>
        <w:tc>
          <w:tcPr>
            <w:tcW w:w="926" w:type="dxa"/>
            <w:gridSpan w:val="2"/>
            <w:hideMark/>
          </w:tcPr>
          <w:p w14:paraId="5119F51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BDBD83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sustainability related attributes</w:t>
            </w:r>
          </w:p>
        </w:tc>
        <w:tc>
          <w:tcPr>
            <w:tcW w:w="850" w:type="dxa"/>
            <w:hideMark/>
          </w:tcPr>
          <w:p w14:paraId="6C0332B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1BD63E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9ADA10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A1CA4D3" w14:textId="77777777" w:rsidTr="008756B1">
        <w:trPr>
          <w:trHeight w:val="329"/>
        </w:trPr>
        <w:tc>
          <w:tcPr>
            <w:tcW w:w="1271" w:type="dxa"/>
            <w:hideMark/>
          </w:tcPr>
          <w:p w14:paraId="2500E56F"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Lee et al (2010)</w:t>
            </w:r>
          </w:p>
        </w:tc>
        <w:tc>
          <w:tcPr>
            <w:tcW w:w="1010" w:type="dxa"/>
            <w:hideMark/>
          </w:tcPr>
          <w:p w14:paraId="2E6EA89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6469DD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E21498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E0E51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64842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D2B2B9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C3447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3CB8238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F385A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FE8192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61AF9C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affective image</w:t>
            </w:r>
          </w:p>
        </w:tc>
        <w:tc>
          <w:tcPr>
            <w:tcW w:w="900" w:type="dxa"/>
            <w:gridSpan w:val="2"/>
            <w:hideMark/>
          </w:tcPr>
          <w:p w14:paraId="03EC97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quality attribute</w:t>
            </w:r>
          </w:p>
        </w:tc>
        <w:tc>
          <w:tcPr>
            <w:tcW w:w="850" w:type="dxa"/>
            <w:hideMark/>
          </w:tcPr>
          <w:p w14:paraId="268DB3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25384CC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value</w:t>
            </w:r>
          </w:p>
        </w:tc>
        <w:tc>
          <w:tcPr>
            <w:tcW w:w="850" w:type="dxa"/>
            <w:hideMark/>
          </w:tcPr>
          <w:p w14:paraId="7BE5CD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68E8D265" w14:textId="77777777" w:rsidTr="008756B1">
        <w:trPr>
          <w:trHeight w:val="960"/>
        </w:trPr>
        <w:tc>
          <w:tcPr>
            <w:tcW w:w="1271" w:type="dxa"/>
            <w:hideMark/>
          </w:tcPr>
          <w:p w14:paraId="77EC0FC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Bondy and Talwar (2011)</w:t>
            </w:r>
          </w:p>
        </w:tc>
        <w:tc>
          <w:tcPr>
            <w:tcW w:w="1010" w:type="dxa"/>
            <w:hideMark/>
          </w:tcPr>
          <w:p w14:paraId="362689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country, age, income, education, gender</w:t>
            </w:r>
          </w:p>
        </w:tc>
        <w:tc>
          <w:tcPr>
            <w:tcW w:w="850" w:type="dxa"/>
            <w:hideMark/>
          </w:tcPr>
          <w:p w14:paraId="7F7F95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economics down turn</w:t>
            </w:r>
          </w:p>
        </w:tc>
        <w:tc>
          <w:tcPr>
            <w:tcW w:w="992" w:type="dxa"/>
            <w:hideMark/>
          </w:tcPr>
          <w:p w14:paraId="5C8972B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0030B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FE5ED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2DC29D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733EF49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1399DD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A6842D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CD97C8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E8C72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D0649A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price</w:t>
            </w:r>
          </w:p>
        </w:tc>
        <w:tc>
          <w:tcPr>
            <w:tcW w:w="850" w:type="dxa"/>
            <w:hideMark/>
          </w:tcPr>
          <w:p w14:paraId="654347F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12C4A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ethics, concern for fair trade, perceived value</w:t>
            </w:r>
          </w:p>
        </w:tc>
        <w:tc>
          <w:tcPr>
            <w:tcW w:w="850" w:type="dxa"/>
            <w:hideMark/>
          </w:tcPr>
          <w:p w14:paraId="7B3CDCA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FAAE91B" w14:textId="77777777" w:rsidTr="008756B1">
        <w:trPr>
          <w:trHeight w:val="674"/>
        </w:trPr>
        <w:tc>
          <w:tcPr>
            <w:tcW w:w="1271" w:type="dxa"/>
            <w:hideMark/>
          </w:tcPr>
          <w:p w14:paraId="46DC58AA" w14:textId="77777777" w:rsidR="00E13976" w:rsidRPr="00530906" w:rsidRDefault="00E13976">
            <w:pPr>
              <w:jc w:val="both"/>
              <w:rPr>
                <w:rFonts w:ascii="Calibri" w:hAnsi="Calibri" w:cs="Calibri"/>
                <w:color w:val="000000"/>
                <w:sz w:val="14"/>
                <w:szCs w:val="14"/>
              </w:rPr>
            </w:pPr>
            <w:bookmarkStart w:id="118" w:name="RANGE!A18"/>
            <w:r w:rsidRPr="00530906">
              <w:rPr>
                <w:rFonts w:ascii="Calibri" w:hAnsi="Calibri" w:cs="Calibri"/>
                <w:color w:val="000000"/>
                <w:sz w:val="14"/>
                <w:szCs w:val="14"/>
              </w:rPr>
              <w:t>Koller et al (2011)</w:t>
            </w:r>
            <w:bookmarkEnd w:id="118"/>
          </w:p>
        </w:tc>
        <w:tc>
          <w:tcPr>
            <w:tcW w:w="1010" w:type="dxa"/>
            <w:hideMark/>
          </w:tcPr>
          <w:p w14:paraId="0E4241C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w:t>
            </w:r>
          </w:p>
        </w:tc>
        <w:tc>
          <w:tcPr>
            <w:tcW w:w="850" w:type="dxa"/>
            <w:hideMark/>
          </w:tcPr>
          <w:p w14:paraId="1EE26F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FD0AD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396330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43060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6EECF0C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12DDCF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627B6B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general attitude toward environment protection</w:t>
            </w:r>
          </w:p>
        </w:tc>
        <w:tc>
          <w:tcPr>
            <w:tcW w:w="992" w:type="dxa"/>
            <w:hideMark/>
          </w:tcPr>
          <w:p w14:paraId="33D087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1E620E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4890C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8A3B33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newness of car</w:t>
            </w:r>
          </w:p>
        </w:tc>
        <w:tc>
          <w:tcPr>
            <w:tcW w:w="850" w:type="dxa"/>
            <w:hideMark/>
          </w:tcPr>
          <w:p w14:paraId="2B1E512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51BB2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Functional, economic, emotional, social value</w:t>
            </w:r>
          </w:p>
        </w:tc>
        <w:tc>
          <w:tcPr>
            <w:tcW w:w="850" w:type="dxa"/>
            <w:hideMark/>
          </w:tcPr>
          <w:p w14:paraId="52AD5B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40EAF943" w14:textId="77777777" w:rsidTr="008756B1">
        <w:trPr>
          <w:trHeight w:val="720"/>
        </w:trPr>
        <w:tc>
          <w:tcPr>
            <w:tcW w:w="1271" w:type="dxa"/>
            <w:hideMark/>
          </w:tcPr>
          <w:p w14:paraId="3ABDA240"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Urien and Kilbourne (2011)</w:t>
            </w:r>
          </w:p>
        </w:tc>
        <w:tc>
          <w:tcPr>
            <w:tcW w:w="1010" w:type="dxa"/>
            <w:hideMark/>
          </w:tcPr>
          <w:p w14:paraId="18064B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48142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DEB50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7844B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94F8C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BC2E3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E8F8DC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143FC9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E1431A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7C0FF9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21A72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B9C75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C52DC4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1DA44C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Generativity, Self-enhancement value</w:t>
            </w:r>
          </w:p>
        </w:tc>
        <w:tc>
          <w:tcPr>
            <w:tcW w:w="850" w:type="dxa"/>
            <w:hideMark/>
          </w:tcPr>
          <w:p w14:paraId="2D8E233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79C5F19" w14:textId="77777777" w:rsidTr="008756B1">
        <w:trPr>
          <w:trHeight w:val="1408"/>
        </w:trPr>
        <w:tc>
          <w:tcPr>
            <w:tcW w:w="1271" w:type="dxa"/>
            <w:hideMark/>
          </w:tcPr>
          <w:p w14:paraId="116953DD"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Soyez (2011)</w:t>
            </w:r>
          </w:p>
        </w:tc>
        <w:tc>
          <w:tcPr>
            <w:tcW w:w="1010" w:type="dxa"/>
            <w:hideMark/>
          </w:tcPr>
          <w:p w14:paraId="10C2F49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22D29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9A7AB1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05BE40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048BE3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1B6D2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DC39A8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subjective norm</w:t>
            </w:r>
          </w:p>
        </w:tc>
        <w:tc>
          <w:tcPr>
            <w:tcW w:w="993" w:type="dxa"/>
            <w:gridSpan w:val="2"/>
            <w:hideMark/>
          </w:tcPr>
          <w:p w14:paraId="040B589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w:t>
            </w:r>
          </w:p>
        </w:tc>
        <w:tc>
          <w:tcPr>
            <w:tcW w:w="992" w:type="dxa"/>
            <w:hideMark/>
          </w:tcPr>
          <w:p w14:paraId="4252CAA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behavioural control</w:t>
            </w:r>
          </w:p>
        </w:tc>
        <w:tc>
          <w:tcPr>
            <w:tcW w:w="992" w:type="dxa"/>
            <w:hideMark/>
          </w:tcPr>
          <w:p w14:paraId="7D35908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0AF5A0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C12573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6A81B1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A2419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anthropocentric, eccentric, National cultural, pro-environmental value and environmental apathy</w:t>
            </w:r>
          </w:p>
        </w:tc>
        <w:tc>
          <w:tcPr>
            <w:tcW w:w="850" w:type="dxa"/>
            <w:hideMark/>
          </w:tcPr>
          <w:p w14:paraId="060061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D51D981" w14:textId="77777777" w:rsidTr="008756B1">
        <w:trPr>
          <w:trHeight w:val="1440"/>
        </w:trPr>
        <w:tc>
          <w:tcPr>
            <w:tcW w:w="1271" w:type="dxa"/>
            <w:hideMark/>
          </w:tcPr>
          <w:p w14:paraId="24F92FEE"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Tucker et al (2012)</w:t>
            </w:r>
          </w:p>
        </w:tc>
        <w:tc>
          <w:tcPr>
            <w:tcW w:w="1010" w:type="dxa"/>
            <w:hideMark/>
          </w:tcPr>
          <w:p w14:paraId="06B07BE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gender </w:t>
            </w:r>
          </w:p>
        </w:tc>
        <w:tc>
          <w:tcPr>
            <w:tcW w:w="850" w:type="dxa"/>
            <w:hideMark/>
          </w:tcPr>
          <w:p w14:paraId="3B8D25F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0F6CD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730ADE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18BE68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Past general environmental behaviour, Environmental activism behaviour </w:t>
            </w:r>
          </w:p>
        </w:tc>
        <w:tc>
          <w:tcPr>
            <w:tcW w:w="810" w:type="dxa"/>
            <w:hideMark/>
          </w:tcPr>
          <w:p w14:paraId="1F16EB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D56A6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10341FD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brand attitude, environment protection attitude </w:t>
            </w:r>
          </w:p>
        </w:tc>
        <w:tc>
          <w:tcPr>
            <w:tcW w:w="992" w:type="dxa"/>
            <w:hideMark/>
          </w:tcPr>
          <w:p w14:paraId="3AB759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customer effectiveness</w:t>
            </w:r>
          </w:p>
        </w:tc>
        <w:tc>
          <w:tcPr>
            <w:tcW w:w="992" w:type="dxa"/>
            <w:hideMark/>
          </w:tcPr>
          <w:p w14:paraId="26FE97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Ad credibility</w:t>
            </w:r>
          </w:p>
        </w:tc>
        <w:tc>
          <w:tcPr>
            <w:tcW w:w="926" w:type="dxa"/>
            <w:gridSpan w:val="2"/>
            <w:hideMark/>
          </w:tcPr>
          <w:p w14:paraId="0FFE30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58AD65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A4E61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ad involvement</w:t>
            </w:r>
          </w:p>
        </w:tc>
        <w:tc>
          <w:tcPr>
            <w:tcW w:w="851" w:type="dxa"/>
            <w:hideMark/>
          </w:tcPr>
          <w:p w14:paraId="0BF059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E9D8DB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AE34047" w14:textId="77777777" w:rsidTr="008756B1">
        <w:trPr>
          <w:trHeight w:val="187"/>
        </w:trPr>
        <w:tc>
          <w:tcPr>
            <w:tcW w:w="1271" w:type="dxa"/>
            <w:hideMark/>
          </w:tcPr>
          <w:p w14:paraId="6811FCA8"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Thøgersen et al (2012)</w:t>
            </w:r>
          </w:p>
        </w:tc>
        <w:tc>
          <w:tcPr>
            <w:tcW w:w="1010" w:type="dxa"/>
            <w:hideMark/>
          </w:tcPr>
          <w:p w14:paraId="1516AE3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22677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8C27B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7F7ABF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38D017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37D164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10CD88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37F697A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A23EE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F8FFD1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1ED1C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06CDB6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Green attribute</w:t>
            </w:r>
          </w:p>
        </w:tc>
        <w:tc>
          <w:tcPr>
            <w:tcW w:w="850" w:type="dxa"/>
            <w:hideMark/>
          </w:tcPr>
          <w:p w14:paraId="5B2925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48422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C357C0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DD268EF" w14:textId="77777777" w:rsidTr="008756B1">
        <w:trPr>
          <w:trHeight w:val="841"/>
        </w:trPr>
        <w:tc>
          <w:tcPr>
            <w:tcW w:w="1271" w:type="dxa"/>
            <w:hideMark/>
          </w:tcPr>
          <w:p w14:paraId="5B25BED4"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Luchs et al (2012)</w:t>
            </w:r>
          </w:p>
        </w:tc>
        <w:tc>
          <w:tcPr>
            <w:tcW w:w="1010" w:type="dxa"/>
            <w:hideMark/>
          </w:tcPr>
          <w:p w14:paraId="5216BF7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DBBA95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35B830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8BDC3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30FAA7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B0C2F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D8888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9E82B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sustainability importance</w:t>
            </w:r>
          </w:p>
        </w:tc>
        <w:tc>
          <w:tcPr>
            <w:tcW w:w="992" w:type="dxa"/>
            <w:hideMark/>
          </w:tcPr>
          <w:p w14:paraId="4AC900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C3143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confidence</w:t>
            </w:r>
          </w:p>
        </w:tc>
        <w:tc>
          <w:tcPr>
            <w:tcW w:w="926" w:type="dxa"/>
            <w:gridSpan w:val="2"/>
            <w:hideMark/>
          </w:tcPr>
          <w:p w14:paraId="28F247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distress, guilt</w:t>
            </w:r>
          </w:p>
        </w:tc>
        <w:tc>
          <w:tcPr>
            <w:tcW w:w="900" w:type="dxa"/>
            <w:gridSpan w:val="2"/>
            <w:hideMark/>
          </w:tcPr>
          <w:p w14:paraId="719FE95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aesthetic design</w:t>
            </w:r>
          </w:p>
        </w:tc>
        <w:tc>
          <w:tcPr>
            <w:tcW w:w="850" w:type="dxa"/>
            <w:hideMark/>
          </w:tcPr>
          <w:p w14:paraId="1EC6E64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F7DE7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sustainability functional performance trade off, Threshold</w:t>
            </w:r>
          </w:p>
        </w:tc>
        <w:tc>
          <w:tcPr>
            <w:tcW w:w="850" w:type="dxa"/>
            <w:hideMark/>
          </w:tcPr>
          <w:p w14:paraId="2C149C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343B158" w14:textId="77777777" w:rsidTr="008756B1">
        <w:trPr>
          <w:trHeight w:val="628"/>
        </w:trPr>
        <w:tc>
          <w:tcPr>
            <w:tcW w:w="1271" w:type="dxa"/>
            <w:hideMark/>
          </w:tcPr>
          <w:p w14:paraId="7C105776"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Egea and de Frutos (2013)</w:t>
            </w:r>
          </w:p>
        </w:tc>
        <w:tc>
          <w:tcPr>
            <w:tcW w:w="1010" w:type="dxa"/>
            <w:hideMark/>
          </w:tcPr>
          <w:p w14:paraId="19F8446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 age, education, country</w:t>
            </w:r>
          </w:p>
        </w:tc>
        <w:tc>
          <w:tcPr>
            <w:tcW w:w="850" w:type="dxa"/>
            <w:hideMark/>
          </w:tcPr>
          <w:p w14:paraId="6463F0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8FF6F2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A59586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0A2658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11EBA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knowledge</w:t>
            </w:r>
          </w:p>
        </w:tc>
        <w:tc>
          <w:tcPr>
            <w:tcW w:w="992" w:type="dxa"/>
            <w:gridSpan w:val="2"/>
            <w:hideMark/>
          </w:tcPr>
          <w:p w14:paraId="02D81B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379738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attitude</w:t>
            </w:r>
          </w:p>
        </w:tc>
        <w:tc>
          <w:tcPr>
            <w:tcW w:w="992" w:type="dxa"/>
            <w:hideMark/>
          </w:tcPr>
          <w:p w14:paraId="3F6DFE0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9B7782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threat</w:t>
            </w:r>
          </w:p>
        </w:tc>
        <w:tc>
          <w:tcPr>
            <w:tcW w:w="926" w:type="dxa"/>
            <w:gridSpan w:val="2"/>
            <w:hideMark/>
          </w:tcPr>
          <w:p w14:paraId="0E889A8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99CEF5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497466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3A73ECA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C4A8E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altruistic and egoistic ecological motivation</w:t>
            </w:r>
          </w:p>
        </w:tc>
      </w:tr>
      <w:tr w:rsidR="00E13976" w:rsidRPr="00530906" w14:paraId="46B24B46" w14:textId="77777777" w:rsidTr="008756B1">
        <w:trPr>
          <w:trHeight w:val="326"/>
        </w:trPr>
        <w:tc>
          <w:tcPr>
            <w:tcW w:w="1271" w:type="dxa"/>
            <w:hideMark/>
          </w:tcPr>
          <w:p w14:paraId="76F73B9B"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Phipps et al (2013)</w:t>
            </w:r>
          </w:p>
        </w:tc>
        <w:tc>
          <w:tcPr>
            <w:tcW w:w="1010" w:type="dxa"/>
            <w:hideMark/>
          </w:tcPr>
          <w:p w14:paraId="05B6A3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AB762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83DCBE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5C47D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E14C7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past behaviour</w:t>
            </w:r>
          </w:p>
        </w:tc>
        <w:tc>
          <w:tcPr>
            <w:tcW w:w="810" w:type="dxa"/>
            <w:hideMark/>
          </w:tcPr>
          <w:p w14:paraId="4E44F1B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5F986F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10BBA63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9E583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perceived effectiveness </w:t>
            </w:r>
          </w:p>
        </w:tc>
        <w:tc>
          <w:tcPr>
            <w:tcW w:w="992" w:type="dxa"/>
            <w:hideMark/>
          </w:tcPr>
          <w:p w14:paraId="44F92D9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6568D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1847E4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2EC6DD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333F80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631270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46EBA178" w14:textId="77777777" w:rsidTr="008756B1">
        <w:trPr>
          <w:trHeight w:val="516"/>
        </w:trPr>
        <w:tc>
          <w:tcPr>
            <w:tcW w:w="1271" w:type="dxa"/>
            <w:hideMark/>
          </w:tcPr>
          <w:p w14:paraId="40FE8436"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Cho et al (2013)</w:t>
            </w:r>
          </w:p>
        </w:tc>
        <w:tc>
          <w:tcPr>
            <w:tcW w:w="1010" w:type="dxa"/>
            <w:hideMark/>
          </w:tcPr>
          <w:p w14:paraId="7F22E5E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8DACA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C93921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458002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F0BA26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C61298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682BB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06D0FE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attitude</w:t>
            </w:r>
          </w:p>
        </w:tc>
        <w:tc>
          <w:tcPr>
            <w:tcW w:w="992" w:type="dxa"/>
            <w:hideMark/>
          </w:tcPr>
          <w:p w14:paraId="0308FB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consumer effectiveness</w:t>
            </w:r>
          </w:p>
        </w:tc>
        <w:tc>
          <w:tcPr>
            <w:tcW w:w="992" w:type="dxa"/>
            <w:hideMark/>
          </w:tcPr>
          <w:p w14:paraId="0AADAF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cultural orientation</w:t>
            </w:r>
          </w:p>
        </w:tc>
        <w:tc>
          <w:tcPr>
            <w:tcW w:w="926" w:type="dxa"/>
            <w:gridSpan w:val="2"/>
            <w:hideMark/>
          </w:tcPr>
          <w:p w14:paraId="441FF8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99BCB1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8C9EE9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5D3FA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02B44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9B63EE0" w14:textId="77777777" w:rsidTr="008756B1">
        <w:trPr>
          <w:trHeight w:val="666"/>
        </w:trPr>
        <w:tc>
          <w:tcPr>
            <w:tcW w:w="1271" w:type="dxa"/>
            <w:hideMark/>
          </w:tcPr>
          <w:p w14:paraId="589E5D3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Huang et al (2014)</w:t>
            </w:r>
          </w:p>
        </w:tc>
        <w:tc>
          <w:tcPr>
            <w:tcW w:w="1010" w:type="dxa"/>
            <w:hideMark/>
          </w:tcPr>
          <w:p w14:paraId="4E6B2B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 education, age</w:t>
            </w:r>
          </w:p>
        </w:tc>
        <w:tc>
          <w:tcPr>
            <w:tcW w:w="850" w:type="dxa"/>
            <w:hideMark/>
          </w:tcPr>
          <w:p w14:paraId="006BC9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215ACF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499697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C6F77C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B5227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environmental consciousness </w:t>
            </w:r>
          </w:p>
        </w:tc>
        <w:tc>
          <w:tcPr>
            <w:tcW w:w="992" w:type="dxa"/>
            <w:gridSpan w:val="2"/>
            <w:hideMark/>
          </w:tcPr>
          <w:p w14:paraId="19C3BFB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59E763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B2A18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900EE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03D6EFE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7BEC6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cash discount, environmental protective alternatives</w:t>
            </w:r>
          </w:p>
        </w:tc>
        <w:tc>
          <w:tcPr>
            <w:tcW w:w="850" w:type="dxa"/>
            <w:hideMark/>
          </w:tcPr>
          <w:p w14:paraId="1CE4AFB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C3647E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971B19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3AE163D" w14:textId="77777777" w:rsidTr="008756B1">
        <w:trPr>
          <w:trHeight w:val="480"/>
        </w:trPr>
        <w:tc>
          <w:tcPr>
            <w:tcW w:w="1271" w:type="dxa"/>
            <w:hideMark/>
          </w:tcPr>
          <w:p w14:paraId="1F96F57D"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Pagiaslis and Krontalis (2014)</w:t>
            </w:r>
          </w:p>
        </w:tc>
        <w:tc>
          <w:tcPr>
            <w:tcW w:w="1010" w:type="dxa"/>
            <w:hideMark/>
          </w:tcPr>
          <w:p w14:paraId="7D54754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C241F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0E5C56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9D2116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5AF162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957BB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concern, knowledge</w:t>
            </w:r>
          </w:p>
        </w:tc>
        <w:tc>
          <w:tcPr>
            <w:tcW w:w="992" w:type="dxa"/>
            <w:gridSpan w:val="2"/>
            <w:hideMark/>
          </w:tcPr>
          <w:p w14:paraId="35BA5B6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9509E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4E66D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711696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belief</w:t>
            </w:r>
          </w:p>
        </w:tc>
        <w:tc>
          <w:tcPr>
            <w:tcW w:w="926" w:type="dxa"/>
            <w:gridSpan w:val="2"/>
            <w:hideMark/>
          </w:tcPr>
          <w:p w14:paraId="4205CED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3DCE4F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C4805C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211C8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F420B0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C128971" w14:textId="77777777" w:rsidTr="008756B1">
        <w:trPr>
          <w:trHeight w:val="428"/>
        </w:trPr>
        <w:tc>
          <w:tcPr>
            <w:tcW w:w="1271" w:type="dxa"/>
            <w:hideMark/>
          </w:tcPr>
          <w:p w14:paraId="1897DDF5"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Vaino and Paloneimi (2014)</w:t>
            </w:r>
          </w:p>
        </w:tc>
        <w:tc>
          <w:tcPr>
            <w:tcW w:w="1010" w:type="dxa"/>
            <w:hideMark/>
          </w:tcPr>
          <w:p w14:paraId="152AB1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1E98AB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77B864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8DBAF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EF1738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FE9A66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knowledge, concern</w:t>
            </w:r>
          </w:p>
        </w:tc>
        <w:tc>
          <w:tcPr>
            <w:tcW w:w="992" w:type="dxa"/>
            <w:gridSpan w:val="2"/>
            <w:hideMark/>
          </w:tcPr>
          <w:p w14:paraId="31A0DB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302B5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attitude towards science </w:t>
            </w:r>
          </w:p>
        </w:tc>
        <w:tc>
          <w:tcPr>
            <w:tcW w:w="992" w:type="dxa"/>
            <w:hideMark/>
          </w:tcPr>
          <w:p w14:paraId="19F566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66012B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EBBF90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C4DAB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AB586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20E86A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F3EEC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EA805C0" w14:textId="77777777" w:rsidTr="008756B1">
        <w:trPr>
          <w:trHeight w:val="281"/>
        </w:trPr>
        <w:tc>
          <w:tcPr>
            <w:tcW w:w="1271" w:type="dxa"/>
            <w:hideMark/>
          </w:tcPr>
          <w:p w14:paraId="6E2FB11B"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Johnstone and Tan (2015)</w:t>
            </w:r>
          </w:p>
        </w:tc>
        <w:tc>
          <w:tcPr>
            <w:tcW w:w="1010" w:type="dxa"/>
            <w:hideMark/>
          </w:tcPr>
          <w:p w14:paraId="36AA38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B51917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345AA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29C035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639BE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055066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18E2AA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AA1B2D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857F7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1B2048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green perception</w:t>
            </w:r>
          </w:p>
        </w:tc>
        <w:tc>
          <w:tcPr>
            <w:tcW w:w="926" w:type="dxa"/>
            <w:gridSpan w:val="2"/>
            <w:hideMark/>
          </w:tcPr>
          <w:p w14:paraId="4563F1E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643FC5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93566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30AF2F7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BBBCC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E8AE193" w14:textId="77777777" w:rsidTr="008756B1">
        <w:trPr>
          <w:trHeight w:val="480"/>
        </w:trPr>
        <w:tc>
          <w:tcPr>
            <w:tcW w:w="1271" w:type="dxa"/>
            <w:hideMark/>
          </w:tcPr>
          <w:p w14:paraId="0EF18F17"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Brooks and Wilson (2015)</w:t>
            </w:r>
          </w:p>
        </w:tc>
        <w:tc>
          <w:tcPr>
            <w:tcW w:w="1010" w:type="dxa"/>
            <w:hideMark/>
          </w:tcPr>
          <w:p w14:paraId="640B0E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72687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C2FBCD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E6D029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708227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E1EBBA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C126EC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A31ACF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EC4D7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08BE83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status symbol</w:t>
            </w:r>
          </w:p>
        </w:tc>
        <w:tc>
          <w:tcPr>
            <w:tcW w:w="926" w:type="dxa"/>
            <w:gridSpan w:val="2"/>
            <w:hideMark/>
          </w:tcPr>
          <w:p w14:paraId="625898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BDDEB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B94881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C3604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F46E9F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0A6EA21D" w14:textId="77777777" w:rsidTr="008756B1">
        <w:trPr>
          <w:trHeight w:val="1408"/>
        </w:trPr>
        <w:tc>
          <w:tcPr>
            <w:tcW w:w="1271" w:type="dxa"/>
            <w:hideMark/>
          </w:tcPr>
          <w:p w14:paraId="30FCC8BA"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Van Doorn and Verhoef (2015)</w:t>
            </w:r>
          </w:p>
        </w:tc>
        <w:tc>
          <w:tcPr>
            <w:tcW w:w="1010" w:type="dxa"/>
            <w:hideMark/>
          </w:tcPr>
          <w:p w14:paraId="6CAD59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Gender, Age, education, income, household size </w:t>
            </w:r>
          </w:p>
        </w:tc>
        <w:tc>
          <w:tcPr>
            <w:tcW w:w="850" w:type="dxa"/>
            <w:hideMark/>
          </w:tcPr>
          <w:p w14:paraId="513CD94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Supply side factor</w:t>
            </w:r>
          </w:p>
        </w:tc>
        <w:tc>
          <w:tcPr>
            <w:tcW w:w="992" w:type="dxa"/>
            <w:hideMark/>
          </w:tcPr>
          <w:p w14:paraId="266939B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DD7D3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BE0AEE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5A19A1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consciousness</w:t>
            </w:r>
          </w:p>
        </w:tc>
        <w:tc>
          <w:tcPr>
            <w:tcW w:w="992" w:type="dxa"/>
            <w:gridSpan w:val="2"/>
            <w:hideMark/>
          </w:tcPr>
          <w:p w14:paraId="23A178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4A9707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34B966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5D621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2D1C4C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47827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0A134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36309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Biospheric values </w:t>
            </w:r>
          </w:p>
        </w:tc>
        <w:tc>
          <w:tcPr>
            <w:tcW w:w="850" w:type="dxa"/>
            <w:hideMark/>
          </w:tcPr>
          <w:p w14:paraId="095E870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Altruism, Health motivation, Quality, egoistic value orientation, Price consciousness</w:t>
            </w:r>
          </w:p>
        </w:tc>
      </w:tr>
      <w:tr w:rsidR="00E13976" w:rsidRPr="00530906" w14:paraId="6D2D653A" w14:textId="77777777" w:rsidTr="008756B1">
        <w:trPr>
          <w:trHeight w:val="1358"/>
        </w:trPr>
        <w:tc>
          <w:tcPr>
            <w:tcW w:w="1271" w:type="dxa"/>
            <w:hideMark/>
          </w:tcPr>
          <w:p w14:paraId="514DD71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Lin and Hsu (2015)</w:t>
            </w:r>
          </w:p>
        </w:tc>
        <w:tc>
          <w:tcPr>
            <w:tcW w:w="1010" w:type="dxa"/>
            <w:hideMark/>
          </w:tcPr>
          <w:p w14:paraId="3241CC8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14F0BF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climate change influence, public media influence, social sanction</w:t>
            </w:r>
          </w:p>
        </w:tc>
        <w:tc>
          <w:tcPr>
            <w:tcW w:w="992" w:type="dxa"/>
            <w:hideMark/>
          </w:tcPr>
          <w:p w14:paraId="708BB9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B50E1B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self-monitoring, self-esteem, self prefernce</w:t>
            </w:r>
          </w:p>
        </w:tc>
        <w:tc>
          <w:tcPr>
            <w:tcW w:w="891" w:type="dxa"/>
            <w:hideMark/>
          </w:tcPr>
          <w:p w14:paraId="28F017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DBE8FC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29F8CF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DEF528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13E79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Green consumption self-efficacy</w:t>
            </w:r>
          </w:p>
        </w:tc>
        <w:tc>
          <w:tcPr>
            <w:tcW w:w="992" w:type="dxa"/>
            <w:hideMark/>
          </w:tcPr>
          <w:p w14:paraId="64C94A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194924A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60FC88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68C9CD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B68B32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AACAB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Personal outcome expectation, green consumption outcome expectation</w:t>
            </w:r>
          </w:p>
        </w:tc>
      </w:tr>
      <w:tr w:rsidR="00E13976" w:rsidRPr="00530906" w14:paraId="29C347B2" w14:textId="77777777" w:rsidTr="008756B1">
        <w:trPr>
          <w:trHeight w:val="480"/>
        </w:trPr>
        <w:tc>
          <w:tcPr>
            <w:tcW w:w="1271" w:type="dxa"/>
            <w:hideMark/>
          </w:tcPr>
          <w:p w14:paraId="01915F48"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Minton, et al (2015)</w:t>
            </w:r>
          </w:p>
        </w:tc>
        <w:tc>
          <w:tcPr>
            <w:tcW w:w="1010" w:type="dxa"/>
            <w:hideMark/>
          </w:tcPr>
          <w:p w14:paraId="4100EE5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religion, country</w:t>
            </w:r>
          </w:p>
        </w:tc>
        <w:tc>
          <w:tcPr>
            <w:tcW w:w="850" w:type="dxa"/>
            <w:hideMark/>
          </w:tcPr>
          <w:p w14:paraId="5BC4B81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4D6C4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E32298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56F043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F00ACD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7F349D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B6464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562AB4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551490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A6AD4D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F74841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3FC387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3E0F7D2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34143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74D01FE" w14:textId="77777777" w:rsidTr="008756B1">
        <w:trPr>
          <w:trHeight w:val="1200"/>
        </w:trPr>
        <w:tc>
          <w:tcPr>
            <w:tcW w:w="1271" w:type="dxa"/>
            <w:hideMark/>
          </w:tcPr>
          <w:p w14:paraId="43A22E96"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Ertz et al (2016)</w:t>
            </w:r>
          </w:p>
        </w:tc>
        <w:tc>
          <w:tcPr>
            <w:tcW w:w="1010" w:type="dxa"/>
            <w:hideMark/>
          </w:tcPr>
          <w:p w14:paraId="3FE20FC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E8507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06E9CA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E7BB6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B045B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12505D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45EE5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7A390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 towards the importance, duration and cost of environmental behaviour</w:t>
            </w:r>
          </w:p>
        </w:tc>
        <w:tc>
          <w:tcPr>
            <w:tcW w:w="992" w:type="dxa"/>
            <w:hideMark/>
          </w:tcPr>
          <w:p w14:paraId="28F5832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power to enact</w:t>
            </w:r>
          </w:p>
        </w:tc>
        <w:tc>
          <w:tcPr>
            <w:tcW w:w="992" w:type="dxa"/>
            <w:hideMark/>
          </w:tcPr>
          <w:p w14:paraId="6DB426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perception of busyness and wealth</w:t>
            </w:r>
          </w:p>
        </w:tc>
        <w:tc>
          <w:tcPr>
            <w:tcW w:w="926" w:type="dxa"/>
            <w:gridSpan w:val="2"/>
            <w:hideMark/>
          </w:tcPr>
          <w:p w14:paraId="334498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98DC0F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E2FE74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EC8165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D0EAE9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EAF546B" w14:textId="77777777" w:rsidTr="008756B1">
        <w:trPr>
          <w:trHeight w:val="990"/>
        </w:trPr>
        <w:tc>
          <w:tcPr>
            <w:tcW w:w="1271" w:type="dxa"/>
            <w:hideMark/>
          </w:tcPr>
          <w:p w14:paraId="50524204"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Wu et al (2016)</w:t>
            </w:r>
          </w:p>
        </w:tc>
        <w:tc>
          <w:tcPr>
            <w:tcW w:w="1010" w:type="dxa"/>
            <w:hideMark/>
          </w:tcPr>
          <w:p w14:paraId="7EBB7D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 age, average monthly earnings, education occupation</w:t>
            </w:r>
          </w:p>
        </w:tc>
        <w:tc>
          <w:tcPr>
            <w:tcW w:w="850" w:type="dxa"/>
            <w:hideMark/>
          </w:tcPr>
          <w:p w14:paraId="79DDAB1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promoting factors and limiting factors</w:t>
            </w:r>
          </w:p>
        </w:tc>
        <w:tc>
          <w:tcPr>
            <w:tcW w:w="992" w:type="dxa"/>
            <w:hideMark/>
          </w:tcPr>
          <w:p w14:paraId="47F8F97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Skills needed for sustainable consumption </w:t>
            </w:r>
          </w:p>
        </w:tc>
        <w:tc>
          <w:tcPr>
            <w:tcW w:w="709" w:type="dxa"/>
            <w:hideMark/>
          </w:tcPr>
          <w:p w14:paraId="3586B33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B969AF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BC439A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Recognition of resources, knowledge about environmental issues</w:t>
            </w:r>
          </w:p>
        </w:tc>
        <w:tc>
          <w:tcPr>
            <w:tcW w:w="992" w:type="dxa"/>
            <w:gridSpan w:val="2"/>
            <w:hideMark/>
          </w:tcPr>
          <w:p w14:paraId="21E52E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social norm</w:t>
            </w:r>
          </w:p>
        </w:tc>
        <w:tc>
          <w:tcPr>
            <w:tcW w:w="993" w:type="dxa"/>
            <w:gridSpan w:val="2"/>
            <w:hideMark/>
          </w:tcPr>
          <w:p w14:paraId="703905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individual's ad general attitude</w:t>
            </w:r>
          </w:p>
        </w:tc>
        <w:tc>
          <w:tcPr>
            <w:tcW w:w="992" w:type="dxa"/>
            <w:hideMark/>
          </w:tcPr>
          <w:p w14:paraId="569BF89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89BC5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AF06A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439C83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7C2BD7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4EC90F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282602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C19BF3A" w14:textId="77777777" w:rsidTr="008756B1">
        <w:trPr>
          <w:trHeight w:val="720"/>
        </w:trPr>
        <w:tc>
          <w:tcPr>
            <w:tcW w:w="1271" w:type="dxa"/>
            <w:hideMark/>
          </w:tcPr>
          <w:p w14:paraId="474652B4" w14:textId="77777777" w:rsidR="00E13976" w:rsidRPr="00530906" w:rsidRDefault="00E13976">
            <w:pPr>
              <w:jc w:val="both"/>
              <w:rPr>
                <w:rFonts w:ascii="Calibri" w:hAnsi="Calibri" w:cs="Calibri"/>
                <w:color w:val="000000"/>
                <w:sz w:val="14"/>
                <w:szCs w:val="14"/>
              </w:rPr>
            </w:pPr>
            <w:bookmarkStart w:id="119" w:name="RANGE!A37"/>
            <w:r w:rsidRPr="00530906">
              <w:rPr>
                <w:rFonts w:ascii="Calibri" w:hAnsi="Calibri" w:cs="Calibri"/>
                <w:color w:val="000000"/>
                <w:sz w:val="14"/>
                <w:szCs w:val="14"/>
              </w:rPr>
              <w:t>Gonçalves et al (2016)</w:t>
            </w:r>
            <w:bookmarkEnd w:id="119"/>
          </w:p>
        </w:tc>
        <w:tc>
          <w:tcPr>
            <w:tcW w:w="1010" w:type="dxa"/>
            <w:hideMark/>
          </w:tcPr>
          <w:p w14:paraId="6FDFA85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2491E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A35C7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C26839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C929F3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FF271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22E6B2A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76038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1519D4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30BDD5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93690E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D616F9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E01FE7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D8B1D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social, emotional, and conditional</w:t>
            </w:r>
          </w:p>
        </w:tc>
        <w:tc>
          <w:tcPr>
            <w:tcW w:w="850" w:type="dxa"/>
            <w:hideMark/>
          </w:tcPr>
          <w:p w14:paraId="2CE65A0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91AF63B" w14:textId="77777777" w:rsidTr="008756B1">
        <w:trPr>
          <w:trHeight w:val="562"/>
        </w:trPr>
        <w:tc>
          <w:tcPr>
            <w:tcW w:w="1271" w:type="dxa"/>
            <w:hideMark/>
          </w:tcPr>
          <w:p w14:paraId="22C9DC61"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Grimmer et al (2016)</w:t>
            </w:r>
          </w:p>
        </w:tc>
        <w:tc>
          <w:tcPr>
            <w:tcW w:w="1010" w:type="dxa"/>
            <w:hideMark/>
          </w:tcPr>
          <w:p w14:paraId="3518339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C7F93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purchase situation</w:t>
            </w:r>
          </w:p>
        </w:tc>
        <w:tc>
          <w:tcPr>
            <w:tcW w:w="992" w:type="dxa"/>
            <w:hideMark/>
          </w:tcPr>
          <w:p w14:paraId="454699B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0836C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CEEE9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47AC3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4B028E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651E9E0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2A0760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0DC2F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A0E76A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7E9F5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5782E0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E89E88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BAB63A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intention, implementation intention</w:t>
            </w:r>
          </w:p>
        </w:tc>
      </w:tr>
      <w:tr w:rsidR="00E13976" w:rsidRPr="00530906" w14:paraId="34B5B8C7" w14:textId="77777777" w:rsidTr="008756B1">
        <w:trPr>
          <w:trHeight w:val="480"/>
        </w:trPr>
        <w:tc>
          <w:tcPr>
            <w:tcW w:w="1271" w:type="dxa"/>
            <w:hideMark/>
          </w:tcPr>
          <w:p w14:paraId="3A64F2E0"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Brough et al (2016)</w:t>
            </w:r>
          </w:p>
        </w:tc>
        <w:tc>
          <w:tcPr>
            <w:tcW w:w="1010" w:type="dxa"/>
            <w:hideMark/>
          </w:tcPr>
          <w:p w14:paraId="4DC653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w:t>
            </w:r>
          </w:p>
        </w:tc>
        <w:tc>
          <w:tcPr>
            <w:tcW w:w="850" w:type="dxa"/>
            <w:hideMark/>
          </w:tcPr>
          <w:p w14:paraId="4C6F74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ACC7B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19C17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C51734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BBFEB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CBC064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44A3A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EA581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E67A5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936076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8C7BB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17BEA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9CE10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169037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4A3CAFB" w14:textId="77777777" w:rsidTr="008756B1">
        <w:trPr>
          <w:trHeight w:val="720"/>
        </w:trPr>
        <w:tc>
          <w:tcPr>
            <w:tcW w:w="1271" w:type="dxa"/>
            <w:hideMark/>
          </w:tcPr>
          <w:p w14:paraId="3A7E8303"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Chen and Hung (2016)</w:t>
            </w:r>
          </w:p>
        </w:tc>
        <w:tc>
          <w:tcPr>
            <w:tcW w:w="1010" w:type="dxa"/>
            <w:hideMark/>
          </w:tcPr>
          <w:p w14:paraId="2274CB7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5AE6D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FA79B6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C008A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5BBD7F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FE440F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environmental consciousness </w:t>
            </w:r>
          </w:p>
        </w:tc>
        <w:tc>
          <w:tcPr>
            <w:tcW w:w="992" w:type="dxa"/>
            <w:gridSpan w:val="2"/>
            <w:hideMark/>
          </w:tcPr>
          <w:p w14:paraId="429D09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social impression, </w:t>
            </w:r>
          </w:p>
        </w:tc>
        <w:tc>
          <w:tcPr>
            <w:tcW w:w="993" w:type="dxa"/>
            <w:gridSpan w:val="2"/>
            <w:hideMark/>
          </w:tcPr>
          <w:p w14:paraId="1D8A7D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50FF1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behavioural control</w:t>
            </w:r>
          </w:p>
        </w:tc>
        <w:tc>
          <w:tcPr>
            <w:tcW w:w="992" w:type="dxa"/>
            <w:hideMark/>
          </w:tcPr>
          <w:p w14:paraId="2FAFD9B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belief,</w:t>
            </w:r>
          </w:p>
        </w:tc>
        <w:tc>
          <w:tcPr>
            <w:tcW w:w="926" w:type="dxa"/>
            <w:gridSpan w:val="2"/>
            <w:hideMark/>
          </w:tcPr>
          <w:p w14:paraId="084040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23E84AF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190A29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4B9A7C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ethics</w:t>
            </w:r>
          </w:p>
        </w:tc>
        <w:tc>
          <w:tcPr>
            <w:tcW w:w="850" w:type="dxa"/>
            <w:hideMark/>
          </w:tcPr>
          <w:p w14:paraId="2165AC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03D61C6" w14:textId="77777777" w:rsidTr="008756B1">
        <w:trPr>
          <w:trHeight w:val="480"/>
        </w:trPr>
        <w:tc>
          <w:tcPr>
            <w:tcW w:w="1271" w:type="dxa"/>
            <w:hideMark/>
          </w:tcPr>
          <w:p w14:paraId="2AAEDF18"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Liobikienė, et al (2016)</w:t>
            </w:r>
          </w:p>
        </w:tc>
        <w:tc>
          <w:tcPr>
            <w:tcW w:w="1010" w:type="dxa"/>
            <w:hideMark/>
          </w:tcPr>
          <w:p w14:paraId="11B1626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culture</w:t>
            </w:r>
          </w:p>
        </w:tc>
        <w:tc>
          <w:tcPr>
            <w:tcW w:w="850" w:type="dxa"/>
            <w:hideMark/>
          </w:tcPr>
          <w:p w14:paraId="5D17E1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83B89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F090B7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390A72F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60E9E65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8368B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F9906D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CA78F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32A29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3923D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C5E2C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3E9727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DD814E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5A75A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6FCF57F" w14:textId="77777777" w:rsidTr="008756B1">
        <w:trPr>
          <w:trHeight w:val="699"/>
        </w:trPr>
        <w:tc>
          <w:tcPr>
            <w:tcW w:w="1271" w:type="dxa"/>
            <w:hideMark/>
          </w:tcPr>
          <w:p w14:paraId="5DDCC8B0"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Wei et al (2017)</w:t>
            </w:r>
          </w:p>
        </w:tc>
        <w:tc>
          <w:tcPr>
            <w:tcW w:w="1010" w:type="dxa"/>
            <w:hideMark/>
          </w:tcPr>
          <w:p w14:paraId="7A0BE7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5AA97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C92B1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2AF0A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039972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C68296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230A23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6F804C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Green ad scepticism, green trust, consumer attitude</w:t>
            </w:r>
          </w:p>
        </w:tc>
        <w:tc>
          <w:tcPr>
            <w:tcW w:w="992" w:type="dxa"/>
            <w:hideMark/>
          </w:tcPr>
          <w:p w14:paraId="03DB2F2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AAD29F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02EA1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7EAE02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informational utility</w:t>
            </w:r>
          </w:p>
        </w:tc>
        <w:tc>
          <w:tcPr>
            <w:tcW w:w="850" w:type="dxa"/>
            <w:hideMark/>
          </w:tcPr>
          <w:p w14:paraId="58A6A5C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involvement</w:t>
            </w:r>
          </w:p>
        </w:tc>
        <w:tc>
          <w:tcPr>
            <w:tcW w:w="851" w:type="dxa"/>
            <w:hideMark/>
          </w:tcPr>
          <w:p w14:paraId="0C3229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B69DA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D3BF8CB" w14:textId="77777777" w:rsidTr="008756B1">
        <w:trPr>
          <w:trHeight w:val="480"/>
        </w:trPr>
        <w:tc>
          <w:tcPr>
            <w:tcW w:w="1271" w:type="dxa"/>
            <w:hideMark/>
          </w:tcPr>
          <w:p w14:paraId="5162D3FD"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Antonetti and Manika (2017)</w:t>
            </w:r>
          </w:p>
        </w:tc>
        <w:tc>
          <w:tcPr>
            <w:tcW w:w="1010" w:type="dxa"/>
            <w:hideMark/>
          </w:tcPr>
          <w:p w14:paraId="576B7C5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18E9B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6DE51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9F9F0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49F69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29233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DDE99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FA1C0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B5039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FC98A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cognitive appraisal</w:t>
            </w:r>
          </w:p>
        </w:tc>
        <w:tc>
          <w:tcPr>
            <w:tcW w:w="926" w:type="dxa"/>
            <w:gridSpan w:val="2"/>
            <w:hideMark/>
          </w:tcPr>
          <w:p w14:paraId="51D498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emotional reaction</w:t>
            </w:r>
          </w:p>
        </w:tc>
        <w:tc>
          <w:tcPr>
            <w:tcW w:w="900" w:type="dxa"/>
            <w:gridSpan w:val="2"/>
            <w:hideMark/>
          </w:tcPr>
          <w:p w14:paraId="63DD65E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F9B64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767853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96E082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online response</w:t>
            </w:r>
          </w:p>
        </w:tc>
      </w:tr>
      <w:tr w:rsidR="00E13976" w:rsidRPr="00530906" w14:paraId="39407F16" w14:textId="77777777" w:rsidTr="008756B1">
        <w:trPr>
          <w:trHeight w:val="887"/>
        </w:trPr>
        <w:tc>
          <w:tcPr>
            <w:tcW w:w="1271" w:type="dxa"/>
            <w:hideMark/>
          </w:tcPr>
          <w:p w14:paraId="40C44CCD"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Luchs and Kumar 2017</w:t>
            </w:r>
          </w:p>
        </w:tc>
        <w:tc>
          <w:tcPr>
            <w:tcW w:w="1010" w:type="dxa"/>
            <w:hideMark/>
          </w:tcPr>
          <w:p w14:paraId="45C3322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C671E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AFC12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434F9D8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05A35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FCFE94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635D5E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3A5D1D0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1302C6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0252D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D61F4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Confidence, distress, pride, guilt, excitement, disappointment </w:t>
            </w:r>
          </w:p>
        </w:tc>
        <w:tc>
          <w:tcPr>
            <w:tcW w:w="900" w:type="dxa"/>
            <w:gridSpan w:val="2"/>
            <w:hideMark/>
          </w:tcPr>
          <w:p w14:paraId="71FF681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E493B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A836FD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utilitarian value, hedonic value</w:t>
            </w:r>
          </w:p>
        </w:tc>
        <w:tc>
          <w:tcPr>
            <w:tcW w:w="850" w:type="dxa"/>
            <w:hideMark/>
          </w:tcPr>
          <w:p w14:paraId="6F660E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01917AFD" w14:textId="77777777" w:rsidTr="008756B1">
        <w:trPr>
          <w:trHeight w:val="480"/>
        </w:trPr>
        <w:tc>
          <w:tcPr>
            <w:tcW w:w="1271" w:type="dxa"/>
            <w:hideMark/>
          </w:tcPr>
          <w:p w14:paraId="7A584F6C"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Ryoo et al (2017)</w:t>
            </w:r>
          </w:p>
        </w:tc>
        <w:tc>
          <w:tcPr>
            <w:tcW w:w="1010" w:type="dxa"/>
            <w:hideMark/>
          </w:tcPr>
          <w:p w14:paraId="28EBD9A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B0A63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89D615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8AC53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61F2E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538C52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DF0796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provincial norm, general norm</w:t>
            </w:r>
          </w:p>
        </w:tc>
        <w:tc>
          <w:tcPr>
            <w:tcW w:w="993" w:type="dxa"/>
            <w:gridSpan w:val="2"/>
            <w:hideMark/>
          </w:tcPr>
          <w:p w14:paraId="5D6E578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D1FF01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D498D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construal level</w:t>
            </w:r>
          </w:p>
        </w:tc>
        <w:tc>
          <w:tcPr>
            <w:tcW w:w="926" w:type="dxa"/>
            <w:gridSpan w:val="2"/>
            <w:hideMark/>
          </w:tcPr>
          <w:p w14:paraId="09D3976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562F3C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02DD73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9A6BB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C6248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0AE88521" w14:textId="77777777" w:rsidTr="008756B1">
        <w:trPr>
          <w:trHeight w:val="300"/>
        </w:trPr>
        <w:tc>
          <w:tcPr>
            <w:tcW w:w="1271" w:type="dxa"/>
            <w:hideMark/>
          </w:tcPr>
          <w:p w14:paraId="4527DA55"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Juhl et al (2017)</w:t>
            </w:r>
          </w:p>
        </w:tc>
        <w:tc>
          <w:tcPr>
            <w:tcW w:w="1010" w:type="dxa"/>
            <w:hideMark/>
          </w:tcPr>
          <w:p w14:paraId="24EFBEF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C7E68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88703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EA876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FC7C5F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E02A4F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67F8A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5FD742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75CE7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23017C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A0D48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A9964A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product</w:t>
            </w:r>
          </w:p>
        </w:tc>
        <w:tc>
          <w:tcPr>
            <w:tcW w:w="850" w:type="dxa"/>
            <w:hideMark/>
          </w:tcPr>
          <w:p w14:paraId="79B6B38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1132F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810E33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348934D" w14:textId="77777777" w:rsidTr="008756B1">
        <w:trPr>
          <w:trHeight w:val="480"/>
        </w:trPr>
        <w:tc>
          <w:tcPr>
            <w:tcW w:w="1271" w:type="dxa"/>
            <w:hideMark/>
          </w:tcPr>
          <w:p w14:paraId="1547EA8E"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Kristensson et al (2017)</w:t>
            </w:r>
          </w:p>
        </w:tc>
        <w:tc>
          <w:tcPr>
            <w:tcW w:w="1010" w:type="dxa"/>
            <w:hideMark/>
          </w:tcPr>
          <w:p w14:paraId="02FDF97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45826B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4D133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8B8BA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31CB6F5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647B6DB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E2DE5A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1CFB9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913918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EC35E0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77FB3F4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CB6A5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informing question, price</w:t>
            </w:r>
          </w:p>
        </w:tc>
        <w:tc>
          <w:tcPr>
            <w:tcW w:w="850" w:type="dxa"/>
            <w:hideMark/>
          </w:tcPr>
          <w:p w14:paraId="05F67BA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BF2A3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6695E0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C1899BA" w14:textId="77777777" w:rsidTr="008756B1">
        <w:trPr>
          <w:trHeight w:val="520"/>
        </w:trPr>
        <w:tc>
          <w:tcPr>
            <w:tcW w:w="1271" w:type="dxa"/>
            <w:hideMark/>
          </w:tcPr>
          <w:p w14:paraId="6247AE43"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Yadav and Pathak (2017)</w:t>
            </w:r>
          </w:p>
        </w:tc>
        <w:tc>
          <w:tcPr>
            <w:tcW w:w="1010" w:type="dxa"/>
            <w:hideMark/>
          </w:tcPr>
          <w:p w14:paraId="72F5308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352C1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8E3546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42A0A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BF1E4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9CCDB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1315A4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subjective norm</w:t>
            </w:r>
          </w:p>
        </w:tc>
        <w:tc>
          <w:tcPr>
            <w:tcW w:w="993" w:type="dxa"/>
            <w:gridSpan w:val="2"/>
            <w:hideMark/>
          </w:tcPr>
          <w:p w14:paraId="405ED04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attitude</w:t>
            </w:r>
          </w:p>
        </w:tc>
        <w:tc>
          <w:tcPr>
            <w:tcW w:w="992" w:type="dxa"/>
            <w:hideMark/>
          </w:tcPr>
          <w:p w14:paraId="10688B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behavioural control</w:t>
            </w:r>
          </w:p>
        </w:tc>
        <w:tc>
          <w:tcPr>
            <w:tcW w:w="992" w:type="dxa"/>
            <w:hideMark/>
          </w:tcPr>
          <w:p w14:paraId="15AD72D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A1A4D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E1D4E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55B192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2E144F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perceiver value</w:t>
            </w:r>
          </w:p>
        </w:tc>
        <w:tc>
          <w:tcPr>
            <w:tcW w:w="850" w:type="dxa"/>
            <w:hideMark/>
          </w:tcPr>
          <w:p w14:paraId="471F700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willingness to pay</w:t>
            </w:r>
          </w:p>
        </w:tc>
      </w:tr>
      <w:tr w:rsidR="00E13976" w:rsidRPr="00530906" w14:paraId="00684D68" w14:textId="77777777" w:rsidTr="008756B1">
        <w:trPr>
          <w:trHeight w:val="401"/>
        </w:trPr>
        <w:tc>
          <w:tcPr>
            <w:tcW w:w="1271" w:type="dxa"/>
            <w:hideMark/>
          </w:tcPr>
          <w:p w14:paraId="76CE335B"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Evers et al (2018)</w:t>
            </w:r>
          </w:p>
        </w:tc>
        <w:tc>
          <w:tcPr>
            <w:tcW w:w="1010" w:type="dxa"/>
            <w:hideMark/>
          </w:tcPr>
          <w:p w14:paraId="5F95328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9BF4F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B6792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F6547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Materialism, frugality</w:t>
            </w:r>
          </w:p>
        </w:tc>
        <w:tc>
          <w:tcPr>
            <w:tcW w:w="891" w:type="dxa"/>
            <w:hideMark/>
          </w:tcPr>
          <w:p w14:paraId="3B659F3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498E0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7DA6C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1885F9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7C84B3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9FB81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0A344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28961D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B7A2FD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9895B2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57B25D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317DCD9" w14:textId="77777777" w:rsidTr="008756B1">
        <w:trPr>
          <w:trHeight w:val="109"/>
        </w:trPr>
        <w:tc>
          <w:tcPr>
            <w:tcW w:w="1271" w:type="dxa"/>
            <w:hideMark/>
          </w:tcPr>
          <w:p w14:paraId="3C6E3226" w14:textId="77777777" w:rsidR="00E13976" w:rsidRPr="00530906" w:rsidRDefault="00E13976">
            <w:pPr>
              <w:jc w:val="both"/>
              <w:rPr>
                <w:rFonts w:ascii="Calibri" w:hAnsi="Calibri" w:cs="Calibri"/>
                <w:color w:val="000000"/>
                <w:sz w:val="14"/>
                <w:szCs w:val="14"/>
              </w:rPr>
            </w:pPr>
            <w:bookmarkStart w:id="120" w:name="RANGE!A50"/>
            <w:r w:rsidRPr="00530906">
              <w:rPr>
                <w:rFonts w:ascii="Calibri" w:hAnsi="Calibri" w:cs="Calibri"/>
                <w:color w:val="000000"/>
                <w:sz w:val="14"/>
                <w:szCs w:val="14"/>
              </w:rPr>
              <w:t>Perera et al (2018)</w:t>
            </w:r>
            <w:bookmarkEnd w:id="120"/>
          </w:p>
        </w:tc>
        <w:tc>
          <w:tcPr>
            <w:tcW w:w="1010" w:type="dxa"/>
            <w:hideMark/>
          </w:tcPr>
          <w:p w14:paraId="6A86AB7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B6C6C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98EA27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FFB7F4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Materialism</w:t>
            </w:r>
          </w:p>
        </w:tc>
        <w:tc>
          <w:tcPr>
            <w:tcW w:w="891" w:type="dxa"/>
            <w:hideMark/>
          </w:tcPr>
          <w:p w14:paraId="3E4DBA2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6EB465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4AF5EE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7C73F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1CAD5E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D7DB6C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AD97CF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49B913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F1F50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F540D6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6937C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3313390" w14:textId="77777777" w:rsidTr="008756B1">
        <w:trPr>
          <w:trHeight w:val="558"/>
        </w:trPr>
        <w:tc>
          <w:tcPr>
            <w:tcW w:w="1271" w:type="dxa"/>
            <w:hideMark/>
          </w:tcPr>
          <w:p w14:paraId="5580467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Song and Kim (2018)</w:t>
            </w:r>
          </w:p>
        </w:tc>
        <w:tc>
          <w:tcPr>
            <w:tcW w:w="1010" w:type="dxa"/>
            <w:hideMark/>
          </w:tcPr>
          <w:p w14:paraId="351C81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19D000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F1785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46D5C7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extraversion, openness, agreeableness, conscientiousness, emotional stability, courage, Frugality, wisdom, spirituality</w:t>
            </w:r>
          </w:p>
        </w:tc>
        <w:tc>
          <w:tcPr>
            <w:tcW w:w="891" w:type="dxa"/>
            <w:hideMark/>
          </w:tcPr>
          <w:p w14:paraId="5280C37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0D80A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B138D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683495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46830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self-efficacy, self- control, </w:t>
            </w:r>
          </w:p>
        </w:tc>
        <w:tc>
          <w:tcPr>
            <w:tcW w:w="992" w:type="dxa"/>
            <w:hideMark/>
          </w:tcPr>
          <w:p w14:paraId="6C0A96E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D4C425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empathy</w:t>
            </w:r>
          </w:p>
        </w:tc>
        <w:tc>
          <w:tcPr>
            <w:tcW w:w="900" w:type="dxa"/>
            <w:gridSpan w:val="2"/>
            <w:hideMark/>
          </w:tcPr>
          <w:p w14:paraId="2199A1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DC458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080116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fairness</w:t>
            </w:r>
          </w:p>
        </w:tc>
        <w:tc>
          <w:tcPr>
            <w:tcW w:w="850" w:type="dxa"/>
            <w:hideMark/>
          </w:tcPr>
          <w:p w14:paraId="1C27854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altruism</w:t>
            </w:r>
          </w:p>
        </w:tc>
      </w:tr>
      <w:tr w:rsidR="00E13976" w:rsidRPr="00530906" w14:paraId="751CAEC6" w14:textId="77777777" w:rsidTr="008756B1">
        <w:trPr>
          <w:trHeight w:val="386"/>
        </w:trPr>
        <w:tc>
          <w:tcPr>
            <w:tcW w:w="1271" w:type="dxa"/>
            <w:hideMark/>
          </w:tcPr>
          <w:p w14:paraId="0193E053"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Ibrahim and Al–Ajlouni (2018)</w:t>
            </w:r>
          </w:p>
        </w:tc>
        <w:tc>
          <w:tcPr>
            <w:tcW w:w="1010" w:type="dxa"/>
            <w:hideMark/>
          </w:tcPr>
          <w:p w14:paraId="21118EC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99FD5E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3DD707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131801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30AF46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64EE04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2AFF850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79F179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D59B3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Coping appraisal</w:t>
            </w:r>
          </w:p>
        </w:tc>
        <w:tc>
          <w:tcPr>
            <w:tcW w:w="992" w:type="dxa"/>
            <w:hideMark/>
          </w:tcPr>
          <w:p w14:paraId="1539012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construal level, threat appraisal</w:t>
            </w:r>
          </w:p>
        </w:tc>
        <w:tc>
          <w:tcPr>
            <w:tcW w:w="926" w:type="dxa"/>
            <w:gridSpan w:val="2"/>
            <w:hideMark/>
          </w:tcPr>
          <w:p w14:paraId="46EF0A8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5B743F4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5AB62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AEACF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Deontic justice</w:t>
            </w:r>
          </w:p>
        </w:tc>
        <w:tc>
          <w:tcPr>
            <w:tcW w:w="850" w:type="dxa"/>
            <w:hideMark/>
          </w:tcPr>
          <w:p w14:paraId="4D208F0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40066962" w14:textId="77777777" w:rsidTr="008756B1">
        <w:trPr>
          <w:trHeight w:val="548"/>
        </w:trPr>
        <w:tc>
          <w:tcPr>
            <w:tcW w:w="1271" w:type="dxa"/>
            <w:hideMark/>
          </w:tcPr>
          <w:p w14:paraId="6869E5F4"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Sharma and Foropon (2019)</w:t>
            </w:r>
          </w:p>
        </w:tc>
        <w:tc>
          <w:tcPr>
            <w:tcW w:w="1010" w:type="dxa"/>
            <w:hideMark/>
          </w:tcPr>
          <w:p w14:paraId="41A79D9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6550B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7B004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56A522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1830497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F7E8B4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knowledge, concern</w:t>
            </w:r>
          </w:p>
        </w:tc>
        <w:tc>
          <w:tcPr>
            <w:tcW w:w="992" w:type="dxa"/>
            <w:gridSpan w:val="2"/>
            <w:hideMark/>
          </w:tcPr>
          <w:p w14:paraId="04B12B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1BE1CD5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attitude</w:t>
            </w:r>
          </w:p>
        </w:tc>
        <w:tc>
          <w:tcPr>
            <w:tcW w:w="992" w:type="dxa"/>
            <w:hideMark/>
          </w:tcPr>
          <w:p w14:paraId="408F771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consumer effectiveness</w:t>
            </w:r>
          </w:p>
        </w:tc>
        <w:tc>
          <w:tcPr>
            <w:tcW w:w="992" w:type="dxa"/>
            <w:hideMark/>
          </w:tcPr>
          <w:p w14:paraId="5AD9A50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6A9D8D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948A20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product risks and benefits</w:t>
            </w:r>
          </w:p>
        </w:tc>
        <w:tc>
          <w:tcPr>
            <w:tcW w:w="850" w:type="dxa"/>
            <w:hideMark/>
          </w:tcPr>
          <w:p w14:paraId="327C252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FA94D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D04E65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purchase intention</w:t>
            </w:r>
          </w:p>
        </w:tc>
      </w:tr>
      <w:tr w:rsidR="00E13976" w:rsidRPr="00530906" w14:paraId="6C1031E3" w14:textId="77777777" w:rsidTr="008756B1">
        <w:trPr>
          <w:trHeight w:val="131"/>
        </w:trPr>
        <w:tc>
          <w:tcPr>
            <w:tcW w:w="1271" w:type="dxa"/>
            <w:hideMark/>
          </w:tcPr>
          <w:p w14:paraId="5105A825" w14:textId="77777777" w:rsidR="00E13976" w:rsidRPr="00530906" w:rsidRDefault="00E13976">
            <w:pPr>
              <w:jc w:val="both"/>
              <w:rPr>
                <w:rFonts w:ascii="Calibri" w:hAnsi="Calibri" w:cs="Calibri"/>
                <w:color w:val="000000"/>
                <w:sz w:val="14"/>
                <w:szCs w:val="14"/>
              </w:rPr>
            </w:pPr>
            <w:bookmarkStart w:id="121" w:name="RANGE!A54"/>
            <w:r w:rsidRPr="00530906">
              <w:rPr>
                <w:rFonts w:ascii="Calibri" w:hAnsi="Calibri" w:cs="Calibri"/>
                <w:color w:val="000000"/>
                <w:sz w:val="14"/>
                <w:szCs w:val="14"/>
              </w:rPr>
              <w:t>Rowe et al (2019)</w:t>
            </w:r>
            <w:bookmarkEnd w:id="121"/>
          </w:p>
        </w:tc>
        <w:tc>
          <w:tcPr>
            <w:tcW w:w="1010" w:type="dxa"/>
            <w:hideMark/>
          </w:tcPr>
          <w:p w14:paraId="611081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14831C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9AA9AC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10084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BF97B7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D02D44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7097A9A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553A6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52D70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B3411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794635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Pride, guilt</w:t>
            </w:r>
          </w:p>
        </w:tc>
        <w:tc>
          <w:tcPr>
            <w:tcW w:w="900" w:type="dxa"/>
            <w:gridSpan w:val="2"/>
            <w:hideMark/>
          </w:tcPr>
          <w:p w14:paraId="22B2E59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41E3FB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577F77B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01FB92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13504C3" w14:textId="77777777" w:rsidTr="008756B1">
        <w:trPr>
          <w:trHeight w:val="347"/>
        </w:trPr>
        <w:tc>
          <w:tcPr>
            <w:tcW w:w="14879" w:type="dxa"/>
            <w:gridSpan w:val="20"/>
            <w:hideMark/>
          </w:tcPr>
          <w:p w14:paraId="4456CE4C" w14:textId="77777777" w:rsidR="00E13976" w:rsidRPr="00530906" w:rsidRDefault="00E13976" w:rsidP="008756B1">
            <w:pPr>
              <w:jc w:val="both"/>
              <w:rPr>
                <w:rFonts w:ascii="Calibri" w:hAnsi="Calibri" w:cs="Calibri"/>
                <w:b/>
                <w:bCs/>
                <w:color w:val="FF0000"/>
                <w:sz w:val="14"/>
                <w:szCs w:val="14"/>
              </w:rPr>
            </w:pPr>
            <w:r w:rsidRPr="00530906">
              <w:rPr>
                <w:rFonts w:ascii="Calibri" w:hAnsi="Calibri" w:cs="Calibri"/>
                <w:b/>
                <w:bCs/>
                <w:sz w:val="14"/>
                <w:szCs w:val="14"/>
              </w:rPr>
              <w:t xml:space="preserve">Organisation’s and consumers perspective </w:t>
            </w:r>
          </w:p>
        </w:tc>
      </w:tr>
      <w:tr w:rsidR="00E13976" w:rsidRPr="00530906" w14:paraId="5ADC6716" w14:textId="77777777" w:rsidTr="008756B1">
        <w:trPr>
          <w:trHeight w:val="416"/>
        </w:trPr>
        <w:tc>
          <w:tcPr>
            <w:tcW w:w="1271" w:type="dxa"/>
            <w:hideMark/>
          </w:tcPr>
          <w:p w14:paraId="7A048DCB"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Schuhwerk and Lefkoff–Haguis (1995)</w:t>
            </w:r>
          </w:p>
        </w:tc>
        <w:tc>
          <w:tcPr>
            <w:tcW w:w="1010" w:type="dxa"/>
            <w:hideMark/>
          </w:tcPr>
          <w:p w14:paraId="1BC0A69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8C40D2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43A702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0EC9AB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3FF7906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76BB56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1A1C1A0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31F229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C7E962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F524E5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39393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5F9ED9C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appeal of the ad</w:t>
            </w:r>
          </w:p>
        </w:tc>
        <w:tc>
          <w:tcPr>
            <w:tcW w:w="850" w:type="dxa"/>
            <w:hideMark/>
          </w:tcPr>
          <w:p w14:paraId="6C1518E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involvement with environment </w:t>
            </w:r>
          </w:p>
        </w:tc>
        <w:tc>
          <w:tcPr>
            <w:tcW w:w="851" w:type="dxa"/>
            <w:hideMark/>
          </w:tcPr>
          <w:p w14:paraId="00695AE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4D1ACB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C01DF8E" w14:textId="77777777" w:rsidTr="008756B1">
        <w:trPr>
          <w:trHeight w:val="720"/>
        </w:trPr>
        <w:tc>
          <w:tcPr>
            <w:tcW w:w="1271" w:type="dxa"/>
            <w:hideMark/>
          </w:tcPr>
          <w:p w14:paraId="546BA775"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Schlegelmilch (1996)</w:t>
            </w:r>
          </w:p>
        </w:tc>
        <w:tc>
          <w:tcPr>
            <w:tcW w:w="1010" w:type="dxa"/>
            <w:hideMark/>
          </w:tcPr>
          <w:p w14:paraId="410425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732701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50314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249510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1B663F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7D24EBB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environmental consciousness scale</w:t>
            </w:r>
          </w:p>
        </w:tc>
        <w:tc>
          <w:tcPr>
            <w:tcW w:w="992" w:type="dxa"/>
            <w:gridSpan w:val="2"/>
            <w:hideMark/>
          </w:tcPr>
          <w:p w14:paraId="0C72C8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A8B89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61E06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8D99B2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1F21D68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02FA4B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ECF497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21412DD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C87ACE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AD0AE03" w14:textId="77777777" w:rsidTr="008756B1">
        <w:trPr>
          <w:trHeight w:val="1256"/>
        </w:trPr>
        <w:tc>
          <w:tcPr>
            <w:tcW w:w="1271" w:type="dxa"/>
            <w:hideMark/>
          </w:tcPr>
          <w:p w14:paraId="4EEA342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Montororios et al (2008)</w:t>
            </w:r>
          </w:p>
        </w:tc>
        <w:tc>
          <w:tcPr>
            <w:tcW w:w="1010" w:type="dxa"/>
            <w:hideMark/>
          </w:tcPr>
          <w:p w14:paraId="09DFE0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CA57C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3A5E45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E34925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31DE5C0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A7C9B1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957479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462D54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Ad attitude, Brand attitude</w:t>
            </w:r>
          </w:p>
        </w:tc>
        <w:tc>
          <w:tcPr>
            <w:tcW w:w="992" w:type="dxa"/>
            <w:hideMark/>
          </w:tcPr>
          <w:p w14:paraId="5E9C17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540362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credibility of the ad, Functional belief and confidence on it, environmental belief and confidence on it</w:t>
            </w:r>
          </w:p>
        </w:tc>
        <w:tc>
          <w:tcPr>
            <w:tcW w:w="926" w:type="dxa"/>
            <w:gridSpan w:val="2"/>
            <w:hideMark/>
          </w:tcPr>
          <w:p w14:paraId="2B69EC9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9A5BA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5DDF3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2ED49E9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DD40B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D84CB2F" w14:textId="77777777" w:rsidTr="008756B1">
        <w:trPr>
          <w:trHeight w:val="523"/>
        </w:trPr>
        <w:tc>
          <w:tcPr>
            <w:tcW w:w="1271" w:type="dxa"/>
            <w:hideMark/>
          </w:tcPr>
          <w:p w14:paraId="72B06B79"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Choi and Ng (2011)</w:t>
            </w:r>
          </w:p>
        </w:tc>
        <w:tc>
          <w:tcPr>
            <w:tcW w:w="1010" w:type="dxa"/>
            <w:hideMark/>
          </w:tcPr>
          <w:p w14:paraId="7517FE9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48F98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3C88AB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F7EEC4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33ADFB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4A568B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8AF0A4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E2A0F7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E9F1B7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brand’s sustainability action</w:t>
            </w:r>
          </w:p>
        </w:tc>
        <w:tc>
          <w:tcPr>
            <w:tcW w:w="992" w:type="dxa"/>
            <w:hideMark/>
          </w:tcPr>
          <w:p w14:paraId="78ECC37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E14CC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EEBDF4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price</w:t>
            </w:r>
          </w:p>
        </w:tc>
        <w:tc>
          <w:tcPr>
            <w:tcW w:w="850" w:type="dxa"/>
            <w:hideMark/>
          </w:tcPr>
          <w:p w14:paraId="69E0A91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6AC2ACB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969DE5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4A5FCAC9" w14:textId="77777777" w:rsidTr="008756B1">
        <w:trPr>
          <w:trHeight w:val="686"/>
        </w:trPr>
        <w:tc>
          <w:tcPr>
            <w:tcW w:w="1271" w:type="dxa"/>
            <w:hideMark/>
          </w:tcPr>
          <w:p w14:paraId="6A73C0C2"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Larceneux et al (2012)</w:t>
            </w:r>
          </w:p>
        </w:tc>
        <w:tc>
          <w:tcPr>
            <w:tcW w:w="1010" w:type="dxa"/>
            <w:hideMark/>
          </w:tcPr>
          <w:p w14:paraId="75B6C7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01F418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A20DD6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9D9EB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82E0DC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9D3AD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8A5FEB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32A8F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2CFD81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AA307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Descriptive belief, inferential belief</w:t>
            </w:r>
          </w:p>
        </w:tc>
        <w:tc>
          <w:tcPr>
            <w:tcW w:w="926" w:type="dxa"/>
            <w:gridSpan w:val="2"/>
            <w:hideMark/>
          </w:tcPr>
          <w:p w14:paraId="1B55967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D7946E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organic label, Brand equity, product attribute</w:t>
            </w:r>
          </w:p>
        </w:tc>
        <w:tc>
          <w:tcPr>
            <w:tcW w:w="850" w:type="dxa"/>
            <w:hideMark/>
          </w:tcPr>
          <w:p w14:paraId="70A16A7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B7F89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6D9BE2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A3F6A17" w14:textId="77777777" w:rsidTr="008756B1">
        <w:trPr>
          <w:trHeight w:val="499"/>
        </w:trPr>
        <w:tc>
          <w:tcPr>
            <w:tcW w:w="1271" w:type="dxa"/>
            <w:hideMark/>
          </w:tcPr>
          <w:p w14:paraId="57F34FD8"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Lyon, and Montgomery (2014)</w:t>
            </w:r>
          </w:p>
        </w:tc>
        <w:tc>
          <w:tcPr>
            <w:tcW w:w="1010" w:type="dxa"/>
            <w:hideMark/>
          </w:tcPr>
          <w:p w14:paraId="2C4AEE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1B081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social media</w:t>
            </w:r>
          </w:p>
        </w:tc>
        <w:tc>
          <w:tcPr>
            <w:tcW w:w="992" w:type="dxa"/>
            <w:hideMark/>
          </w:tcPr>
          <w:p w14:paraId="7B6BD41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72B4551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B30376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3CB511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9F319A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3E2AFE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26E386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9771E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59DB5A6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F287C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F4BC4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8CE248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75CB2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60DA086" w14:textId="77777777" w:rsidTr="008756B1">
        <w:trPr>
          <w:trHeight w:val="719"/>
        </w:trPr>
        <w:tc>
          <w:tcPr>
            <w:tcW w:w="1271" w:type="dxa"/>
            <w:hideMark/>
          </w:tcPr>
          <w:p w14:paraId="4DD5ECFD"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Kalamas et al (2014)</w:t>
            </w:r>
          </w:p>
        </w:tc>
        <w:tc>
          <w:tcPr>
            <w:tcW w:w="1010" w:type="dxa"/>
            <w:hideMark/>
          </w:tcPr>
          <w:p w14:paraId="22F190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gender</w:t>
            </w:r>
          </w:p>
        </w:tc>
        <w:tc>
          <w:tcPr>
            <w:tcW w:w="850" w:type="dxa"/>
            <w:hideMark/>
          </w:tcPr>
          <w:p w14:paraId="28485D3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B2C15E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551882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3E1FBF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0F8D0A5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0D2F8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89B312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4BAA93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7FABE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belief of the control of the external force (ELOC)</w:t>
            </w:r>
          </w:p>
        </w:tc>
        <w:tc>
          <w:tcPr>
            <w:tcW w:w="926" w:type="dxa"/>
            <w:gridSpan w:val="2"/>
            <w:hideMark/>
          </w:tcPr>
          <w:p w14:paraId="197204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61B2DA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BB31DF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19031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3C7762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68D9474" w14:textId="77777777" w:rsidTr="008756B1">
        <w:trPr>
          <w:trHeight w:val="389"/>
        </w:trPr>
        <w:tc>
          <w:tcPr>
            <w:tcW w:w="1271" w:type="dxa"/>
            <w:hideMark/>
          </w:tcPr>
          <w:p w14:paraId="73D3F80A"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Davari and Strutton (2014)</w:t>
            </w:r>
          </w:p>
        </w:tc>
        <w:tc>
          <w:tcPr>
            <w:tcW w:w="1010" w:type="dxa"/>
            <w:hideMark/>
          </w:tcPr>
          <w:p w14:paraId="25DF7CC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9C30D4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AE02F1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257C1D5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257F4A9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F5E03A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74BE4A3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4331530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64B1EE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AEDDC0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21E333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BA05D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green marketing mix, brand equity</w:t>
            </w:r>
          </w:p>
        </w:tc>
        <w:tc>
          <w:tcPr>
            <w:tcW w:w="850" w:type="dxa"/>
            <w:hideMark/>
          </w:tcPr>
          <w:p w14:paraId="6241860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6C078D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0E89AF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535727DB" w14:textId="77777777" w:rsidTr="008756B1">
        <w:trPr>
          <w:trHeight w:val="680"/>
        </w:trPr>
        <w:tc>
          <w:tcPr>
            <w:tcW w:w="1271" w:type="dxa"/>
            <w:hideMark/>
          </w:tcPr>
          <w:p w14:paraId="5084EBC0"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Line et al (2016)</w:t>
            </w:r>
          </w:p>
        </w:tc>
        <w:tc>
          <w:tcPr>
            <w:tcW w:w="1010" w:type="dxa"/>
            <w:hideMark/>
          </w:tcPr>
          <w:p w14:paraId="1654F4C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43F297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closeness of beneficiary population</w:t>
            </w:r>
          </w:p>
        </w:tc>
        <w:tc>
          <w:tcPr>
            <w:tcW w:w="992" w:type="dxa"/>
            <w:hideMark/>
          </w:tcPr>
          <w:p w14:paraId="1626BCC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72421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7038B3A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4A504E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5CF40D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7AF70BB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28A1BC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757FA6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construal level</w:t>
            </w:r>
          </w:p>
        </w:tc>
        <w:tc>
          <w:tcPr>
            <w:tcW w:w="926" w:type="dxa"/>
            <w:gridSpan w:val="2"/>
            <w:hideMark/>
          </w:tcPr>
          <w:p w14:paraId="452E374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90B94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geographic location of the sustainability initiative</w:t>
            </w:r>
          </w:p>
        </w:tc>
        <w:tc>
          <w:tcPr>
            <w:tcW w:w="850" w:type="dxa"/>
            <w:hideMark/>
          </w:tcPr>
          <w:p w14:paraId="6C4460C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6427F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02AC1B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D07DC3C" w14:textId="77777777" w:rsidTr="008756B1">
        <w:trPr>
          <w:trHeight w:val="378"/>
        </w:trPr>
        <w:tc>
          <w:tcPr>
            <w:tcW w:w="1271" w:type="dxa"/>
            <w:hideMark/>
          </w:tcPr>
          <w:p w14:paraId="51A0DF3D" w14:textId="77777777" w:rsidR="00E13976" w:rsidRPr="00530906" w:rsidRDefault="00E13976">
            <w:pPr>
              <w:jc w:val="both"/>
              <w:rPr>
                <w:rFonts w:ascii="Calibri" w:hAnsi="Calibri" w:cs="Calibri"/>
                <w:color w:val="000000"/>
                <w:sz w:val="14"/>
                <w:szCs w:val="14"/>
              </w:rPr>
            </w:pPr>
            <w:bookmarkStart w:id="122" w:name="RANGE!A65"/>
            <w:r w:rsidRPr="00530906">
              <w:rPr>
                <w:rFonts w:ascii="Calibri" w:hAnsi="Calibri" w:cs="Calibri"/>
                <w:color w:val="000000"/>
                <w:sz w:val="14"/>
                <w:szCs w:val="14"/>
              </w:rPr>
              <w:t>Herédia–Colaço and do Vale 2018</w:t>
            </w:r>
            <w:bookmarkEnd w:id="122"/>
          </w:p>
        </w:tc>
        <w:tc>
          <w:tcPr>
            <w:tcW w:w="1010" w:type="dxa"/>
            <w:hideMark/>
          </w:tcPr>
          <w:p w14:paraId="23A1097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3F5000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910138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8C9A7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0B31F02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5D63E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71D93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24A145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9F25A6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18293B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969576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6949E8C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product, ethical claim</w:t>
            </w:r>
          </w:p>
        </w:tc>
        <w:tc>
          <w:tcPr>
            <w:tcW w:w="850" w:type="dxa"/>
            <w:hideMark/>
          </w:tcPr>
          <w:p w14:paraId="5374BB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05055A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4F1D86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77DBEC54" w14:textId="77777777" w:rsidTr="008756B1">
        <w:trPr>
          <w:trHeight w:val="416"/>
        </w:trPr>
        <w:tc>
          <w:tcPr>
            <w:tcW w:w="14879" w:type="dxa"/>
            <w:gridSpan w:val="20"/>
            <w:hideMark/>
          </w:tcPr>
          <w:p w14:paraId="2198A41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b/>
                <w:bCs/>
                <w:color w:val="000000"/>
                <w:sz w:val="14"/>
                <w:szCs w:val="14"/>
              </w:rPr>
              <w:t>Proposing strategy</w:t>
            </w:r>
          </w:p>
        </w:tc>
      </w:tr>
      <w:tr w:rsidR="00E13976" w:rsidRPr="00530906" w14:paraId="569F9279" w14:textId="77777777" w:rsidTr="008756B1">
        <w:trPr>
          <w:trHeight w:val="419"/>
        </w:trPr>
        <w:tc>
          <w:tcPr>
            <w:tcW w:w="1271" w:type="dxa"/>
            <w:hideMark/>
          </w:tcPr>
          <w:p w14:paraId="4B065AE2" w14:textId="77777777" w:rsidR="00E13976" w:rsidRPr="00530906" w:rsidRDefault="00E13976">
            <w:pPr>
              <w:jc w:val="both"/>
              <w:rPr>
                <w:rFonts w:ascii="Calibri" w:hAnsi="Calibri" w:cs="Calibri"/>
                <w:color w:val="000000"/>
                <w:sz w:val="14"/>
                <w:szCs w:val="14"/>
              </w:rPr>
            </w:pPr>
            <w:bookmarkStart w:id="123" w:name="RANGE!A67"/>
            <w:r w:rsidRPr="00530906">
              <w:rPr>
                <w:rFonts w:ascii="Calibri" w:hAnsi="Calibri" w:cs="Calibri"/>
                <w:color w:val="000000"/>
                <w:sz w:val="14"/>
                <w:szCs w:val="14"/>
              </w:rPr>
              <w:t>Buenstorf, and Cordes (2008)</w:t>
            </w:r>
            <w:bookmarkEnd w:id="123"/>
          </w:p>
        </w:tc>
        <w:tc>
          <w:tcPr>
            <w:tcW w:w="1010" w:type="dxa"/>
            <w:hideMark/>
          </w:tcPr>
          <w:p w14:paraId="4DD9806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C206D6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312BF4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141922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3B90262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24146D0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3EA85F1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Confirmatory bias, role model</w:t>
            </w:r>
          </w:p>
        </w:tc>
        <w:tc>
          <w:tcPr>
            <w:tcW w:w="993" w:type="dxa"/>
            <w:gridSpan w:val="2"/>
            <w:hideMark/>
          </w:tcPr>
          <w:p w14:paraId="5C55E2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5D0085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8DCC5F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8A3CF8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4F5D417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7A445E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041A44B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hedonistic force</w:t>
            </w:r>
          </w:p>
        </w:tc>
        <w:tc>
          <w:tcPr>
            <w:tcW w:w="850" w:type="dxa"/>
            <w:hideMark/>
          </w:tcPr>
          <w:p w14:paraId="7ECB419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D24C76F" w14:textId="77777777" w:rsidTr="008756B1">
        <w:trPr>
          <w:trHeight w:val="410"/>
        </w:trPr>
        <w:tc>
          <w:tcPr>
            <w:tcW w:w="1271" w:type="dxa"/>
            <w:hideMark/>
          </w:tcPr>
          <w:p w14:paraId="42C2FF5A"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White et al (2011)</w:t>
            </w:r>
          </w:p>
        </w:tc>
        <w:tc>
          <w:tcPr>
            <w:tcW w:w="1010" w:type="dxa"/>
            <w:hideMark/>
          </w:tcPr>
          <w:p w14:paraId="4DCAFFE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FC8237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3C04C7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1E58C4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E7D68A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3C249F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640E242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0D8E05D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1C831E3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D2AE9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24496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C4A8A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sustainability ad</w:t>
            </w:r>
          </w:p>
        </w:tc>
        <w:tc>
          <w:tcPr>
            <w:tcW w:w="850" w:type="dxa"/>
            <w:hideMark/>
          </w:tcPr>
          <w:p w14:paraId="12B8692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47A682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59D78C0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AAE1B8C" w14:textId="77777777" w:rsidTr="008756B1">
        <w:trPr>
          <w:trHeight w:val="480"/>
        </w:trPr>
        <w:tc>
          <w:tcPr>
            <w:tcW w:w="1271" w:type="dxa"/>
            <w:hideMark/>
          </w:tcPr>
          <w:p w14:paraId="4703B8B4"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Rettie et al (2012)</w:t>
            </w:r>
          </w:p>
        </w:tc>
        <w:tc>
          <w:tcPr>
            <w:tcW w:w="1010" w:type="dxa"/>
            <w:hideMark/>
          </w:tcPr>
          <w:p w14:paraId="74D1A0E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91619F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FEE784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A896FC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5591BDF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330BD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FE41BB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shared notion of society</w:t>
            </w:r>
          </w:p>
        </w:tc>
        <w:tc>
          <w:tcPr>
            <w:tcW w:w="993" w:type="dxa"/>
            <w:gridSpan w:val="2"/>
            <w:hideMark/>
          </w:tcPr>
          <w:p w14:paraId="3D0736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8D05C6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C76BEE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02858C3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585FEE1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733DF4B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2AE149A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1FD432D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3F3542B1" w14:textId="77777777" w:rsidTr="008756B1">
        <w:trPr>
          <w:trHeight w:val="274"/>
        </w:trPr>
        <w:tc>
          <w:tcPr>
            <w:tcW w:w="1271" w:type="dxa"/>
            <w:hideMark/>
          </w:tcPr>
          <w:p w14:paraId="7463965C"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Axsen et al (2013)</w:t>
            </w:r>
          </w:p>
        </w:tc>
        <w:tc>
          <w:tcPr>
            <w:tcW w:w="1010" w:type="dxa"/>
            <w:hideMark/>
          </w:tcPr>
          <w:p w14:paraId="2B8C32B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C829AE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97C820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3894392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lifestyle</w:t>
            </w:r>
          </w:p>
        </w:tc>
        <w:tc>
          <w:tcPr>
            <w:tcW w:w="891" w:type="dxa"/>
            <w:hideMark/>
          </w:tcPr>
          <w:p w14:paraId="2961707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electric car experience</w:t>
            </w:r>
          </w:p>
        </w:tc>
        <w:tc>
          <w:tcPr>
            <w:tcW w:w="810" w:type="dxa"/>
            <w:hideMark/>
          </w:tcPr>
          <w:p w14:paraId="1A23B9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awareness</w:t>
            </w:r>
          </w:p>
        </w:tc>
        <w:tc>
          <w:tcPr>
            <w:tcW w:w="992" w:type="dxa"/>
            <w:gridSpan w:val="2"/>
            <w:hideMark/>
          </w:tcPr>
          <w:p w14:paraId="678105A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social interaction</w:t>
            </w:r>
          </w:p>
        </w:tc>
        <w:tc>
          <w:tcPr>
            <w:tcW w:w="993" w:type="dxa"/>
            <w:gridSpan w:val="2"/>
            <w:hideMark/>
          </w:tcPr>
          <w:p w14:paraId="5BC34830"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DB535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BDEB81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perceived benefits</w:t>
            </w:r>
          </w:p>
        </w:tc>
        <w:tc>
          <w:tcPr>
            <w:tcW w:w="926" w:type="dxa"/>
            <w:gridSpan w:val="2"/>
            <w:hideMark/>
          </w:tcPr>
          <w:p w14:paraId="0A484AE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126E5AE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EA1573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E9B748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2CD33F6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1C535D09" w14:textId="77777777" w:rsidTr="008756B1">
        <w:trPr>
          <w:trHeight w:val="558"/>
        </w:trPr>
        <w:tc>
          <w:tcPr>
            <w:tcW w:w="1271" w:type="dxa"/>
            <w:hideMark/>
          </w:tcPr>
          <w:p w14:paraId="794C5112"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Yang et al (2015)</w:t>
            </w:r>
          </w:p>
        </w:tc>
        <w:tc>
          <w:tcPr>
            <w:tcW w:w="1010" w:type="dxa"/>
            <w:hideMark/>
          </w:tcPr>
          <w:p w14:paraId="7FCF18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6E7DA7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7B415B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62B1E03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5CF2F2B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6F576AA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07A30CF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public self- awareness, identity salience</w:t>
            </w:r>
          </w:p>
        </w:tc>
        <w:tc>
          <w:tcPr>
            <w:tcW w:w="993" w:type="dxa"/>
            <w:gridSpan w:val="2"/>
            <w:hideMark/>
          </w:tcPr>
          <w:p w14:paraId="15343AA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0FBB5FA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22525A7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4C6599A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70C3FF9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appeal of the product,</w:t>
            </w:r>
          </w:p>
        </w:tc>
        <w:tc>
          <w:tcPr>
            <w:tcW w:w="850" w:type="dxa"/>
            <w:hideMark/>
          </w:tcPr>
          <w:p w14:paraId="2A30597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1BE4BA0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30C1F7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4115A0E1" w14:textId="77777777" w:rsidTr="008756B1">
        <w:trPr>
          <w:trHeight w:val="693"/>
        </w:trPr>
        <w:tc>
          <w:tcPr>
            <w:tcW w:w="1271" w:type="dxa"/>
            <w:hideMark/>
          </w:tcPr>
          <w:p w14:paraId="4524D79E"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Han et al (2017)</w:t>
            </w:r>
          </w:p>
        </w:tc>
        <w:tc>
          <w:tcPr>
            <w:tcW w:w="1010" w:type="dxa"/>
            <w:hideMark/>
          </w:tcPr>
          <w:p w14:paraId="3170AED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4AEFBA1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69C3756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709" w:type="dxa"/>
            <w:hideMark/>
          </w:tcPr>
          <w:p w14:paraId="0A7BB0D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463CA37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1F58DBC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2EF38A27"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5007CA7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55F012D2"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60EF45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36C025E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047A5A8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information about sustainable fashion</w:t>
            </w:r>
          </w:p>
        </w:tc>
        <w:tc>
          <w:tcPr>
            <w:tcW w:w="850" w:type="dxa"/>
            <w:hideMark/>
          </w:tcPr>
          <w:p w14:paraId="64F0619B"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4DD72B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6E86B68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r w:rsidR="00E13976" w:rsidRPr="00530906" w14:paraId="27D29BD5" w14:textId="77777777" w:rsidTr="008756B1">
        <w:trPr>
          <w:trHeight w:val="391"/>
        </w:trPr>
        <w:tc>
          <w:tcPr>
            <w:tcW w:w="1271" w:type="dxa"/>
            <w:hideMark/>
          </w:tcPr>
          <w:p w14:paraId="75C99BFF" w14:textId="77777777" w:rsidR="00E13976" w:rsidRPr="00530906" w:rsidRDefault="00E13976">
            <w:pPr>
              <w:jc w:val="both"/>
              <w:rPr>
                <w:rFonts w:ascii="Calibri" w:hAnsi="Calibri" w:cs="Calibri"/>
                <w:color w:val="000000"/>
                <w:sz w:val="14"/>
                <w:szCs w:val="14"/>
              </w:rPr>
            </w:pPr>
            <w:r w:rsidRPr="00530906">
              <w:rPr>
                <w:rFonts w:ascii="Calibri" w:hAnsi="Calibri" w:cs="Calibri"/>
                <w:color w:val="000000"/>
                <w:sz w:val="14"/>
                <w:szCs w:val="14"/>
              </w:rPr>
              <w:t>Han et al (2019)</w:t>
            </w:r>
          </w:p>
        </w:tc>
        <w:tc>
          <w:tcPr>
            <w:tcW w:w="1010" w:type="dxa"/>
            <w:hideMark/>
          </w:tcPr>
          <w:p w14:paraId="527271AF"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B801DB8"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4D00D8D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anthropomorphism</w:t>
            </w:r>
          </w:p>
        </w:tc>
        <w:tc>
          <w:tcPr>
            <w:tcW w:w="709" w:type="dxa"/>
            <w:hideMark/>
          </w:tcPr>
          <w:p w14:paraId="348B5E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91" w:type="dxa"/>
            <w:hideMark/>
          </w:tcPr>
          <w:p w14:paraId="61A3665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10" w:type="dxa"/>
            <w:hideMark/>
          </w:tcPr>
          <w:p w14:paraId="549B21F4"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gridSpan w:val="2"/>
            <w:hideMark/>
          </w:tcPr>
          <w:p w14:paraId="5E726681"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3" w:type="dxa"/>
            <w:gridSpan w:val="2"/>
            <w:hideMark/>
          </w:tcPr>
          <w:p w14:paraId="65D34D09"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ad attitude</w:t>
            </w:r>
          </w:p>
        </w:tc>
        <w:tc>
          <w:tcPr>
            <w:tcW w:w="992" w:type="dxa"/>
            <w:hideMark/>
          </w:tcPr>
          <w:p w14:paraId="763F3ADE"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92" w:type="dxa"/>
            <w:hideMark/>
          </w:tcPr>
          <w:p w14:paraId="72C2465D"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26" w:type="dxa"/>
            <w:gridSpan w:val="2"/>
            <w:hideMark/>
          </w:tcPr>
          <w:p w14:paraId="22125765"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900" w:type="dxa"/>
            <w:gridSpan w:val="2"/>
            <w:hideMark/>
          </w:tcPr>
          <w:p w14:paraId="34AF900A"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xml:space="preserve">appeal of the sustainability ad </w:t>
            </w:r>
          </w:p>
        </w:tc>
        <w:tc>
          <w:tcPr>
            <w:tcW w:w="850" w:type="dxa"/>
            <w:hideMark/>
          </w:tcPr>
          <w:p w14:paraId="4E359B03"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1" w:type="dxa"/>
            <w:hideMark/>
          </w:tcPr>
          <w:p w14:paraId="79889196"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c>
          <w:tcPr>
            <w:tcW w:w="850" w:type="dxa"/>
            <w:hideMark/>
          </w:tcPr>
          <w:p w14:paraId="07461CFC" w14:textId="77777777" w:rsidR="00E13976" w:rsidRPr="00530906" w:rsidRDefault="00E13976" w:rsidP="008756B1">
            <w:pPr>
              <w:jc w:val="both"/>
              <w:rPr>
                <w:rFonts w:ascii="Calibri" w:hAnsi="Calibri" w:cs="Calibri"/>
                <w:color w:val="000000"/>
                <w:sz w:val="14"/>
                <w:szCs w:val="14"/>
              </w:rPr>
            </w:pPr>
            <w:r w:rsidRPr="00530906">
              <w:rPr>
                <w:rFonts w:ascii="Calibri" w:hAnsi="Calibri" w:cs="Calibri"/>
                <w:color w:val="000000"/>
                <w:sz w:val="14"/>
                <w:szCs w:val="14"/>
              </w:rPr>
              <w:t> </w:t>
            </w:r>
          </w:p>
        </w:tc>
      </w:tr>
    </w:tbl>
    <w:p w14:paraId="1EE7D846" w14:textId="2357677D" w:rsidR="005A7C32" w:rsidRPr="00530906" w:rsidRDefault="005A7C32" w:rsidP="008756B1">
      <w:pPr>
        <w:pStyle w:val="NoSpacing"/>
        <w:jc w:val="both"/>
        <w:rPr>
          <w:rFonts w:eastAsiaTheme="minorEastAsia"/>
        </w:rPr>
      </w:pPr>
      <w:r w:rsidRPr="00530906">
        <w:t xml:space="preserve"> </w:t>
      </w:r>
    </w:p>
    <w:p w14:paraId="6B29F90E" w14:textId="44447556" w:rsidR="006A2245" w:rsidRPr="00530906" w:rsidRDefault="006A2245" w:rsidP="008756B1">
      <w:pPr>
        <w:jc w:val="both"/>
      </w:pPr>
    </w:p>
    <w:p w14:paraId="115649C6" w14:textId="77777777" w:rsidR="006A2245" w:rsidRPr="00530906" w:rsidRDefault="006A2245" w:rsidP="008756B1">
      <w:pPr>
        <w:jc w:val="both"/>
      </w:pPr>
    </w:p>
    <w:p w14:paraId="0BF4534F" w14:textId="77777777" w:rsidR="006A2245" w:rsidRPr="00530906" w:rsidRDefault="006A2245" w:rsidP="008756B1">
      <w:pPr>
        <w:spacing w:line="259" w:lineRule="auto"/>
        <w:jc w:val="both"/>
        <w:rPr>
          <w:rFonts w:asciiTheme="majorHAnsi" w:eastAsiaTheme="minorEastAsia" w:hAnsiTheme="majorHAnsi" w:cstheme="majorBidi"/>
          <w:color w:val="2F5496" w:themeColor="accent1" w:themeShade="BF"/>
          <w:sz w:val="32"/>
          <w:szCs w:val="32"/>
        </w:rPr>
      </w:pPr>
      <w:r w:rsidRPr="00530906">
        <w:rPr>
          <w:rFonts w:eastAsiaTheme="minorEastAsia"/>
        </w:rPr>
        <w:br w:type="page"/>
      </w:r>
    </w:p>
    <w:p w14:paraId="2A945267" w14:textId="66456BD9" w:rsidR="00840468" w:rsidRPr="00530906" w:rsidRDefault="00840468" w:rsidP="008756B1">
      <w:pPr>
        <w:spacing w:line="259" w:lineRule="auto"/>
        <w:jc w:val="both"/>
        <w:rPr>
          <w:rFonts w:asciiTheme="majorHAnsi" w:eastAsiaTheme="majorEastAsia" w:hAnsiTheme="majorHAnsi" w:cstheme="majorBidi"/>
          <w:color w:val="2F5496" w:themeColor="accent1" w:themeShade="BF"/>
          <w:sz w:val="32"/>
          <w:szCs w:val="32"/>
        </w:rPr>
      </w:pPr>
    </w:p>
    <w:p w14:paraId="76C10BAF" w14:textId="6C87A365" w:rsidR="00CE3580" w:rsidRPr="00530906" w:rsidRDefault="005A254B" w:rsidP="008756B1">
      <w:pPr>
        <w:pStyle w:val="Heading1"/>
        <w:jc w:val="both"/>
      </w:pPr>
      <w:bookmarkStart w:id="124" w:name="_Toc115726281"/>
      <w:r w:rsidRPr="00530906">
        <w:t xml:space="preserve">Appendix 3: </w:t>
      </w:r>
      <w:r w:rsidR="001E4D86" w:rsidRPr="00530906">
        <w:t>Questionnaire</w:t>
      </w:r>
      <w:bookmarkEnd w:id="124"/>
      <w:r w:rsidR="001E4D86" w:rsidRPr="00530906">
        <w:t xml:space="preserve"> </w:t>
      </w:r>
    </w:p>
    <w:p w14:paraId="080B221D" w14:textId="2CFFAA43" w:rsidR="00C7217E" w:rsidRPr="00530906" w:rsidRDefault="00CE3580" w:rsidP="000140BB">
      <w:pPr>
        <w:pStyle w:val="Heading2"/>
        <w:jc w:val="both"/>
        <w:rPr>
          <w:rFonts w:ascii="Cambria" w:hAnsi="Cambria"/>
        </w:rPr>
      </w:pPr>
      <w:bookmarkStart w:id="125" w:name="_Toc115726282"/>
      <w:r w:rsidRPr="00530906">
        <w:t>Appendix</w:t>
      </w:r>
      <w:r w:rsidR="00C7217E" w:rsidRPr="00530906">
        <w:t xml:space="preserve">: </w:t>
      </w:r>
      <w:r w:rsidR="002E0B61" w:rsidRPr="00530906">
        <w:t>3</w:t>
      </w:r>
      <w:r w:rsidR="00C7217E" w:rsidRPr="00530906">
        <w:t>.1</w:t>
      </w:r>
      <w:bookmarkEnd w:id="125"/>
      <w:r w:rsidR="000140BB">
        <w:t xml:space="preserve">: </w:t>
      </w:r>
      <w:r w:rsidR="00C7217E" w:rsidRPr="00530906">
        <w:rPr>
          <w:rFonts w:ascii="Cambria" w:hAnsi="Cambria"/>
        </w:rPr>
        <w:t xml:space="preserve">The pre–existing scales those have been used. </w:t>
      </w:r>
    </w:p>
    <w:tbl>
      <w:tblPr>
        <w:tblStyle w:val="TableGrid3"/>
        <w:tblW w:w="14567" w:type="dxa"/>
        <w:tblLayout w:type="fixed"/>
        <w:tblLook w:val="04A0" w:firstRow="1" w:lastRow="0" w:firstColumn="1" w:lastColumn="0" w:noHBand="0" w:noVBand="1"/>
      </w:tblPr>
      <w:tblGrid>
        <w:gridCol w:w="1745"/>
        <w:gridCol w:w="3549"/>
        <w:gridCol w:w="2356"/>
        <w:gridCol w:w="6917"/>
      </w:tblGrid>
      <w:tr w:rsidR="00C7217E" w:rsidRPr="00530906" w14:paraId="208ECD23" w14:textId="77777777" w:rsidTr="00C7217E">
        <w:tc>
          <w:tcPr>
            <w:tcW w:w="1745" w:type="dxa"/>
          </w:tcPr>
          <w:p w14:paraId="2E2878E5" w14:textId="77777777" w:rsidR="00C7217E" w:rsidRPr="00530906" w:rsidRDefault="00C7217E">
            <w:pPr>
              <w:spacing w:line="360" w:lineRule="auto"/>
              <w:jc w:val="both"/>
              <w:rPr>
                <w:rFonts w:ascii="Cambria" w:hAnsi="Cambria"/>
                <w:b/>
                <w:bCs/>
                <w:sz w:val="24"/>
                <w:szCs w:val="24"/>
              </w:rPr>
            </w:pPr>
            <w:r w:rsidRPr="00530906">
              <w:rPr>
                <w:rFonts w:ascii="Cambria" w:hAnsi="Cambria"/>
                <w:b/>
                <w:bCs/>
                <w:sz w:val="24"/>
                <w:szCs w:val="24"/>
              </w:rPr>
              <w:t>Construct</w:t>
            </w:r>
          </w:p>
        </w:tc>
        <w:tc>
          <w:tcPr>
            <w:tcW w:w="3549" w:type="dxa"/>
          </w:tcPr>
          <w:p w14:paraId="61B2B22B" w14:textId="77777777" w:rsidR="00C7217E" w:rsidRPr="00530906" w:rsidRDefault="00C7217E">
            <w:pPr>
              <w:spacing w:line="360" w:lineRule="auto"/>
              <w:jc w:val="both"/>
              <w:rPr>
                <w:rFonts w:ascii="Cambria" w:hAnsi="Cambria"/>
                <w:b/>
                <w:bCs/>
                <w:sz w:val="24"/>
                <w:szCs w:val="24"/>
              </w:rPr>
            </w:pPr>
            <w:r w:rsidRPr="00530906">
              <w:rPr>
                <w:rFonts w:ascii="Cambria" w:hAnsi="Cambria"/>
                <w:b/>
                <w:bCs/>
                <w:sz w:val="24"/>
                <w:szCs w:val="24"/>
              </w:rPr>
              <w:t>Definition</w:t>
            </w:r>
          </w:p>
        </w:tc>
        <w:tc>
          <w:tcPr>
            <w:tcW w:w="2356" w:type="dxa"/>
          </w:tcPr>
          <w:p w14:paraId="1F6A18AE" w14:textId="77777777" w:rsidR="00C7217E" w:rsidRPr="00530906" w:rsidRDefault="00C7217E">
            <w:pPr>
              <w:spacing w:line="360" w:lineRule="auto"/>
              <w:jc w:val="both"/>
              <w:rPr>
                <w:rFonts w:ascii="Cambria" w:hAnsi="Cambria"/>
                <w:b/>
                <w:bCs/>
                <w:sz w:val="24"/>
                <w:szCs w:val="24"/>
              </w:rPr>
            </w:pPr>
            <w:r w:rsidRPr="00530906">
              <w:rPr>
                <w:rFonts w:ascii="Cambria" w:hAnsi="Cambria"/>
                <w:b/>
                <w:bCs/>
                <w:sz w:val="24"/>
                <w:szCs w:val="24"/>
              </w:rPr>
              <w:t xml:space="preserve">Source </w:t>
            </w:r>
          </w:p>
        </w:tc>
        <w:tc>
          <w:tcPr>
            <w:tcW w:w="6917" w:type="dxa"/>
          </w:tcPr>
          <w:p w14:paraId="444184C2" w14:textId="77777777" w:rsidR="00C7217E" w:rsidRPr="00530906" w:rsidRDefault="00C7217E">
            <w:pPr>
              <w:spacing w:line="360" w:lineRule="auto"/>
              <w:jc w:val="both"/>
              <w:rPr>
                <w:rFonts w:ascii="Cambria" w:hAnsi="Cambria"/>
                <w:b/>
                <w:bCs/>
                <w:sz w:val="24"/>
                <w:szCs w:val="24"/>
              </w:rPr>
            </w:pPr>
            <w:r w:rsidRPr="00530906">
              <w:rPr>
                <w:rFonts w:ascii="Cambria" w:hAnsi="Cambria"/>
                <w:b/>
                <w:bCs/>
                <w:sz w:val="24"/>
                <w:szCs w:val="24"/>
              </w:rPr>
              <w:t xml:space="preserve">Items </w:t>
            </w:r>
          </w:p>
        </w:tc>
      </w:tr>
      <w:tr w:rsidR="00C7217E" w:rsidRPr="00530906" w14:paraId="26ABBA50" w14:textId="77777777" w:rsidTr="00C7217E">
        <w:tc>
          <w:tcPr>
            <w:tcW w:w="1745" w:type="dxa"/>
          </w:tcPr>
          <w:p w14:paraId="21607635"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Involvement/ personal relevance (petty and cacioppo 1986) with the ad </w:t>
            </w:r>
          </w:p>
        </w:tc>
        <w:tc>
          <w:tcPr>
            <w:tcW w:w="3549" w:type="dxa"/>
          </w:tcPr>
          <w:p w14:paraId="0CA39577"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the degree of a customer’s perceived connection with the brand arising from his or her inherent needs, values, and benefits gained from the brand (Zaichkowsky 1985; cited by Gupta et al., 2018).</w:t>
            </w:r>
          </w:p>
        </w:tc>
        <w:tc>
          <w:tcPr>
            <w:tcW w:w="2356" w:type="dxa"/>
          </w:tcPr>
          <w:p w14:paraId="7AA9B145"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Zaichowsky' (1994)</w:t>
            </w:r>
          </w:p>
          <w:p w14:paraId="5B02A95D" w14:textId="77777777" w:rsidR="00C7217E" w:rsidRPr="00530906" w:rsidRDefault="00C7217E">
            <w:pPr>
              <w:spacing w:line="360" w:lineRule="auto"/>
              <w:jc w:val="both"/>
              <w:rPr>
                <w:rFonts w:ascii="Cambria" w:hAnsi="Cambria"/>
                <w:sz w:val="24"/>
                <w:szCs w:val="24"/>
              </w:rPr>
            </w:pPr>
          </w:p>
        </w:tc>
        <w:tc>
          <w:tcPr>
            <w:tcW w:w="6917" w:type="dxa"/>
          </w:tcPr>
          <w:p w14:paraId="10283406"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7160787C"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Unimportant–important </w:t>
            </w:r>
          </w:p>
          <w:p w14:paraId="1CFB10A1"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Boring–interesting</w:t>
            </w:r>
            <w:r w:rsidRPr="00530906">
              <w:rPr>
                <w:rFonts w:ascii="Cambria" w:hAnsi="Cambria" w:cs="AdvTT6120e2aa"/>
                <w:sz w:val="24"/>
                <w:szCs w:val="24"/>
              </w:rPr>
              <w:br/>
              <w:t>Irrelevant–relevant</w:t>
            </w:r>
          </w:p>
          <w:p w14:paraId="66B9B366"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Unexciting–exciting</w:t>
            </w:r>
            <w:r w:rsidRPr="00530906">
              <w:rPr>
                <w:rFonts w:ascii="Cambria" w:hAnsi="Cambria" w:cs="AdvTT6120e2aa"/>
                <w:sz w:val="24"/>
                <w:szCs w:val="24"/>
              </w:rPr>
              <w:br/>
              <w:t>Means nothing–means a lot to me </w:t>
            </w:r>
          </w:p>
          <w:p w14:paraId="7D2431C2"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Unappealing–appealing</w:t>
            </w:r>
          </w:p>
          <w:p w14:paraId="7095DA48"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Mundane–fascinating</w:t>
            </w:r>
            <w:r w:rsidRPr="00530906">
              <w:rPr>
                <w:rFonts w:ascii="Cambria" w:hAnsi="Cambria" w:cs="AdvTT6120e2aa"/>
                <w:sz w:val="24"/>
                <w:szCs w:val="24"/>
              </w:rPr>
              <w:br/>
              <w:t>Worthless–valuable </w:t>
            </w:r>
          </w:p>
          <w:p w14:paraId="3FE3F145" w14:textId="77777777" w:rsidR="00C7217E" w:rsidRPr="00530906" w:rsidRDefault="00C7217E">
            <w:pPr>
              <w:spacing w:line="360" w:lineRule="auto"/>
              <w:jc w:val="both"/>
              <w:rPr>
                <w:rFonts w:ascii="Cambria" w:hAnsi="Cambria"/>
                <w:sz w:val="24"/>
                <w:szCs w:val="24"/>
              </w:rPr>
            </w:pPr>
            <w:r w:rsidRPr="00530906">
              <w:rPr>
                <w:rFonts w:ascii="Cambria" w:hAnsi="Cambria" w:cs="AdvTT6120e2aa"/>
                <w:sz w:val="24"/>
                <w:szCs w:val="24"/>
              </w:rPr>
              <w:t xml:space="preserve">  Uninvolving–involving</w:t>
            </w:r>
            <w:r w:rsidRPr="00530906">
              <w:rPr>
                <w:rFonts w:ascii="Cambria" w:hAnsi="Cambria" w:cs="AdvTT6120e2aa"/>
                <w:sz w:val="24"/>
                <w:szCs w:val="24"/>
              </w:rPr>
              <w:br/>
              <w:t xml:space="preserve">  Not needed–needed</w:t>
            </w:r>
          </w:p>
        </w:tc>
      </w:tr>
      <w:tr w:rsidR="00C7217E" w:rsidRPr="00530906" w14:paraId="68453937" w14:textId="77777777" w:rsidTr="00C7217E">
        <w:trPr>
          <w:trHeight w:val="65"/>
        </w:trPr>
        <w:tc>
          <w:tcPr>
            <w:tcW w:w="1745" w:type="dxa"/>
          </w:tcPr>
          <w:p w14:paraId="2517452A"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Source trustworthiness</w:t>
            </w:r>
          </w:p>
        </w:tc>
        <w:tc>
          <w:tcPr>
            <w:tcW w:w="3549" w:type="dxa"/>
          </w:tcPr>
          <w:p w14:paraId="08C5154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This refers to the recipient’s degree of confidence in and the level of acceptance of the communicator and the message (Ohanian 1990)</w:t>
            </w:r>
          </w:p>
        </w:tc>
        <w:tc>
          <w:tcPr>
            <w:tcW w:w="2356" w:type="dxa"/>
          </w:tcPr>
          <w:p w14:paraId="0BCE2767"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Ohanian (1990)</w:t>
            </w:r>
          </w:p>
        </w:tc>
        <w:tc>
          <w:tcPr>
            <w:tcW w:w="6917" w:type="dxa"/>
          </w:tcPr>
          <w:p w14:paraId="7ECA4F64" w14:textId="77777777" w:rsidR="00C7217E" w:rsidRPr="00530906" w:rsidRDefault="00C7217E">
            <w:pPr>
              <w:autoSpaceDE w:val="0"/>
              <w:autoSpaceDN w:val="0"/>
              <w:adjustRightInd w:val="0"/>
              <w:spacing w:line="360" w:lineRule="auto"/>
              <w:jc w:val="both"/>
              <w:rPr>
                <w:rFonts w:ascii="Cambria" w:hAnsi="Cambria" w:cs="Times New Roman"/>
                <w:b/>
                <w:bCs/>
                <w:sz w:val="24"/>
                <w:szCs w:val="24"/>
              </w:rPr>
            </w:pPr>
            <w:r w:rsidRPr="00530906">
              <w:rPr>
                <w:rFonts w:ascii="Cambria" w:hAnsi="Cambria" w:cs="Times New Roman"/>
                <w:b/>
                <w:bCs/>
                <w:sz w:val="24"/>
                <w:szCs w:val="24"/>
              </w:rPr>
              <w:t>Trustworthiness</w:t>
            </w:r>
          </w:p>
          <w:p w14:paraId="32549947"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Dependable—Undependable</w:t>
            </w:r>
          </w:p>
          <w:p w14:paraId="72890CA3"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Honest—Dishonest</w:t>
            </w:r>
          </w:p>
          <w:p w14:paraId="0EB6ACDF"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Reliable—Unreliable</w:t>
            </w:r>
          </w:p>
          <w:p w14:paraId="1112B0F8"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Sincere—Insincere</w:t>
            </w:r>
          </w:p>
          <w:p w14:paraId="151BD84A"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Trustworthy—Untrustworthy</w:t>
            </w:r>
          </w:p>
        </w:tc>
      </w:tr>
      <w:tr w:rsidR="00C7217E" w:rsidRPr="00530906" w14:paraId="2396AEBB" w14:textId="77777777" w:rsidTr="00C7217E">
        <w:trPr>
          <w:trHeight w:val="416"/>
        </w:trPr>
        <w:tc>
          <w:tcPr>
            <w:tcW w:w="1745" w:type="dxa"/>
          </w:tcPr>
          <w:p w14:paraId="42B0E4DF"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Source expertise</w:t>
            </w:r>
          </w:p>
        </w:tc>
        <w:tc>
          <w:tcPr>
            <w:tcW w:w="3549" w:type="dxa"/>
          </w:tcPr>
          <w:p w14:paraId="17491C73"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This represents the competence, authoritativeness, and qualification of the source (Ohanian 1990)</w:t>
            </w:r>
          </w:p>
        </w:tc>
        <w:tc>
          <w:tcPr>
            <w:tcW w:w="2356" w:type="dxa"/>
          </w:tcPr>
          <w:p w14:paraId="6AD52EA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Ohanian (1990)</w:t>
            </w:r>
          </w:p>
        </w:tc>
        <w:tc>
          <w:tcPr>
            <w:tcW w:w="6917" w:type="dxa"/>
          </w:tcPr>
          <w:p w14:paraId="0F6BDCCB" w14:textId="77777777" w:rsidR="00C7217E" w:rsidRPr="00530906" w:rsidRDefault="00C7217E">
            <w:pPr>
              <w:autoSpaceDE w:val="0"/>
              <w:autoSpaceDN w:val="0"/>
              <w:adjustRightInd w:val="0"/>
              <w:spacing w:line="360" w:lineRule="auto"/>
              <w:jc w:val="both"/>
              <w:rPr>
                <w:rFonts w:ascii="Cambria" w:hAnsi="Cambria" w:cs="Times New Roman"/>
                <w:b/>
                <w:bCs/>
                <w:sz w:val="24"/>
                <w:szCs w:val="24"/>
              </w:rPr>
            </w:pPr>
            <w:r w:rsidRPr="00530906">
              <w:rPr>
                <w:rFonts w:ascii="Cambria" w:hAnsi="Cambria" w:cs="Times New Roman"/>
                <w:b/>
                <w:bCs/>
                <w:sz w:val="24"/>
                <w:szCs w:val="24"/>
              </w:rPr>
              <w:t>Expertise</w:t>
            </w:r>
          </w:p>
          <w:p w14:paraId="380211AB"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Expert—Not an expert</w:t>
            </w:r>
          </w:p>
          <w:p w14:paraId="426C9042"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Experienced—Inexperienced</w:t>
            </w:r>
          </w:p>
          <w:p w14:paraId="59E70439"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Knowledgeable—Unknowledgeable</w:t>
            </w:r>
          </w:p>
          <w:p w14:paraId="0E99ED28"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Qualified—Unqualified</w:t>
            </w:r>
          </w:p>
          <w:p w14:paraId="422BC0F7" w14:textId="77777777" w:rsidR="00C7217E" w:rsidRPr="00530906" w:rsidRDefault="00C7217E">
            <w:pPr>
              <w:autoSpaceDE w:val="0"/>
              <w:autoSpaceDN w:val="0"/>
              <w:adjustRightInd w:val="0"/>
              <w:spacing w:line="360" w:lineRule="auto"/>
              <w:jc w:val="both"/>
              <w:rPr>
                <w:rFonts w:ascii="Cambria" w:hAnsi="Cambria" w:cs="Times New Roman"/>
                <w:b/>
                <w:bCs/>
                <w:sz w:val="24"/>
                <w:szCs w:val="24"/>
              </w:rPr>
            </w:pPr>
            <w:r w:rsidRPr="00530906">
              <w:rPr>
                <w:rFonts w:ascii="Cambria" w:hAnsi="Cambria" w:cs="AdvTT6120e2aa"/>
                <w:sz w:val="24"/>
                <w:szCs w:val="24"/>
              </w:rPr>
              <w:t>Skilled–Unskilled</w:t>
            </w:r>
          </w:p>
        </w:tc>
      </w:tr>
      <w:tr w:rsidR="00C7217E" w:rsidRPr="00530906" w14:paraId="54279EB4" w14:textId="77777777" w:rsidTr="00C7217E">
        <w:trPr>
          <w:trHeight w:val="1266"/>
        </w:trPr>
        <w:tc>
          <w:tcPr>
            <w:tcW w:w="1745" w:type="dxa"/>
          </w:tcPr>
          <w:p w14:paraId="66B9FE1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SCV</w:t>
            </w:r>
          </w:p>
        </w:tc>
        <w:tc>
          <w:tcPr>
            <w:tcW w:w="3549" w:type="dxa"/>
          </w:tcPr>
          <w:p w14:paraId="0855C779"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self–transformative consumption vision (SCV) as a person's mental visualization process of creating a self–involved imaginative future incident, story or narrative about a product or service in which the consumption outcome is envisioned (Yim et al. 2018)</w:t>
            </w:r>
          </w:p>
        </w:tc>
        <w:tc>
          <w:tcPr>
            <w:tcW w:w="2356" w:type="dxa"/>
          </w:tcPr>
          <w:p w14:paraId="5DD21DE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Yim et al. (2018)</w:t>
            </w:r>
          </w:p>
        </w:tc>
        <w:tc>
          <w:tcPr>
            <w:tcW w:w="6917" w:type="dxa"/>
          </w:tcPr>
          <w:p w14:paraId="60D15864"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Imagery quality</w:t>
            </w:r>
            <w:r w:rsidRPr="00530906">
              <w:rPr>
                <w:rFonts w:ascii="Cambria" w:hAnsi="Cambria" w:cs="AdvTT6120e2aa"/>
                <w:b/>
                <w:sz w:val="24"/>
                <w:szCs w:val="24"/>
              </w:rPr>
              <w:t xml:space="preserve"> 7 point semantic differential scale</w:t>
            </w:r>
          </w:p>
          <w:p w14:paraId="5A38E6BE"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The images in the ad I just saw were:</w:t>
            </w:r>
          </w:p>
          <w:p w14:paraId="53F8EEE0" w14:textId="77777777" w:rsidR="00C7217E" w:rsidRPr="00530906" w:rsidRDefault="00C7217E">
            <w:pPr>
              <w:autoSpaceDE w:val="0"/>
              <w:autoSpaceDN w:val="0"/>
              <w:adjustRightInd w:val="0"/>
              <w:spacing w:line="360" w:lineRule="auto"/>
              <w:ind w:left="259"/>
              <w:jc w:val="both"/>
              <w:rPr>
                <w:rFonts w:ascii="Cambria" w:hAnsi="Cambria" w:cs="AdvTT6120e2aa"/>
                <w:sz w:val="24"/>
                <w:szCs w:val="24"/>
              </w:rPr>
            </w:pPr>
            <w:r w:rsidRPr="00530906">
              <w:rPr>
                <w:rFonts w:ascii="Cambria" w:hAnsi="Cambria" w:cs="AdvTT6120e2aa"/>
                <w:sz w:val="24"/>
                <w:szCs w:val="24"/>
              </w:rPr>
              <w:t>Vague</w:t>
            </w:r>
            <w:r w:rsidRPr="00530906">
              <w:rPr>
                <w:rFonts w:ascii="Cambria" w:hAnsi="Cambria" w:cs="AdvTT6120e2aa+20"/>
                <w:sz w:val="24"/>
                <w:szCs w:val="24"/>
              </w:rPr>
              <w:t>–</w:t>
            </w:r>
            <w:r w:rsidRPr="00530906">
              <w:rPr>
                <w:rFonts w:ascii="Cambria" w:hAnsi="Cambria" w:cs="AdvTT6120e2aa"/>
                <w:sz w:val="24"/>
                <w:szCs w:val="24"/>
              </w:rPr>
              <w:t>vivid</w:t>
            </w:r>
          </w:p>
          <w:p w14:paraId="0FF0D7C7" w14:textId="77777777" w:rsidR="00C7217E" w:rsidRPr="00530906" w:rsidRDefault="00C7217E">
            <w:pPr>
              <w:autoSpaceDE w:val="0"/>
              <w:autoSpaceDN w:val="0"/>
              <w:adjustRightInd w:val="0"/>
              <w:spacing w:line="360" w:lineRule="auto"/>
              <w:ind w:left="259"/>
              <w:jc w:val="both"/>
              <w:rPr>
                <w:rFonts w:ascii="Cambria" w:hAnsi="Cambria" w:cs="AdvTT6120e2aa"/>
                <w:sz w:val="24"/>
                <w:szCs w:val="24"/>
              </w:rPr>
            </w:pPr>
            <w:r w:rsidRPr="00530906">
              <w:rPr>
                <w:rFonts w:ascii="Cambria" w:hAnsi="Cambria" w:cs="AdvTT6120e2aa"/>
                <w:sz w:val="24"/>
                <w:szCs w:val="24"/>
              </w:rPr>
              <w:t>Sketchy</w:t>
            </w:r>
            <w:r w:rsidRPr="00530906">
              <w:rPr>
                <w:rFonts w:ascii="Cambria" w:hAnsi="Cambria" w:cs="AdvTT6120e2aa+20"/>
                <w:sz w:val="24"/>
                <w:szCs w:val="24"/>
              </w:rPr>
              <w:t>–</w:t>
            </w:r>
            <w:r w:rsidRPr="00530906">
              <w:rPr>
                <w:rFonts w:ascii="Cambria" w:hAnsi="Cambria" w:cs="AdvTT6120e2aa"/>
                <w:sz w:val="24"/>
                <w:szCs w:val="24"/>
              </w:rPr>
              <w:t>detailed</w:t>
            </w:r>
          </w:p>
          <w:p w14:paraId="25929CF3" w14:textId="77777777" w:rsidR="00C7217E" w:rsidRPr="00530906" w:rsidRDefault="00C7217E">
            <w:pPr>
              <w:autoSpaceDE w:val="0"/>
              <w:autoSpaceDN w:val="0"/>
              <w:adjustRightInd w:val="0"/>
              <w:spacing w:line="360" w:lineRule="auto"/>
              <w:ind w:left="259"/>
              <w:jc w:val="both"/>
              <w:rPr>
                <w:rFonts w:ascii="Cambria" w:hAnsi="Cambria" w:cs="AdvTT6120e2aa"/>
                <w:sz w:val="24"/>
                <w:szCs w:val="24"/>
              </w:rPr>
            </w:pPr>
            <w:r w:rsidRPr="00530906">
              <w:rPr>
                <w:rFonts w:ascii="Cambria" w:hAnsi="Cambria" w:cs="AdvTT6120e2aa"/>
                <w:sz w:val="24"/>
                <w:szCs w:val="24"/>
              </w:rPr>
              <w:t>Unclear</w:t>
            </w:r>
            <w:r w:rsidRPr="00530906">
              <w:rPr>
                <w:rFonts w:ascii="Cambria" w:hAnsi="Cambria" w:cs="AdvTT6120e2aa+20"/>
                <w:sz w:val="24"/>
                <w:szCs w:val="24"/>
              </w:rPr>
              <w:t>–</w:t>
            </w:r>
            <w:r w:rsidRPr="00530906">
              <w:rPr>
                <w:rFonts w:ascii="Cambria" w:hAnsi="Cambria" w:cs="AdvTT6120e2aa"/>
                <w:sz w:val="24"/>
                <w:szCs w:val="24"/>
              </w:rPr>
              <w:t>clear</w:t>
            </w:r>
          </w:p>
          <w:p w14:paraId="049BDDD6" w14:textId="77777777" w:rsidR="00C7217E" w:rsidRPr="00530906" w:rsidRDefault="00C7217E">
            <w:pPr>
              <w:spacing w:line="360" w:lineRule="auto"/>
              <w:ind w:left="259"/>
              <w:jc w:val="both"/>
              <w:rPr>
                <w:rFonts w:ascii="Cambria" w:hAnsi="Cambria" w:cs="AdvTT6120e2aa"/>
                <w:sz w:val="24"/>
                <w:szCs w:val="24"/>
              </w:rPr>
            </w:pPr>
            <w:r w:rsidRPr="00530906">
              <w:rPr>
                <w:rFonts w:ascii="Cambria" w:hAnsi="Cambria" w:cs="AdvTT6120e2aa"/>
                <w:sz w:val="24"/>
                <w:szCs w:val="24"/>
              </w:rPr>
              <w:t>Dim</w:t>
            </w:r>
            <w:r w:rsidRPr="00530906">
              <w:rPr>
                <w:rFonts w:ascii="Cambria" w:hAnsi="Cambria" w:cs="AdvTT6120e2aa+20"/>
                <w:sz w:val="24"/>
                <w:szCs w:val="24"/>
              </w:rPr>
              <w:t>–</w:t>
            </w:r>
            <w:r w:rsidRPr="00530906">
              <w:rPr>
                <w:rFonts w:ascii="Cambria" w:hAnsi="Cambria" w:cs="AdvTT6120e2aa"/>
                <w:sz w:val="24"/>
                <w:szCs w:val="24"/>
              </w:rPr>
              <w:t>sharp</w:t>
            </w:r>
          </w:p>
          <w:p w14:paraId="6A9A2020" w14:textId="77777777" w:rsidR="00C7217E" w:rsidRPr="00530906" w:rsidRDefault="00C7217E">
            <w:pPr>
              <w:autoSpaceDE w:val="0"/>
              <w:autoSpaceDN w:val="0"/>
              <w:adjustRightInd w:val="0"/>
              <w:spacing w:line="360" w:lineRule="auto"/>
              <w:ind w:left="-72"/>
              <w:jc w:val="both"/>
              <w:rPr>
                <w:rFonts w:ascii="Cambria" w:hAnsi="Cambria" w:cs="AdvTT6120e2aa"/>
                <w:sz w:val="24"/>
                <w:szCs w:val="24"/>
              </w:rPr>
            </w:pPr>
            <w:r w:rsidRPr="00530906">
              <w:rPr>
                <w:rFonts w:ascii="Cambria" w:hAnsi="Cambria" w:cs="AdvTT6120e2aa"/>
                <w:sz w:val="24"/>
                <w:szCs w:val="24"/>
              </w:rPr>
              <w:t xml:space="preserve">Engrossment </w:t>
            </w:r>
            <w:r w:rsidRPr="00530906">
              <w:rPr>
                <w:rFonts w:ascii="Cambria" w:hAnsi="Cambria" w:cs="AdvTT6120e2aa"/>
                <w:b/>
                <w:sz w:val="24"/>
                <w:szCs w:val="24"/>
              </w:rPr>
              <w:t>7 point Likert scale</w:t>
            </w:r>
          </w:p>
          <w:p w14:paraId="35CF4D1C" w14:textId="77777777" w:rsidR="00C7217E" w:rsidRPr="00530906" w:rsidRDefault="00C7217E">
            <w:pPr>
              <w:autoSpaceDE w:val="0"/>
              <w:autoSpaceDN w:val="0"/>
              <w:adjustRightInd w:val="0"/>
              <w:spacing w:line="360" w:lineRule="auto"/>
              <w:ind w:left="212"/>
              <w:jc w:val="both"/>
              <w:rPr>
                <w:rFonts w:ascii="Cambria" w:hAnsi="Cambria" w:cs="AdvTT6120e2aa"/>
                <w:sz w:val="24"/>
                <w:szCs w:val="24"/>
              </w:rPr>
            </w:pPr>
            <w:r w:rsidRPr="00530906">
              <w:rPr>
                <w:rFonts w:ascii="Cambria" w:hAnsi="Cambria" w:cs="AdvTT6120e2aa"/>
                <w:sz w:val="24"/>
                <w:szCs w:val="24"/>
              </w:rPr>
              <w:t>While watching the ad, I felt that time was disconnected from my real world</w:t>
            </w:r>
          </w:p>
          <w:p w14:paraId="6CCDEAB5"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While watching the ad, I lost track of time and heavily focused on the images described in the ad.</w:t>
            </w:r>
          </w:p>
          <w:p w14:paraId="32B22328"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 xml:space="preserve">While looking at the ad, I felt I was in a different world. </w:t>
            </w:r>
          </w:p>
          <w:p w14:paraId="76FB83AE"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 xml:space="preserve">I felt like I was a different person while looking at the ad. </w:t>
            </w:r>
          </w:p>
          <w:p w14:paraId="29F7955C" w14:textId="77777777" w:rsidR="00C7217E" w:rsidRPr="00530906" w:rsidRDefault="00C7217E">
            <w:pPr>
              <w:autoSpaceDE w:val="0"/>
              <w:autoSpaceDN w:val="0"/>
              <w:adjustRightInd w:val="0"/>
              <w:spacing w:line="360" w:lineRule="auto"/>
              <w:ind w:left="-72"/>
              <w:jc w:val="both"/>
              <w:rPr>
                <w:rFonts w:ascii="Cambria" w:hAnsi="Cambria" w:cs="AdvTT6120e2aa"/>
                <w:sz w:val="24"/>
                <w:szCs w:val="24"/>
              </w:rPr>
            </w:pPr>
            <w:r w:rsidRPr="00530906">
              <w:rPr>
                <w:rFonts w:ascii="Cambria" w:hAnsi="Cambria" w:cs="AdvTT6120e2aa"/>
                <w:sz w:val="24"/>
                <w:szCs w:val="24"/>
              </w:rPr>
              <w:t xml:space="preserve">Self–projection </w:t>
            </w:r>
            <w:r w:rsidRPr="00530906">
              <w:rPr>
                <w:rFonts w:ascii="Cambria" w:hAnsi="Cambria" w:cs="AdvTT6120e2aa"/>
                <w:b/>
                <w:sz w:val="24"/>
                <w:szCs w:val="24"/>
              </w:rPr>
              <w:t>7 point Likert scale</w:t>
            </w:r>
          </w:p>
          <w:p w14:paraId="1A29BAAC"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 xml:space="preserve">I had images of myself in the ad. </w:t>
            </w:r>
          </w:p>
          <w:p w14:paraId="4DEB2091" w14:textId="066CB460"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 xml:space="preserve">I pictured </w:t>
            </w:r>
            <w:r w:rsidR="00DA6237" w:rsidRPr="00530906">
              <w:rPr>
                <w:rFonts w:ascii="Cambria" w:hAnsi="Cambria" w:cs="AdvTT6120e2aa"/>
                <w:sz w:val="24"/>
                <w:szCs w:val="24"/>
              </w:rPr>
              <w:t>myself using</w:t>
            </w:r>
            <w:r w:rsidRPr="00530906">
              <w:rPr>
                <w:rFonts w:ascii="Cambria" w:hAnsi="Cambria" w:cs="AdvTT6120e2aa"/>
                <w:sz w:val="24"/>
                <w:szCs w:val="24"/>
              </w:rPr>
              <w:t xml:space="preserve"> the product. </w:t>
            </w:r>
          </w:p>
          <w:p w14:paraId="504D2A79"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The mental images that came to mind formed a picture in my mind in which I was a part.</w:t>
            </w:r>
          </w:p>
          <w:p w14:paraId="3B634EF5" w14:textId="7EE266BF"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 xml:space="preserve">I could easily construct a story about </w:t>
            </w:r>
            <w:r w:rsidR="00DA6237" w:rsidRPr="00530906">
              <w:rPr>
                <w:rFonts w:ascii="Cambria" w:hAnsi="Cambria" w:cs="AdvTT6120e2aa"/>
                <w:sz w:val="24"/>
                <w:szCs w:val="24"/>
              </w:rPr>
              <w:t>myself,</w:t>
            </w:r>
            <w:r w:rsidRPr="00530906">
              <w:rPr>
                <w:rFonts w:ascii="Cambria" w:hAnsi="Cambria" w:cs="AdvTT6120e2aa"/>
                <w:sz w:val="24"/>
                <w:szCs w:val="24"/>
              </w:rPr>
              <w:t xml:space="preserve"> and the featured product based on the mental images that came to mind.</w:t>
            </w:r>
          </w:p>
          <w:p w14:paraId="6BD8CF2A"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I was easily able to project myself into the story in the ad.</w:t>
            </w:r>
          </w:p>
          <w:p w14:paraId="77906701" w14:textId="13C6C7C6" w:rsidR="00C7217E" w:rsidRPr="00530906" w:rsidRDefault="00C7217E">
            <w:pPr>
              <w:autoSpaceDE w:val="0"/>
              <w:autoSpaceDN w:val="0"/>
              <w:adjustRightInd w:val="0"/>
              <w:spacing w:line="360" w:lineRule="auto"/>
              <w:ind w:left="-72"/>
              <w:jc w:val="both"/>
              <w:rPr>
                <w:rFonts w:ascii="Cambria" w:hAnsi="Cambria" w:cs="AdvTT6120e2aa"/>
                <w:sz w:val="24"/>
                <w:szCs w:val="24"/>
              </w:rPr>
            </w:pPr>
            <w:r w:rsidRPr="00530906">
              <w:rPr>
                <w:rFonts w:ascii="Cambria" w:hAnsi="Cambria" w:cs="AdvTT6120e2aa"/>
                <w:sz w:val="24"/>
                <w:szCs w:val="24"/>
              </w:rPr>
              <w:t xml:space="preserve">Mental </w:t>
            </w:r>
            <w:r w:rsidR="00DA6237" w:rsidRPr="00530906">
              <w:rPr>
                <w:rFonts w:ascii="Cambria" w:hAnsi="Cambria" w:cs="AdvTT6120e2aa"/>
                <w:sz w:val="24"/>
                <w:szCs w:val="24"/>
              </w:rPr>
              <w:t>fluency 7</w:t>
            </w:r>
            <w:r w:rsidRPr="00530906">
              <w:rPr>
                <w:rFonts w:ascii="Cambria" w:hAnsi="Cambria" w:cs="AdvTT6120e2aa"/>
                <w:b/>
                <w:sz w:val="24"/>
                <w:szCs w:val="24"/>
              </w:rPr>
              <w:t xml:space="preserve"> point Likert scale</w:t>
            </w:r>
          </w:p>
          <w:p w14:paraId="79CC8F2A"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How much effort was required to retrieve the images you saw in the ad?</w:t>
            </w:r>
          </w:p>
          <w:p w14:paraId="379D3D90" w14:textId="77777777" w:rsidR="00C7217E" w:rsidRPr="00530906" w:rsidRDefault="00C7217E">
            <w:pPr>
              <w:autoSpaceDE w:val="0"/>
              <w:autoSpaceDN w:val="0"/>
              <w:adjustRightInd w:val="0"/>
              <w:spacing w:line="360" w:lineRule="auto"/>
              <w:ind w:left="252"/>
              <w:jc w:val="both"/>
              <w:rPr>
                <w:rFonts w:ascii="Cambria" w:hAnsi="Cambria" w:cs="AdvTT6120e2aa"/>
                <w:sz w:val="24"/>
                <w:szCs w:val="24"/>
              </w:rPr>
            </w:pPr>
            <w:r w:rsidRPr="00530906">
              <w:rPr>
                <w:rFonts w:ascii="Cambria" w:hAnsi="Cambria" w:cs="AdvTT6120e2aa"/>
                <w:sz w:val="24"/>
                <w:szCs w:val="24"/>
              </w:rPr>
              <w:t>How much effort was required to imagine yourself being in the scene(s) described in the ad?</w:t>
            </w:r>
          </w:p>
          <w:p w14:paraId="264F882B" w14:textId="77777777" w:rsidR="00C7217E" w:rsidRPr="00530906" w:rsidRDefault="00C7217E">
            <w:pPr>
              <w:autoSpaceDE w:val="0"/>
              <w:autoSpaceDN w:val="0"/>
              <w:adjustRightInd w:val="0"/>
              <w:spacing w:line="360" w:lineRule="auto"/>
              <w:jc w:val="both"/>
              <w:rPr>
                <w:rFonts w:ascii="Cambria" w:hAnsi="Cambria" w:cs="Times New Roman"/>
                <w:b/>
                <w:bCs/>
                <w:sz w:val="24"/>
                <w:szCs w:val="24"/>
              </w:rPr>
            </w:pPr>
            <w:r w:rsidRPr="00530906">
              <w:rPr>
                <w:rFonts w:ascii="Cambria" w:hAnsi="Cambria" w:cs="AdvTT6120e2aa"/>
                <w:sz w:val="24"/>
                <w:szCs w:val="24"/>
              </w:rPr>
              <w:t xml:space="preserve">       How long did it take to recreate in your mind the image(s) you saw in the ad?</w:t>
            </w:r>
          </w:p>
        </w:tc>
      </w:tr>
      <w:tr w:rsidR="00C7217E" w:rsidRPr="00530906" w14:paraId="709FE885" w14:textId="77777777" w:rsidTr="00C7217E">
        <w:tc>
          <w:tcPr>
            <w:tcW w:w="1745" w:type="dxa"/>
          </w:tcPr>
          <w:p w14:paraId="0F004B5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Arousal </w:t>
            </w:r>
          </w:p>
        </w:tc>
        <w:tc>
          <w:tcPr>
            <w:tcW w:w="3549" w:type="dxa"/>
          </w:tcPr>
          <w:p w14:paraId="1957FED0" w14:textId="17B040DA"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Arousal represents </w:t>
            </w:r>
            <w:r w:rsidR="00DA6237" w:rsidRPr="00530906">
              <w:rPr>
                <w:rFonts w:ascii="Cambria" w:hAnsi="Cambria"/>
                <w:sz w:val="24"/>
                <w:szCs w:val="24"/>
              </w:rPr>
              <w:t>the mental</w:t>
            </w:r>
            <w:r w:rsidRPr="00530906">
              <w:rPr>
                <w:rFonts w:ascii="Cambria" w:hAnsi="Cambria"/>
                <w:sz w:val="24"/>
                <w:szCs w:val="24"/>
              </w:rPr>
              <w:t xml:space="preserve"> alertness and physical activities like– physical sharpness or abruptness (Bakker et al 2014)</w:t>
            </w:r>
          </w:p>
        </w:tc>
        <w:tc>
          <w:tcPr>
            <w:tcW w:w="2356" w:type="dxa"/>
          </w:tcPr>
          <w:p w14:paraId="5FD724BD"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Russel et al (1981)</w:t>
            </w:r>
          </w:p>
        </w:tc>
        <w:tc>
          <w:tcPr>
            <w:tcW w:w="6917" w:type="dxa"/>
          </w:tcPr>
          <w:p w14:paraId="5BA942D2"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07755C2B"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Sluggish – Frenzied</w:t>
            </w:r>
          </w:p>
          <w:p w14:paraId="3C5D83FC"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Unaroused – aroused</w:t>
            </w:r>
          </w:p>
          <w:p w14:paraId="6A9D3462"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Sleepy Wide awake </w:t>
            </w:r>
          </w:p>
          <w:p w14:paraId="2BEF8BA3"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Calm – exited </w:t>
            </w:r>
          </w:p>
          <w:p w14:paraId="1FCCC59B"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Relaxed – stimulated </w:t>
            </w:r>
          </w:p>
          <w:p w14:paraId="0DC5998A"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Dull – jittery </w:t>
            </w:r>
          </w:p>
        </w:tc>
      </w:tr>
      <w:tr w:rsidR="00C7217E" w:rsidRPr="00530906" w14:paraId="332373B9" w14:textId="77777777" w:rsidTr="00C7217E">
        <w:tc>
          <w:tcPr>
            <w:tcW w:w="1745" w:type="dxa"/>
          </w:tcPr>
          <w:p w14:paraId="41A828A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Pleasure </w:t>
            </w:r>
          </w:p>
        </w:tc>
        <w:tc>
          <w:tcPr>
            <w:tcW w:w="3549" w:type="dxa"/>
          </w:tcPr>
          <w:p w14:paraId="6B2C9610" w14:textId="067085A8"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Pleasure denotes the positive or negative </w:t>
            </w:r>
            <w:r w:rsidR="00DA6237" w:rsidRPr="00530906">
              <w:rPr>
                <w:rFonts w:ascii="Cambria" w:hAnsi="Cambria"/>
                <w:sz w:val="24"/>
                <w:szCs w:val="24"/>
              </w:rPr>
              <w:t>feelings (</w:t>
            </w:r>
            <w:r w:rsidRPr="00530906">
              <w:rPr>
                <w:rFonts w:ascii="Cambria" w:hAnsi="Cambria"/>
                <w:sz w:val="24"/>
                <w:szCs w:val="24"/>
              </w:rPr>
              <w:t>Bakker et al 2014)</w:t>
            </w:r>
          </w:p>
        </w:tc>
        <w:tc>
          <w:tcPr>
            <w:tcW w:w="2356" w:type="dxa"/>
          </w:tcPr>
          <w:p w14:paraId="2885C645"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Russel et al (1981)</w:t>
            </w:r>
          </w:p>
        </w:tc>
        <w:tc>
          <w:tcPr>
            <w:tcW w:w="6917" w:type="dxa"/>
          </w:tcPr>
          <w:p w14:paraId="2F14129E"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301B112A"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Annoyed – pleased </w:t>
            </w:r>
          </w:p>
          <w:p w14:paraId="196E42F7"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Dissatisfied – satisfied</w:t>
            </w:r>
          </w:p>
          <w:p w14:paraId="360BB4E1"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Unhappy – happy </w:t>
            </w:r>
          </w:p>
          <w:p w14:paraId="7A26E996"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Bored – relaxed </w:t>
            </w:r>
          </w:p>
          <w:p w14:paraId="41DC1521" w14:textId="77777777" w:rsidR="00C7217E" w:rsidRPr="00530906" w:rsidRDefault="00C7217E">
            <w:pPr>
              <w:autoSpaceDE w:val="0"/>
              <w:autoSpaceDN w:val="0"/>
              <w:adjustRightInd w:val="0"/>
              <w:spacing w:line="360" w:lineRule="auto"/>
              <w:jc w:val="both"/>
              <w:rPr>
                <w:rFonts w:ascii="Cambria" w:hAnsi="Cambria" w:cs="AdvTT6120e2aa"/>
                <w:sz w:val="24"/>
                <w:szCs w:val="24"/>
              </w:rPr>
            </w:pPr>
            <w:r w:rsidRPr="00530906">
              <w:rPr>
                <w:rFonts w:ascii="Cambria" w:hAnsi="Cambria" w:cs="AdvTT6120e2aa"/>
                <w:sz w:val="24"/>
                <w:szCs w:val="24"/>
              </w:rPr>
              <w:t xml:space="preserve">Despairing – hopeful </w:t>
            </w:r>
          </w:p>
        </w:tc>
      </w:tr>
      <w:tr w:rsidR="00C7217E" w:rsidRPr="00530906" w14:paraId="2E0E6AD6" w14:textId="77777777" w:rsidTr="00C7217E">
        <w:tc>
          <w:tcPr>
            <w:tcW w:w="1745" w:type="dxa"/>
          </w:tcPr>
          <w:p w14:paraId="721B46C9"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Dominance </w:t>
            </w:r>
          </w:p>
        </w:tc>
        <w:tc>
          <w:tcPr>
            <w:tcW w:w="3549" w:type="dxa"/>
          </w:tcPr>
          <w:p w14:paraId="1B779145"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dominance refers to the degree in which people experience their</w:t>
            </w:r>
          </w:p>
          <w:p w14:paraId="550CCE7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environment as being restrictive versus supporting to the way they want to act, their drives and their behaviour (Bakker et al 2014)</w:t>
            </w:r>
          </w:p>
        </w:tc>
        <w:tc>
          <w:tcPr>
            <w:tcW w:w="2356" w:type="dxa"/>
          </w:tcPr>
          <w:p w14:paraId="6759B99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Russel et al (1981)</w:t>
            </w:r>
          </w:p>
        </w:tc>
        <w:tc>
          <w:tcPr>
            <w:tcW w:w="6917" w:type="dxa"/>
          </w:tcPr>
          <w:p w14:paraId="7831DA8D"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2B9A475D"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Submissive – dominant</w:t>
            </w:r>
          </w:p>
          <w:p w14:paraId="58B0833D"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Influenced – influential</w:t>
            </w:r>
          </w:p>
          <w:p w14:paraId="06A7ADCE"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Controlled –controlling</w:t>
            </w:r>
          </w:p>
          <w:p w14:paraId="69C367DD"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Guided –autonomous</w:t>
            </w:r>
          </w:p>
          <w:p w14:paraId="087473B0"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Cared for –in control</w:t>
            </w:r>
          </w:p>
          <w:p w14:paraId="7686D7B6" w14:textId="77777777" w:rsidR="00C7217E" w:rsidRPr="00530906" w:rsidRDefault="00C7217E">
            <w:pPr>
              <w:spacing w:line="360" w:lineRule="auto"/>
              <w:jc w:val="both"/>
              <w:rPr>
                <w:rFonts w:ascii="Cambria" w:hAnsi="Cambria"/>
                <w:sz w:val="24"/>
                <w:szCs w:val="24"/>
              </w:rPr>
            </w:pPr>
            <w:r w:rsidRPr="00530906">
              <w:rPr>
                <w:rFonts w:ascii="Cambria" w:hAnsi="Cambria" w:cs="AdvTT6120e2aa"/>
                <w:sz w:val="24"/>
                <w:szCs w:val="24"/>
              </w:rPr>
              <w:t>Awed –important</w:t>
            </w:r>
          </w:p>
        </w:tc>
      </w:tr>
      <w:tr w:rsidR="00C7217E" w:rsidRPr="00530906" w14:paraId="13E04600" w14:textId="77777777" w:rsidTr="00C7217E">
        <w:tc>
          <w:tcPr>
            <w:tcW w:w="1745" w:type="dxa"/>
          </w:tcPr>
          <w:p w14:paraId="7A25682F"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Ad attitude</w:t>
            </w:r>
          </w:p>
        </w:tc>
        <w:tc>
          <w:tcPr>
            <w:tcW w:w="3549" w:type="dxa"/>
          </w:tcPr>
          <w:p w14:paraId="081AC81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an affective construct representing consumers' feelings of favourability/ unaffordability toward the ad itself ( MacKenzie et al 1986)</w:t>
            </w:r>
          </w:p>
        </w:tc>
        <w:tc>
          <w:tcPr>
            <w:tcW w:w="2356" w:type="dxa"/>
          </w:tcPr>
          <w:p w14:paraId="067BCFE3"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Andrews et al 1992 cited by Yim et al (2018) Tucker et al (2012) has ad. </w:t>
            </w:r>
          </w:p>
        </w:tc>
        <w:tc>
          <w:tcPr>
            <w:tcW w:w="6917" w:type="dxa"/>
          </w:tcPr>
          <w:p w14:paraId="56E2F8A7"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5C69F98E"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favourable–unfavourable,</w:t>
            </w:r>
          </w:p>
          <w:p w14:paraId="6897A316"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 xml:space="preserve">good–bad, </w:t>
            </w:r>
          </w:p>
          <w:p w14:paraId="1C586F6A"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like–dislike</w:t>
            </w:r>
          </w:p>
          <w:p w14:paraId="07B708FB"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Positive–negative</w:t>
            </w:r>
          </w:p>
        </w:tc>
      </w:tr>
      <w:tr w:rsidR="00C7217E" w:rsidRPr="00530906" w14:paraId="13DD6A18" w14:textId="77777777" w:rsidTr="00C7217E">
        <w:tc>
          <w:tcPr>
            <w:tcW w:w="1745" w:type="dxa"/>
          </w:tcPr>
          <w:p w14:paraId="1DEA260C"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Social media engagement</w:t>
            </w:r>
          </w:p>
        </w:tc>
        <w:tc>
          <w:tcPr>
            <w:tcW w:w="3549" w:type="dxa"/>
          </w:tcPr>
          <w:p w14:paraId="3AC26F1B"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"A set of brand related online activities on the part of the consumer that vary in the degree to which the consumer interacts with social media and engages in the consumption, contribution, and creation of media content." </w:t>
            </w:r>
          </w:p>
        </w:tc>
        <w:tc>
          <w:tcPr>
            <w:tcW w:w="2356" w:type="dxa"/>
          </w:tcPr>
          <w:p w14:paraId="502D22F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(Schivinski et al., 2016, p. 66).</w:t>
            </w:r>
          </w:p>
        </w:tc>
        <w:tc>
          <w:tcPr>
            <w:tcW w:w="6917" w:type="dxa"/>
          </w:tcPr>
          <w:p w14:paraId="6EA44F59"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Consumption</w:t>
            </w:r>
          </w:p>
          <w:p w14:paraId="30850ACF"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have read the post of the brand on social media</w:t>
            </w:r>
          </w:p>
          <w:p w14:paraId="7AFC7C3D"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have read related pages of brand on social media</w:t>
            </w:r>
          </w:p>
          <w:p w14:paraId="43373695" w14:textId="73FC6AC4"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have Watched pictures or graphics of </w:t>
            </w:r>
            <w:r w:rsidR="00DA6237" w:rsidRPr="00530906">
              <w:rPr>
                <w:rFonts w:ascii="Cambria" w:hAnsi="Cambria" w:cs="AdvTT6120e2aa"/>
                <w:sz w:val="24"/>
                <w:szCs w:val="24"/>
              </w:rPr>
              <w:t>the brand</w:t>
            </w:r>
          </w:p>
          <w:p w14:paraId="3835C6E0" w14:textId="41B66B03"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Follow </w:t>
            </w:r>
            <w:r w:rsidR="00DA6237" w:rsidRPr="00530906">
              <w:rPr>
                <w:rFonts w:ascii="Cambria" w:hAnsi="Cambria" w:cs="AdvTT6120e2aa"/>
                <w:sz w:val="24"/>
                <w:szCs w:val="24"/>
              </w:rPr>
              <w:t>Facebook</w:t>
            </w:r>
            <w:r w:rsidRPr="00530906">
              <w:rPr>
                <w:rFonts w:ascii="Cambria" w:hAnsi="Cambria" w:cs="AdvTT6120e2aa"/>
                <w:sz w:val="24"/>
                <w:szCs w:val="24"/>
              </w:rPr>
              <w:t xml:space="preserve"> page where they talk about the brand</w:t>
            </w:r>
          </w:p>
          <w:p w14:paraId="021B4390" w14:textId="5BD3F06B"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Follow pages on social media where they </w:t>
            </w:r>
            <w:r w:rsidR="00DA6237" w:rsidRPr="00530906">
              <w:rPr>
                <w:rFonts w:ascii="Cambria" w:hAnsi="Cambria" w:cs="AdvTT6120e2aa"/>
                <w:sz w:val="24"/>
                <w:szCs w:val="24"/>
              </w:rPr>
              <w:t>are talking</w:t>
            </w:r>
            <w:r w:rsidRPr="00530906">
              <w:rPr>
                <w:rFonts w:ascii="Cambria" w:hAnsi="Cambria" w:cs="AdvTT6120e2aa"/>
                <w:sz w:val="24"/>
                <w:szCs w:val="24"/>
              </w:rPr>
              <w:t xml:space="preserve"> about brand</w:t>
            </w:r>
          </w:p>
          <w:p w14:paraId="6AFBAA06"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 xml:space="preserve">Contribution </w:t>
            </w:r>
          </w:p>
          <w:p w14:paraId="53B6A9A8"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Comment on the advertisement related to the brand</w:t>
            </w:r>
          </w:p>
          <w:p w14:paraId="21977E28"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Comment on posts related to the of brand</w:t>
            </w:r>
          </w:p>
          <w:p w14:paraId="4BCF7C21" w14:textId="77CB6D06"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Comment on pictures or </w:t>
            </w:r>
            <w:r w:rsidR="00DA6237" w:rsidRPr="00530906">
              <w:rPr>
                <w:rFonts w:ascii="Cambria" w:hAnsi="Cambria" w:cs="AdvTT6120e2aa"/>
                <w:sz w:val="24"/>
                <w:szCs w:val="24"/>
              </w:rPr>
              <w:t>graphics related</w:t>
            </w:r>
            <w:r w:rsidRPr="00530906">
              <w:rPr>
                <w:rFonts w:ascii="Cambria" w:hAnsi="Cambria" w:cs="AdvTT6120e2aa"/>
                <w:sz w:val="24"/>
                <w:szCs w:val="24"/>
              </w:rPr>
              <w:t xml:space="preserve"> to </w:t>
            </w:r>
            <w:r w:rsidR="00DA6237" w:rsidRPr="00530906">
              <w:rPr>
                <w:rFonts w:ascii="Cambria" w:hAnsi="Cambria" w:cs="AdvTT6120e2aa"/>
                <w:sz w:val="24"/>
                <w:szCs w:val="24"/>
              </w:rPr>
              <w:t>the brand</w:t>
            </w:r>
          </w:p>
          <w:p w14:paraId="71D9CF48"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Share post related to brand</w:t>
            </w:r>
          </w:p>
          <w:p w14:paraId="4BF2006E" w14:textId="68E6C676"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‘Like’ pictures or graphics related to </w:t>
            </w:r>
            <w:r w:rsidR="00DA6237" w:rsidRPr="00530906">
              <w:rPr>
                <w:rFonts w:ascii="Cambria" w:hAnsi="Cambria" w:cs="AdvTT6120e2aa"/>
                <w:sz w:val="24"/>
                <w:szCs w:val="24"/>
              </w:rPr>
              <w:t>the brand</w:t>
            </w:r>
          </w:p>
          <w:p w14:paraId="1E075ECB"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‘Like’ posts or graphics related to the of brand</w:t>
            </w:r>
          </w:p>
          <w:p w14:paraId="1BCC5BA1"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 xml:space="preserve">Creation </w:t>
            </w:r>
          </w:p>
          <w:p w14:paraId="09E3E6B7" w14:textId="77777777" w:rsidR="00C7217E" w:rsidRPr="00530906" w:rsidRDefault="00C7217E">
            <w:pPr>
              <w:spacing w:line="360" w:lineRule="auto"/>
              <w:ind w:left="85"/>
              <w:jc w:val="both"/>
              <w:rPr>
                <w:rFonts w:ascii="Cambria" w:hAnsi="Cambria" w:cs="AdvTT6120e2aa"/>
                <w:sz w:val="24"/>
                <w:szCs w:val="24"/>
              </w:rPr>
            </w:pPr>
            <w:bookmarkStart w:id="126" w:name="_Hlk109336192"/>
            <w:r w:rsidRPr="00530906">
              <w:rPr>
                <w:rFonts w:ascii="Cambria" w:hAnsi="Cambria" w:cs="AdvTT6120e2aa"/>
                <w:sz w:val="24"/>
                <w:szCs w:val="24"/>
              </w:rPr>
              <w:t>I Initiate post related to the brand</w:t>
            </w:r>
          </w:p>
          <w:p w14:paraId="0716A8F1"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Initiate post social media issues of brand</w:t>
            </w:r>
          </w:p>
          <w:p w14:paraId="0B5BCA58"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Post pictures or graphics related to the brand</w:t>
            </w:r>
          </w:p>
          <w:p w14:paraId="5B6E4C90"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Write reviews related to the brand</w:t>
            </w:r>
          </w:p>
          <w:bookmarkEnd w:id="126"/>
          <w:p w14:paraId="317C0BCD" w14:textId="0D1F4B26"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 xml:space="preserve">I Write </w:t>
            </w:r>
            <w:r w:rsidR="00DA6237" w:rsidRPr="00530906">
              <w:rPr>
                <w:rFonts w:ascii="Cambria" w:hAnsi="Cambria" w:cs="AdvTT6120e2aa"/>
                <w:sz w:val="24"/>
                <w:szCs w:val="24"/>
              </w:rPr>
              <w:t>posts on</w:t>
            </w:r>
            <w:r w:rsidRPr="00530906">
              <w:rPr>
                <w:rFonts w:ascii="Cambria" w:hAnsi="Cambria" w:cs="AdvTT6120e2aa"/>
                <w:sz w:val="24"/>
                <w:szCs w:val="24"/>
              </w:rPr>
              <w:t xml:space="preserve"> the forum/ page where they talking about brand </w:t>
            </w:r>
          </w:p>
          <w:p w14:paraId="7EDD88FE" w14:textId="77777777" w:rsidR="00C7217E" w:rsidRPr="00530906" w:rsidRDefault="00C7217E">
            <w:pPr>
              <w:spacing w:line="360" w:lineRule="auto"/>
              <w:ind w:left="85"/>
              <w:jc w:val="both"/>
              <w:rPr>
                <w:rFonts w:ascii="Cambria" w:hAnsi="Cambria" w:cs="AdvTT6120e2aa"/>
                <w:sz w:val="24"/>
                <w:szCs w:val="24"/>
              </w:rPr>
            </w:pPr>
            <w:r w:rsidRPr="00530906">
              <w:rPr>
                <w:rFonts w:ascii="Cambria" w:hAnsi="Cambria" w:cs="AdvTT6120e2aa"/>
                <w:sz w:val="24"/>
                <w:szCs w:val="24"/>
              </w:rPr>
              <w:t>I post videos that shows brand</w:t>
            </w:r>
          </w:p>
        </w:tc>
      </w:tr>
      <w:tr w:rsidR="00C7217E" w:rsidRPr="00530906" w14:paraId="70669BC8" w14:textId="77777777" w:rsidTr="00C7217E">
        <w:tc>
          <w:tcPr>
            <w:tcW w:w="1745" w:type="dxa"/>
          </w:tcPr>
          <w:p w14:paraId="303BCAE6"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Informational influence</w:t>
            </w:r>
          </w:p>
        </w:tc>
        <w:tc>
          <w:tcPr>
            <w:tcW w:w="3549" w:type="dxa"/>
          </w:tcPr>
          <w:p w14:paraId="00E3AB8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influence to accept information obtained from another as evidence about reality (Li 2013)</w:t>
            </w:r>
          </w:p>
        </w:tc>
        <w:tc>
          <w:tcPr>
            <w:tcW w:w="2356" w:type="dxa"/>
          </w:tcPr>
          <w:p w14:paraId="393828F1"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Li (2013) (adopted from Henningsen et al. (2003) and Kaplan (1989)</w:t>
            </w:r>
          </w:p>
        </w:tc>
        <w:tc>
          <w:tcPr>
            <w:tcW w:w="6917" w:type="dxa"/>
          </w:tcPr>
          <w:p w14:paraId="3A8789A8"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b/>
                <w:sz w:val="24"/>
                <w:szCs w:val="24"/>
              </w:rPr>
              <w:t>7 point Likert scale</w:t>
            </w:r>
          </w:p>
          <w:p w14:paraId="7CB8CABE"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When I use this product I often consult other people for useful information to help choose the best alternative available</w:t>
            </w:r>
          </w:p>
          <w:p w14:paraId="5846DD9F"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When I use this product, I often ask my friends for useful information to solve problems</w:t>
            </w:r>
          </w:p>
          <w:p w14:paraId="31B10DAE" w14:textId="77777777" w:rsidR="00C7217E" w:rsidRPr="00530906" w:rsidRDefault="00C7217E">
            <w:pPr>
              <w:spacing w:line="360" w:lineRule="auto"/>
              <w:jc w:val="both"/>
              <w:rPr>
                <w:rFonts w:ascii="Cambria" w:hAnsi="Cambria"/>
                <w:sz w:val="24"/>
                <w:szCs w:val="24"/>
              </w:rPr>
            </w:pPr>
            <w:r w:rsidRPr="00530906">
              <w:rPr>
                <w:rFonts w:ascii="Cambria" w:hAnsi="Cambria" w:cs="AdvTT6120e2aa"/>
                <w:sz w:val="24"/>
                <w:szCs w:val="24"/>
              </w:rPr>
              <w:t>When I use this product, I frequently gather information from friends or colleagues</w:t>
            </w:r>
          </w:p>
        </w:tc>
      </w:tr>
      <w:tr w:rsidR="00C7217E" w:rsidRPr="00530906" w14:paraId="280FD501" w14:textId="77777777" w:rsidTr="00C7217E">
        <w:tc>
          <w:tcPr>
            <w:tcW w:w="1745" w:type="dxa"/>
          </w:tcPr>
          <w:p w14:paraId="2B73441D"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Normative influence</w:t>
            </w:r>
          </w:p>
        </w:tc>
        <w:tc>
          <w:tcPr>
            <w:tcW w:w="3549" w:type="dxa"/>
          </w:tcPr>
          <w:p w14:paraId="0008DB24"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the influence to conform to the expectations of another person to group (Li 2013)</w:t>
            </w:r>
          </w:p>
        </w:tc>
        <w:tc>
          <w:tcPr>
            <w:tcW w:w="2356" w:type="dxa"/>
          </w:tcPr>
          <w:p w14:paraId="6ECB95F1"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Li (2013) adopted from Taylor and Todd (1995) and Rucker and Petty (2006)</w:t>
            </w:r>
          </w:p>
        </w:tc>
        <w:tc>
          <w:tcPr>
            <w:tcW w:w="6917" w:type="dxa"/>
          </w:tcPr>
          <w:p w14:paraId="134442A7"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b/>
                <w:sz w:val="24"/>
                <w:szCs w:val="24"/>
              </w:rPr>
              <w:t>7 point Likert scale</w:t>
            </w:r>
          </w:p>
          <w:p w14:paraId="3CBDCAC6"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It is important what my friends or colleagues think about how I use this product</w:t>
            </w:r>
          </w:p>
          <w:p w14:paraId="5818DA0E"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 often identify with people by using this product</w:t>
            </w:r>
          </w:p>
          <w:p w14:paraId="4C7239E8"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 like to know that how use this product makes a good impression on my friends or colleagues</w:t>
            </w:r>
          </w:p>
          <w:p w14:paraId="5524458F"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I implement product under the expectations of my friends and colleagues</w:t>
            </w:r>
          </w:p>
          <w:p w14:paraId="6B8D5557" w14:textId="77777777" w:rsidR="00C7217E" w:rsidRPr="00530906" w:rsidRDefault="00C7217E">
            <w:pPr>
              <w:spacing w:line="360" w:lineRule="auto"/>
              <w:jc w:val="both"/>
              <w:rPr>
                <w:rFonts w:ascii="Cambria" w:hAnsi="Cambria"/>
                <w:sz w:val="24"/>
                <w:szCs w:val="24"/>
              </w:rPr>
            </w:pPr>
            <w:r w:rsidRPr="00530906">
              <w:rPr>
                <w:rFonts w:ascii="Cambria" w:hAnsi="Cambria" w:cs="AdvTT6120e2aa"/>
                <w:sz w:val="24"/>
                <w:szCs w:val="24"/>
              </w:rPr>
              <w:t>I achieve a sense of belonging with my friends and colleagues by using this product</w:t>
            </w:r>
          </w:p>
        </w:tc>
      </w:tr>
      <w:tr w:rsidR="00C7217E" w:rsidRPr="00530906" w14:paraId="5579595F" w14:textId="77777777" w:rsidTr="00C7217E">
        <w:tc>
          <w:tcPr>
            <w:tcW w:w="1745" w:type="dxa"/>
          </w:tcPr>
          <w:p w14:paraId="026B5E8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Purchase intention of branded sustainable product</w:t>
            </w:r>
          </w:p>
        </w:tc>
        <w:tc>
          <w:tcPr>
            <w:tcW w:w="3549" w:type="dxa"/>
          </w:tcPr>
          <w:p w14:paraId="6C155E37"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Action–oriented predicational process of negotiation to buy a product for end use (Chandan and Moriwitz 2005)</w:t>
            </w:r>
          </w:p>
          <w:p w14:paraId="0ACC5EA5" w14:textId="77777777" w:rsidR="00C7217E" w:rsidRPr="00530906" w:rsidRDefault="00C7217E">
            <w:pPr>
              <w:spacing w:line="360" w:lineRule="auto"/>
              <w:jc w:val="both"/>
              <w:rPr>
                <w:rFonts w:ascii="Cambria" w:hAnsi="Cambria"/>
                <w:sz w:val="24"/>
                <w:szCs w:val="24"/>
              </w:rPr>
            </w:pPr>
          </w:p>
        </w:tc>
        <w:tc>
          <w:tcPr>
            <w:tcW w:w="2356" w:type="dxa"/>
          </w:tcPr>
          <w:p w14:paraId="5D579151"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Chandran, and Morwitz (2005)</w:t>
            </w:r>
          </w:p>
        </w:tc>
        <w:tc>
          <w:tcPr>
            <w:tcW w:w="6917" w:type="dxa"/>
          </w:tcPr>
          <w:p w14:paraId="036EC52B" w14:textId="77777777" w:rsidR="00C7217E" w:rsidRPr="00530906" w:rsidRDefault="00C7217E">
            <w:pPr>
              <w:spacing w:line="360" w:lineRule="auto"/>
              <w:jc w:val="both"/>
              <w:rPr>
                <w:rFonts w:ascii="Cambria" w:hAnsi="Cambria" w:cs="AdvTT6120e2aa"/>
                <w:b/>
                <w:sz w:val="24"/>
                <w:szCs w:val="24"/>
              </w:rPr>
            </w:pPr>
            <w:r w:rsidRPr="00530906">
              <w:rPr>
                <w:rFonts w:ascii="Cambria" w:hAnsi="Cambria" w:cs="AdvTT6120e2aa"/>
                <w:b/>
                <w:sz w:val="24"/>
                <w:szCs w:val="24"/>
              </w:rPr>
              <w:t>7 point semantic differential scale</w:t>
            </w:r>
          </w:p>
          <w:p w14:paraId="4B8EB5F2"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Highly unlikely – highly likely</w:t>
            </w:r>
          </w:p>
          <w:p w14:paraId="3CE6EF03"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Highly improbable – highly probable</w:t>
            </w:r>
          </w:p>
          <w:p w14:paraId="026C27BA"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Highly uncertain – highly certain</w:t>
            </w:r>
          </w:p>
          <w:p w14:paraId="0A3CB1B0" w14:textId="77777777" w:rsidR="00C7217E" w:rsidRPr="00530906" w:rsidRDefault="00C7217E">
            <w:pPr>
              <w:spacing w:line="360" w:lineRule="auto"/>
              <w:jc w:val="both"/>
              <w:rPr>
                <w:rFonts w:ascii="Cambria" w:hAnsi="Cambria" w:cs="AdvTT6120e2aa"/>
                <w:sz w:val="24"/>
                <w:szCs w:val="24"/>
              </w:rPr>
            </w:pPr>
            <w:r w:rsidRPr="00530906">
              <w:rPr>
                <w:rFonts w:ascii="Cambria" w:hAnsi="Cambria" w:cs="AdvTT6120e2aa"/>
                <w:sz w:val="24"/>
                <w:szCs w:val="24"/>
              </w:rPr>
              <w:t>No chance at all – very good chance</w:t>
            </w:r>
          </w:p>
        </w:tc>
      </w:tr>
    </w:tbl>
    <w:p w14:paraId="2B667755" w14:textId="77777777" w:rsidR="00C7217E" w:rsidRPr="00530906" w:rsidRDefault="00C7217E">
      <w:pPr>
        <w:spacing w:line="360" w:lineRule="auto"/>
        <w:jc w:val="both"/>
        <w:rPr>
          <w:rFonts w:ascii="Cambria" w:hAnsi="Cambria"/>
        </w:rPr>
      </w:pPr>
    </w:p>
    <w:p w14:paraId="14FCBCAB" w14:textId="77777777" w:rsidR="00C7217E" w:rsidRPr="00530906" w:rsidRDefault="00C7217E">
      <w:pPr>
        <w:spacing w:line="360" w:lineRule="auto"/>
        <w:jc w:val="both"/>
        <w:rPr>
          <w:rFonts w:ascii="Cambria" w:hAnsi="Cambria"/>
        </w:rPr>
      </w:pPr>
    </w:p>
    <w:p w14:paraId="3EDE95DB" w14:textId="77777777" w:rsidR="00C7217E" w:rsidRPr="00530906" w:rsidRDefault="00C7217E">
      <w:pPr>
        <w:spacing w:line="360" w:lineRule="auto"/>
        <w:jc w:val="both"/>
        <w:rPr>
          <w:rFonts w:ascii="Cambria" w:hAnsi="Cambria"/>
        </w:rPr>
        <w:sectPr w:rsidR="00C7217E" w:rsidRPr="00530906" w:rsidSect="00C7217E">
          <w:pgSz w:w="16838" w:h="11906" w:orient="landscape"/>
          <w:pgMar w:top="1440" w:right="1440" w:bottom="1440" w:left="1440" w:header="709" w:footer="709" w:gutter="0"/>
          <w:cols w:space="708"/>
          <w:docGrid w:linePitch="360"/>
        </w:sectPr>
      </w:pPr>
    </w:p>
    <w:p w14:paraId="1ED90B38" w14:textId="0FB30A96" w:rsidR="00C7217E" w:rsidRPr="00530906" w:rsidRDefault="00C7217E" w:rsidP="000140BB">
      <w:pPr>
        <w:pStyle w:val="Heading2"/>
        <w:jc w:val="both"/>
        <w:rPr>
          <w:rFonts w:ascii="Cambria" w:hAnsi="Cambria"/>
        </w:rPr>
      </w:pPr>
      <w:bookmarkStart w:id="127" w:name="_Toc115726283"/>
      <w:r w:rsidRPr="00530906">
        <w:t xml:space="preserve">Appendix : </w:t>
      </w:r>
      <w:r w:rsidR="002E0B61" w:rsidRPr="00530906">
        <w:t>3</w:t>
      </w:r>
      <w:r w:rsidRPr="00530906">
        <w:t>.2</w:t>
      </w:r>
      <w:bookmarkEnd w:id="127"/>
      <w:r w:rsidR="000140BB">
        <w:t xml:space="preserve">: </w:t>
      </w:r>
      <w:r w:rsidRPr="00530906">
        <w:rPr>
          <w:rFonts w:ascii="Cambria" w:hAnsi="Cambria"/>
        </w:rPr>
        <w:t>The  scales those have been used</w:t>
      </w:r>
    </w:p>
    <w:tbl>
      <w:tblPr>
        <w:tblStyle w:val="TableGrid3"/>
        <w:tblW w:w="0" w:type="auto"/>
        <w:tblLook w:val="04A0" w:firstRow="1" w:lastRow="0" w:firstColumn="1" w:lastColumn="0" w:noHBand="0" w:noVBand="1"/>
      </w:tblPr>
      <w:tblGrid>
        <w:gridCol w:w="6246"/>
        <w:gridCol w:w="2114"/>
        <w:gridCol w:w="656"/>
      </w:tblGrid>
      <w:tr w:rsidR="00C7217E" w:rsidRPr="00530906" w14:paraId="0C0081B5" w14:textId="77777777" w:rsidTr="00C7217E">
        <w:tc>
          <w:tcPr>
            <w:tcW w:w="6477" w:type="dxa"/>
          </w:tcPr>
          <w:p w14:paraId="0790274F"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Variables </w:t>
            </w:r>
          </w:p>
        </w:tc>
        <w:tc>
          <w:tcPr>
            <w:tcW w:w="2765" w:type="dxa"/>
            <w:gridSpan w:val="2"/>
          </w:tcPr>
          <w:p w14:paraId="4040AB82" w14:textId="77777777" w:rsidR="00C7217E" w:rsidRPr="00530906" w:rsidRDefault="00C7217E">
            <w:pPr>
              <w:spacing w:line="360" w:lineRule="auto"/>
              <w:jc w:val="both"/>
              <w:rPr>
                <w:rFonts w:ascii="Cambria" w:hAnsi="Cambria"/>
                <w:sz w:val="24"/>
                <w:szCs w:val="24"/>
              </w:rPr>
            </w:pPr>
          </w:p>
        </w:tc>
      </w:tr>
      <w:tr w:rsidR="00C7217E" w:rsidRPr="00530906" w14:paraId="53DAC724" w14:textId="77777777" w:rsidTr="00C7217E">
        <w:trPr>
          <w:trHeight w:val="2618"/>
        </w:trPr>
        <w:tc>
          <w:tcPr>
            <w:tcW w:w="6477" w:type="dxa"/>
          </w:tcPr>
          <w:p w14:paraId="0A7CAA50"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Unimportant – Important </w:t>
            </w:r>
          </w:p>
          <w:p w14:paraId="6B9E835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Boring –  Interesting</w:t>
            </w:r>
          </w:p>
          <w:p w14:paraId="3B20CCD6"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Irrelevant –  Relevant</w:t>
            </w:r>
          </w:p>
          <w:p w14:paraId="745F04E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Unexciting –  Exciting</w:t>
            </w:r>
          </w:p>
          <w:p w14:paraId="7C4B3574"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Means nothing –  Means a lot to me </w:t>
            </w:r>
          </w:p>
          <w:p w14:paraId="6C4E9DF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Unappealing –  Appealing</w:t>
            </w:r>
          </w:p>
          <w:p w14:paraId="1F0E420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Mundane –  Fascinating</w:t>
            </w:r>
          </w:p>
          <w:p w14:paraId="0107DCCA"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Worthless –  Valuable </w:t>
            </w:r>
          </w:p>
          <w:p w14:paraId="25ADE77C"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Uninvolving –  Involving</w:t>
            </w:r>
          </w:p>
          <w:p w14:paraId="1B96391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Not needed – Needed</w:t>
            </w:r>
          </w:p>
        </w:tc>
        <w:tc>
          <w:tcPr>
            <w:tcW w:w="2765" w:type="dxa"/>
            <w:gridSpan w:val="2"/>
          </w:tcPr>
          <w:p w14:paraId="6D182F4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The scale for involvement to the ad has not been changed</w:t>
            </w:r>
          </w:p>
        </w:tc>
      </w:tr>
      <w:tr w:rsidR="00C7217E" w:rsidRPr="00530906" w14:paraId="3B7762B0" w14:textId="77777777" w:rsidTr="00C7217E">
        <w:trPr>
          <w:trHeight w:val="1160"/>
        </w:trPr>
        <w:tc>
          <w:tcPr>
            <w:tcW w:w="6477" w:type="dxa"/>
          </w:tcPr>
          <w:p w14:paraId="0B169A8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Vague – vivid</w:t>
            </w:r>
          </w:p>
          <w:p w14:paraId="7D33F154"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Sketchy– detailed</w:t>
            </w:r>
          </w:p>
          <w:p w14:paraId="4CBE291D"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Unclear– clear</w:t>
            </w:r>
          </w:p>
          <w:p w14:paraId="363C124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Dim– sharp</w:t>
            </w:r>
          </w:p>
        </w:tc>
        <w:tc>
          <w:tcPr>
            <w:tcW w:w="2145" w:type="dxa"/>
          </w:tcPr>
          <w:p w14:paraId="39961857"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SCV image has not been changed</w:t>
            </w:r>
          </w:p>
        </w:tc>
        <w:tc>
          <w:tcPr>
            <w:tcW w:w="620" w:type="dxa"/>
            <w:vMerge w:val="restart"/>
            <w:textDirection w:val="tbRl"/>
          </w:tcPr>
          <w:p w14:paraId="4E30A6AF" w14:textId="77777777" w:rsidR="00C7217E" w:rsidRPr="00530906" w:rsidRDefault="00C7217E" w:rsidP="008756B1">
            <w:pPr>
              <w:spacing w:line="360" w:lineRule="auto"/>
              <w:ind w:left="113" w:right="113"/>
              <w:jc w:val="both"/>
              <w:rPr>
                <w:rFonts w:ascii="Cambria" w:hAnsi="Cambria"/>
                <w:sz w:val="24"/>
                <w:szCs w:val="24"/>
              </w:rPr>
            </w:pPr>
            <w:r w:rsidRPr="00530906">
              <w:rPr>
                <w:rFonts w:ascii="Cambria" w:hAnsi="Cambria"/>
                <w:sz w:val="24"/>
                <w:szCs w:val="24"/>
              </w:rPr>
              <w:t>Self– Consumption Vision (SCV)</w:t>
            </w:r>
          </w:p>
        </w:tc>
      </w:tr>
      <w:tr w:rsidR="00C7217E" w:rsidRPr="00530906" w14:paraId="4A19EB67" w14:textId="77777777" w:rsidTr="00C7217E">
        <w:trPr>
          <w:trHeight w:val="1160"/>
        </w:trPr>
        <w:tc>
          <w:tcPr>
            <w:tcW w:w="6477" w:type="dxa"/>
          </w:tcPr>
          <w:p w14:paraId="6E11CEFB" w14:textId="40CF23F8" w:rsidR="00C7217E" w:rsidRPr="00530906" w:rsidRDefault="00C7217E">
            <w:pPr>
              <w:spacing w:line="360" w:lineRule="auto"/>
              <w:jc w:val="both"/>
              <w:rPr>
                <w:rFonts w:ascii="Cambria" w:hAnsi="Cambria"/>
                <w:sz w:val="24"/>
                <w:szCs w:val="24"/>
              </w:rPr>
            </w:pPr>
            <w:r w:rsidRPr="00530906">
              <w:rPr>
                <w:rFonts w:ascii="Cambria" w:hAnsi="Cambria"/>
                <w:sz w:val="24"/>
                <w:szCs w:val="24"/>
              </w:rPr>
              <w:t>While looking at the advertisement</w:t>
            </w:r>
            <w:r w:rsidR="003B3BDC" w:rsidRPr="00530906">
              <w:rPr>
                <w:rFonts w:ascii="Cambria" w:hAnsi="Cambria"/>
                <w:sz w:val="24"/>
                <w:szCs w:val="24"/>
              </w:rPr>
              <w:t xml:space="preserve"> </w:t>
            </w:r>
            <w:r w:rsidRPr="00530906">
              <w:rPr>
                <w:rFonts w:ascii="Cambria" w:hAnsi="Cambria"/>
                <w:sz w:val="24"/>
                <w:szCs w:val="24"/>
              </w:rPr>
              <w:t>posted on Facebook, I felt that I was disconnected from my real world.</w:t>
            </w:r>
          </w:p>
          <w:p w14:paraId="3C3E533E" w14:textId="65A3C74B" w:rsidR="00C7217E" w:rsidRPr="00530906" w:rsidRDefault="00C7217E">
            <w:pPr>
              <w:spacing w:line="360" w:lineRule="auto"/>
              <w:jc w:val="both"/>
              <w:rPr>
                <w:rFonts w:ascii="Cambria" w:hAnsi="Cambria"/>
                <w:sz w:val="24"/>
                <w:szCs w:val="24"/>
              </w:rPr>
            </w:pPr>
            <w:r w:rsidRPr="00530906">
              <w:rPr>
                <w:rFonts w:ascii="Cambria" w:hAnsi="Cambria"/>
                <w:sz w:val="24"/>
                <w:szCs w:val="24"/>
              </w:rPr>
              <w:t>While looking at the advertisement</w:t>
            </w:r>
            <w:r w:rsidR="003B3BDC" w:rsidRPr="00530906">
              <w:rPr>
                <w:rFonts w:ascii="Cambria" w:hAnsi="Cambria"/>
                <w:sz w:val="24"/>
                <w:szCs w:val="24"/>
              </w:rPr>
              <w:t xml:space="preserve"> </w:t>
            </w:r>
            <w:r w:rsidRPr="00530906">
              <w:rPr>
                <w:rFonts w:ascii="Cambria" w:hAnsi="Cambria"/>
                <w:sz w:val="24"/>
                <w:szCs w:val="24"/>
              </w:rPr>
              <w:t>posted on Facebook, I lost track of time and focused on the images described in it</w:t>
            </w:r>
          </w:p>
          <w:p w14:paraId="3E0C4645" w14:textId="57217F28" w:rsidR="00C7217E" w:rsidRPr="00530906" w:rsidRDefault="00C7217E">
            <w:pPr>
              <w:spacing w:line="360" w:lineRule="auto"/>
              <w:jc w:val="both"/>
              <w:rPr>
                <w:rFonts w:ascii="Cambria" w:hAnsi="Cambria"/>
                <w:sz w:val="24"/>
                <w:szCs w:val="24"/>
              </w:rPr>
            </w:pPr>
            <w:r w:rsidRPr="00530906">
              <w:rPr>
                <w:rFonts w:ascii="Cambria" w:hAnsi="Cambria"/>
                <w:sz w:val="24"/>
                <w:szCs w:val="24"/>
              </w:rPr>
              <w:t>While looking at the advertisement,</w:t>
            </w:r>
            <w:r w:rsidR="003B3BDC" w:rsidRPr="00530906">
              <w:rPr>
                <w:rFonts w:ascii="Cambria" w:hAnsi="Cambria"/>
                <w:sz w:val="24"/>
                <w:szCs w:val="24"/>
              </w:rPr>
              <w:t xml:space="preserve"> </w:t>
            </w:r>
            <w:r w:rsidRPr="00530906">
              <w:rPr>
                <w:rFonts w:ascii="Cambria" w:hAnsi="Cambria"/>
                <w:sz w:val="24"/>
                <w:szCs w:val="24"/>
              </w:rPr>
              <w:t>posted on Facebook, I felt I was in a different world.</w:t>
            </w:r>
          </w:p>
          <w:p w14:paraId="77F08940"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 felt like I was a different person while looking at the advertisement posted on Facebook.</w:t>
            </w:r>
          </w:p>
        </w:tc>
        <w:tc>
          <w:tcPr>
            <w:tcW w:w="2145" w:type="dxa"/>
          </w:tcPr>
          <w:p w14:paraId="61CE4154"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Scale for SCV engrossment has adopted to suit for the research </w:t>
            </w:r>
          </w:p>
        </w:tc>
        <w:tc>
          <w:tcPr>
            <w:tcW w:w="620" w:type="dxa"/>
            <w:vMerge/>
          </w:tcPr>
          <w:p w14:paraId="40AD0EB4" w14:textId="77777777" w:rsidR="00C7217E" w:rsidRPr="00530906" w:rsidRDefault="00C7217E">
            <w:pPr>
              <w:spacing w:line="360" w:lineRule="auto"/>
              <w:jc w:val="both"/>
              <w:rPr>
                <w:rFonts w:ascii="Cambria" w:hAnsi="Cambria"/>
                <w:sz w:val="24"/>
                <w:szCs w:val="24"/>
              </w:rPr>
            </w:pPr>
          </w:p>
        </w:tc>
      </w:tr>
      <w:tr w:rsidR="00C7217E" w:rsidRPr="00530906" w14:paraId="622942AA" w14:textId="77777777" w:rsidTr="00C7217E">
        <w:trPr>
          <w:trHeight w:val="1160"/>
        </w:trPr>
        <w:tc>
          <w:tcPr>
            <w:tcW w:w="6477" w:type="dxa"/>
          </w:tcPr>
          <w:p w14:paraId="5F68AA5A" w14:textId="3B18057C" w:rsidR="00C7217E" w:rsidRPr="00530906" w:rsidRDefault="00C7217E">
            <w:pPr>
              <w:spacing w:line="360" w:lineRule="auto"/>
              <w:jc w:val="both"/>
              <w:rPr>
                <w:rFonts w:ascii="Cambria" w:hAnsi="Cambria"/>
                <w:sz w:val="24"/>
                <w:szCs w:val="24"/>
              </w:rPr>
            </w:pPr>
            <w:r w:rsidRPr="00530906">
              <w:rPr>
                <w:rFonts w:ascii="Cambria" w:hAnsi="Cambria"/>
                <w:sz w:val="24"/>
                <w:szCs w:val="24"/>
              </w:rPr>
              <w:t>I had images of myself in the advertisement</w:t>
            </w:r>
            <w:r w:rsidR="003B3BDC" w:rsidRPr="00530906">
              <w:rPr>
                <w:rFonts w:ascii="Cambria" w:hAnsi="Cambria"/>
                <w:sz w:val="24"/>
                <w:szCs w:val="24"/>
              </w:rPr>
              <w:t xml:space="preserve"> </w:t>
            </w:r>
            <w:r w:rsidRPr="00530906">
              <w:rPr>
                <w:rFonts w:ascii="Cambria" w:hAnsi="Cambria"/>
                <w:sz w:val="24"/>
                <w:szCs w:val="24"/>
              </w:rPr>
              <w:t>posted on Facebook.</w:t>
            </w:r>
          </w:p>
          <w:p w14:paraId="4D5C3A07" w14:textId="23974BBA" w:rsidR="00C7217E" w:rsidRPr="00530906" w:rsidRDefault="00C7217E">
            <w:pPr>
              <w:spacing w:line="360" w:lineRule="auto"/>
              <w:jc w:val="both"/>
              <w:rPr>
                <w:rFonts w:ascii="Cambria" w:hAnsi="Cambria"/>
                <w:sz w:val="24"/>
                <w:szCs w:val="24"/>
              </w:rPr>
            </w:pPr>
            <w:r w:rsidRPr="00530906">
              <w:rPr>
                <w:rFonts w:ascii="Cambria" w:hAnsi="Cambria"/>
                <w:sz w:val="24"/>
                <w:szCs w:val="24"/>
              </w:rPr>
              <w:t>I can picture myself drinking the coffee in the advertisement</w:t>
            </w:r>
            <w:r w:rsidR="003B3BDC" w:rsidRPr="00530906">
              <w:rPr>
                <w:rFonts w:ascii="Cambria" w:hAnsi="Cambria"/>
                <w:sz w:val="24"/>
                <w:szCs w:val="24"/>
              </w:rPr>
              <w:t xml:space="preserve"> </w:t>
            </w:r>
            <w:r w:rsidRPr="00530906">
              <w:rPr>
                <w:rFonts w:ascii="Cambria" w:hAnsi="Cambria"/>
                <w:sz w:val="24"/>
                <w:szCs w:val="24"/>
              </w:rPr>
              <w:t>posted on Facebook.</w:t>
            </w:r>
          </w:p>
          <w:p w14:paraId="662AF7A1" w14:textId="7E40E4B3" w:rsidR="00C7217E" w:rsidRPr="00530906" w:rsidRDefault="00C7217E">
            <w:pPr>
              <w:spacing w:line="360" w:lineRule="auto"/>
              <w:jc w:val="both"/>
              <w:rPr>
                <w:rFonts w:ascii="Cambria" w:hAnsi="Cambria"/>
                <w:sz w:val="24"/>
                <w:szCs w:val="24"/>
              </w:rPr>
            </w:pPr>
            <w:r w:rsidRPr="00530906">
              <w:rPr>
                <w:rFonts w:ascii="Cambria" w:hAnsi="Cambria"/>
                <w:sz w:val="24"/>
                <w:szCs w:val="24"/>
              </w:rPr>
              <w:t>This advertisement</w:t>
            </w:r>
            <w:r w:rsidR="003B3BDC" w:rsidRPr="00530906">
              <w:rPr>
                <w:rFonts w:ascii="Cambria" w:hAnsi="Cambria"/>
                <w:sz w:val="24"/>
                <w:szCs w:val="24"/>
              </w:rPr>
              <w:t xml:space="preserve"> </w:t>
            </w:r>
            <w:r w:rsidRPr="00530906">
              <w:rPr>
                <w:rFonts w:ascii="Cambria" w:hAnsi="Cambria"/>
                <w:sz w:val="24"/>
                <w:szCs w:val="24"/>
              </w:rPr>
              <w:t>posted on Facebook inspires mental images in me as if I am a part of the scenario shown in it.</w:t>
            </w:r>
          </w:p>
          <w:p w14:paraId="196ADA92"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 could construct a story about myself and the featured coffee based on the mental images that came to my mind.</w:t>
            </w:r>
          </w:p>
          <w:p w14:paraId="334FC8EA" w14:textId="1A92A7D5" w:rsidR="00C7217E" w:rsidRPr="00530906" w:rsidRDefault="00C7217E">
            <w:pPr>
              <w:spacing w:line="360" w:lineRule="auto"/>
              <w:jc w:val="both"/>
              <w:rPr>
                <w:rFonts w:ascii="Cambria" w:hAnsi="Cambria"/>
                <w:sz w:val="24"/>
                <w:szCs w:val="24"/>
              </w:rPr>
            </w:pPr>
            <w:r w:rsidRPr="00530906">
              <w:rPr>
                <w:rFonts w:ascii="Cambria" w:hAnsi="Cambria"/>
                <w:sz w:val="24"/>
                <w:szCs w:val="24"/>
              </w:rPr>
              <w:t>I was able to project myself into the picture in the advertisement</w:t>
            </w:r>
            <w:r w:rsidR="003B3BDC" w:rsidRPr="00530906">
              <w:rPr>
                <w:rFonts w:ascii="Cambria" w:hAnsi="Cambria"/>
                <w:sz w:val="24"/>
                <w:szCs w:val="24"/>
              </w:rPr>
              <w:t xml:space="preserve"> </w:t>
            </w:r>
            <w:r w:rsidRPr="00530906">
              <w:rPr>
                <w:rFonts w:ascii="Cambria" w:hAnsi="Cambria"/>
                <w:sz w:val="24"/>
                <w:szCs w:val="24"/>
              </w:rPr>
              <w:t>posted on Facebook.</w:t>
            </w:r>
          </w:p>
        </w:tc>
        <w:tc>
          <w:tcPr>
            <w:tcW w:w="2145" w:type="dxa"/>
          </w:tcPr>
          <w:p w14:paraId="16DB837D"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SCV projection has adopted to suit for the research</w:t>
            </w:r>
          </w:p>
        </w:tc>
        <w:tc>
          <w:tcPr>
            <w:tcW w:w="620" w:type="dxa"/>
            <w:vMerge/>
          </w:tcPr>
          <w:p w14:paraId="7E501B03" w14:textId="77777777" w:rsidR="00C7217E" w:rsidRPr="00530906" w:rsidRDefault="00C7217E">
            <w:pPr>
              <w:spacing w:line="360" w:lineRule="auto"/>
              <w:jc w:val="both"/>
              <w:rPr>
                <w:rFonts w:ascii="Cambria" w:hAnsi="Cambria"/>
                <w:sz w:val="24"/>
                <w:szCs w:val="24"/>
              </w:rPr>
            </w:pPr>
          </w:p>
        </w:tc>
      </w:tr>
      <w:tr w:rsidR="00C7217E" w:rsidRPr="00530906" w14:paraId="45E27360" w14:textId="77777777" w:rsidTr="00C7217E">
        <w:trPr>
          <w:trHeight w:val="620"/>
        </w:trPr>
        <w:tc>
          <w:tcPr>
            <w:tcW w:w="6477" w:type="dxa"/>
          </w:tcPr>
          <w:p w14:paraId="63EF6845" w14:textId="073D5326" w:rsidR="00C7217E" w:rsidRPr="00530906" w:rsidRDefault="00C7217E">
            <w:pPr>
              <w:spacing w:line="360" w:lineRule="auto"/>
              <w:jc w:val="both"/>
              <w:rPr>
                <w:rFonts w:ascii="Cambria" w:hAnsi="Cambria"/>
                <w:sz w:val="24"/>
                <w:szCs w:val="24"/>
              </w:rPr>
            </w:pPr>
            <w:r w:rsidRPr="00530906">
              <w:rPr>
                <w:rFonts w:ascii="Cambria" w:hAnsi="Cambria"/>
                <w:sz w:val="24"/>
                <w:szCs w:val="24"/>
              </w:rPr>
              <w:t>I can easily retrieve the images I saw in the advertisement</w:t>
            </w:r>
            <w:r w:rsidR="003B3BDC" w:rsidRPr="00530906">
              <w:rPr>
                <w:rFonts w:ascii="Cambria" w:hAnsi="Cambria"/>
                <w:sz w:val="24"/>
                <w:szCs w:val="24"/>
              </w:rPr>
              <w:t xml:space="preserve"> </w:t>
            </w:r>
            <w:r w:rsidRPr="00530906">
              <w:rPr>
                <w:rFonts w:ascii="Cambria" w:hAnsi="Cambria"/>
                <w:sz w:val="24"/>
                <w:szCs w:val="24"/>
              </w:rPr>
              <w:t>posted on Facebook.</w:t>
            </w:r>
          </w:p>
          <w:p w14:paraId="72800A36" w14:textId="56AB9831" w:rsidR="00C7217E" w:rsidRPr="00530906" w:rsidRDefault="00C7217E">
            <w:pPr>
              <w:spacing w:line="360" w:lineRule="auto"/>
              <w:jc w:val="both"/>
              <w:rPr>
                <w:rFonts w:ascii="Cambria" w:hAnsi="Cambria"/>
                <w:sz w:val="24"/>
                <w:szCs w:val="24"/>
              </w:rPr>
            </w:pPr>
            <w:r w:rsidRPr="00530906">
              <w:rPr>
                <w:rFonts w:ascii="Cambria" w:hAnsi="Cambria"/>
                <w:sz w:val="24"/>
                <w:szCs w:val="24"/>
              </w:rPr>
              <w:t>I can easily imagine myself being in the scenario described in the advertisement</w:t>
            </w:r>
            <w:r w:rsidR="003B3BDC" w:rsidRPr="00530906">
              <w:rPr>
                <w:rFonts w:ascii="Cambria" w:hAnsi="Cambria"/>
                <w:sz w:val="24"/>
                <w:szCs w:val="24"/>
              </w:rPr>
              <w:t xml:space="preserve"> </w:t>
            </w:r>
            <w:r w:rsidRPr="00530906">
              <w:rPr>
                <w:rFonts w:ascii="Cambria" w:hAnsi="Cambria"/>
                <w:sz w:val="24"/>
                <w:szCs w:val="24"/>
              </w:rPr>
              <w:t>posted on Facebook.</w:t>
            </w:r>
          </w:p>
          <w:p w14:paraId="3514B014" w14:textId="0FFA8345" w:rsidR="00C7217E" w:rsidRPr="00530906" w:rsidRDefault="00C7217E">
            <w:pPr>
              <w:spacing w:line="360" w:lineRule="auto"/>
              <w:jc w:val="both"/>
              <w:rPr>
                <w:rFonts w:ascii="Cambria" w:hAnsi="Cambria"/>
                <w:sz w:val="24"/>
                <w:szCs w:val="24"/>
              </w:rPr>
            </w:pPr>
            <w:r w:rsidRPr="005D6210">
              <w:rPr>
                <w:rFonts w:ascii="Cambria" w:hAnsi="Cambria"/>
                <w:sz w:val="24"/>
                <w:szCs w:val="24"/>
                <w:highlight w:val="yellow"/>
              </w:rPr>
              <w:t>I prefer warm colours (i.e. containing yellow and red) over cold colours</w:t>
            </w:r>
            <w:r w:rsidRPr="00530906">
              <w:rPr>
                <w:rFonts w:ascii="Cambria" w:hAnsi="Cambria"/>
                <w:sz w:val="24"/>
                <w:szCs w:val="24"/>
              </w:rPr>
              <w:t>.</w:t>
            </w:r>
            <w:r w:rsidR="003B3BDC" w:rsidRPr="00530906">
              <w:rPr>
                <w:rFonts w:ascii="Cambria" w:hAnsi="Cambria"/>
                <w:sz w:val="24"/>
                <w:szCs w:val="24"/>
              </w:rPr>
              <w:t xml:space="preserve"> </w:t>
            </w:r>
            <w:r w:rsidRPr="00530906">
              <w:rPr>
                <w:rFonts w:ascii="Cambria" w:hAnsi="Cambria"/>
                <w:sz w:val="24"/>
                <w:szCs w:val="24"/>
              </w:rPr>
              <w:t>(Marker variable to test common method bias)</w:t>
            </w:r>
          </w:p>
          <w:p w14:paraId="75B3CFD8"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It takes no time to recreate the image I saw in the advertisement posted on Facebook in my mind.</w:t>
            </w:r>
          </w:p>
        </w:tc>
        <w:tc>
          <w:tcPr>
            <w:tcW w:w="2145" w:type="dxa"/>
          </w:tcPr>
          <w:p w14:paraId="0E3996D8" w14:textId="1BCEA936" w:rsidR="00C7217E" w:rsidRPr="00530906" w:rsidRDefault="00C7217E">
            <w:pPr>
              <w:spacing w:line="360" w:lineRule="auto"/>
              <w:jc w:val="both"/>
              <w:rPr>
                <w:rFonts w:ascii="Cambria" w:hAnsi="Cambria"/>
                <w:sz w:val="24"/>
                <w:szCs w:val="24"/>
              </w:rPr>
            </w:pPr>
            <w:r w:rsidRPr="00530906">
              <w:rPr>
                <w:rFonts w:ascii="Cambria" w:hAnsi="Cambria"/>
                <w:sz w:val="24"/>
                <w:szCs w:val="24"/>
              </w:rPr>
              <w:t xml:space="preserve">Scale for SCV mental fluency has adopted that suits the research. </w:t>
            </w:r>
            <w:r w:rsidR="00DA6237" w:rsidRPr="00530906">
              <w:rPr>
                <w:rFonts w:ascii="Cambria" w:hAnsi="Cambria"/>
                <w:sz w:val="24"/>
                <w:szCs w:val="24"/>
              </w:rPr>
              <w:t>However,</w:t>
            </w:r>
            <w:r w:rsidRPr="00530906">
              <w:rPr>
                <w:rFonts w:ascii="Cambria" w:hAnsi="Cambria"/>
                <w:sz w:val="24"/>
                <w:szCs w:val="24"/>
              </w:rPr>
              <w:t xml:space="preserve"> the highlighted question is a test for common method bias</w:t>
            </w:r>
          </w:p>
        </w:tc>
        <w:tc>
          <w:tcPr>
            <w:tcW w:w="620" w:type="dxa"/>
            <w:vMerge/>
          </w:tcPr>
          <w:p w14:paraId="525C9C3B" w14:textId="77777777" w:rsidR="00C7217E" w:rsidRPr="00530906" w:rsidRDefault="00C7217E">
            <w:pPr>
              <w:spacing w:line="360" w:lineRule="auto"/>
              <w:jc w:val="both"/>
              <w:rPr>
                <w:rFonts w:ascii="Cambria" w:hAnsi="Cambria"/>
                <w:sz w:val="24"/>
                <w:szCs w:val="24"/>
              </w:rPr>
            </w:pPr>
          </w:p>
        </w:tc>
      </w:tr>
      <w:tr w:rsidR="00C7217E" w:rsidRPr="00530906" w14:paraId="18EE4865" w14:textId="77777777" w:rsidTr="00C7217E">
        <w:trPr>
          <w:trHeight w:val="620"/>
        </w:trPr>
        <w:tc>
          <w:tcPr>
            <w:tcW w:w="6477" w:type="dxa"/>
          </w:tcPr>
          <w:p w14:paraId="1B7111F4"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Annoyed – pleased </w:t>
            </w:r>
          </w:p>
          <w:p w14:paraId="5BCA7C94"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Dissatisfied – satisfied</w:t>
            </w:r>
          </w:p>
          <w:p w14:paraId="021A29CA"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Unhappy – happy </w:t>
            </w:r>
          </w:p>
          <w:p w14:paraId="40C1CCB3"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Bored – relaxed </w:t>
            </w:r>
          </w:p>
          <w:p w14:paraId="65D6D036"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Despairing – hopeful</w:t>
            </w:r>
          </w:p>
        </w:tc>
        <w:tc>
          <w:tcPr>
            <w:tcW w:w="2145" w:type="dxa"/>
          </w:tcPr>
          <w:p w14:paraId="7CFE88A5"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pleasure has not been changed</w:t>
            </w:r>
          </w:p>
        </w:tc>
        <w:tc>
          <w:tcPr>
            <w:tcW w:w="620" w:type="dxa"/>
            <w:vMerge w:val="restart"/>
            <w:textDirection w:val="tbRl"/>
          </w:tcPr>
          <w:p w14:paraId="4BCD2AC3" w14:textId="1CD60B74" w:rsidR="00C7217E" w:rsidRPr="00530906" w:rsidRDefault="00C7217E">
            <w:pPr>
              <w:spacing w:line="360" w:lineRule="auto"/>
              <w:ind w:left="113" w:right="113"/>
              <w:jc w:val="both"/>
              <w:rPr>
                <w:rFonts w:ascii="Cambria" w:hAnsi="Cambria"/>
                <w:sz w:val="24"/>
                <w:szCs w:val="24"/>
              </w:rPr>
            </w:pPr>
            <w:r w:rsidRPr="00530906">
              <w:rPr>
                <w:rFonts w:ascii="Cambria" w:hAnsi="Cambria"/>
                <w:sz w:val="24"/>
                <w:szCs w:val="24"/>
              </w:rPr>
              <w:t xml:space="preserve">Pleasure Arousal Dominance (PAD) model </w:t>
            </w:r>
          </w:p>
        </w:tc>
      </w:tr>
      <w:tr w:rsidR="00C7217E" w:rsidRPr="00530906" w14:paraId="47EFFFAB" w14:textId="77777777" w:rsidTr="00C7217E">
        <w:trPr>
          <w:trHeight w:val="620"/>
        </w:trPr>
        <w:tc>
          <w:tcPr>
            <w:tcW w:w="6477" w:type="dxa"/>
          </w:tcPr>
          <w:p w14:paraId="085BFE1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Sluggish – Frenzied</w:t>
            </w:r>
          </w:p>
          <w:p w14:paraId="4C2FA96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Unaroused – aroused</w:t>
            </w:r>
          </w:p>
          <w:p w14:paraId="5B8371BE"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Sleepy Wide awake </w:t>
            </w:r>
          </w:p>
          <w:p w14:paraId="5CAF7A3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Calm – exited </w:t>
            </w:r>
          </w:p>
          <w:p w14:paraId="52F1456F"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Relaxed – stimulated </w:t>
            </w:r>
          </w:p>
          <w:p w14:paraId="0D0193E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Dull – jittery</w:t>
            </w:r>
          </w:p>
        </w:tc>
        <w:tc>
          <w:tcPr>
            <w:tcW w:w="2145" w:type="dxa"/>
          </w:tcPr>
          <w:p w14:paraId="10940A4B"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Arousal has not been changed</w:t>
            </w:r>
          </w:p>
        </w:tc>
        <w:tc>
          <w:tcPr>
            <w:tcW w:w="620" w:type="dxa"/>
            <w:vMerge/>
          </w:tcPr>
          <w:p w14:paraId="1A5B9F03" w14:textId="77777777" w:rsidR="00C7217E" w:rsidRPr="00530906" w:rsidRDefault="00C7217E">
            <w:pPr>
              <w:spacing w:line="360" w:lineRule="auto"/>
              <w:jc w:val="both"/>
              <w:rPr>
                <w:rFonts w:ascii="Cambria" w:hAnsi="Cambria"/>
                <w:sz w:val="24"/>
                <w:szCs w:val="24"/>
              </w:rPr>
            </w:pPr>
          </w:p>
        </w:tc>
      </w:tr>
      <w:tr w:rsidR="00C7217E" w:rsidRPr="00530906" w14:paraId="123518BA" w14:textId="77777777" w:rsidTr="00C7217E">
        <w:trPr>
          <w:trHeight w:val="620"/>
        </w:trPr>
        <w:tc>
          <w:tcPr>
            <w:tcW w:w="6477" w:type="dxa"/>
          </w:tcPr>
          <w:p w14:paraId="5D302B32"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Submissive – dominant</w:t>
            </w:r>
          </w:p>
          <w:p w14:paraId="1BF60278"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Influenced – influential</w:t>
            </w:r>
          </w:p>
          <w:p w14:paraId="47C97F40"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Controlled –controlling</w:t>
            </w:r>
          </w:p>
          <w:p w14:paraId="182382EF"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Guided –autonomous</w:t>
            </w:r>
          </w:p>
          <w:p w14:paraId="2562C5A5"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Cared for –in control</w:t>
            </w:r>
          </w:p>
          <w:p w14:paraId="594514F8"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Awed –important</w:t>
            </w:r>
          </w:p>
        </w:tc>
        <w:tc>
          <w:tcPr>
            <w:tcW w:w="2145" w:type="dxa"/>
          </w:tcPr>
          <w:p w14:paraId="4A42599E"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Dominance has not been changed</w:t>
            </w:r>
          </w:p>
        </w:tc>
        <w:tc>
          <w:tcPr>
            <w:tcW w:w="620" w:type="dxa"/>
            <w:vMerge/>
          </w:tcPr>
          <w:p w14:paraId="6E74CEF9" w14:textId="77777777" w:rsidR="00C7217E" w:rsidRPr="00530906" w:rsidRDefault="00C7217E">
            <w:pPr>
              <w:spacing w:line="360" w:lineRule="auto"/>
              <w:jc w:val="both"/>
              <w:rPr>
                <w:rFonts w:ascii="Cambria" w:hAnsi="Cambria"/>
                <w:sz w:val="24"/>
                <w:szCs w:val="24"/>
              </w:rPr>
            </w:pPr>
          </w:p>
        </w:tc>
      </w:tr>
      <w:tr w:rsidR="00C7217E" w:rsidRPr="00530906" w14:paraId="3F8CC4ED" w14:textId="77777777" w:rsidTr="00C7217E">
        <w:trPr>
          <w:trHeight w:val="620"/>
        </w:trPr>
        <w:tc>
          <w:tcPr>
            <w:tcW w:w="6477" w:type="dxa"/>
          </w:tcPr>
          <w:p w14:paraId="1A024B33"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favourable–unfavourable,</w:t>
            </w:r>
          </w:p>
          <w:p w14:paraId="650B9CC5"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 xml:space="preserve">good–bad, </w:t>
            </w:r>
          </w:p>
          <w:p w14:paraId="098A2915"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like–dislike</w:t>
            </w:r>
          </w:p>
          <w:p w14:paraId="1456B33E"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Positive–negative</w:t>
            </w:r>
          </w:p>
        </w:tc>
        <w:tc>
          <w:tcPr>
            <w:tcW w:w="2765" w:type="dxa"/>
            <w:gridSpan w:val="2"/>
          </w:tcPr>
          <w:p w14:paraId="5D27163B" w14:textId="77777777" w:rsidR="00C7217E" w:rsidRPr="00530906" w:rsidRDefault="00C7217E">
            <w:pPr>
              <w:spacing w:line="360" w:lineRule="auto"/>
              <w:jc w:val="both"/>
              <w:rPr>
                <w:rFonts w:ascii="Cambria" w:hAnsi="Cambria"/>
                <w:sz w:val="24"/>
                <w:szCs w:val="24"/>
              </w:rPr>
            </w:pPr>
            <w:r w:rsidRPr="00530906">
              <w:rPr>
                <w:rFonts w:ascii="Cambria" w:hAnsi="Cambria"/>
                <w:sz w:val="24"/>
                <w:szCs w:val="24"/>
              </w:rPr>
              <w:t>Scale for ad attitude has not been changed</w:t>
            </w:r>
          </w:p>
        </w:tc>
      </w:tr>
      <w:tr w:rsidR="00C7217E" w:rsidRPr="00530906" w14:paraId="78C3F2B7" w14:textId="77777777" w:rsidTr="00C7217E">
        <w:trPr>
          <w:trHeight w:val="620"/>
        </w:trPr>
        <w:tc>
          <w:tcPr>
            <w:tcW w:w="6477" w:type="dxa"/>
          </w:tcPr>
          <w:p w14:paraId="166B9CBB"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 xml:space="preserve">When I saw the advertisement on Facebook, I spend a couple of seconds watching it. </w:t>
            </w:r>
          </w:p>
          <w:p w14:paraId="3968633D"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 xml:space="preserve">When I saw the advertisement on Facebook, I wanted to comment on it. </w:t>
            </w:r>
          </w:p>
          <w:p w14:paraId="74B3E290"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When I saw the advertisement on Facebook, I wanted to share it with other Facebook friends.</w:t>
            </w:r>
          </w:p>
          <w:p w14:paraId="3407B27D" w14:textId="77777777" w:rsidR="00C7217E" w:rsidRPr="00530906" w:rsidRDefault="00C7217E" w:rsidP="008756B1">
            <w:pPr>
              <w:tabs>
                <w:tab w:val="left" w:pos="4845"/>
              </w:tabs>
              <w:spacing w:line="360" w:lineRule="auto"/>
              <w:jc w:val="both"/>
              <w:rPr>
                <w:rFonts w:ascii="Cambria" w:hAnsi="Cambria"/>
                <w:sz w:val="24"/>
                <w:szCs w:val="24"/>
              </w:rPr>
            </w:pPr>
            <w:r w:rsidRPr="00530906">
              <w:rPr>
                <w:rFonts w:ascii="Cambria" w:hAnsi="Cambria"/>
                <w:sz w:val="24"/>
                <w:szCs w:val="24"/>
              </w:rPr>
              <w:t>When I saw the advertisement on Facebook, I wanted to ‘Like’ it on Facebook.</w:t>
            </w:r>
          </w:p>
        </w:tc>
        <w:tc>
          <w:tcPr>
            <w:tcW w:w="2765" w:type="dxa"/>
            <w:gridSpan w:val="2"/>
          </w:tcPr>
          <w:p w14:paraId="265728C6" w14:textId="5A822B8B"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Walking on the path of research of social media engagement, (Yon et al., 2018, Schivinski et al 2016) only the items with spending time, like, share and comment have been adopted for this study</w:t>
            </w:r>
          </w:p>
        </w:tc>
      </w:tr>
      <w:tr w:rsidR="00C7217E" w:rsidRPr="00530906" w14:paraId="70F7575C" w14:textId="77777777" w:rsidTr="00C7217E">
        <w:trPr>
          <w:trHeight w:val="1610"/>
        </w:trPr>
        <w:tc>
          <w:tcPr>
            <w:tcW w:w="6477" w:type="dxa"/>
          </w:tcPr>
          <w:p w14:paraId="10435EEE"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Other people’s reaction on such advertisements on Facebook are useful when choosing between brands of coffee</w:t>
            </w:r>
          </w:p>
          <w:p w14:paraId="039D7B1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When I think of which type of coffee to buy, I will ask my friends for information to make a choice</w:t>
            </w:r>
          </w:p>
          <w:p w14:paraId="4B882F1F"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When I think of purchasing coffee, the information from Facebook connections is helpful.</w:t>
            </w:r>
          </w:p>
        </w:tc>
        <w:tc>
          <w:tcPr>
            <w:tcW w:w="2765" w:type="dxa"/>
            <w:gridSpan w:val="2"/>
          </w:tcPr>
          <w:p w14:paraId="42848537" w14:textId="3ECEFEEE"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Scale for </w:t>
            </w:r>
            <w:r w:rsidR="00130B02">
              <w:rPr>
                <w:rFonts w:ascii="Cambria" w:hAnsi="Cambria"/>
                <w:sz w:val="24"/>
                <w:szCs w:val="24"/>
              </w:rPr>
              <w:t>informative</w:t>
            </w:r>
            <w:r w:rsidRPr="00530906">
              <w:rPr>
                <w:rFonts w:ascii="Cambria" w:hAnsi="Cambria"/>
                <w:sz w:val="24"/>
                <w:szCs w:val="24"/>
              </w:rPr>
              <w:t xml:space="preserve"> influence has been adopted to suit for the research</w:t>
            </w:r>
          </w:p>
        </w:tc>
      </w:tr>
      <w:tr w:rsidR="00C7217E" w:rsidRPr="00530906" w14:paraId="79BC3432" w14:textId="77777777" w:rsidTr="00C7217E">
        <w:trPr>
          <w:trHeight w:val="1970"/>
        </w:trPr>
        <w:tc>
          <w:tcPr>
            <w:tcW w:w="6477" w:type="dxa"/>
          </w:tcPr>
          <w:p w14:paraId="5BDF5018"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It is important what others think about the brand of coffee I drink</w:t>
            </w:r>
          </w:p>
          <w:p w14:paraId="2110834F"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 feel like I am similar to other people who are using the same brand of coffee as me</w:t>
            </w:r>
          </w:p>
          <w:p w14:paraId="118A3855"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 would like to know whether using the advertised coffee brand makes a good impression on others.</w:t>
            </w:r>
          </w:p>
          <w:p w14:paraId="7E9FC50E"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The brand of coffee I use depends on what others expect me to use</w:t>
            </w:r>
          </w:p>
          <w:p w14:paraId="5257A26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 achieve a sense of belongingness by using this brand of coffee</w:t>
            </w:r>
          </w:p>
        </w:tc>
        <w:tc>
          <w:tcPr>
            <w:tcW w:w="2765" w:type="dxa"/>
            <w:gridSpan w:val="2"/>
          </w:tcPr>
          <w:p w14:paraId="06FED84A" w14:textId="099D15CC"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 xml:space="preserve">Scale for </w:t>
            </w:r>
            <w:r w:rsidR="00130B02">
              <w:rPr>
                <w:rFonts w:ascii="Cambria" w:hAnsi="Cambria"/>
                <w:sz w:val="24"/>
                <w:szCs w:val="24"/>
              </w:rPr>
              <w:t>nor</w:t>
            </w:r>
            <w:r w:rsidRPr="00530906">
              <w:rPr>
                <w:rFonts w:ascii="Cambria" w:hAnsi="Cambria"/>
                <w:sz w:val="24"/>
                <w:szCs w:val="24"/>
              </w:rPr>
              <w:t>mative influence has been adopted to suit for the research</w:t>
            </w:r>
          </w:p>
        </w:tc>
      </w:tr>
      <w:tr w:rsidR="00C7217E" w:rsidRPr="00530906" w14:paraId="09E938A7" w14:textId="77777777" w:rsidTr="00C7217E">
        <w:trPr>
          <w:trHeight w:val="1610"/>
        </w:trPr>
        <w:tc>
          <w:tcPr>
            <w:tcW w:w="6477" w:type="dxa"/>
          </w:tcPr>
          <w:p w14:paraId="442B4D8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Unlikely – Likely</w:t>
            </w:r>
          </w:p>
          <w:p w14:paraId="4C4A65D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Improbable – Probable</w:t>
            </w:r>
          </w:p>
          <w:p w14:paraId="5D3210F2"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Impossible – Possible</w:t>
            </w:r>
          </w:p>
          <w:p w14:paraId="64C0E8F5"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Uncertain – Certain</w:t>
            </w:r>
          </w:p>
          <w:p w14:paraId="57B5DF10"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Definitely would –Definitely would NOT</w:t>
            </w:r>
          </w:p>
          <w:p w14:paraId="773B3D67"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No Chance – Certainly</w:t>
            </w:r>
          </w:p>
        </w:tc>
        <w:tc>
          <w:tcPr>
            <w:tcW w:w="2765" w:type="dxa"/>
            <w:gridSpan w:val="2"/>
          </w:tcPr>
          <w:p w14:paraId="36AF9B65"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Items for Purchase intention of branded sustainable product has not been changed</w:t>
            </w:r>
          </w:p>
        </w:tc>
      </w:tr>
      <w:tr w:rsidR="00C7217E" w:rsidRPr="00530906" w14:paraId="50F41F04" w14:textId="77777777" w:rsidTr="00C7217E">
        <w:trPr>
          <w:trHeight w:val="1430"/>
        </w:trPr>
        <w:tc>
          <w:tcPr>
            <w:tcW w:w="6477" w:type="dxa"/>
          </w:tcPr>
          <w:p w14:paraId="532F12AB"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Expert—Not an expert</w:t>
            </w:r>
          </w:p>
          <w:p w14:paraId="4FEC0635"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Experienced—Inexperienced</w:t>
            </w:r>
          </w:p>
          <w:p w14:paraId="2CB70229"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Knowledgeable—Unknowledgeable</w:t>
            </w:r>
          </w:p>
          <w:p w14:paraId="03DAAFBF"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Qualified—Unqualified</w:t>
            </w:r>
          </w:p>
          <w:p w14:paraId="7794E57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Skilled–Unskilled</w:t>
            </w:r>
          </w:p>
        </w:tc>
        <w:tc>
          <w:tcPr>
            <w:tcW w:w="2765" w:type="dxa"/>
            <w:gridSpan w:val="2"/>
          </w:tcPr>
          <w:p w14:paraId="2634C19B"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Items for Source expertise have not been changed</w:t>
            </w:r>
          </w:p>
        </w:tc>
      </w:tr>
      <w:tr w:rsidR="00C7217E" w:rsidRPr="00530906" w14:paraId="0D517823" w14:textId="77777777" w:rsidTr="00C7217E">
        <w:trPr>
          <w:trHeight w:val="1340"/>
        </w:trPr>
        <w:tc>
          <w:tcPr>
            <w:tcW w:w="6477" w:type="dxa"/>
          </w:tcPr>
          <w:p w14:paraId="4056AFC6"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Dependable—Undependable</w:t>
            </w:r>
          </w:p>
          <w:p w14:paraId="58A2182B"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Honest—Dishonest</w:t>
            </w:r>
          </w:p>
          <w:p w14:paraId="5D861045"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Reliable—Unreliable</w:t>
            </w:r>
          </w:p>
          <w:p w14:paraId="7B2B216C"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Sincere—Insincere</w:t>
            </w:r>
          </w:p>
          <w:p w14:paraId="40AE1DD3"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Trustworthy—Untrustworthy</w:t>
            </w:r>
          </w:p>
        </w:tc>
        <w:tc>
          <w:tcPr>
            <w:tcW w:w="2765" w:type="dxa"/>
            <w:gridSpan w:val="2"/>
          </w:tcPr>
          <w:p w14:paraId="72BB0F93"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Items for Source trustworthiness have not been changed</w:t>
            </w:r>
          </w:p>
        </w:tc>
      </w:tr>
      <w:tr w:rsidR="00C7217E" w:rsidRPr="00530906" w14:paraId="3FCB4268" w14:textId="77777777" w:rsidTr="00C7217E">
        <w:trPr>
          <w:trHeight w:val="1340"/>
        </w:trPr>
        <w:tc>
          <w:tcPr>
            <w:tcW w:w="6477" w:type="dxa"/>
          </w:tcPr>
          <w:p w14:paraId="097A8267"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People are very busy these days but still find time for hobbies. Some like to read books and other like to watch movies. To show that you have read this question please type "play" in the box 'others' available below. That's right, just type the word play and ignore all the other choices.  What do you like to do in your spare time?</w:t>
            </w:r>
          </w:p>
          <w:p w14:paraId="3BE958EC" w14:textId="77777777" w:rsidR="00C7217E" w:rsidRPr="00530906" w:rsidRDefault="00C7217E" w:rsidP="008756B1">
            <w:pPr>
              <w:numPr>
                <w:ilvl w:val="0"/>
                <w:numId w:val="10"/>
              </w:numPr>
              <w:spacing w:line="360" w:lineRule="auto"/>
              <w:contextualSpacing/>
              <w:jc w:val="both"/>
              <w:rPr>
                <w:rFonts w:ascii="Cambria" w:hAnsi="Cambria"/>
                <w:sz w:val="24"/>
                <w:szCs w:val="24"/>
              </w:rPr>
            </w:pPr>
            <w:r w:rsidRPr="00530906">
              <w:rPr>
                <w:rFonts w:ascii="Cambria" w:hAnsi="Cambria"/>
                <w:sz w:val="24"/>
                <w:szCs w:val="24"/>
              </w:rPr>
              <w:t>Read books</w:t>
            </w:r>
          </w:p>
          <w:p w14:paraId="020535B9" w14:textId="77777777" w:rsidR="00C7217E" w:rsidRPr="00530906" w:rsidRDefault="00C7217E" w:rsidP="008756B1">
            <w:pPr>
              <w:numPr>
                <w:ilvl w:val="0"/>
                <w:numId w:val="10"/>
              </w:numPr>
              <w:spacing w:line="360" w:lineRule="auto"/>
              <w:contextualSpacing/>
              <w:jc w:val="both"/>
              <w:rPr>
                <w:rFonts w:ascii="Cambria" w:hAnsi="Cambria"/>
                <w:sz w:val="24"/>
                <w:szCs w:val="24"/>
              </w:rPr>
            </w:pPr>
            <w:r w:rsidRPr="00530906">
              <w:rPr>
                <w:rFonts w:ascii="Cambria" w:hAnsi="Cambria"/>
                <w:sz w:val="24"/>
                <w:szCs w:val="24"/>
              </w:rPr>
              <w:t>Watch movie</w:t>
            </w:r>
          </w:p>
          <w:p w14:paraId="1CEAA179" w14:textId="77777777" w:rsidR="00C7217E" w:rsidRPr="00530906" w:rsidRDefault="00C7217E" w:rsidP="008756B1">
            <w:pPr>
              <w:numPr>
                <w:ilvl w:val="0"/>
                <w:numId w:val="10"/>
              </w:numPr>
              <w:spacing w:line="360" w:lineRule="auto"/>
              <w:contextualSpacing/>
              <w:jc w:val="both"/>
              <w:rPr>
                <w:rFonts w:ascii="Cambria" w:hAnsi="Cambria"/>
                <w:sz w:val="24"/>
                <w:szCs w:val="24"/>
              </w:rPr>
            </w:pPr>
            <w:r w:rsidRPr="00530906">
              <w:rPr>
                <w:rFonts w:ascii="Cambria" w:hAnsi="Cambria"/>
                <w:sz w:val="24"/>
                <w:szCs w:val="24"/>
              </w:rPr>
              <w:t>Exercise</w:t>
            </w:r>
          </w:p>
          <w:p w14:paraId="70415953" w14:textId="77777777" w:rsidR="00C7217E" w:rsidRPr="00530906" w:rsidRDefault="00C7217E" w:rsidP="008756B1">
            <w:pPr>
              <w:numPr>
                <w:ilvl w:val="0"/>
                <w:numId w:val="10"/>
              </w:numPr>
              <w:spacing w:line="360" w:lineRule="auto"/>
              <w:contextualSpacing/>
              <w:jc w:val="both"/>
              <w:rPr>
                <w:rFonts w:ascii="Cambria" w:hAnsi="Cambria"/>
                <w:sz w:val="24"/>
                <w:szCs w:val="24"/>
              </w:rPr>
            </w:pPr>
            <w:r w:rsidRPr="00530906">
              <w:rPr>
                <w:rFonts w:ascii="Cambria" w:hAnsi="Cambria"/>
                <w:sz w:val="24"/>
                <w:szCs w:val="24"/>
              </w:rPr>
              <w:t>Cook</w:t>
            </w:r>
          </w:p>
          <w:p w14:paraId="160CC91B" w14:textId="77777777" w:rsidR="00C7217E" w:rsidRPr="00530906" w:rsidRDefault="00C7217E" w:rsidP="008756B1">
            <w:pPr>
              <w:numPr>
                <w:ilvl w:val="0"/>
                <w:numId w:val="10"/>
              </w:numPr>
              <w:spacing w:line="360" w:lineRule="auto"/>
              <w:contextualSpacing/>
              <w:jc w:val="both"/>
              <w:rPr>
                <w:rFonts w:ascii="Cambria" w:hAnsi="Cambria"/>
                <w:sz w:val="24"/>
                <w:szCs w:val="24"/>
              </w:rPr>
            </w:pPr>
            <w:r w:rsidRPr="00530906">
              <w:rPr>
                <w:rFonts w:ascii="Cambria" w:hAnsi="Cambria"/>
                <w:sz w:val="24"/>
                <w:szCs w:val="24"/>
              </w:rPr>
              <w:t>Play video game</w:t>
            </w:r>
          </w:p>
          <w:p w14:paraId="038BBF58"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Others</w:t>
            </w:r>
          </w:p>
        </w:tc>
        <w:tc>
          <w:tcPr>
            <w:tcW w:w="2765" w:type="dxa"/>
            <w:gridSpan w:val="2"/>
          </w:tcPr>
          <w:p w14:paraId="23383EBB" w14:textId="77777777" w:rsidR="00C7217E" w:rsidRPr="00530906" w:rsidRDefault="00C7217E" w:rsidP="008756B1">
            <w:pPr>
              <w:spacing w:line="360" w:lineRule="auto"/>
              <w:jc w:val="both"/>
              <w:rPr>
                <w:rFonts w:ascii="Cambria" w:hAnsi="Cambria"/>
                <w:sz w:val="24"/>
                <w:szCs w:val="24"/>
              </w:rPr>
            </w:pPr>
            <w:r w:rsidRPr="00530906">
              <w:rPr>
                <w:rFonts w:ascii="Cambria" w:hAnsi="Cambria"/>
                <w:sz w:val="24"/>
                <w:szCs w:val="24"/>
              </w:rPr>
              <w:t>Attention check question</w:t>
            </w:r>
          </w:p>
        </w:tc>
      </w:tr>
    </w:tbl>
    <w:p w14:paraId="119166F2" w14:textId="5AABE277" w:rsidR="00C7217E" w:rsidRPr="00530906" w:rsidRDefault="00C7217E" w:rsidP="008756B1">
      <w:pPr>
        <w:pStyle w:val="Heading2"/>
        <w:jc w:val="both"/>
      </w:pPr>
      <w:bookmarkStart w:id="128" w:name="_Toc115726284"/>
      <w:r w:rsidRPr="00530906">
        <w:t xml:space="preserve">Appendix </w:t>
      </w:r>
      <w:r w:rsidR="002E0B61" w:rsidRPr="00530906">
        <w:t>3</w:t>
      </w:r>
      <w:r w:rsidRPr="00530906">
        <w:t>.3</w:t>
      </w:r>
      <w:bookmarkEnd w:id="128"/>
    </w:p>
    <w:p w14:paraId="122708D7"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1CD9CA3B" wp14:editId="6A300B2E">
            <wp:extent cx="5943600" cy="3495675"/>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943600" cy="34956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5029C411" wp14:editId="6D53B0A4">
            <wp:extent cx="4020850" cy="2364827"/>
            <wp:effectExtent l="1905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4016294" cy="2362147"/>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3EAC7612" wp14:editId="793A58FE">
            <wp:extent cx="3275943" cy="1931966"/>
            <wp:effectExtent l="19050" t="0" r="657" b="0"/>
            <wp:docPr id="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3280862" cy="1934867"/>
                    </a:xfrm>
                    <a:prstGeom prst="rect">
                      <a:avLst/>
                    </a:prstGeom>
                    <a:noFill/>
                    <a:ln w="9525">
                      <a:noFill/>
                      <a:miter lim="800000"/>
                      <a:headEnd/>
                      <a:tailEnd/>
                    </a:ln>
                  </pic:spPr>
                </pic:pic>
              </a:graphicData>
            </a:graphic>
          </wp:inline>
        </w:drawing>
      </w:r>
    </w:p>
    <w:p w14:paraId="7E8AD90C"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2FB5A35C"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6648DFF4"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4E74FAEA" wp14:editId="78CAB98C">
            <wp:extent cx="4583769" cy="2695903"/>
            <wp:effectExtent l="19050" t="0" r="7281" b="0"/>
            <wp:docPr id="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4586303" cy="2697393"/>
                    </a:xfrm>
                    <a:prstGeom prst="rect">
                      <a:avLst/>
                    </a:prstGeom>
                    <a:noFill/>
                    <a:ln w="9525">
                      <a:noFill/>
                      <a:miter lim="800000"/>
                      <a:headEnd/>
                      <a:tailEnd/>
                    </a:ln>
                  </pic:spPr>
                </pic:pic>
              </a:graphicData>
            </a:graphic>
          </wp:inline>
        </w:drawing>
      </w:r>
    </w:p>
    <w:p w14:paraId="14C48430"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520FD22B"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143D2832" wp14:editId="093BD538">
            <wp:extent cx="3956695" cy="2327095"/>
            <wp:effectExtent l="19050" t="0" r="5705" b="0"/>
            <wp:docPr id="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a:stretch>
                      <a:fillRect/>
                    </a:stretch>
                  </pic:blipFill>
                  <pic:spPr bwMode="auto">
                    <a:xfrm>
                      <a:off x="0" y="0"/>
                      <a:ext cx="3958882" cy="2328381"/>
                    </a:xfrm>
                    <a:prstGeom prst="rect">
                      <a:avLst/>
                    </a:prstGeom>
                    <a:noFill/>
                    <a:ln w="9525">
                      <a:noFill/>
                      <a:miter lim="800000"/>
                      <a:headEnd/>
                      <a:tailEnd/>
                    </a:ln>
                  </pic:spPr>
                </pic:pic>
              </a:graphicData>
            </a:graphic>
          </wp:inline>
        </w:drawing>
      </w:r>
    </w:p>
    <w:p w14:paraId="43FEA652"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576F6AA8" wp14:editId="685B9A67">
            <wp:extent cx="4090724" cy="2405923"/>
            <wp:effectExtent l="19050" t="0" r="5026" b="0"/>
            <wp:docPr id="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4092985" cy="2407253"/>
                    </a:xfrm>
                    <a:prstGeom prst="rect">
                      <a:avLst/>
                    </a:prstGeom>
                    <a:noFill/>
                    <a:ln w="9525">
                      <a:noFill/>
                      <a:miter lim="800000"/>
                      <a:headEnd/>
                      <a:tailEnd/>
                    </a:ln>
                  </pic:spPr>
                </pic:pic>
              </a:graphicData>
            </a:graphic>
          </wp:inline>
        </w:drawing>
      </w:r>
    </w:p>
    <w:p w14:paraId="1B3F647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69FD15EB"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2D3ED487"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1D3F466C" wp14:editId="1F7D7162">
            <wp:extent cx="4422936" cy="2601310"/>
            <wp:effectExtent l="19050" t="0" r="0" b="0"/>
            <wp:docPr id="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4423283" cy="2601514"/>
                    </a:xfrm>
                    <a:prstGeom prst="rect">
                      <a:avLst/>
                    </a:prstGeom>
                    <a:noFill/>
                    <a:ln w="9525">
                      <a:noFill/>
                      <a:miter lim="800000"/>
                      <a:headEnd/>
                      <a:tailEnd/>
                    </a:ln>
                  </pic:spPr>
                </pic:pic>
              </a:graphicData>
            </a:graphic>
          </wp:inline>
        </w:drawing>
      </w:r>
    </w:p>
    <w:p w14:paraId="5E6C180E"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73E3C93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A736F68" wp14:editId="2985A21A">
            <wp:extent cx="3822668" cy="2248268"/>
            <wp:effectExtent l="19050" t="0" r="6382" b="0"/>
            <wp:docPr id="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3824781" cy="2249511"/>
                    </a:xfrm>
                    <a:prstGeom prst="rect">
                      <a:avLst/>
                    </a:prstGeom>
                    <a:noFill/>
                    <a:ln w="9525">
                      <a:noFill/>
                      <a:miter lim="800000"/>
                      <a:headEnd/>
                      <a:tailEnd/>
                    </a:ln>
                  </pic:spPr>
                </pic:pic>
              </a:graphicData>
            </a:graphic>
          </wp:inline>
        </w:drawing>
      </w:r>
    </w:p>
    <w:p w14:paraId="04AA6387"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17B8D5F0"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06A89791" wp14:editId="0CCB3A2B">
            <wp:extent cx="3983502" cy="2342861"/>
            <wp:effectExtent l="19050" t="0" r="0" b="0"/>
            <wp:docPr id="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3985704" cy="2344156"/>
                    </a:xfrm>
                    <a:prstGeom prst="rect">
                      <a:avLst/>
                    </a:prstGeom>
                    <a:noFill/>
                    <a:ln w="9525">
                      <a:noFill/>
                      <a:miter lim="800000"/>
                      <a:headEnd/>
                      <a:tailEnd/>
                    </a:ln>
                  </pic:spPr>
                </pic:pic>
              </a:graphicData>
            </a:graphic>
          </wp:inline>
        </w:drawing>
      </w:r>
    </w:p>
    <w:p w14:paraId="28F40BE4"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3578EA0B"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7AB77505"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6B8348B4" wp14:editId="26890D5D">
            <wp:extent cx="4717799" cy="2774731"/>
            <wp:effectExtent l="19050" t="0" r="6601" b="0"/>
            <wp:docPr id="62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8"/>
                    <a:srcRect/>
                    <a:stretch>
                      <a:fillRect/>
                    </a:stretch>
                  </pic:blipFill>
                  <pic:spPr bwMode="auto">
                    <a:xfrm>
                      <a:off x="0" y="0"/>
                      <a:ext cx="4730179" cy="2782012"/>
                    </a:xfrm>
                    <a:prstGeom prst="rect">
                      <a:avLst/>
                    </a:prstGeom>
                    <a:noFill/>
                    <a:ln w="9525">
                      <a:noFill/>
                      <a:miter lim="800000"/>
                      <a:headEnd/>
                      <a:tailEnd/>
                    </a:ln>
                  </pic:spPr>
                </pic:pic>
              </a:graphicData>
            </a:graphic>
          </wp:inline>
        </w:drawing>
      </w:r>
    </w:p>
    <w:p w14:paraId="6B113687"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0E65C0AC"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2D278E1" wp14:editId="0F74569D">
            <wp:extent cx="3862552" cy="2271726"/>
            <wp:effectExtent l="19050" t="0" r="4598" b="0"/>
            <wp:docPr id="62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a:srcRect/>
                    <a:stretch>
                      <a:fillRect/>
                    </a:stretch>
                  </pic:blipFill>
                  <pic:spPr bwMode="auto">
                    <a:xfrm>
                      <a:off x="0" y="0"/>
                      <a:ext cx="3864687" cy="2272982"/>
                    </a:xfrm>
                    <a:prstGeom prst="rect">
                      <a:avLst/>
                    </a:prstGeom>
                    <a:noFill/>
                    <a:ln w="9525">
                      <a:noFill/>
                      <a:miter lim="800000"/>
                      <a:headEnd/>
                      <a:tailEnd/>
                    </a:ln>
                  </pic:spPr>
                </pic:pic>
              </a:graphicData>
            </a:graphic>
          </wp:inline>
        </w:drawing>
      </w:r>
    </w:p>
    <w:p w14:paraId="709D420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D2B76B6" wp14:editId="07760E5F">
            <wp:extent cx="4305169" cy="2532047"/>
            <wp:effectExtent l="19050" t="0" r="131" b="0"/>
            <wp:docPr id="62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a:srcRect/>
                    <a:stretch>
                      <a:fillRect/>
                    </a:stretch>
                  </pic:blipFill>
                  <pic:spPr bwMode="auto">
                    <a:xfrm>
                      <a:off x="0" y="0"/>
                      <a:ext cx="4307549" cy="2533447"/>
                    </a:xfrm>
                    <a:prstGeom prst="rect">
                      <a:avLst/>
                    </a:prstGeom>
                    <a:noFill/>
                    <a:ln w="9525">
                      <a:noFill/>
                      <a:miter lim="800000"/>
                      <a:headEnd/>
                      <a:tailEnd/>
                    </a:ln>
                  </pic:spPr>
                </pic:pic>
              </a:graphicData>
            </a:graphic>
          </wp:inline>
        </w:drawing>
      </w:r>
    </w:p>
    <w:p w14:paraId="5BFBD612"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6750595D"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1081230C"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5711F581" wp14:editId="67042908">
            <wp:extent cx="4975311" cy="2926185"/>
            <wp:effectExtent l="19050" t="0" r="0" b="0"/>
            <wp:docPr id="63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a:srcRect/>
                    <a:stretch>
                      <a:fillRect/>
                    </a:stretch>
                  </pic:blipFill>
                  <pic:spPr bwMode="auto">
                    <a:xfrm>
                      <a:off x="0" y="0"/>
                      <a:ext cx="4978062" cy="2927803"/>
                    </a:xfrm>
                    <a:prstGeom prst="rect">
                      <a:avLst/>
                    </a:prstGeom>
                    <a:noFill/>
                    <a:ln w="9525">
                      <a:noFill/>
                      <a:miter lim="800000"/>
                      <a:headEnd/>
                      <a:tailEnd/>
                    </a:ln>
                  </pic:spPr>
                </pic:pic>
              </a:graphicData>
            </a:graphic>
          </wp:inline>
        </w:drawing>
      </w:r>
    </w:p>
    <w:p w14:paraId="452A4A2B"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026C200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5A70993" wp14:editId="142714F0">
            <wp:extent cx="4439198" cy="2610875"/>
            <wp:effectExtent l="19050" t="0" r="0" b="0"/>
            <wp:docPr id="63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a:srcRect/>
                    <a:stretch>
                      <a:fillRect/>
                    </a:stretch>
                  </pic:blipFill>
                  <pic:spPr bwMode="auto">
                    <a:xfrm>
                      <a:off x="0" y="0"/>
                      <a:ext cx="4441652" cy="2612318"/>
                    </a:xfrm>
                    <a:prstGeom prst="rect">
                      <a:avLst/>
                    </a:prstGeom>
                    <a:noFill/>
                    <a:ln w="9525">
                      <a:noFill/>
                      <a:miter lim="800000"/>
                      <a:headEnd/>
                      <a:tailEnd/>
                    </a:ln>
                  </pic:spPr>
                </pic:pic>
              </a:graphicData>
            </a:graphic>
          </wp:inline>
        </w:drawing>
      </w:r>
    </w:p>
    <w:p w14:paraId="091650B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3A5AE812" wp14:editId="4C85CCCF">
            <wp:extent cx="3725988" cy="2191407"/>
            <wp:effectExtent l="19050" t="0" r="7812" b="0"/>
            <wp:docPr id="63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3"/>
                    <a:srcRect/>
                    <a:stretch>
                      <a:fillRect/>
                    </a:stretch>
                  </pic:blipFill>
                  <pic:spPr bwMode="auto">
                    <a:xfrm>
                      <a:off x="0" y="0"/>
                      <a:ext cx="3733070" cy="2195572"/>
                    </a:xfrm>
                    <a:prstGeom prst="rect">
                      <a:avLst/>
                    </a:prstGeom>
                    <a:noFill/>
                    <a:ln w="9525">
                      <a:noFill/>
                      <a:miter lim="800000"/>
                      <a:headEnd/>
                      <a:tailEnd/>
                    </a:ln>
                  </pic:spPr>
                </pic:pic>
              </a:graphicData>
            </a:graphic>
          </wp:inline>
        </w:drawing>
      </w:r>
    </w:p>
    <w:p w14:paraId="3822521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17B4519B"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7BAB6B44"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440F0BF9" wp14:editId="104B2315">
            <wp:extent cx="4805198" cy="2826134"/>
            <wp:effectExtent l="19050" t="0" r="0" b="0"/>
            <wp:docPr id="63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4"/>
                    <a:srcRect/>
                    <a:stretch>
                      <a:fillRect/>
                    </a:stretch>
                  </pic:blipFill>
                  <pic:spPr bwMode="auto">
                    <a:xfrm>
                      <a:off x="0" y="0"/>
                      <a:ext cx="4807854" cy="2827696"/>
                    </a:xfrm>
                    <a:prstGeom prst="rect">
                      <a:avLst/>
                    </a:prstGeom>
                    <a:noFill/>
                    <a:ln w="9525">
                      <a:noFill/>
                      <a:miter lim="800000"/>
                      <a:headEnd/>
                      <a:tailEnd/>
                    </a:ln>
                  </pic:spPr>
                </pic:pic>
              </a:graphicData>
            </a:graphic>
          </wp:inline>
        </w:drawing>
      </w:r>
    </w:p>
    <w:p w14:paraId="7A3F063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D8D8504" wp14:editId="2934C09F">
            <wp:extent cx="4256690" cy="2503534"/>
            <wp:effectExtent l="19050" t="0" r="0" b="0"/>
            <wp:docPr id="63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5"/>
                    <a:srcRect/>
                    <a:stretch>
                      <a:fillRect/>
                    </a:stretch>
                  </pic:blipFill>
                  <pic:spPr bwMode="auto">
                    <a:xfrm>
                      <a:off x="0" y="0"/>
                      <a:ext cx="4259043" cy="2504918"/>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67CE6941" wp14:editId="74A8C61D">
            <wp:extent cx="3688640" cy="2169441"/>
            <wp:effectExtent l="19050" t="0" r="7060" b="0"/>
            <wp:docPr id="63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6"/>
                    <a:srcRect/>
                    <a:stretch>
                      <a:fillRect/>
                    </a:stretch>
                  </pic:blipFill>
                  <pic:spPr bwMode="auto">
                    <a:xfrm>
                      <a:off x="0" y="0"/>
                      <a:ext cx="3690679" cy="2170640"/>
                    </a:xfrm>
                    <a:prstGeom prst="rect">
                      <a:avLst/>
                    </a:prstGeom>
                    <a:noFill/>
                    <a:ln w="9525">
                      <a:noFill/>
                      <a:miter lim="800000"/>
                      <a:headEnd/>
                      <a:tailEnd/>
                    </a:ln>
                  </pic:spPr>
                </pic:pic>
              </a:graphicData>
            </a:graphic>
          </wp:inline>
        </w:drawing>
      </w:r>
    </w:p>
    <w:p w14:paraId="5EDF39C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34B8B5F4"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2D2914A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09C54F22" wp14:editId="717983EB">
            <wp:extent cx="4959050" cy="2916621"/>
            <wp:effectExtent l="19050" t="0" r="0" b="0"/>
            <wp:docPr id="63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a:srcRect/>
                    <a:stretch>
                      <a:fillRect/>
                    </a:stretch>
                  </pic:blipFill>
                  <pic:spPr bwMode="auto">
                    <a:xfrm>
                      <a:off x="0" y="0"/>
                      <a:ext cx="4961792" cy="2918233"/>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5DC6D3E4" wp14:editId="2FBBC60B">
            <wp:extent cx="3806405" cy="2238703"/>
            <wp:effectExtent l="19050" t="0" r="3595" b="0"/>
            <wp:docPr id="63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8"/>
                    <a:srcRect/>
                    <a:stretch>
                      <a:fillRect/>
                    </a:stretch>
                  </pic:blipFill>
                  <pic:spPr bwMode="auto">
                    <a:xfrm>
                      <a:off x="0" y="0"/>
                      <a:ext cx="3808509" cy="2239941"/>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51A96345" wp14:editId="6A522EA6">
            <wp:extent cx="4379529" cy="2575781"/>
            <wp:effectExtent l="19050" t="0" r="1971" b="0"/>
            <wp:docPr id="63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9"/>
                    <a:srcRect/>
                    <a:stretch>
                      <a:fillRect/>
                    </a:stretch>
                  </pic:blipFill>
                  <pic:spPr bwMode="auto">
                    <a:xfrm>
                      <a:off x="0" y="0"/>
                      <a:ext cx="4381950" cy="2577205"/>
                    </a:xfrm>
                    <a:prstGeom prst="rect">
                      <a:avLst/>
                    </a:prstGeom>
                    <a:noFill/>
                    <a:ln w="9525">
                      <a:noFill/>
                      <a:miter lim="800000"/>
                      <a:headEnd/>
                      <a:tailEnd/>
                    </a:ln>
                  </pic:spPr>
                </pic:pic>
              </a:graphicData>
            </a:graphic>
          </wp:inline>
        </w:drawing>
      </w:r>
    </w:p>
    <w:p w14:paraId="1C0926C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262256CC"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0E689F2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6DD47550" wp14:editId="0AA56431">
            <wp:extent cx="4851829" cy="2853559"/>
            <wp:effectExtent l="19050" t="0" r="5921" b="0"/>
            <wp:docPr id="6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0"/>
                    <a:srcRect/>
                    <a:stretch>
                      <a:fillRect/>
                    </a:stretch>
                  </pic:blipFill>
                  <pic:spPr bwMode="auto">
                    <a:xfrm>
                      <a:off x="0" y="0"/>
                      <a:ext cx="4870322" cy="2864436"/>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06017576" wp14:editId="0103D230">
            <wp:extent cx="3661834" cy="2153675"/>
            <wp:effectExtent l="19050" t="0" r="0" b="0"/>
            <wp:docPr id="6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a:srcRect/>
                    <a:stretch>
                      <a:fillRect/>
                    </a:stretch>
                  </pic:blipFill>
                  <pic:spPr bwMode="auto">
                    <a:xfrm>
                      <a:off x="0" y="0"/>
                      <a:ext cx="3663858" cy="2154866"/>
                    </a:xfrm>
                    <a:prstGeom prst="rect">
                      <a:avLst/>
                    </a:prstGeom>
                    <a:noFill/>
                    <a:ln w="9525">
                      <a:noFill/>
                      <a:miter lim="800000"/>
                      <a:headEnd/>
                      <a:tailEnd/>
                    </a:ln>
                  </pic:spPr>
                </pic:pic>
              </a:graphicData>
            </a:graphic>
          </wp:inline>
        </w:drawing>
      </w:r>
    </w:p>
    <w:p w14:paraId="5EAEB392"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0AA33643" wp14:editId="32654C02">
            <wp:extent cx="4385587" cy="2579344"/>
            <wp:effectExtent l="19050" t="0" r="0" b="0"/>
            <wp:docPr id="6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a:srcRect/>
                    <a:stretch>
                      <a:fillRect/>
                    </a:stretch>
                  </pic:blipFill>
                  <pic:spPr bwMode="auto">
                    <a:xfrm>
                      <a:off x="0" y="0"/>
                      <a:ext cx="4388011" cy="2580770"/>
                    </a:xfrm>
                    <a:prstGeom prst="rect">
                      <a:avLst/>
                    </a:prstGeom>
                    <a:noFill/>
                    <a:ln w="9525">
                      <a:noFill/>
                      <a:miter lim="800000"/>
                      <a:headEnd/>
                      <a:tailEnd/>
                    </a:ln>
                  </pic:spPr>
                </pic:pic>
              </a:graphicData>
            </a:graphic>
          </wp:inline>
        </w:drawing>
      </w:r>
    </w:p>
    <w:p w14:paraId="6F2BD36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7F5A4825"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458EADF3"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321B962" wp14:editId="6FD1E630">
            <wp:extent cx="4947088" cy="2909586"/>
            <wp:effectExtent l="19050" t="0" r="5912" b="0"/>
            <wp:docPr id="642"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3"/>
                    <a:srcRect/>
                    <a:stretch>
                      <a:fillRect/>
                    </a:stretch>
                  </pic:blipFill>
                  <pic:spPr bwMode="auto">
                    <a:xfrm>
                      <a:off x="0" y="0"/>
                      <a:ext cx="4949823" cy="2911195"/>
                    </a:xfrm>
                    <a:prstGeom prst="rect">
                      <a:avLst/>
                    </a:prstGeom>
                    <a:noFill/>
                    <a:ln w="9525">
                      <a:noFill/>
                      <a:miter lim="800000"/>
                      <a:headEnd/>
                      <a:tailEnd/>
                    </a:ln>
                  </pic:spPr>
                </pic:pic>
              </a:graphicData>
            </a:graphic>
          </wp:inline>
        </w:drawing>
      </w:r>
    </w:p>
    <w:p w14:paraId="0DB41C85"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6278B227" wp14:editId="4B575F9A">
            <wp:extent cx="4190343" cy="2464513"/>
            <wp:effectExtent l="19050" t="0" r="657" b="0"/>
            <wp:docPr id="64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
                    <a:srcRect/>
                    <a:stretch>
                      <a:fillRect/>
                    </a:stretch>
                  </pic:blipFill>
                  <pic:spPr bwMode="auto">
                    <a:xfrm>
                      <a:off x="0" y="0"/>
                      <a:ext cx="4192660" cy="24658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71FB8430" wp14:editId="590B1F32">
            <wp:extent cx="3985391" cy="2343972"/>
            <wp:effectExtent l="19050" t="0" r="0" b="0"/>
            <wp:docPr id="644"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5"/>
                    <a:srcRect/>
                    <a:stretch>
                      <a:fillRect/>
                    </a:stretch>
                  </pic:blipFill>
                  <pic:spPr bwMode="auto">
                    <a:xfrm>
                      <a:off x="0" y="0"/>
                      <a:ext cx="3987594" cy="2345268"/>
                    </a:xfrm>
                    <a:prstGeom prst="rect">
                      <a:avLst/>
                    </a:prstGeom>
                    <a:noFill/>
                    <a:ln w="9525">
                      <a:noFill/>
                      <a:miter lim="800000"/>
                      <a:headEnd/>
                      <a:tailEnd/>
                    </a:ln>
                  </pic:spPr>
                </pic:pic>
              </a:graphicData>
            </a:graphic>
          </wp:inline>
        </w:drawing>
      </w:r>
    </w:p>
    <w:p w14:paraId="51B6DA9B"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1AB8A173" wp14:editId="38167BEA">
            <wp:extent cx="5655995" cy="3326524"/>
            <wp:effectExtent l="19050" t="0" r="1855" b="0"/>
            <wp:docPr id="645"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6"/>
                    <a:srcRect/>
                    <a:stretch>
                      <a:fillRect/>
                    </a:stretch>
                  </pic:blipFill>
                  <pic:spPr bwMode="auto">
                    <a:xfrm>
                      <a:off x="0" y="0"/>
                      <a:ext cx="5665014" cy="3331829"/>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519C9041" wp14:editId="7E56FC0E">
            <wp:extent cx="3849474" cy="2264034"/>
            <wp:effectExtent l="19050" t="0" r="0" b="0"/>
            <wp:docPr id="646"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7"/>
                    <a:srcRect/>
                    <a:stretch>
                      <a:fillRect/>
                    </a:stretch>
                  </pic:blipFill>
                  <pic:spPr bwMode="auto">
                    <a:xfrm>
                      <a:off x="0" y="0"/>
                      <a:ext cx="3851602" cy="2265286"/>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6A109B3F" wp14:editId="1A20AAF6">
            <wp:extent cx="3806405" cy="2238703"/>
            <wp:effectExtent l="19050" t="0" r="3595" b="0"/>
            <wp:docPr id="64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8"/>
                    <a:srcRect/>
                    <a:stretch>
                      <a:fillRect/>
                    </a:stretch>
                  </pic:blipFill>
                  <pic:spPr bwMode="auto">
                    <a:xfrm>
                      <a:off x="0" y="0"/>
                      <a:ext cx="3808509" cy="2239941"/>
                    </a:xfrm>
                    <a:prstGeom prst="rect">
                      <a:avLst/>
                    </a:prstGeom>
                    <a:noFill/>
                    <a:ln w="9525">
                      <a:noFill/>
                      <a:miter lim="800000"/>
                      <a:headEnd/>
                      <a:tailEnd/>
                    </a:ln>
                  </pic:spPr>
                </pic:pic>
              </a:graphicData>
            </a:graphic>
          </wp:inline>
        </w:drawing>
      </w:r>
    </w:p>
    <w:p w14:paraId="6EED404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1EC8BB9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24B687F" wp14:editId="51F4B4C4">
            <wp:extent cx="5468357" cy="3216166"/>
            <wp:effectExtent l="19050" t="0" r="0" b="0"/>
            <wp:docPr id="64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9"/>
                    <a:srcRect/>
                    <a:stretch>
                      <a:fillRect/>
                    </a:stretch>
                  </pic:blipFill>
                  <pic:spPr bwMode="auto">
                    <a:xfrm>
                      <a:off x="0" y="0"/>
                      <a:ext cx="5473979" cy="3219472"/>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33C79AF2" wp14:editId="0B90044B">
            <wp:extent cx="4001157" cy="2353245"/>
            <wp:effectExtent l="19050" t="0" r="0" b="0"/>
            <wp:docPr id="649"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0"/>
                    <a:srcRect/>
                    <a:stretch>
                      <a:fillRect/>
                    </a:stretch>
                  </pic:blipFill>
                  <pic:spPr bwMode="auto">
                    <a:xfrm>
                      <a:off x="0" y="0"/>
                      <a:ext cx="4003369" cy="2354546"/>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2F016493" wp14:editId="637C1F23">
            <wp:extent cx="3685847" cy="2167798"/>
            <wp:effectExtent l="19050" t="0" r="0" b="0"/>
            <wp:docPr id="650"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1"/>
                    <a:srcRect/>
                    <a:stretch>
                      <a:fillRect/>
                    </a:stretch>
                  </pic:blipFill>
                  <pic:spPr bwMode="auto">
                    <a:xfrm>
                      <a:off x="0" y="0"/>
                      <a:ext cx="3687885" cy="2168996"/>
                    </a:xfrm>
                    <a:prstGeom prst="rect">
                      <a:avLst/>
                    </a:prstGeom>
                    <a:noFill/>
                    <a:ln w="9525">
                      <a:noFill/>
                      <a:miter lim="800000"/>
                      <a:headEnd/>
                      <a:tailEnd/>
                    </a:ln>
                  </pic:spPr>
                </pic:pic>
              </a:graphicData>
            </a:graphic>
          </wp:inline>
        </w:drawing>
      </w:r>
    </w:p>
    <w:p w14:paraId="15D06B3E"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77AEDA86"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0A023EF1"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BC36359" wp14:editId="01C71AD0">
            <wp:extent cx="5943600" cy="3495675"/>
            <wp:effectExtent l="19050" t="0" r="0" b="0"/>
            <wp:docPr id="651"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2"/>
                    <a:srcRect/>
                    <a:stretch>
                      <a:fillRect/>
                    </a:stretch>
                  </pic:blipFill>
                  <pic:spPr bwMode="auto">
                    <a:xfrm>
                      <a:off x="0" y="0"/>
                      <a:ext cx="5943600" cy="34956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4E5C49FF" wp14:editId="458F8A77">
            <wp:extent cx="3465129" cy="2037985"/>
            <wp:effectExtent l="19050" t="0" r="1971" b="0"/>
            <wp:docPr id="652"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3"/>
                    <a:srcRect/>
                    <a:stretch>
                      <a:fillRect/>
                    </a:stretch>
                  </pic:blipFill>
                  <pic:spPr bwMode="auto">
                    <a:xfrm>
                      <a:off x="0" y="0"/>
                      <a:ext cx="3467045" cy="2039112"/>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2EBFC502" wp14:editId="0DF5A609">
            <wp:extent cx="3808796" cy="2240109"/>
            <wp:effectExtent l="19050" t="0" r="1204" b="0"/>
            <wp:docPr id="65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4"/>
                    <a:srcRect/>
                    <a:stretch>
                      <a:fillRect/>
                    </a:stretch>
                  </pic:blipFill>
                  <pic:spPr bwMode="auto">
                    <a:xfrm>
                      <a:off x="0" y="0"/>
                      <a:ext cx="3810902" cy="2241347"/>
                    </a:xfrm>
                    <a:prstGeom prst="rect">
                      <a:avLst/>
                    </a:prstGeom>
                    <a:noFill/>
                    <a:ln w="9525">
                      <a:noFill/>
                      <a:miter lim="800000"/>
                      <a:headEnd/>
                      <a:tailEnd/>
                    </a:ln>
                  </pic:spPr>
                </pic:pic>
              </a:graphicData>
            </a:graphic>
          </wp:inline>
        </w:drawing>
      </w:r>
    </w:p>
    <w:p w14:paraId="13356B8F"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036C15C9"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648C6269"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3EF659D" wp14:editId="3219F04F">
            <wp:extent cx="5943600" cy="3495675"/>
            <wp:effectExtent l="19050" t="0" r="0" b="0"/>
            <wp:docPr id="654"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5"/>
                    <a:srcRect/>
                    <a:stretch>
                      <a:fillRect/>
                    </a:stretch>
                  </pic:blipFill>
                  <pic:spPr bwMode="auto">
                    <a:xfrm>
                      <a:off x="0" y="0"/>
                      <a:ext cx="5943600" cy="34956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2824C9FD" wp14:editId="2665A6BC">
            <wp:extent cx="3811336" cy="2241603"/>
            <wp:effectExtent l="19050" t="0" r="0" b="0"/>
            <wp:docPr id="655"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6"/>
                    <a:srcRect/>
                    <a:stretch>
                      <a:fillRect/>
                    </a:stretch>
                  </pic:blipFill>
                  <pic:spPr bwMode="auto">
                    <a:xfrm>
                      <a:off x="0" y="0"/>
                      <a:ext cx="3813443" cy="2242842"/>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24BA3A23" wp14:editId="17552144">
            <wp:extent cx="3811336" cy="2241603"/>
            <wp:effectExtent l="19050" t="0" r="0" b="0"/>
            <wp:docPr id="656"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7"/>
                    <a:srcRect/>
                    <a:stretch>
                      <a:fillRect/>
                    </a:stretch>
                  </pic:blipFill>
                  <pic:spPr bwMode="auto">
                    <a:xfrm>
                      <a:off x="0" y="0"/>
                      <a:ext cx="3813443" cy="2242842"/>
                    </a:xfrm>
                    <a:prstGeom prst="rect">
                      <a:avLst/>
                    </a:prstGeom>
                    <a:noFill/>
                    <a:ln w="9525">
                      <a:noFill/>
                      <a:miter lim="800000"/>
                      <a:headEnd/>
                      <a:tailEnd/>
                    </a:ln>
                  </pic:spPr>
                </pic:pic>
              </a:graphicData>
            </a:graphic>
          </wp:inline>
        </w:drawing>
      </w:r>
    </w:p>
    <w:p w14:paraId="78A83E4B"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p>
    <w:p w14:paraId="696AAF84" w14:textId="77777777" w:rsidR="00C7217E" w:rsidRPr="00530906" w:rsidRDefault="00C7217E" w:rsidP="008756B1">
      <w:pPr>
        <w:autoSpaceDE w:val="0"/>
        <w:autoSpaceDN w:val="0"/>
        <w:adjustRightInd w:val="0"/>
        <w:spacing w:after="0" w:line="400" w:lineRule="atLeast"/>
        <w:jc w:val="both"/>
        <w:rPr>
          <w:rFonts w:ascii="Cambria" w:hAnsi="Cambria" w:cs="Times New Roman"/>
          <w:sz w:val="24"/>
          <w:szCs w:val="24"/>
        </w:rPr>
      </w:pPr>
    </w:p>
    <w:p w14:paraId="3CDC46E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37E9EB4C" wp14:editId="23F481ED">
            <wp:extent cx="5943600" cy="3495675"/>
            <wp:effectExtent l="19050" t="0" r="0" b="0"/>
            <wp:docPr id="657"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8"/>
                    <a:srcRect/>
                    <a:stretch>
                      <a:fillRect/>
                    </a:stretch>
                  </pic:blipFill>
                  <pic:spPr bwMode="auto">
                    <a:xfrm>
                      <a:off x="0" y="0"/>
                      <a:ext cx="5943600" cy="34956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7629273A" wp14:editId="23D2DCE0">
            <wp:extent cx="3339005" cy="1963806"/>
            <wp:effectExtent l="19050" t="0" r="0" b="0"/>
            <wp:docPr id="658"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9"/>
                    <a:srcRect/>
                    <a:stretch>
                      <a:fillRect/>
                    </a:stretch>
                  </pic:blipFill>
                  <pic:spPr bwMode="auto">
                    <a:xfrm>
                      <a:off x="0" y="0"/>
                      <a:ext cx="3340851" cy="1964892"/>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6B703A24" wp14:editId="4B735CD5">
            <wp:extent cx="4128074" cy="2427890"/>
            <wp:effectExtent l="19050" t="0" r="5776" b="0"/>
            <wp:docPr id="659"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0"/>
                    <a:srcRect/>
                    <a:stretch>
                      <a:fillRect/>
                    </a:stretch>
                  </pic:blipFill>
                  <pic:spPr bwMode="auto">
                    <a:xfrm>
                      <a:off x="0" y="0"/>
                      <a:ext cx="4130356" cy="2429232"/>
                    </a:xfrm>
                    <a:prstGeom prst="rect">
                      <a:avLst/>
                    </a:prstGeom>
                    <a:noFill/>
                    <a:ln w="9525">
                      <a:noFill/>
                      <a:miter lim="800000"/>
                      <a:headEnd/>
                      <a:tailEnd/>
                    </a:ln>
                  </pic:spPr>
                </pic:pic>
              </a:graphicData>
            </a:graphic>
          </wp:inline>
        </w:drawing>
      </w:r>
    </w:p>
    <w:p w14:paraId="6999C21E"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3BD24A2" wp14:editId="2A3318BE">
            <wp:extent cx="5943600" cy="3495675"/>
            <wp:effectExtent l="19050" t="0" r="0" b="0"/>
            <wp:docPr id="660"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
                    <a:srcRect/>
                    <a:stretch>
                      <a:fillRect/>
                    </a:stretch>
                  </pic:blipFill>
                  <pic:spPr bwMode="auto">
                    <a:xfrm>
                      <a:off x="0" y="0"/>
                      <a:ext cx="5943600" cy="349567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05490C37" wp14:editId="5E664FA1">
            <wp:extent cx="3833211" cy="2254469"/>
            <wp:effectExtent l="19050" t="0" r="0" b="0"/>
            <wp:docPr id="661"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2"/>
                    <a:srcRect/>
                    <a:stretch>
                      <a:fillRect/>
                    </a:stretch>
                  </pic:blipFill>
                  <pic:spPr bwMode="auto">
                    <a:xfrm>
                      <a:off x="0" y="0"/>
                      <a:ext cx="3835330" cy="2255715"/>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1609AF6E" wp14:editId="0C9BBD92">
            <wp:extent cx="4047656" cy="2380593"/>
            <wp:effectExtent l="19050" t="0" r="0" b="0"/>
            <wp:docPr id="662"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3"/>
                    <a:srcRect/>
                    <a:stretch>
                      <a:fillRect/>
                    </a:stretch>
                  </pic:blipFill>
                  <pic:spPr bwMode="auto">
                    <a:xfrm>
                      <a:off x="0" y="0"/>
                      <a:ext cx="4049894" cy="2381909"/>
                    </a:xfrm>
                    <a:prstGeom prst="rect">
                      <a:avLst/>
                    </a:prstGeom>
                    <a:noFill/>
                    <a:ln w="9525">
                      <a:noFill/>
                      <a:miter lim="800000"/>
                      <a:headEnd/>
                      <a:tailEnd/>
                    </a:ln>
                  </pic:spPr>
                </pic:pic>
              </a:graphicData>
            </a:graphic>
          </wp:inline>
        </w:drawing>
      </w:r>
    </w:p>
    <w:p w14:paraId="4AB8F8CD"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4DC43CC4" wp14:editId="7C5C03EA">
            <wp:extent cx="5943600" cy="3495675"/>
            <wp:effectExtent l="19050" t="0" r="0" b="0"/>
            <wp:docPr id="663"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4"/>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14:paraId="352DACA3"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10F2A9B" wp14:editId="6DE26D39">
            <wp:extent cx="3967238" cy="2333296"/>
            <wp:effectExtent l="19050" t="0" r="0" b="0"/>
            <wp:docPr id="664"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5"/>
                    <a:srcRect/>
                    <a:stretch>
                      <a:fillRect/>
                    </a:stretch>
                  </pic:blipFill>
                  <pic:spPr bwMode="auto">
                    <a:xfrm>
                      <a:off x="0" y="0"/>
                      <a:ext cx="3969431" cy="2334586"/>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228519B9" wp14:editId="673884FA">
            <wp:extent cx="4079984" cy="2399606"/>
            <wp:effectExtent l="19050" t="0" r="0" b="0"/>
            <wp:docPr id="665"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6"/>
                    <a:srcRect/>
                    <a:stretch>
                      <a:fillRect/>
                    </a:stretch>
                  </pic:blipFill>
                  <pic:spPr bwMode="auto">
                    <a:xfrm>
                      <a:off x="0" y="0"/>
                      <a:ext cx="4082240" cy="2400933"/>
                    </a:xfrm>
                    <a:prstGeom prst="rect">
                      <a:avLst/>
                    </a:prstGeom>
                    <a:noFill/>
                    <a:ln w="9525">
                      <a:noFill/>
                      <a:miter lim="800000"/>
                      <a:headEnd/>
                      <a:tailEnd/>
                    </a:ln>
                  </pic:spPr>
                </pic:pic>
              </a:graphicData>
            </a:graphic>
          </wp:inline>
        </w:drawing>
      </w:r>
    </w:p>
    <w:p w14:paraId="3444ACBA"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7E52628D" wp14:editId="399BC577">
            <wp:extent cx="5943600" cy="3495675"/>
            <wp:effectExtent l="19050" t="0" r="0" b="0"/>
            <wp:docPr id="666"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7"/>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14:paraId="49A3284C" w14:textId="77777777" w:rsidR="00C7217E" w:rsidRPr="00530906" w:rsidRDefault="00C7217E" w:rsidP="008756B1">
      <w:pPr>
        <w:autoSpaceDE w:val="0"/>
        <w:autoSpaceDN w:val="0"/>
        <w:adjustRightInd w:val="0"/>
        <w:spacing w:after="0" w:line="240" w:lineRule="auto"/>
        <w:jc w:val="both"/>
        <w:rPr>
          <w:rFonts w:ascii="Cambria" w:hAnsi="Cambria" w:cs="Times New Roman"/>
          <w:sz w:val="24"/>
          <w:szCs w:val="24"/>
        </w:rPr>
      </w:pPr>
      <w:r w:rsidRPr="00530906">
        <w:rPr>
          <w:rFonts w:ascii="Cambria" w:hAnsi="Cambria" w:cs="Times New Roman"/>
          <w:noProof/>
          <w:sz w:val="24"/>
          <w:szCs w:val="24"/>
          <w:lang w:val="en-US"/>
        </w:rPr>
        <w:drawing>
          <wp:inline distT="0" distB="0" distL="0" distR="0" wp14:anchorId="27F34504" wp14:editId="3AAB7BAD">
            <wp:extent cx="3591253" cy="2112163"/>
            <wp:effectExtent l="19050" t="0" r="9197" b="0"/>
            <wp:docPr id="667"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8"/>
                    <a:srcRect/>
                    <a:stretch>
                      <a:fillRect/>
                    </a:stretch>
                  </pic:blipFill>
                  <pic:spPr bwMode="auto">
                    <a:xfrm>
                      <a:off x="0" y="0"/>
                      <a:ext cx="3593238" cy="2113331"/>
                    </a:xfrm>
                    <a:prstGeom prst="rect">
                      <a:avLst/>
                    </a:prstGeom>
                    <a:noFill/>
                    <a:ln w="9525">
                      <a:noFill/>
                      <a:miter lim="800000"/>
                      <a:headEnd/>
                      <a:tailEnd/>
                    </a:ln>
                  </pic:spPr>
                </pic:pic>
              </a:graphicData>
            </a:graphic>
          </wp:inline>
        </w:drawing>
      </w:r>
      <w:r w:rsidRPr="00530906">
        <w:rPr>
          <w:rFonts w:ascii="Cambria" w:hAnsi="Cambria" w:cs="Times New Roman"/>
          <w:noProof/>
          <w:sz w:val="24"/>
          <w:szCs w:val="24"/>
          <w:lang w:val="en-US"/>
        </w:rPr>
        <w:drawing>
          <wp:inline distT="0" distB="0" distL="0" distR="0" wp14:anchorId="5FB471CA" wp14:editId="287E3956">
            <wp:extent cx="3969626" cy="2334700"/>
            <wp:effectExtent l="19050" t="0" r="0" b="0"/>
            <wp:docPr id="668"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9"/>
                    <a:srcRect/>
                    <a:stretch>
                      <a:fillRect/>
                    </a:stretch>
                  </pic:blipFill>
                  <pic:spPr bwMode="auto">
                    <a:xfrm>
                      <a:off x="0" y="0"/>
                      <a:ext cx="3971821" cy="2335991"/>
                    </a:xfrm>
                    <a:prstGeom prst="rect">
                      <a:avLst/>
                    </a:prstGeom>
                    <a:noFill/>
                    <a:ln w="9525">
                      <a:noFill/>
                      <a:miter lim="800000"/>
                      <a:headEnd/>
                      <a:tailEnd/>
                    </a:ln>
                  </pic:spPr>
                </pic:pic>
              </a:graphicData>
            </a:graphic>
          </wp:inline>
        </w:drawing>
      </w:r>
    </w:p>
    <w:p w14:paraId="134DC574" w14:textId="77777777" w:rsidR="00C7217E" w:rsidRPr="00530906" w:rsidRDefault="00C7217E">
      <w:pPr>
        <w:spacing w:after="0" w:line="276" w:lineRule="auto"/>
        <w:jc w:val="both"/>
        <w:rPr>
          <w:rFonts w:ascii="Cambria" w:hAnsi="Cambria"/>
        </w:rPr>
      </w:pPr>
    </w:p>
    <w:p w14:paraId="299C9E73" w14:textId="77777777" w:rsidR="00C7217E" w:rsidRPr="00530906" w:rsidRDefault="00C7217E" w:rsidP="008756B1">
      <w:pPr>
        <w:spacing w:line="259" w:lineRule="auto"/>
        <w:jc w:val="both"/>
        <w:rPr>
          <w:rFonts w:ascii="Cambria" w:hAnsi="Cambria"/>
          <w:sz w:val="24"/>
          <w:szCs w:val="24"/>
        </w:rPr>
      </w:pPr>
      <w:r w:rsidRPr="00530906">
        <w:rPr>
          <w:rFonts w:ascii="Cambria" w:hAnsi="Cambria"/>
          <w:sz w:val="24"/>
          <w:szCs w:val="24"/>
        </w:rPr>
        <w:br w:type="page"/>
      </w:r>
    </w:p>
    <w:p w14:paraId="78777B2A" w14:textId="77777777" w:rsidR="00C7217E" w:rsidRPr="00530906" w:rsidRDefault="00C7217E">
      <w:pPr>
        <w:spacing w:line="360" w:lineRule="auto"/>
        <w:jc w:val="both"/>
        <w:rPr>
          <w:rFonts w:ascii="Cambria" w:hAnsi="Cambria"/>
          <w:sz w:val="24"/>
          <w:szCs w:val="24"/>
        </w:rPr>
        <w:sectPr w:rsidR="00C7217E" w:rsidRPr="00530906" w:rsidSect="00C7217E">
          <w:pgSz w:w="11906" w:h="16838"/>
          <w:pgMar w:top="1440" w:right="1440" w:bottom="1440" w:left="1440" w:header="708" w:footer="708" w:gutter="0"/>
          <w:cols w:space="708"/>
          <w:docGrid w:linePitch="360"/>
        </w:sectPr>
      </w:pPr>
    </w:p>
    <w:p w14:paraId="1ABCEED9" w14:textId="0F1BE878" w:rsidR="00C7217E" w:rsidRPr="00530906" w:rsidRDefault="00C7217E" w:rsidP="008756B1">
      <w:pPr>
        <w:pStyle w:val="Heading2"/>
        <w:jc w:val="both"/>
      </w:pPr>
      <w:bookmarkStart w:id="129" w:name="_Toc115726285"/>
      <w:r w:rsidRPr="00530906">
        <w:t xml:space="preserve">Appendix </w:t>
      </w:r>
      <w:r w:rsidR="002E0B61" w:rsidRPr="00530906">
        <w:t>3</w:t>
      </w:r>
      <w:r w:rsidRPr="00530906">
        <w:t>.4. Partial correlation table to determine CMB</w:t>
      </w:r>
      <w:bookmarkEnd w:id="129"/>
    </w:p>
    <w:tbl>
      <w:tblPr>
        <w:tblStyle w:val="TableGrid3"/>
        <w:tblW w:w="14948" w:type="dxa"/>
        <w:tblLook w:val="04A0" w:firstRow="1" w:lastRow="0" w:firstColumn="1" w:lastColumn="0" w:noHBand="0" w:noVBand="1"/>
      </w:tblPr>
      <w:tblGrid>
        <w:gridCol w:w="920"/>
        <w:gridCol w:w="1576"/>
        <w:gridCol w:w="820"/>
        <w:gridCol w:w="820"/>
        <w:gridCol w:w="860"/>
        <w:gridCol w:w="921"/>
        <w:gridCol w:w="950"/>
        <w:gridCol w:w="820"/>
        <w:gridCol w:w="820"/>
        <w:gridCol w:w="741"/>
        <w:gridCol w:w="820"/>
        <w:gridCol w:w="820"/>
        <w:gridCol w:w="820"/>
        <w:gridCol w:w="820"/>
        <w:gridCol w:w="820"/>
        <w:gridCol w:w="820"/>
        <w:gridCol w:w="619"/>
        <w:gridCol w:w="535"/>
      </w:tblGrid>
      <w:tr w:rsidR="00C7217E" w:rsidRPr="00530906" w14:paraId="37098AF4" w14:textId="77777777" w:rsidTr="00F92532">
        <w:trPr>
          <w:trHeight w:val="20"/>
        </w:trPr>
        <w:tc>
          <w:tcPr>
            <w:tcW w:w="2122" w:type="dxa"/>
            <w:gridSpan w:val="2"/>
            <w:noWrap/>
            <w:hideMark/>
          </w:tcPr>
          <w:p w14:paraId="5D23C69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Correlations</w:t>
            </w:r>
          </w:p>
        </w:tc>
        <w:tc>
          <w:tcPr>
            <w:tcW w:w="820" w:type="dxa"/>
          </w:tcPr>
          <w:p w14:paraId="4086347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797C079" w14:textId="77777777" w:rsidR="00C7217E" w:rsidRPr="00530906" w:rsidRDefault="00C7217E" w:rsidP="008756B1">
            <w:pPr>
              <w:spacing w:line="240" w:lineRule="auto"/>
              <w:jc w:val="both"/>
              <w:rPr>
                <w:rFonts w:ascii="Cambria" w:hAnsi="Cambria"/>
                <w:sz w:val="16"/>
                <w:szCs w:val="16"/>
                <w:lang w:val="en-US"/>
              </w:rPr>
            </w:pPr>
          </w:p>
        </w:tc>
        <w:tc>
          <w:tcPr>
            <w:tcW w:w="860" w:type="dxa"/>
            <w:noWrap/>
            <w:hideMark/>
          </w:tcPr>
          <w:p w14:paraId="13BFDCD8"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4287F9C0"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758505D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B3D700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EFEB60C"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1C9AC27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8238D2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6EBBC6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CA8B41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F11679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9BFDD2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093FE14"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0887281A"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441A10F6"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A444C59" w14:textId="77777777" w:rsidTr="00F92532">
        <w:trPr>
          <w:trHeight w:val="20"/>
        </w:trPr>
        <w:tc>
          <w:tcPr>
            <w:tcW w:w="2122" w:type="dxa"/>
            <w:gridSpan w:val="2"/>
            <w:noWrap/>
            <w:hideMark/>
          </w:tcPr>
          <w:p w14:paraId="0424877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Control Variables</w:t>
            </w:r>
          </w:p>
        </w:tc>
        <w:tc>
          <w:tcPr>
            <w:tcW w:w="820" w:type="dxa"/>
          </w:tcPr>
          <w:p w14:paraId="086D850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Involve</w:t>
            </w:r>
          </w:p>
          <w:p w14:paraId="6C94F1C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ment</w:t>
            </w:r>
          </w:p>
        </w:tc>
        <w:tc>
          <w:tcPr>
            <w:tcW w:w="820" w:type="dxa"/>
            <w:noWrap/>
            <w:hideMark/>
          </w:tcPr>
          <w:p w14:paraId="290C146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w:t>
            </w:r>
          </w:p>
          <w:p w14:paraId="4F781E7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Image</w:t>
            </w:r>
          </w:p>
        </w:tc>
        <w:tc>
          <w:tcPr>
            <w:tcW w:w="860" w:type="dxa"/>
            <w:noWrap/>
            <w:hideMark/>
          </w:tcPr>
          <w:p w14:paraId="4E35B40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SCV_eng</w:t>
            </w:r>
          </w:p>
          <w:p w14:paraId="7D47CFC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rossment</w:t>
            </w:r>
          </w:p>
        </w:tc>
        <w:tc>
          <w:tcPr>
            <w:tcW w:w="921" w:type="dxa"/>
            <w:noWrap/>
            <w:hideMark/>
          </w:tcPr>
          <w:p w14:paraId="46FBB6D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SCV_self_</w:t>
            </w:r>
          </w:p>
          <w:p w14:paraId="41A298D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projection</w:t>
            </w:r>
          </w:p>
        </w:tc>
        <w:tc>
          <w:tcPr>
            <w:tcW w:w="950" w:type="dxa"/>
            <w:noWrap/>
            <w:hideMark/>
          </w:tcPr>
          <w:p w14:paraId="15CE738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SCV_men</w:t>
            </w:r>
          </w:p>
          <w:p w14:paraId="2C32F2D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tal_fluency</w:t>
            </w:r>
          </w:p>
        </w:tc>
        <w:tc>
          <w:tcPr>
            <w:tcW w:w="820" w:type="dxa"/>
            <w:noWrap/>
            <w:hideMark/>
          </w:tcPr>
          <w:p w14:paraId="3999D73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Pleas</w:t>
            </w:r>
          </w:p>
          <w:p w14:paraId="5DE19DD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ure</w:t>
            </w:r>
          </w:p>
        </w:tc>
        <w:tc>
          <w:tcPr>
            <w:tcW w:w="820" w:type="dxa"/>
            <w:noWrap/>
            <w:hideMark/>
          </w:tcPr>
          <w:p w14:paraId="3371F51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Arousal</w:t>
            </w:r>
          </w:p>
        </w:tc>
        <w:tc>
          <w:tcPr>
            <w:tcW w:w="741" w:type="dxa"/>
            <w:noWrap/>
            <w:hideMark/>
          </w:tcPr>
          <w:p w14:paraId="35D32F1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Domin</w:t>
            </w:r>
          </w:p>
          <w:p w14:paraId="01C3769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ance</w:t>
            </w:r>
          </w:p>
        </w:tc>
        <w:tc>
          <w:tcPr>
            <w:tcW w:w="820" w:type="dxa"/>
            <w:noWrap/>
            <w:hideMark/>
          </w:tcPr>
          <w:p w14:paraId="42A9D09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Attitude</w:t>
            </w:r>
          </w:p>
        </w:tc>
        <w:tc>
          <w:tcPr>
            <w:tcW w:w="820" w:type="dxa"/>
            <w:noWrap/>
            <w:hideMark/>
          </w:tcPr>
          <w:p w14:paraId="07B3A76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Engag</w:t>
            </w:r>
          </w:p>
          <w:p w14:paraId="122A82B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ement</w:t>
            </w:r>
          </w:p>
        </w:tc>
        <w:tc>
          <w:tcPr>
            <w:tcW w:w="820" w:type="dxa"/>
            <w:noWrap/>
            <w:hideMark/>
          </w:tcPr>
          <w:p w14:paraId="03E4C3C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Purcha</w:t>
            </w:r>
          </w:p>
          <w:p w14:paraId="7A3860D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se</w:t>
            </w:r>
          </w:p>
        </w:tc>
        <w:tc>
          <w:tcPr>
            <w:tcW w:w="820" w:type="dxa"/>
            <w:noWrap/>
            <w:hideMark/>
          </w:tcPr>
          <w:p w14:paraId="5FE8225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Behave</w:t>
            </w:r>
          </w:p>
          <w:p w14:paraId="677A8F1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iour</w:t>
            </w:r>
          </w:p>
        </w:tc>
        <w:tc>
          <w:tcPr>
            <w:tcW w:w="820" w:type="dxa"/>
            <w:noWrap/>
            <w:hideMark/>
          </w:tcPr>
          <w:p w14:paraId="63D1431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Inform</w:t>
            </w:r>
          </w:p>
          <w:p w14:paraId="6E08D23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ation</w:t>
            </w:r>
          </w:p>
        </w:tc>
        <w:tc>
          <w:tcPr>
            <w:tcW w:w="820" w:type="dxa"/>
            <w:noWrap/>
            <w:hideMark/>
          </w:tcPr>
          <w:p w14:paraId="6374FBD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Norm</w:t>
            </w:r>
          </w:p>
        </w:tc>
        <w:tc>
          <w:tcPr>
            <w:tcW w:w="619" w:type="dxa"/>
            <w:noWrap/>
            <w:hideMark/>
          </w:tcPr>
          <w:p w14:paraId="19EE572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Exper</w:t>
            </w:r>
          </w:p>
          <w:p w14:paraId="67912F4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tise</w:t>
            </w:r>
          </w:p>
        </w:tc>
        <w:tc>
          <w:tcPr>
            <w:tcW w:w="535" w:type="dxa"/>
            <w:noWrap/>
            <w:hideMark/>
          </w:tcPr>
          <w:p w14:paraId="47D0A48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CMB</w:t>
            </w:r>
          </w:p>
        </w:tc>
      </w:tr>
      <w:tr w:rsidR="00C7217E" w:rsidRPr="00530906" w14:paraId="42067E50" w14:textId="77777777" w:rsidTr="00F92532">
        <w:trPr>
          <w:trHeight w:val="20"/>
        </w:trPr>
        <w:tc>
          <w:tcPr>
            <w:tcW w:w="920" w:type="dxa"/>
            <w:vMerge w:val="restart"/>
            <w:noWrap/>
            <w:hideMark/>
          </w:tcPr>
          <w:p w14:paraId="1931B77E" w14:textId="77777777" w:rsidR="00C7217E" w:rsidRPr="00530906" w:rsidRDefault="00C7217E" w:rsidP="008756B1">
            <w:pPr>
              <w:spacing w:line="240" w:lineRule="auto"/>
              <w:jc w:val="both"/>
              <w:rPr>
                <w:rFonts w:ascii="Cambria" w:hAnsi="Cambria"/>
                <w:sz w:val="16"/>
                <w:szCs w:val="16"/>
                <w:lang w:val="en-US"/>
              </w:rPr>
            </w:pPr>
            <w:bookmarkStart w:id="130" w:name="_Hlk112076144"/>
          </w:p>
        </w:tc>
        <w:tc>
          <w:tcPr>
            <w:tcW w:w="1202" w:type="dxa"/>
            <w:noWrap/>
            <w:hideMark/>
          </w:tcPr>
          <w:p w14:paraId="2359295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Involvement</w:t>
            </w:r>
          </w:p>
        </w:tc>
        <w:tc>
          <w:tcPr>
            <w:tcW w:w="820" w:type="dxa"/>
          </w:tcPr>
          <w:p w14:paraId="2E942D9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5A62080" w14:textId="77777777" w:rsidR="00C7217E" w:rsidRPr="00530906" w:rsidRDefault="00C7217E" w:rsidP="008756B1">
            <w:pPr>
              <w:spacing w:line="240" w:lineRule="auto"/>
              <w:jc w:val="both"/>
              <w:rPr>
                <w:rFonts w:ascii="Cambria" w:hAnsi="Cambria"/>
                <w:sz w:val="16"/>
                <w:szCs w:val="16"/>
                <w:lang w:val="en-US"/>
              </w:rPr>
            </w:pPr>
          </w:p>
        </w:tc>
        <w:tc>
          <w:tcPr>
            <w:tcW w:w="860" w:type="dxa"/>
            <w:noWrap/>
            <w:hideMark/>
          </w:tcPr>
          <w:p w14:paraId="513980C7"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260E2790"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08108DE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21123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5C58BE5"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1694B30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1A4B70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70F980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C48661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0814B8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B3A9B4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2631570"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7E3A1C43"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165B277C"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4CCABDF8" w14:textId="77777777" w:rsidTr="00F92532">
        <w:trPr>
          <w:trHeight w:val="20"/>
        </w:trPr>
        <w:tc>
          <w:tcPr>
            <w:tcW w:w="920" w:type="dxa"/>
            <w:vMerge/>
            <w:noWrap/>
            <w:hideMark/>
          </w:tcPr>
          <w:p w14:paraId="0E289ABB"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6C4BF5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SCV_Image</w:t>
            </w:r>
          </w:p>
        </w:tc>
        <w:tc>
          <w:tcPr>
            <w:tcW w:w="820" w:type="dxa"/>
            <w:noWrap/>
            <w:hideMark/>
          </w:tcPr>
          <w:p w14:paraId="04ED4A6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0.62***</w:t>
            </w:r>
          </w:p>
        </w:tc>
        <w:tc>
          <w:tcPr>
            <w:tcW w:w="820" w:type="dxa"/>
            <w:noWrap/>
            <w:hideMark/>
          </w:tcPr>
          <w:p w14:paraId="1E4CAE3C" w14:textId="77777777" w:rsidR="00C7217E" w:rsidRPr="00530906" w:rsidRDefault="00C7217E" w:rsidP="008756B1">
            <w:pPr>
              <w:spacing w:line="240" w:lineRule="auto"/>
              <w:jc w:val="both"/>
              <w:rPr>
                <w:rFonts w:ascii="Cambria" w:hAnsi="Cambria"/>
                <w:sz w:val="16"/>
                <w:szCs w:val="16"/>
                <w:lang w:val="en-US"/>
              </w:rPr>
            </w:pPr>
          </w:p>
        </w:tc>
        <w:tc>
          <w:tcPr>
            <w:tcW w:w="860" w:type="dxa"/>
            <w:noWrap/>
            <w:hideMark/>
          </w:tcPr>
          <w:p w14:paraId="7EC4F295"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649B4692"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33EF466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D6C9E74"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B07BB74"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02AF3FF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8358CA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9616C5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985FA4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3DF6A3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CFB3D9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D778455"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5D1C719E"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273F91D7"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55CFFC8F" w14:textId="77777777" w:rsidTr="00F92532">
        <w:trPr>
          <w:trHeight w:val="20"/>
        </w:trPr>
        <w:tc>
          <w:tcPr>
            <w:tcW w:w="920" w:type="dxa"/>
            <w:vMerge/>
            <w:noWrap/>
            <w:hideMark/>
          </w:tcPr>
          <w:p w14:paraId="18E6BD45"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66F7C24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SCV_engrossment</w:t>
            </w:r>
          </w:p>
        </w:tc>
        <w:tc>
          <w:tcPr>
            <w:tcW w:w="820" w:type="dxa"/>
            <w:noWrap/>
            <w:hideMark/>
          </w:tcPr>
          <w:p w14:paraId="49E5F3B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0.214***</w:t>
            </w:r>
          </w:p>
        </w:tc>
        <w:tc>
          <w:tcPr>
            <w:tcW w:w="820" w:type="dxa"/>
            <w:noWrap/>
            <w:hideMark/>
          </w:tcPr>
          <w:p w14:paraId="15C2A07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0.202**</w:t>
            </w:r>
          </w:p>
        </w:tc>
        <w:tc>
          <w:tcPr>
            <w:tcW w:w="860" w:type="dxa"/>
            <w:noWrap/>
            <w:hideMark/>
          </w:tcPr>
          <w:p w14:paraId="66930D42"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32708BDF"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22B2BD4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E135F4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839DEAA"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2F1FCD04"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208E13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9B45E0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7893B1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6ACD2C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F1FB64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E9F7C6E"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5775773A"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506BE228"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A3144ED" w14:textId="77777777" w:rsidTr="00F92532">
        <w:trPr>
          <w:trHeight w:val="20"/>
        </w:trPr>
        <w:tc>
          <w:tcPr>
            <w:tcW w:w="920" w:type="dxa"/>
            <w:vMerge/>
            <w:noWrap/>
            <w:hideMark/>
          </w:tcPr>
          <w:p w14:paraId="2718E699"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01533D9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SCV_self_projection</w:t>
            </w:r>
          </w:p>
        </w:tc>
        <w:tc>
          <w:tcPr>
            <w:tcW w:w="820" w:type="dxa"/>
            <w:noWrap/>
            <w:hideMark/>
          </w:tcPr>
          <w:p w14:paraId="716ECB0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0.538***</w:t>
            </w:r>
          </w:p>
        </w:tc>
        <w:tc>
          <w:tcPr>
            <w:tcW w:w="820" w:type="dxa"/>
            <w:noWrap/>
            <w:hideMark/>
          </w:tcPr>
          <w:p w14:paraId="426FD17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0.529***</w:t>
            </w:r>
          </w:p>
        </w:tc>
        <w:tc>
          <w:tcPr>
            <w:tcW w:w="860" w:type="dxa"/>
            <w:noWrap/>
            <w:hideMark/>
          </w:tcPr>
          <w:p w14:paraId="56C2B1D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0.369***</w:t>
            </w:r>
          </w:p>
        </w:tc>
        <w:tc>
          <w:tcPr>
            <w:tcW w:w="921" w:type="dxa"/>
            <w:noWrap/>
            <w:hideMark/>
          </w:tcPr>
          <w:p w14:paraId="062D847D"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1B405AC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EE7FE1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50C1BE9"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6C97AC2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1B3832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EBBFB5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CA5EF9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4E5CD3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FEDB4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22FD96A"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50B47313"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35AF8941"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405B154" w14:textId="77777777" w:rsidTr="00F92532">
        <w:trPr>
          <w:trHeight w:val="20"/>
        </w:trPr>
        <w:tc>
          <w:tcPr>
            <w:tcW w:w="920" w:type="dxa"/>
            <w:vMerge/>
            <w:noWrap/>
            <w:hideMark/>
          </w:tcPr>
          <w:p w14:paraId="3F2E086C"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6405E64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SCV_mental_fluency</w:t>
            </w:r>
          </w:p>
        </w:tc>
        <w:tc>
          <w:tcPr>
            <w:tcW w:w="820" w:type="dxa"/>
            <w:noWrap/>
            <w:hideMark/>
          </w:tcPr>
          <w:p w14:paraId="51604A3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0.466***</w:t>
            </w:r>
          </w:p>
        </w:tc>
        <w:tc>
          <w:tcPr>
            <w:tcW w:w="820" w:type="dxa"/>
            <w:noWrap/>
            <w:hideMark/>
          </w:tcPr>
          <w:p w14:paraId="760B4B8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0.449***</w:t>
            </w:r>
          </w:p>
        </w:tc>
        <w:tc>
          <w:tcPr>
            <w:tcW w:w="860" w:type="dxa"/>
            <w:noWrap/>
            <w:hideMark/>
          </w:tcPr>
          <w:p w14:paraId="2A5DABC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0.199**</w:t>
            </w:r>
          </w:p>
        </w:tc>
        <w:tc>
          <w:tcPr>
            <w:tcW w:w="921" w:type="dxa"/>
            <w:noWrap/>
            <w:hideMark/>
          </w:tcPr>
          <w:p w14:paraId="66939F1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0.696***</w:t>
            </w:r>
          </w:p>
        </w:tc>
        <w:tc>
          <w:tcPr>
            <w:tcW w:w="950" w:type="dxa"/>
            <w:noWrap/>
            <w:hideMark/>
          </w:tcPr>
          <w:p w14:paraId="484A751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B79ECD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F808C0A"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4189267D"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5964E7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24E23B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ABE266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BD463A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E010CC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955521E"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793C1878"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1183B00E"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1142DC49" w14:textId="77777777" w:rsidTr="00F92532">
        <w:trPr>
          <w:trHeight w:val="20"/>
        </w:trPr>
        <w:tc>
          <w:tcPr>
            <w:tcW w:w="920" w:type="dxa"/>
            <w:vMerge/>
            <w:noWrap/>
            <w:hideMark/>
          </w:tcPr>
          <w:p w14:paraId="69708562"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1CB9DE5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Pleasure</w:t>
            </w:r>
          </w:p>
        </w:tc>
        <w:tc>
          <w:tcPr>
            <w:tcW w:w="820" w:type="dxa"/>
            <w:noWrap/>
            <w:hideMark/>
          </w:tcPr>
          <w:p w14:paraId="21936C0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0.745***</w:t>
            </w:r>
          </w:p>
        </w:tc>
        <w:tc>
          <w:tcPr>
            <w:tcW w:w="820" w:type="dxa"/>
            <w:noWrap/>
            <w:hideMark/>
          </w:tcPr>
          <w:p w14:paraId="2FA2FEE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0.57***</w:t>
            </w:r>
          </w:p>
        </w:tc>
        <w:tc>
          <w:tcPr>
            <w:tcW w:w="860" w:type="dxa"/>
            <w:noWrap/>
            <w:hideMark/>
          </w:tcPr>
          <w:p w14:paraId="1B1A125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0.156**</w:t>
            </w:r>
          </w:p>
        </w:tc>
        <w:tc>
          <w:tcPr>
            <w:tcW w:w="921" w:type="dxa"/>
            <w:noWrap/>
            <w:hideMark/>
          </w:tcPr>
          <w:p w14:paraId="523EDB2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0.513***</w:t>
            </w:r>
          </w:p>
        </w:tc>
        <w:tc>
          <w:tcPr>
            <w:tcW w:w="950" w:type="dxa"/>
            <w:noWrap/>
            <w:hideMark/>
          </w:tcPr>
          <w:p w14:paraId="5069C2C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0.553***</w:t>
            </w:r>
          </w:p>
        </w:tc>
        <w:tc>
          <w:tcPr>
            <w:tcW w:w="820" w:type="dxa"/>
            <w:noWrap/>
            <w:hideMark/>
          </w:tcPr>
          <w:p w14:paraId="0461355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04717AE"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62642AF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7D19E9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FBD3A8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97A3D2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189F12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3F4CD5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1766597"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36240ED0"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2058FF32"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DA52D1A" w14:textId="77777777" w:rsidTr="00F92532">
        <w:trPr>
          <w:trHeight w:val="20"/>
        </w:trPr>
        <w:tc>
          <w:tcPr>
            <w:tcW w:w="920" w:type="dxa"/>
            <w:vMerge/>
            <w:noWrap/>
            <w:hideMark/>
          </w:tcPr>
          <w:p w14:paraId="4D099C0F"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04B4C67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Arousal</w:t>
            </w:r>
          </w:p>
        </w:tc>
        <w:tc>
          <w:tcPr>
            <w:tcW w:w="820" w:type="dxa"/>
            <w:noWrap/>
            <w:hideMark/>
          </w:tcPr>
          <w:p w14:paraId="262F777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0.587***</w:t>
            </w:r>
          </w:p>
        </w:tc>
        <w:tc>
          <w:tcPr>
            <w:tcW w:w="820" w:type="dxa"/>
            <w:noWrap/>
            <w:hideMark/>
          </w:tcPr>
          <w:p w14:paraId="0607B43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0.393***</w:t>
            </w:r>
          </w:p>
        </w:tc>
        <w:tc>
          <w:tcPr>
            <w:tcW w:w="860" w:type="dxa"/>
            <w:noWrap/>
            <w:hideMark/>
          </w:tcPr>
          <w:p w14:paraId="7099E94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0.217***</w:t>
            </w:r>
          </w:p>
        </w:tc>
        <w:tc>
          <w:tcPr>
            <w:tcW w:w="921" w:type="dxa"/>
            <w:noWrap/>
            <w:hideMark/>
          </w:tcPr>
          <w:p w14:paraId="5B979C0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0.462***</w:t>
            </w:r>
          </w:p>
        </w:tc>
        <w:tc>
          <w:tcPr>
            <w:tcW w:w="950" w:type="dxa"/>
            <w:noWrap/>
            <w:hideMark/>
          </w:tcPr>
          <w:p w14:paraId="6249211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0.387***</w:t>
            </w:r>
          </w:p>
        </w:tc>
        <w:tc>
          <w:tcPr>
            <w:tcW w:w="820" w:type="dxa"/>
            <w:noWrap/>
            <w:hideMark/>
          </w:tcPr>
          <w:p w14:paraId="2A874ED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0.529***</w:t>
            </w:r>
          </w:p>
        </w:tc>
        <w:tc>
          <w:tcPr>
            <w:tcW w:w="820" w:type="dxa"/>
            <w:noWrap/>
            <w:hideMark/>
          </w:tcPr>
          <w:p w14:paraId="23E76B23"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0005F4F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F9238C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799473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E4D183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EA6C1A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E60356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BED956C"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448A2461"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02A27668"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38D7771D" w14:textId="77777777" w:rsidTr="00F92532">
        <w:trPr>
          <w:trHeight w:val="20"/>
        </w:trPr>
        <w:tc>
          <w:tcPr>
            <w:tcW w:w="920" w:type="dxa"/>
            <w:vMerge/>
            <w:noWrap/>
            <w:hideMark/>
          </w:tcPr>
          <w:p w14:paraId="34C01690"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82E742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Dominance</w:t>
            </w:r>
          </w:p>
        </w:tc>
        <w:tc>
          <w:tcPr>
            <w:tcW w:w="820" w:type="dxa"/>
            <w:noWrap/>
            <w:hideMark/>
          </w:tcPr>
          <w:p w14:paraId="392B780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0.164**</w:t>
            </w:r>
          </w:p>
        </w:tc>
        <w:tc>
          <w:tcPr>
            <w:tcW w:w="820" w:type="dxa"/>
            <w:noWrap/>
            <w:hideMark/>
          </w:tcPr>
          <w:p w14:paraId="53A784C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0.226***</w:t>
            </w:r>
          </w:p>
        </w:tc>
        <w:tc>
          <w:tcPr>
            <w:tcW w:w="860" w:type="dxa"/>
            <w:noWrap/>
            <w:hideMark/>
          </w:tcPr>
          <w:p w14:paraId="5C9E560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–0.013</w:t>
            </w:r>
          </w:p>
        </w:tc>
        <w:tc>
          <w:tcPr>
            <w:tcW w:w="921" w:type="dxa"/>
            <w:noWrap/>
            <w:hideMark/>
          </w:tcPr>
          <w:p w14:paraId="4158500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0.199**</w:t>
            </w:r>
          </w:p>
        </w:tc>
        <w:tc>
          <w:tcPr>
            <w:tcW w:w="950" w:type="dxa"/>
            <w:noWrap/>
            <w:hideMark/>
          </w:tcPr>
          <w:p w14:paraId="7402B01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0.162**</w:t>
            </w:r>
          </w:p>
        </w:tc>
        <w:tc>
          <w:tcPr>
            <w:tcW w:w="820" w:type="dxa"/>
            <w:noWrap/>
            <w:hideMark/>
          </w:tcPr>
          <w:p w14:paraId="262A989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0.18**</w:t>
            </w:r>
          </w:p>
        </w:tc>
        <w:tc>
          <w:tcPr>
            <w:tcW w:w="820" w:type="dxa"/>
            <w:noWrap/>
            <w:hideMark/>
          </w:tcPr>
          <w:p w14:paraId="4B2C5C6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0.226***</w:t>
            </w:r>
          </w:p>
        </w:tc>
        <w:tc>
          <w:tcPr>
            <w:tcW w:w="741" w:type="dxa"/>
            <w:noWrap/>
            <w:hideMark/>
          </w:tcPr>
          <w:p w14:paraId="7FE0BD5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BCBC29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2F4DF9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73186E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210515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70D3AC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194E07C"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7774E4B9"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5A77968D"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B64B89A" w14:textId="77777777" w:rsidTr="00F92532">
        <w:trPr>
          <w:trHeight w:val="20"/>
        </w:trPr>
        <w:tc>
          <w:tcPr>
            <w:tcW w:w="920" w:type="dxa"/>
            <w:vMerge/>
            <w:noWrap/>
            <w:hideMark/>
          </w:tcPr>
          <w:p w14:paraId="3D016FD9"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7B2CA94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Attitude</w:t>
            </w:r>
          </w:p>
        </w:tc>
        <w:tc>
          <w:tcPr>
            <w:tcW w:w="820" w:type="dxa"/>
            <w:noWrap/>
            <w:hideMark/>
          </w:tcPr>
          <w:p w14:paraId="7B66F3A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w:t>
            </w:r>
          </w:p>
        </w:tc>
        <w:tc>
          <w:tcPr>
            <w:tcW w:w="820" w:type="dxa"/>
            <w:noWrap/>
            <w:hideMark/>
          </w:tcPr>
          <w:p w14:paraId="379DB55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0.498***</w:t>
            </w:r>
          </w:p>
        </w:tc>
        <w:tc>
          <w:tcPr>
            <w:tcW w:w="860" w:type="dxa"/>
            <w:noWrap/>
            <w:hideMark/>
          </w:tcPr>
          <w:p w14:paraId="3841BD1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0.081</w:t>
            </w:r>
          </w:p>
        </w:tc>
        <w:tc>
          <w:tcPr>
            <w:tcW w:w="921" w:type="dxa"/>
            <w:noWrap/>
            <w:hideMark/>
          </w:tcPr>
          <w:p w14:paraId="4CFF0A7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0.455***</w:t>
            </w:r>
          </w:p>
        </w:tc>
        <w:tc>
          <w:tcPr>
            <w:tcW w:w="950" w:type="dxa"/>
            <w:noWrap/>
            <w:hideMark/>
          </w:tcPr>
          <w:p w14:paraId="6F40860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0.491***</w:t>
            </w:r>
          </w:p>
        </w:tc>
        <w:tc>
          <w:tcPr>
            <w:tcW w:w="820" w:type="dxa"/>
            <w:noWrap/>
            <w:hideMark/>
          </w:tcPr>
          <w:p w14:paraId="19620FB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0.757***</w:t>
            </w:r>
          </w:p>
        </w:tc>
        <w:tc>
          <w:tcPr>
            <w:tcW w:w="820" w:type="dxa"/>
            <w:noWrap/>
            <w:hideMark/>
          </w:tcPr>
          <w:p w14:paraId="62008A4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w:t>
            </w:r>
          </w:p>
        </w:tc>
        <w:tc>
          <w:tcPr>
            <w:tcW w:w="741" w:type="dxa"/>
            <w:noWrap/>
            <w:hideMark/>
          </w:tcPr>
          <w:p w14:paraId="49C6DB7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0.164**</w:t>
            </w:r>
          </w:p>
        </w:tc>
        <w:tc>
          <w:tcPr>
            <w:tcW w:w="820" w:type="dxa"/>
            <w:noWrap/>
            <w:hideMark/>
          </w:tcPr>
          <w:p w14:paraId="6CDDDA6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610F63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3C2706D"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55FD44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85F50A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BA50A2D"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05844A86"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3F2BB8FE"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36ABEBA4" w14:textId="77777777" w:rsidTr="00F92532">
        <w:trPr>
          <w:trHeight w:val="20"/>
        </w:trPr>
        <w:tc>
          <w:tcPr>
            <w:tcW w:w="920" w:type="dxa"/>
            <w:vMerge/>
            <w:noWrap/>
            <w:hideMark/>
          </w:tcPr>
          <w:p w14:paraId="320A94A2"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5AF4D68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Engagement</w:t>
            </w:r>
          </w:p>
        </w:tc>
        <w:tc>
          <w:tcPr>
            <w:tcW w:w="820" w:type="dxa"/>
            <w:noWrap/>
            <w:hideMark/>
          </w:tcPr>
          <w:p w14:paraId="7DD6E46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0.589***</w:t>
            </w:r>
          </w:p>
        </w:tc>
        <w:tc>
          <w:tcPr>
            <w:tcW w:w="820" w:type="dxa"/>
            <w:noWrap/>
            <w:hideMark/>
          </w:tcPr>
          <w:p w14:paraId="38059B8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0.438***</w:t>
            </w:r>
          </w:p>
        </w:tc>
        <w:tc>
          <w:tcPr>
            <w:tcW w:w="860" w:type="dxa"/>
            <w:noWrap/>
            <w:hideMark/>
          </w:tcPr>
          <w:p w14:paraId="4A2BC4B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0.226***</w:t>
            </w:r>
          </w:p>
        </w:tc>
        <w:tc>
          <w:tcPr>
            <w:tcW w:w="921" w:type="dxa"/>
            <w:noWrap/>
            <w:hideMark/>
          </w:tcPr>
          <w:p w14:paraId="0C27397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0.543***</w:t>
            </w:r>
          </w:p>
        </w:tc>
        <w:tc>
          <w:tcPr>
            <w:tcW w:w="950" w:type="dxa"/>
            <w:noWrap/>
            <w:hideMark/>
          </w:tcPr>
          <w:p w14:paraId="57D4438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0.456***</w:t>
            </w:r>
          </w:p>
        </w:tc>
        <w:tc>
          <w:tcPr>
            <w:tcW w:w="820" w:type="dxa"/>
            <w:noWrap/>
            <w:hideMark/>
          </w:tcPr>
          <w:p w14:paraId="0530505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0.652***</w:t>
            </w:r>
          </w:p>
        </w:tc>
        <w:tc>
          <w:tcPr>
            <w:tcW w:w="820" w:type="dxa"/>
            <w:noWrap/>
            <w:hideMark/>
          </w:tcPr>
          <w:p w14:paraId="2986E47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0.476***</w:t>
            </w:r>
          </w:p>
        </w:tc>
        <w:tc>
          <w:tcPr>
            <w:tcW w:w="741" w:type="dxa"/>
            <w:noWrap/>
            <w:hideMark/>
          </w:tcPr>
          <w:p w14:paraId="36F747F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0.172**</w:t>
            </w:r>
          </w:p>
        </w:tc>
        <w:tc>
          <w:tcPr>
            <w:tcW w:w="820" w:type="dxa"/>
            <w:noWrap/>
            <w:hideMark/>
          </w:tcPr>
          <w:p w14:paraId="4790214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0.538***</w:t>
            </w:r>
          </w:p>
        </w:tc>
        <w:tc>
          <w:tcPr>
            <w:tcW w:w="820" w:type="dxa"/>
            <w:noWrap/>
            <w:hideMark/>
          </w:tcPr>
          <w:p w14:paraId="7F58644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D0BAAF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3AAC85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9D42F7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C2C84E6"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42F341A6"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092A4BD5"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E313AA9" w14:textId="77777777" w:rsidTr="00F92532">
        <w:trPr>
          <w:trHeight w:val="20"/>
        </w:trPr>
        <w:tc>
          <w:tcPr>
            <w:tcW w:w="920" w:type="dxa"/>
            <w:vMerge/>
            <w:noWrap/>
            <w:hideMark/>
          </w:tcPr>
          <w:p w14:paraId="7C7BD46E"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359188B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Purchase</w:t>
            </w:r>
          </w:p>
        </w:tc>
        <w:tc>
          <w:tcPr>
            <w:tcW w:w="820" w:type="dxa"/>
            <w:noWrap/>
            <w:hideMark/>
          </w:tcPr>
          <w:p w14:paraId="2B364E4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0.641***</w:t>
            </w:r>
          </w:p>
        </w:tc>
        <w:tc>
          <w:tcPr>
            <w:tcW w:w="820" w:type="dxa"/>
            <w:noWrap/>
            <w:hideMark/>
          </w:tcPr>
          <w:p w14:paraId="5D65374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0.539***</w:t>
            </w:r>
          </w:p>
        </w:tc>
        <w:tc>
          <w:tcPr>
            <w:tcW w:w="860" w:type="dxa"/>
            <w:noWrap/>
            <w:hideMark/>
          </w:tcPr>
          <w:p w14:paraId="0F05AD6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0.116</w:t>
            </w:r>
          </w:p>
        </w:tc>
        <w:tc>
          <w:tcPr>
            <w:tcW w:w="921" w:type="dxa"/>
            <w:noWrap/>
            <w:hideMark/>
          </w:tcPr>
          <w:p w14:paraId="67DB0F4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0.535***</w:t>
            </w:r>
          </w:p>
        </w:tc>
        <w:tc>
          <w:tcPr>
            <w:tcW w:w="950" w:type="dxa"/>
            <w:noWrap/>
            <w:hideMark/>
          </w:tcPr>
          <w:p w14:paraId="59E5169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0.475***</w:t>
            </w:r>
          </w:p>
        </w:tc>
        <w:tc>
          <w:tcPr>
            <w:tcW w:w="820" w:type="dxa"/>
            <w:noWrap/>
            <w:hideMark/>
          </w:tcPr>
          <w:p w14:paraId="44A080D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0.613***</w:t>
            </w:r>
          </w:p>
        </w:tc>
        <w:tc>
          <w:tcPr>
            <w:tcW w:w="820" w:type="dxa"/>
            <w:noWrap/>
            <w:hideMark/>
          </w:tcPr>
          <w:p w14:paraId="5C7C683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0.488***</w:t>
            </w:r>
          </w:p>
        </w:tc>
        <w:tc>
          <w:tcPr>
            <w:tcW w:w="741" w:type="dxa"/>
            <w:noWrap/>
            <w:hideMark/>
          </w:tcPr>
          <w:p w14:paraId="2BB7D0B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0.192**</w:t>
            </w:r>
          </w:p>
        </w:tc>
        <w:tc>
          <w:tcPr>
            <w:tcW w:w="820" w:type="dxa"/>
            <w:noWrap/>
            <w:hideMark/>
          </w:tcPr>
          <w:p w14:paraId="45CECD2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0.555***</w:t>
            </w:r>
          </w:p>
        </w:tc>
        <w:tc>
          <w:tcPr>
            <w:tcW w:w="820" w:type="dxa"/>
            <w:noWrap/>
            <w:hideMark/>
          </w:tcPr>
          <w:p w14:paraId="29A2293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0.571***</w:t>
            </w:r>
          </w:p>
        </w:tc>
        <w:tc>
          <w:tcPr>
            <w:tcW w:w="820" w:type="dxa"/>
            <w:noWrap/>
            <w:hideMark/>
          </w:tcPr>
          <w:p w14:paraId="4D14E69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5DF427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105A2A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03CB455"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13DF036A"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6D92A783"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16FB546F" w14:textId="77777777" w:rsidTr="00F92532">
        <w:trPr>
          <w:trHeight w:val="20"/>
        </w:trPr>
        <w:tc>
          <w:tcPr>
            <w:tcW w:w="920" w:type="dxa"/>
            <w:vMerge/>
            <w:noWrap/>
            <w:hideMark/>
          </w:tcPr>
          <w:p w14:paraId="31A438CA"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04237D9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behaviour</w:t>
            </w:r>
          </w:p>
        </w:tc>
        <w:tc>
          <w:tcPr>
            <w:tcW w:w="820" w:type="dxa"/>
            <w:noWrap/>
            <w:hideMark/>
          </w:tcPr>
          <w:p w14:paraId="6095EC6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0.333***</w:t>
            </w:r>
          </w:p>
        </w:tc>
        <w:tc>
          <w:tcPr>
            <w:tcW w:w="820" w:type="dxa"/>
            <w:noWrap/>
            <w:hideMark/>
          </w:tcPr>
          <w:p w14:paraId="729A665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0.232***</w:t>
            </w:r>
          </w:p>
        </w:tc>
        <w:tc>
          <w:tcPr>
            <w:tcW w:w="860" w:type="dxa"/>
            <w:noWrap/>
            <w:hideMark/>
          </w:tcPr>
          <w:p w14:paraId="2854B8F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–0.004</w:t>
            </w:r>
          </w:p>
        </w:tc>
        <w:tc>
          <w:tcPr>
            <w:tcW w:w="921" w:type="dxa"/>
            <w:noWrap/>
            <w:hideMark/>
          </w:tcPr>
          <w:p w14:paraId="554815A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0.244***</w:t>
            </w:r>
          </w:p>
        </w:tc>
        <w:tc>
          <w:tcPr>
            <w:tcW w:w="950" w:type="dxa"/>
            <w:noWrap/>
            <w:hideMark/>
          </w:tcPr>
          <w:p w14:paraId="497447B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0.251***</w:t>
            </w:r>
          </w:p>
        </w:tc>
        <w:tc>
          <w:tcPr>
            <w:tcW w:w="820" w:type="dxa"/>
            <w:noWrap/>
            <w:hideMark/>
          </w:tcPr>
          <w:p w14:paraId="0CEF33D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0.381***</w:t>
            </w:r>
          </w:p>
        </w:tc>
        <w:tc>
          <w:tcPr>
            <w:tcW w:w="820" w:type="dxa"/>
            <w:noWrap/>
            <w:hideMark/>
          </w:tcPr>
          <w:p w14:paraId="4FA446B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0.214***</w:t>
            </w:r>
          </w:p>
        </w:tc>
        <w:tc>
          <w:tcPr>
            <w:tcW w:w="741" w:type="dxa"/>
            <w:noWrap/>
            <w:hideMark/>
          </w:tcPr>
          <w:p w14:paraId="6C3AFB7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0.163**</w:t>
            </w:r>
          </w:p>
        </w:tc>
        <w:tc>
          <w:tcPr>
            <w:tcW w:w="820" w:type="dxa"/>
            <w:noWrap/>
            <w:hideMark/>
          </w:tcPr>
          <w:p w14:paraId="2DCD8AD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0.338***</w:t>
            </w:r>
          </w:p>
        </w:tc>
        <w:tc>
          <w:tcPr>
            <w:tcW w:w="820" w:type="dxa"/>
            <w:noWrap/>
            <w:hideMark/>
          </w:tcPr>
          <w:p w14:paraId="415399E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0.282***</w:t>
            </w:r>
          </w:p>
        </w:tc>
        <w:tc>
          <w:tcPr>
            <w:tcW w:w="820" w:type="dxa"/>
            <w:noWrap/>
            <w:hideMark/>
          </w:tcPr>
          <w:p w14:paraId="3F43A67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0.337***</w:t>
            </w:r>
          </w:p>
        </w:tc>
        <w:tc>
          <w:tcPr>
            <w:tcW w:w="820" w:type="dxa"/>
            <w:noWrap/>
            <w:hideMark/>
          </w:tcPr>
          <w:p w14:paraId="215690A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0F92E7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277669D"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79A86C66"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4D537D50"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38A8C11" w14:textId="77777777" w:rsidTr="00F92532">
        <w:trPr>
          <w:trHeight w:val="20"/>
        </w:trPr>
        <w:tc>
          <w:tcPr>
            <w:tcW w:w="920" w:type="dxa"/>
            <w:vMerge/>
            <w:noWrap/>
            <w:hideMark/>
          </w:tcPr>
          <w:p w14:paraId="42E2EF28"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16FD9A4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information</w:t>
            </w:r>
          </w:p>
        </w:tc>
        <w:tc>
          <w:tcPr>
            <w:tcW w:w="820" w:type="dxa"/>
            <w:noWrap/>
            <w:hideMark/>
          </w:tcPr>
          <w:p w14:paraId="1A14CAA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w:t>
            </w:r>
          </w:p>
        </w:tc>
        <w:tc>
          <w:tcPr>
            <w:tcW w:w="820" w:type="dxa"/>
            <w:noWrap/>
            <w:hideMark/>
          </w:tcPr>
          <w:p w14:paraId="2AAFEE6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0.252***</w:t>
            </w:r>
          </w:p>
        </w:tc>
        <w:tc>
          <w:tcPr>
            <w:tcW w:w="860" w:type="dxa"/>
            <w:noWrap/>
            <w:hideMark/>
          </w:tcPr>
          <w:p w14:paraId="3A595E3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0.125</w:t>
            </w:r>
          </w:p>
        </w:tc>
        <w:tc>
          <w:tcPr>
            <w:tcW w:w="921" w:type="dxa"/>
            <w:noWrap/>
            <w:hideMark/>
          </w:tcPr>
          <w:p w14:paraId="1180A02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0.361***</w:t>
            </w:r>
          </w:p>
        </w:tc>
        <w:tc>
          <w:tcPr>
            <w:tcW w:w="950" w:type="dxa"/>
            <w:noWrap/>
            <w:hideMark/>
          </w:tcPr>
          <w:p w14:paraId="0E8BC94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0.309</w:t>
            </w:r>
            <w:r w:rsidRPr="00530906">
              <w:rPr>
                <w:rFonts w:ascii="Cambria" w:hAnsi="Cambria"/>
                <w:b/>
                <w:bCs/>
                <w:sz w:val="16"/>
                <w:szCs w:val="16"/>
                <w:lang w:val="en-US"/>
              </w:rPr>
              <w:t>***</w:t>
            </w:r>
          </w:p>
        </w:tc>
        <w:tc>
          <w:tcPr>
            <w:tcW w:w="820" w:type="dxa"/>
            <w:noWrap/>
            <w:hideMark/>
          </w:tcPr>
          <w:p w14:paraId="23B5D14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0.348***</w:t>
            </w:r>
          </w:p>
        </w:tc>
        <w:tc>
          <w:tcPr>
            <w:tcW w:w="820" w:type="dxa"/>
            <w:noWrap/>
            <w:hideMark/>
          </w:tcPr>
          <w:p w14:paraId="112B8AB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0.27***</w:t>
            </w:r>
          </w:p>
        </w:tc>
        <w:tc>
          <w:tcPr>
            <w:tcW w:w="741" w:type="dxa"/>
            <w:noWrap/>
            <w:hideMark/>
          </w:tcPr>
          <w:p w14:paraId="4E76094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w:t>
            </w:r>
          </w:p>
        </w:tc>
        <w:tc>
          <w:tcPr>
            <w:tcW w:w="820" w:type="dxa"/>
            <w:noWrap/>
            <w:hideMark/>
          </w:tcPr>
          <w:p w14:paraId="214E4DA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0.31***</w:t>
            </w:r>
          </w:p>
        </w:tc>
        <w:tc>
          <w:tcPr>
            <w:tcW w:w="820" w:type="dxa"/>
            <w:noWrap/>
            <w:hideMark/>
          </w:tcPr>
          <w:p w14:paraId="54067C6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0.449***</w:t>
            </w:r>
          </w:p>
        </w:tc>
        <w:tc>
          <w:tcPr>
            <w:tcW w:w="820" w:type="dxa"/>
            <w:noWrap/>
            <w:hideMark/>
          </w:tcPr>
          <w:p w14:paraId="17DF48B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0.391***</w:t>
            </w:r>
          </w:p>
        </w:tc>
        <w:tc>
          <w:tcPr>
            <w:tcW w:w="820" w:type="dxa"/>
            <w:noWrap/>
            <w:hideMark/>
          </w:tcPr>
          <w:p w14:paraId="6BF68C3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0.258***</w:t>
            </w:r>
          </w:p>
        </w:tc>
        <w:tc>
          <w:tcPr>
            <w:tcW w:w="820" w:type="dxa"/>
            <w:noWrap/>
            <w:hideMark/>
          </w:tcPr>
          <w:p w14:paraId="6C6F23F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C3242C"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1F4FB8C7"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50706975"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106E05F" w14:textId="77777777" w:rsidTr="00F92532">
        <w:trPr>
          <w:trHeight w:val="20"/>
        </w:trPr>
        <w:tc>
          <w:tcPr>
            <w:tcW w:w="920" w:type="dxa"/>
            <w:vMerge/>
            <w:noWrap/>
            <w:hideMark/>
          </w:tcPr>
          <w:p w14:paraId="752C247D"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3980D81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Norm</w:t>
            </w:r>
          </w:p>
        </w:tc>
        <w:tc>
          <w:tcPr>
            <w:tcW w:w="820" w:type="dxa"/>
            <w:noWrap/>
            <w:hideMark/>
          </w:tcPr>
          <w:p w14:paraId="1EEE5D1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0.323***</w:t>
            </w:r>
          </w:p>
        </w:tc>
        <w:tc>
          <w:tcPr>
            <w:tcW w:w="820" w:type="dxa"/>
            <w:noWrap/>
            <w:hideMark/>
          </w:tcPr>
          <w:p w14:paraId="397635C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0.238***</w:t>
            </w:r>
          </w:p>
        </w:tc>
        <w:tc>
          <w:tcPr>
            <w:tcW w:w="860" w:type="dxa"/>
            <w:noWrap/>
            <w:hideMark/>
          </w:tcPr>
          <w:p w14:paraId="06FA589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0.304***</w:t>
            </w:r>
          </w:p>
        </w:tc>
        <w:tc>
          <w:tcPr>
            <w:tcW w:w="921" w:type="dxa"/>
            <w:noWrap/>
            <w:hideMark/>
          </w:tcPr>
          <w:p w14:paraId="4D25099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0.439***</w:t>
            </w:r>
          </w:p>
        </w:tc>
        <w:tc>
          <w:tcPr>
            <w:tcW w:w="950" w:type="dxa"/>
            <w:noWrap/>
            <w:hideMark/>
          </w:tcPr>
          <w:p w14:paraId="20ECFDC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0.362***</w:t>
            </w:r>
          </w:p>
        </w:tc>
        <w:tc>
          <w:tcPr>
            <w:tcW w:w="820" w:type="dxa"/>
            <w:noWrap/>
            <w:hideMark/>
          </w:tcPr>
          <w:p w14:paraId="3ED0B00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0.237***</w:t>
            </w:r>
          </w:p>
        </w:tc>
        <w:tc>
          <w:tcPr>
            <w:tcW w:w="820" w:type="dxa"/>
            <w:noWrap/>
            <w:hideMark/>
          </w:tcPr>
          <w:p w14:paraId="66FDFC9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0.396***</w:t>
            </w:r>
          </w:p>
        </w:tc>
        <w:tc>
          <w:tcPr>
            <w:tcW w:w="741" w:type="dxa"/>
            <w:noWrap/>
            <w:hideMark/>
          </w:tcPr>
          <w:p w14:paraId="38D03D5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0.089</w:t>
            </w:r>
          </w:p>
        </w:tc>
        <w:tc>
          <w:tcPr>
            <w:tcW w:w="820" w:type="dxa"/>
            <w:noWrap/>
            <w:hideMark/>
          </w:tcPr>
          <w:p w14:paraId="27CD2E0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0.167**</w:t>
            </w:r>
          </w:p>
        </w:tc>
        <w:tc>
          <w:tcPr>
            <w:tcW w:w="820" w:type="dxa"/>
            <w:noWrap/>
            <w:hideMark/>
          </w:tcPr>
          <w:p w14:paraId="056CC2E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0.364***</w:t>
            </w:r>
          </w:p>
        </w:tc>
        <w:tc>
          <w:tcPr>
            <w:tcW w:w="820" w:type="dxa"/>
            <w:noWrap/>
            <w:hideMark/>
          </w:tcPr>
          <w:p w14:paraId="387ED0E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0.323***</w:t>
            </w:r>
          </w:p>
        </w:tc>
        <w:tc>
          <w:tcPr>
            <w:tcW w:w="820" w:type="dxa"/>
            <w:noWrap/>
            <w:hideMark/>
          </w:tcPr>
          <w:p w14:paraId="7420B00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0.067</w:t>
            </w:r>
          </w:p>
        </w:tc>
        <w:tc>
          <w:tcPr>
            <w:tcW w:w="820" w:type="dxa"/>
            <w:noWrap/>
            <w:hideMark/>
          </w:tcPr>
          <w:p w14:paraId="250D669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0.541***</w:t>
            </w:r>
          </w:p>
        </w:tc>
        <w:tc>
          <w:tcPr>
            <w:tcW w:w="820" w:type="dxa"/>
            <w:noWrap/>
            <w:hideMark/>
          </w:tcPr>
          <w:p w14:paraId="0E25804E"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4FB7F4D2"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5F37F6E0"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16328FC9" w14:textId="77777777" w:rsidTr="00F92532">
        <w:trPr>
          <w:trHeight w:val="20"/>
        </w:trPr>
        <w:tc>
          <w:tcPr>
            <w:tcW w:w="920" w:type="dxa"/>
            <w:vMerge/>
            <w:noWrap/>
            <w:hideMark/>
          </w:tcPr>
          <w:p w14:paraId="7FDA4CB0"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74BCF44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Expertise</w:t>
            </w:r>
          </w:p>
        </w:tc>
        <w:tc>
          <w:tcPr>
            <w:tcW w:w="820" w:type="dxa"/>
            <w:noWrap/>
            <w:hideMark/>
          </w:tcPr>
          <w:p w14:paraId="0FF3FBD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0.418***</w:t>
            </w:r>
          </w:p>
        </w:tc>
        <w:tc>
          <w:tcPr>
            <w:tcW w:w="820" w:type="dxa"/>
            <w:noWrap/>
            <w:hideMark/>
          </w:tcPr>
          <w:p w14:paraId="1E1256C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0.391***</w:t>
            </w:r>
          </w:p>
        </w:tc>
        <w:tc>
          <w:tcPr>
            <w:tcW w:w="860" w:type="dxa"/>
            <w:noWrap/>
            <w:hideMark/>
          </w:tcPr>
          <w:p w14:paraId="4097F60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w:t>
            </w:r>
          </w:p>
        </w:tc>
        <w:tc>
          <w:tcPr>
            <w:tcW w:w="921" w:type="dxa"/>
            <w:noWrap/>
            <w:hideMark/>
          </w:tcPr>
          <w:p w14:paraId="20C6F77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0.389***</w:t>
            </w:r>
          </w:p>
        </w:tc>
        <w:tc>
          <w:tcPr>
            <w:tcW w:w="950" w:type="dxa"/>
            <w:noWrap/>
            <w:hideMark/>
          </w:tcPr>
          <w:p w14:paraId="0C10403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0.327***</w:t>
            </w:r>
          </w:p>
        </w:tc>
        <w:tc>
          <w:tcPr>
            <w:tcW w:w="820" w:type="dxa"/>
            <w:noWrap/>
            <w:hideMark/>
          </w:tcPr>
          <w:p w14:paraId="667B2E8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0.424***</w:t>
            </w:r>
          </w:p>
        </w:tc>
        <w:tc>
          <w:tcPr>
            <w:tcW w:w="820" w:type="dxa"/>
            <w:noWrap/>
            <w:hideMark/>
          </w:tcPr>
          <w:p w14:paraId="1EB3E62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w:t>
            </w:r>
          </w:p>
        </w:tc>
        <w:tc>
          <w:tcPr>
            <w:tcW w:w="741" w:type="dxa"/>
            <w:noWrap/>
            <w:hideMark/>
          </w:tcPr>
          <w:p w14:paraId="76903C9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0.07</w:t>
            </w:r>
          </w:p>
        </w:tc>
        <w:tc>
          <w:tcPr>
            <w:tcW w:w="820" w:type="dxa"/>
            <w:noWrap/>
            <w:hideMark/>
          </w:tcPr>
          <w:p w14:paraId="1671DE2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0.41***</w:t>
            </w:r>
          </w:p>
        </w:tc>
        <w:tc>
          <w:tcPr>
            <w:tcW w:w="820" w:type="dxa"/>
            <w:noWrap/>
            <w:hideMark/>
          </w:tcPr>
          <w:p w14:paraId="296346F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w:t>
            </w:r>
          </w:p>
        </w:tc>
        <w:tc>
          <w:tcPr>
            <w:tcW w:w="820" w:type="dxa"/>
            <w:noWrap/>
            <w:hideMark/>
          </w:tcPr>
          <w:p w14:paraId="60A66DA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0.409***</w:t>
            </w:r>
          </w:p>
        </w:tc>
        <w:tc>
          <w:tcPr>
            <w:tcW w:w="820" w:type="dxa"/>
            <w:noWrap/>
            <w:hideMark/>
          </w:tcPr>
          <w:p w14:paraId="6BC9D6D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0.156**</w:t>
            </w:r>
          </w:p>
        </w:tc>
        <w:tc>
          <w:tcPr>
            <w:tcW w:w="820" w:type="dxa"/>
            <w:noWrap/>
            <w:hideMark/>
          </w:tcPr>
          <w:p w14:paraId="3944E0C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0.254***</w:t>
            </w:r>
          </w:p>
        </w:tc>
        <w:tc>
          <w:tcPr>
            <w:tcW w:w="820" w:type="dxa"/>
            <w:noWrap/>
            <w:hideMark/>
          </w:tcPr>
          <w:p w14:paraId="226F51B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0.268***</w:t>
            </w:r>
          </w:p>
        </w:tc>
        <w:tc>
          <w:tcPr>
            <w:tcW w:w="619" w:type="dxa"/>
            <w:noWrap/>
            <w:hideMark/>
          </w:tcPr>
          <w:p w14:paraId="239E87CA"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13CC0D9A" w14:textId="77777777" w:rsidR="00C7217E" w:rsidRPr="00530906" w:rsidRDefault="00C7217E" w:rsidP="008756B1">
            <w:pPr>
              <w:spacing w:line="240" w:lineRule="auto"/>
              <w:jc w:val="both"/>
              <w:rPr>
                <w:rFonts w:ascii="Cambria" w:hAnsi="Cambria"/>
                <w:sz w:val="16"/>
                <w:szCs w:val="16"/>
                <w:lang w:val="en-US"/>
              </w:rPr>
            </w:pPr>
          </w:p>
        </w:tc>
      </w:tr>
      <w:bookmarkEnd w:id="130"/>
      <w:tr w:rsidR="00C7217E" w:rsidRPr="00530906" w14:paraId="160D9E5A" w14:textId="77777777" w:rsidTr="00F92532">
        <w:trPr>
          <w:trHeight w:val="20"/>
        </w:trPr>
        <w:tc>
          <w:tcPr>
            <w:tcW w:w="920" w:type="dxa"/>
            <w:vMerge/>
            <w:noWrap/>
            <w:hideMark/>
          </w:tcPr>
          <w:p w14:paraId="2CC2C665"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741E94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Marker variable</w:t>
            </w:r>
          </w:p>
        </w:tc>
        <w:tc>
          <w:tcPr>
            <w:tcW w:w="820" w:type="dxa"/>
            <w:noWrap/>
            <w:hideMark/>
          </w:tcPr>
          <w:p w14:paraId="469E574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0.101</w:t>
            </w:r>
          </w:p>
        </w:tc>
        <w:tc>
          <w:tcPr>
            <w:tcW w:w="820" w:type="dxa"/>
            <w:noWrap/>
            <w:hideMark/>
          </w:tcPr>
          <w:p w14:paraId="4387118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0.021</w:t>
            </w:r>
          </w:p>
        </w:tc>
        <w:tc>
          <w:tcPr>
            <w:tcW w:w="860" w:type="dxa"/>
            <w:noWrap/>
            <w:hideMark/>
          </w:tcPr>
          <w:p w14:paraId="2FB7BCD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0.104</w:t>
            </w:r>
          </w:p>
        </w:tc>
        <w:tc>
          <w:tcPr>
            <w:tcW w:w="921" w:type="dxa"/>
            <w:noWrap/>
            <w:hideMark/>
          </w:tcPr>
          <w:p w14:paraId="36D3327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w:t>
            </w:r>
          </w:p>
        </w:tc>
        <w:tc>
          <w:tcPr>
            <w:tcW w:w="950" w:type="dxa"/>
            <w:noWrap/>
            <w:hideMark/>
          </w:tcPr>
          <w:p w14:paraId="5F43838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0.149*</w:t>
            </w:r>
          </w:p>
        </w:tc>
        <w:tc>
          <w:tcPr>
            <w:tcW w:w="820" w:type="dxa"/>
            <w:noWrap/>
            <w:hideMark/>
          </w:tcPr>
          <w:p w14:paraId="3C18ACE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0.159**</w:t>
            </w:r>
          </w:p>
        </w:tc>
        <w:tc>
          <w:tcPr>
            <w:tcW w:w="820" w:type="dxa"/>
            <w:noWrap/>
            <w:hideMark/>
          </w:tcPr>
          <w:p w14:paraId="19ADE6D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0.082</w:t>
            </w:r>
          </w:p>
        </w:tc>
        <w:tc>
          <w:tcPr>
            <w:tcW w:w="741" w:type="dxa"/>
            <w:noWrap/>
            <w:hideMark/>
          </w:tcPr>
          <w:p w14:paraId="3F7EC16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0.028</w:t>
            </w:r>
          </w:p>
        </w:tc>
        <w:tc>
          <w:tcPr>
            <w:tcW w:w="820" w:type="dxa"/>
            <w:noWrap/>
            <w:hideMark/>
          </w:tcPr>
          <w:p w14:paraId="7CCE04F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0.026</w:t>
            </w:r>
          </w:p>
        </w:tc>
        <w:tc>
          <w:tcPr>
            <w:tcW w:w="820" w:type="dxa"/>
            <w:noWrap/>
            <w:hideMark/>
          </w:tcPr>
          <w:p w14:paraId="06A2AB8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0.076</w:t>
            </w:r>
          </w:p>
        </w:tc>
        <w:tc>
          <w:tcPr>
            <w:tcW w:w="820" w:type="dxa"/>
            <w:noWrap/>
            <w:hideMark/>
          </w:tcPr>
          <w:p w14:paraId="299AAA9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0.069</w:t>
            </w:r>
          </w:p>
        </w:tc>
        <w:tc>
          <w:tcPr>
            <w:tcW w:w="820" w:type="dxa"/>
            <w:noWrap/>
            <w:hideMark/>
          </w:tcPr>
          <w:p w14:paraId="2D9023B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0.031</w:t>
            </w:r>
          </w:p>
        </w:tc>
        <w:tc>
          <w:tcPr>
            <w:tcW w:w="820" w:type="dxa"/>
            <w:noWrap/>
            <w:hideMark/>
          </w:tcPr>
          <w:p w14:paraId="0DB65BA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0.053</w:t>
            </w:r>
          </w:p>
        </w:tc>
        <w:tc>
          <w:tcPr>
            <w:tcW w:w="820" w:type="dxa"/>
            <w:noWrap/>
            <w:hideMark/>
          </w:tcPr>
          <w:p w14:paraId="27E5DB8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w:t>
            </w:r>
          </w:p>
        </w:tc>
        <w:tc>
          <w:tcPr>
            <w:tcW w:w="619" w:type="dxa"/>
            <w:noWrap/>
            <w:hideMark/>
          </w:tcPr>
          <w:p w14:paraId="38245C3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0.005</w:t>
            </w:r>
          </w:p>
        </w:tc>
        <w:tc>
          <w:tcPr>
            <w:tcW w:w="535" w:type="dxa"/>
            <w:noWrap/>
            <w:hideMark/>
          </w:tcPr>
          <w:p w14:paraId="65F228A1"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D5406EC" w14:textId="77777777" w:rsidTr="00F92532">
        <w:trPr>
          <w:trHeight w:val="20"/>
        </w:trPr>
        <w:tc>
          <w:tcPr>
            <w:tcW w:w="920" w:type="dxa"/>
            <w:vMerge w:val="restart"/>
            <w:noWrap/>
            <w:hideMark/>
          </w:tcPr>
          <w:p w14:paraId="2380B1D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w:t>
            </w:r>
          </w:p>
          <w:p w14:paraId="1B3297F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controlled</w:t>
            </w:r>
          </w:p>
          <w:p w14:paraId="7EFB931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Marker</w:t>
            </w:r>
          </w:p>
          <w:p w14:paraId="1446254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Variable</w:t>
            </w:r>
          </w:p>
        </w:tc>
        <w:tc>
          <w:tcPr>
            <w:tcW w:w="1202" w:type="dxa"/>
            <w:noWrap/>
            <w:hideMark/>
          </w:tcPr>
          <w:p w14:paraId="62110BD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Involvement</w:t>
            </w:r>
          </w:p>
        </w:tc>
        <w:tc>
          <w:tcPr>
            <w:tcW w:w="820" w:type="dxa"/>
          </w:tcPr>
          <w:p w14:paraId="43009C1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970D56E" w14:textId="77777777" w:rsidR="00C7217E" w:rsidRPr="00530906" w:rsidRDefault="00C7217E" w:rsidP="008756B1">
            <w:pPr>
              <w:spacing w:line="240" w:lineRule="auto"/>
              <w:jc w:val="both"/>
              <w:rPr>
                <w:rFonts w:ascii="Cambria" w:hAnsi="Cambria"/>
                <w:sz w:val="16"/>
                <w:szCs w:val="16"/>
                <w:lang w:val="en-US"/>
              </w:rPr>
            </w:pPr>
          </w:p>
        </w:tc>
        <w:tc>
          <w:tcPr>
            <w:tcW w:w="860" w:type="dxa"/>
            <w:noWrap/>
            <w:hideMark/>
          </w:tcPr>
          <w:p w14:paraId="48B8A3D8"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6E7268DD"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362DC67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524B24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BD92EB5"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15E19D7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B628B3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E8289AD"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0E8988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62F3A8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CE3E55D"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DE308B6"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79D2057B"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092937F2"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F947CE5" w14:textId="77777777" w:rsidTr="00F92532">
        <w:trPr>
          <w:trHeight w:val="20"/>
        </w:trPr>
        <w:tc>
          <w:tcPr>
            <w:tcW w:w="920" w:type="dxa"/>
            <w:vMerge/>
            <w:noWrap/>
            <w:hideMark/>
          </w:tcPr>
          <w:p w14:paraId="6B9A5490"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1AAB076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SCV_Image</w:t>
            </w:r>
          </w:p>
        </w:tc>
        <w:tc>
          <w:tcPr>
            <w:tcW w:w="820" w:type="dxa"/>
          </w:tcPr>
          <w:p w14:paraId="2E48EF3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0.621***</w:t>
            </w:r>
          </w:p>
        </w:tc>
        <w:tc>
          <w:tcPr>
            <w:tcW w:w="820" w:type="dxa"/>
            <w:noWrap/>
            <w:hideMark/>
          </w:tcPr>
          <w:p w14:paraId="3F0CD150" w14:textId="77777777" w:rsidR="00C7217E" w:rsidRPr="00530906" w:rsidRDefault="00C7217E" w:rsidP="008756B1">
            <w:pPr>
              <w:spacing w:line="240" w:lineRule="auto"/>
              <w:jc w:val="both"/>
              <w:rPr>
                <w:rFonts w:ascii="Cambria" w:hAnsi="Cambria"/>
                <w:sz w:val="16"/>
                <w:szCs w:val="16"/>
                <w:lang w:val="en-US"/>
              </w:rPr>
            </w:pPr>
          </w:p>
        </w:tc>
        <w:tc>
          <w:tcPr>
            <w:tcW w:w="860" w:type="dxa"/>
            <w:noWrap/>
            <w:hideMark/>
          </w:tcPr>
          <w:p w14:paraId="69C6D1D6"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0B6CEE8A"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6D07D7E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0F2CCD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DA8AA12"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2A91523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40B4A5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02ECC7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6685D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E293AB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EBE152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D3F8756"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3937D139"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2D624F99"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6BD4B2C7" w14:textId="77777777" w:rsidTr="00F92532">
        <w:trPr>
          <w:trHeight w:val="20"/>
        </w:trPr>
        <w:tc>
          <w:tcPr>
            <w:tcW w:w="920" w:type="dxa"/>
            <w:vMerge/>
            <w:noWrap/>
            <w:hideMark/>
          </w:tcPr>
          <w:p w14:paraId="6E882EA3"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79720E0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SCV_engrossment</w:t>
            </w:r>
          </w:p>
        </w:tc>
        <w:tc>
          <w:tcPr>
            <w:tcW w:w="820" w:type="dxa"/>
          </w:tcPr>
          <w:p w14:paraId="2792568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0.206**</w:t>
            </w:r>
          </w:p>
        </w:tc>
        <w:tc>
          <w:tcPr>
            <w:tcW w:w="820" w:type="dxa"/>
            <w:noWrap/>
            <w:hideMark/>
          </w:tcPr>
          <w:p w14:paraId="340F37D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0.201**</w:t>
            </w:r>
          </w:p>
        </w:tc>
        <w:tc>
          <w:tcPr>
            <w:tcW w:w="860" w:type="dxa"/>
            <w:noWrap/>
            <w:hideMark/>
          </w:tcPr>
          <w:p w14:paraId="46DEEE8E" w14:textId="77777777" w:rsidR="00C7217E" w:rsidRPr="00530906" w:rsidRDefault="00C7217E" w:rsidP="008756B1">
            <w:pPr>
              <w:spacing w:line="240" w:lineRule="auto"/>
              <w:jc w:val="both"/>
              <w:rPr>
                <w:rFonts w:ascii="Cambria" w:hAnsi="Cambria"/>
                <w:sz w:val="16"/>
                <w:szCs w:val="16"/>
                <w:lang w:val="en-US"/>
              </w:rPr>
            </w:pPr>
          </w:p>
        </w:tc>
        <w:tc>
          <w:tcPr>
            <w:tcW w:w="921" w:type="dxa"/>
            <w:noWrap/>
            <w:hideMark/>
          </w:tcPr>
          <w:p w14:paraId="71728C2F"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5278D5A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0A9DED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FD75A51"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53B0985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8D1087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63E06D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498F82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B75347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A6B28A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C026913"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3385EDC5"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33FF7FC0"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5EDBAAEF" w14:textId="77777777" w:rsidTr="00F92532">
        <w:trPr>
          <w:trHeight w:val="20"/>
        </w:trPr>
        <w:tc>
          <w:tcPr>
            <w:tcW w:w="920" w:type="dxa"/>
            <w:vMerge/>
            <w:noWrap/>
            <w:hideMark/>
          </w:tcPr>
          <w:p w14:paraId="59DB67D0"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512A899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SCV_self_projection</w:t>
            </w:r>
          </w:p>
        </w:tc>
        <w:tc>
          <w:tcPr>
            <w:tcW w:w="820" w:type="dxa"/>
          </w:tcPr>
          <w:p w14:paraId="67ECC5A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0.532***</w:t>
            </w:r>
          </w:p>
        </w:tc>
        <w:tc>
          <w:tcPr>
            <w:tcW w:w="820" w:type="dxa"/>
            <w:noWrap/>
            <w:hideMark/>
          </w:tcPr>
          <w:p w14:paraId="0166D40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0.538***</w:t>
            </w:r>
          </w:p>
        </w:tc>
        <w:tc>
          <w:tcPr>
            <w:tcW w:w="860" w:type="dxa"/>
            <w:noWrap/>
            <w:hideMark/>
          </w:tcPr>
          <w:p w14:paraId="60E029B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0.357***</w:t>
            </w:r>
          </w:p>
        </w:tc>
        <w:tc>
          <w:tcPr>
            <w:tcW w:w="921" w:type="dxa"/>
            <w:noWrap/>
            <w:hideMark/>
          </w:tcPr>
          <w:p w14:paraId="12AE2FC6" w14:textId="77777777" w:rsidR="00C7217E" w:rsidRPr="00530906" w:rsidRDefault="00C7217E" w:rsidP="008756B1">
            <w:pPr>
              <w:spacing w:line="240" w:lineRule="auto"/>
              <w:jc w:val="both"/>
              <w:rPr>
                <w:rFonts w:ascii="Cambria" w:hAnsi="Cambria"/>
                <w:sz w:val="16"/>
                <w:szCs w:val="16"/>
                <w:lang w:val="en-US"/>
              </w:rPr>
            </w:pPr>
          </w:p>
        </w:tc>
        <w:tc>
          <w:tcPr>
            <w:tcW w:w="950" w:type="dxa"/>
            <w:noWrap/>
            <w:hideMark/>
          </w:tcPr>
          <w:p w14:paraId="3F6B846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AC2B26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A436E4A"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47EAE84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9DE762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667F8D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DC1D97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0C0C57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E64E750"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00AA3A1"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633440D6"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66A83A91"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65061444" w14:textId="77777777" w:rsidTr="00F92532">
        <w:trPr>
          <w:trHeight w:val="20"/>
        </w:trPr>
        <w:tc>
          <w:tcPr>
            <w:tcW w:w="920" w:type="dxa"/>
            <w:vMerge/>
            <w:noWrap/>
            <w:hideMark/>
          </w:tcPr>
          <w:p w14:paraId="2C397FFF"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34F0261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SCV_mental_fluency</w:t>
            </w:r>
          </w:p>
        </w:tc>
        <w:tc>
          <w:tcPr>
            <w:tcW w:w="820" w:type="dxa"/>
          </w:tcPr>
          <w:p w14:paraId="7BF1182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0.458***</w:t>
            </w:r>
          </w:p>
        </w:tc>
        <w:tc>
          <w:tcPr>
            <w:tcW w:w="820" w:type="dxa"/>
            <w:noWrap/>
            <w:hideMark/>
          </w:tcPr>
          <w:p w14:paraId="6B37FF3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0.451***</w:t>
            </w:r>
          </w:p>
        </w:tc>
        <w:tc>
          <w:tcPr>
            <w:tcW w:w="860" w:type="dxa"/>
            <w:noWrap/>
            <w:hideMark/>
          </w:tcPr>
          <w:p w14:paraId="5E4778D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0.186**</w:t>
            </w:r>
          </w:p>
        </w:tc>
        <w:tc>
          <w:tcPr>
            <w:tcW w:w="921" w:type="dxa"/>
            <w:noWrap/>
            <w:hideMark/>
          </w:tcPr>
          <w:p w14:paraId="76F3941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0.688***</w:t>
            </w:r>
          </w:p>
        </w:tc>
        <w:tc>
          <w:tcPr>
            <w:tcW w:w="950" w:type="dxa"/>
            <w:noWrap/>
            <w:hideMark/>
          </w:tcPr>
          <w:p w14:paraId="7984205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CD9DDF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D24E1F0"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7AFC772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274BBA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35012C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1EDCBC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AAEE5C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2B12F3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26D9632"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6127B2A3"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4AFCF314"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34CAB3A4" w14:textId="77777777" w:rsidTr="00F92532">
        <w:trPr>
          <w:trHeight w:val="20"/>
        </w:trPr>
        <w:tc>
          <w:tcPr>
            <w:tcW w:w="920" w:type="dxa"/>
            <w:vMerge/>
            <w:noWrap/>
            <w:hideMark/>
          </w:tcPr>
          <w:p w14:paraId="354451EA"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1907565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Pleasure</w:t>
            </w:r>
          </w:p>
        </w:tc>
        <w:tc>
          <w:tcPr>
            <w:tcW w:w="820" w:type="dxa"/>
          </w:tcPr>
          <w:p w14:paraId="4988741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0.743***</w:t>
            </w:r>
          </w:p>
        </w:tc>
        <w:tc>
          <w:tcPr>
            <w:tcW w:w="820" w:type="dxa"/>
            <w:noWrap/>
            <w:hideMark/>
          </w:tcPr>
          <w:p w14:paraId="12DA757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0.574***</w:t>
            </w:r>
          </w:p>
        </w:tc>
        <w:tc>
          <w:tcPr>
            <w:tcW w:w="860" w:type="dxa"/>
            <w:noWrap/>
            <w:hideMark/>
          </w:tcPr>
          <w:p w14:paraId="61D836C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0.142*</w:t>
            </w:r>
          </w:p>
        </w:tc>
        <w:tc>
          <w:tcPr>
            <w:tcW w:w="921" w:type="dxa"/>
            <w:noWrap/>
            <w:hideMark/>
          </w:tcPr>
          <w:p w14:paraId="3EBA827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0.496***</w:t>
            </w:r>
          </w:p>
        </w:tc>
        <w:tc>
          <w:tcPr>
            <w:tcW w:w="950" w:type="dxa"/>
            <w:noWrap/>
            <w:hideMark/>
          </w:tcPr>
          <w:p w14:paraId="142C6AC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0.542***</w:t>
            </w:r>
          </w:p>
        </w:tc>
        <w:tc>
          <w:tcPr>
            <w:tcW w:w="820" w:type="dxa"/>
            <w:noWrap/>
            <w:hideMark/>
          </w:tcPr>
          <w:p w14:paraId="0708E95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BECD6BE"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47F727F1"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FC4183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0E1399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B6B206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7C72BB9"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E5081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3741074"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06A811AE"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78BAE406"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DDE46CC" w14:textId="77777777" w:rsidTr="00F92532">
        <w:trPr>
          <w:trHeight w:val="20"/>
        </w:trPr>
        <w:tc>
          <w:tcPr>
            <w:tcW w:w="920" w:type="dxa"/>
            <w:vMerge/>
            <w:noWrap/>
            <w:hideMark/>
          </w:tcPr>
          <w:p w14:paraId="5F5A5EFC"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28FAE38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Arousal</w:t>
            </w:r>
          </w:p>
        </w:tc>
        <w:tc>
          <w:tcPr>
            <w:tcW w:w="820" w:type="dxa"/>
          </w:tcPr>
          <w:p w14:paraId="3BF7A72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0.583***</w:t>
            </w:r>
          </w:p>
        </w:tc>
        <w:tc>
          <w:tcPr>
            <w:tcW w:w="820" w:type="dxa"/>
            <w:noWrap/>
            <w:hideMark/>
          </w:tcPr>
          <w:p w14:paraId="26D47FB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0.393***</w:t>
            </w:r>
          </w:p>
        </w:tc>
        <w:tc>
          <w:tcPr>
            <w:tcW w:w="860" w:type="dxa"/>
            <w:noWrap/>
            <w:hideMark/>
          </w:tcPr>
          <w:p w14:paraId="4133CB8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w:t>
            </w:r>
          </w:p>
        </w:tc>
        <w:tc>
          <w:tcPr>
            <w:tcW w:w="921" w:type="dxa"/>
            <w:noWrap/>
            <w:hideMark/>
          </w:tcPr>
          <w:p w14:paraId="7B1390D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0.456***</w:t>
            </w:r>
          </w:p>
        </w:tc>
        <w:tc>
          <w:tcPr>
            <w:tcW w:w="950" w:type="dxa"/>
            <w:noWrap/>
            <w:hideMark/>
          </w:tcPr>
          <w:p w14:paraId="38A7AA8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w:t>
            </w:r>
          </w:p>
        </w:tc>
        <w:tc>
          <w:tcPr>
            <w:tcW w:w="820" w:type="dxa"/>
            <w:noWrap/>
            <w:hideMark/>
          </w:tcPr>
          <w:p w14:paraId="13458F4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0.524***</w:t>
            </w:r>
          </w:p>
        </w:tc>
        <w:tc>
          <w:tcPr>
            <w:tcW w:w="820" w:type="dxa"/>
            <w:noWrap/>
            <w:hideMark/>
          </w:tcPr>
          <w:p w14:paraId="6E956968" w14:textId="77777777" w:rsidR="00C7217E" w:rsidRPr="00530906" w:rsidRDefault="00C7217E" w:rsidP="008756B1">
            <w:pPr>
              <w:spacing w:line="240" w:lineRule="auto"/>
              <w:jc w:val="both"/>
              <w:rPr>
                <w:rFonts w:ascii="Cambria" w:hAnsi="Cambria"/>
                <w:sz w:val="16"/>
                <w:szCs w:val="16"/>
                <w:lang w:val="en-US"/>
              </w:rPr>
            </w:pPr>
          </w:p>
        </w:tc>
        <w:tc>
          <w:tcPr>
            <w:tcW w:w="741" w:type="dxa"/>
            <w:noWrap/>
            <w:hideMark/>
          </w:tcPr>
          <w:p w14:paraId="74F9AED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9B57C3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26C4664"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ED54B6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7BBCABF"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A5DF11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0F76BFA"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0EF6477D"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19214EF2"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72C214E" w14:textId="77777777" w:rsidTr="00F92532">
        <w:trPr>
          <w:trHeight w:val="20"/>
        </w:trPr>
        <w:tc>
          <w:tcPr>
            <w:tcW w:w="920" w:type="dxa"/>
            <w:vMerge/>
            <w:noWrap/>
            <w:hideMark/>
          </w:tcPr>
          <w:p w14:paraId="434ED261"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1E9BE0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Dominance</w:t>
            </w:r>
          </w:p>
        </w:tc>
        <w:tc>
          <w:tcPr>
            <w:tcW w:w="820" w:type="dxa"/>
          </w:tcPr>
          <w:p w14:paraId="3F2B4CB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0.162**</w:t>
            </w:r>
          </w:p>
        </w:tc>
        <w:tc>
          <w:tcPr>
            <w:tcW w:w="820" w:type="dxa"/>
            <w:noWrap/>
            <w:hideMark/>
          </w:tcPr>
          <w:p w14:paraId="7B2AB0D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0.226***</w:t>
            </w:r>
          </w:p>
        </w:tc>
        <w:tc>
          <w:tcPr>
            <w:tcW w:w="860" w:type="dxa"/>
            <w:noWrap/>
            <w:hideMark/>
          </w:tcPr>
          <w:p w14:paraId="2FD00AD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–0.016</w:t>
            </w:r>
          </w:p>
        </w:tc>
        <w:tc>
          <w:tcPr>
            <w:tcW w:w="921" w:type="dxa"/>
            <w:noWrap/>
            <w:hideMark/>
          </w:tcPr>
          <w:p w14:paraId="5B3BC99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0.197**</w:t>
            </w:r>
          </w:p>
        </w:tc>
        <w:tc>
          <w:tcPr>
            <w:tcW w:w="950" w:type="dxa"/>
            <w:noWrap/>
            <w:hideMark/>
          </w:tcPr>
          <w:p w14:paraId="1FB0B11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0.159**</w:t>
            </w:r>
          </w:p>
        </w:tc>
        <w:tc>
          <w:tcPr>
            <w:tcW w:w="820" w:type="dxa"/>
            <w:noWrap/>
            <w:hideMark/>
          </w:tcPr>
          <w:p w14:paraId="5887A5E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0.178**</w:t>
            </w:r>
          </w:p>
        </w:tc>
        <w:tc>
          <w:tcPr>
            <w:tcW w:w="820" w:type="dxa"/>
            <w:noWrap/>
            <w:hideMark/>
          </w:tcPr>
          <w:p w14:paraId="66F3D51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0.224***</w:t>
            </w:r>
          </w:p>
        </w:tc>
        <w:tc>
          <w:tcPr>
            <w:tcW w:w="741" w:type="dxa"/>
            <w:noWrap/>
            <w:hideMark/>
          </w:tcPr>
          <w:p w14:paraId="33420B0D"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7AEC0B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62357BC"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4E9B6CB"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5164803"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2D572C2"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1A043E2"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3C5912EA"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40375E5E"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65CAD37C" w14:textId="77777777" w:rsidTr="00F92532">
        <w:trPr>
          <w:trHeight w:val="20"/>
        </w:trPr>
        <w:tc>
          <w:tcPr>
            <w:tcW w:w="920" w:type="dxa"/>
            <w:vMerge/>
            <w:noWrap/>
            <w:hideMark/>
          </w:tcPr>
          <w:p w14:paraId="6306690D"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07F90F0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Attitude</w:t>
            </w:r>
          </w:p>
        </w:tc>
        <w:tc>
          <w:tcPr>
            <w:tcW w:w="820" w:type="dxa"/>
          </w:tcPr>
          <w:p w14:paraId="78C1A02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0.702***</w:t>
            </w:r>
          </w:p>
        </w:tc>
        <w:tc>
          <w:tcPr>
            <w:tcW w:w="820" w:type="dxa"/>
            <w:noWrap/>
            <w:hideMark/>
          </w:tcPr>
          <w:p w14:paraId="372A15F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0.497***</w:t>
            </w:r>
          </w:p>
        </w:tc>
        <w:tc>
          <w:tcPr>
            <w:tcW w:w="860" w:type="dxa"/>
            <w:noWrap/>
            <w:hideMark/>
          </w:tcPr>
          <w:p w14:paraId="6499933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0.079</w:t>
            </w:r>
          </w:p>
        </w:tc>
        <w:tc>
          <w:tcPr>
            <w:tcW w:w="921" w:type="dxa"/>
            <w:noWrap/>
            <w:hideMark/>
          </w:tcPr>
          <w:p w14:paraId="72B2D50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0.461***</w:t>
            </w:r>
          </w:p>
        </w:tc>
        <w:tc>
          <w:tcPr>
            <w:tcW w:w="950" w:type="dxa"/>
            <w:noWrap/>
            <w:hideMark/>
          </w:tcPr>
          <w:p w14:paraId="51A2E15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0.493***</w:t>
            </w:r>
          </w:p>
        </w:tc>
        <w:tc>
          <w:tcPr>
            <w:tcW w:w="820" w:type="dxa"/>
            <w:noWrap/>
            <w:hideMark/>
          </w:tcPr>
          <w:p w14:paraId="70AB3C7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0.763***</w:t>
            </w:r>
          </w:p>
        </w:tc>
        <w:tc>
          <w:tcPr>
            <w:tcW w:w="820" w:type="dxa"/>
            <w:noWrap/>
            <w:hideMark/>
          </w:tcPr>
          <w:p w14:paraId="743C739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w:t>
            </w:r>
          </w:p>
        </w:tc>
        <w:tc>
          <w:tcPr>
            <w:tcW w:w="741" w:type="dxa"/>
            <w:noWrap/>
            <w:hideMark/>
          </w:tcPr>
          <w:p w14:paraId="4E2BE63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0.163**</w:t>
            </w:r>
          </w:p>
        </w:tc>
        <w:tc>
          <w:tcPr>
            <w:tcW w:w="820" w:type="dxa"/>
            <w:noWrap/>
            <w:hideMark/>
          </w:tcPr>
          <w:p w14:paraId="052C7F6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1720C367"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EF4FB3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757558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C7944B4"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034DA8CD"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55517A3E"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31CB7817"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54602D4" w14:textId="77777777" w:rsidTr="00F92532">
        <w:trPr>
          <w:trHeight w:val="20"/>
        </w:trPr>
        <w:tc>
          <w:tcPr>
            <w:tcW w:w="920" w:type="dxa"/>
            <w:vMerge/>
            <w:noWrap/>
            <w:hideMark/>
          </w:tcPr>
          <w:p w14:paraId="312020AD"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3892648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Engagement</w:t>
            </w:r>
          </w:p>
        </w:tc>
        <w:tc>
          <w:tcPr>
            <w:tcW w:w="820" w:type="dxa"/>
          </w:tcPr>
          <w:p w14:paraId="6326E35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0.586***</w:t>
            </w:r>
          </w:p>
        </w:tc>
        <w:tc>
          <w:tcPr>
            <w:tcW w:w="820" w:type="dxa"/>
            <w:noWrap/>
            <w:hideMark/>
          </w:tcPr>
          <w:p w14:paraId="65ED1E3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0.438***</w:t>
            </w:r>
          </w:p>
        </w:tc>
        <w:tc>
          <w:tcPr>
            <w:tcW w:w="860" w:type="dxa"/>
            <w:noWrap/>
            <w:hideMark/>
          </w:tcPr>
          <w:p w14:paraId="54ADA72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0.22***</w:t>
            </w:r>
          </w:p>
        </w:tc>
        <w:tc>
          <w:tcPr>
            <w:tcW w:w="921" w:type="dxa"/>
            <w:noWrap/>
            <w:hideMark/>
          </w:tcPr>
          <w:p w14:paraId="24F28EB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0.541***</w:t>
            </w:r>
          </w:p>
        </w:tc>
        <w:tc>
          <w:tcPr>
            <w:tcW w:w="950" w:type="dxa"/>
            <w:noWrap/>
            <w:hideMark/>
          </w:tcPr>
          <w:p w14:paraId="0858B1A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0.451***</w:t>
            </w:r>
          </w:p>
        </w:tc>
        <w:tc>
          <w:tcPr>
            <w:tcW w:w="820" w:type="dxa"/>
            <w:noWrap/>
            <w:hideMark/>
          </w:tcPr>
          <w:p w14:paraId="4DA44AF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0.65***</w:t>
            </w:r>
          </w:p>
        </w:tc>
        <w:tc>
          <w:tcPr>
            <w:tcW w:w="820" w:type="dxa"/>
            <w:noWrap/>
            <w:hideMark/>
          </w:tcPr>
          <w:p w14:paraId="32DC531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0.473***</w:t>
            </w:r>
          </w:p>
        </w:tc>
        <w:tc>
          <w:tcPr>
            <w:tcW w:w="741" w:type="dxa"/>
            <w:noWrap/>
            <w:hideMark/>
          </w:tcPr>
          <w:p w14:paraId="496BD0F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0.17**</w:t>
            </w:r>
          </w:p>
        </w:tc>
        <w:tc>
          <w:tcPr>
            <w:tcW w:w="820" w:type="dxa"/>
            <w:noWrap/>
            <w:hideMark/>
          </w:tcPr>
          <w:p w14:paraId="483CCED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0.538***</w:t>
            </w:r>
          </w:p>
        </w:tc>
        <w:tc>
          <w:tcPr>
            <w:tcW w:w="820" w:type="dxa"/>
            <w:noWrap/>
            <w:hideMark/>
          </w:tcPr>
          <w:p w14:paraId="5FD763D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51E449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553A16A4"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0837DD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F7FD9BB"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26D0A3FE"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2D2FFE92"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496F3681" w14:textId="77777777" w:rsidTr="00F92532">
        <w:trPr>
          <w:trHeight w:val="20"/>
        </w:trPr>
        <w:tc>
          <w:tcPr>
            <w:tcW w:w="920" w:type="dxa"/>
            <w:vMerge/>
            <w:noWrap/>
            <w:hideMark/>
          </w:tcPr>
          <w:p w14:paraId="09E7460D"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08771BB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Purchase</w:t>
            </w:r>
          </w:p>
        </w:tc>
        <w:tc>
          <w:tcPr>
            <w:tcW w:w="820" w:type="dxa"/>
          </w:tcPr>
          <w:p w14:paraId="5C6E2D4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0.639***</w:t>
            </w:r>
          </w:p>
        </w:tc>
        <w:tc>
          <w:tcPr>
            <w:tcW w:w="820" w:type="dxa"/>
            <w:noWrap/>
            <w:hideMark/>
          </w:tcPr>
          <w:p w14:paraId="09CB6CF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0.539***</w:t>
            </w:r>
          </w:p>
        </w:tc>
        <w:tc>
          <w:tcPr>
            <w:tcW w:w="860" w:type="dxa"/>
            <w:noWrap/>
            <w:hideMark/>
          </w:tcPr>
          <w:p w14:paraId="5C20CCD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0.11</w:t>
            </w:r>
          </w:p>
        </w:tc>
        <w:tc>
          <w:tcPr>
            <w:tcW w:w="921" w:type="dxa"/>
            <w:noWrap/>
            <w:hideMark/>
          </w:tcPr>
          <w:p w14:paraId="7160723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0.534***</w:t>
            </w:r>
          </w:p>
        </w:tc>
        <w:tc>
          <w:tcPr>
            <w:tcW w:w="950" w:type="dxa"/>
            <w:noWrap/>
            <w:hideMark/>
          </w:tcPr>
          <w:p w14:paraId="1C0B3ED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0.471***</w:t>
            </w:r>
          </w:p>
        </w:tc>
        <w:tc>
          <w:tcPr>
            <w:tcW w:w="820" w:type="dxa"/>
            <w:noWrap/>
            <w:hideMark/>
          </w:tcPr>
          <w:p w14:paraId="767780D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0.611***</w:t>
            </w:r>
          </w:p>
        </w:tc>
        <w:tc>
          <w:tcPr>
            <w:tcW w:w="820" w:type="dxa"/>
            <w:noWrap/>
            <w:hideMark/>
          </w:tcPr>
          <w:p w14:paraId="6195DEA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0.485***</w:t>
            </w:r>
          </w:p>
        </w:tc>
        <w:tc>
          <w:tcPr>
            <w:tcW w:w="741" w:type="dxa"/>
            <w:noWrap/>
            <w:hideMark/>
          </w:tcPr>
          <w:p w14:paraId="4D8B183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0.19**</w:t>
            </w:r>
          </w:p>
        </w:tc>
        <w:tc>
          <w:tcPr>
            <w:tcW w:w="820" w:type="dxa"/>
            <w:noWrap/>
            <w:hideMark/>
          </w:tcPr>
          <w:p w14:paraId="6C2CB94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0.554***</w:t>
            </w:r>
          </w:p>
        </w:tc>
        <w:tc>
          <w:tcPr>
            <w:tcW w:w="820" w:type="dxa"/>
            <w:noWrap/>
            <w:hideMark/>
          </w:tcPr>
          <w:p w14:paraId="0ACC43E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0.569***</w:t>
            </w:r>
          </w:p>
        </w:tc>
        <w:tc>
          <w:tcPr>
            <w:tcW w:w="820" w:type="dxa"/>
            <w:noWrap/>
            <w:hideMark/>
          </w:tcPr>
          <w:p w14:paraId="595541B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36C7ED8A"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2EF0A6F8"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14237C8"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4462DCA1"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1FB6F8B0"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28F59176" w14:textId="77777777" w:rsidTr="00F92532">
        <w:trPr>
          <w:trHeight w:val="20"/>
        </w:trPr>
        <w:tc>
          <w:tcPr>
            <w:tcW w:w="920" w:type="dxa"/>
            <w:vMerge/>
            <w:noWrap/>
            <w:hideMark/>
          </w:tcPr>
          <w:p w14:paraId="4A8AC00A"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7F61CE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behaviour</w:t>
            </w:r>
          </w:p>
        </w:tc>
        <w:tc>
          <w:tcPr>
            <w:tcW w:w="820" w:type="dxa"/>
          </w:tcPr>
          <w:p w14:paraId="47C042A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0.332***</w:t>
            </w:r>
          </w:p>
        </w:tc>
        <w:tc>
          <w:tcPr>
            <w:tcW w:w="820" w:type="dxa"/>
            <w:noWrap/>
            <w:hideMark/>
          </w:tcPr>
          <w:p w14:paraId="35CAE8D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0.232***</w:t>
            </w:r>
          </w:p>
        </w:tc>
        <w:tc>
          <w:tcPr>
            <w:tcW w:w="860" w:type="dxa"/>
            <w:noWrap/>
            <w:hideMark/>
          </w:tcPr>
          <w:p w14:paraId="4453AC4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–0.007</w:t>
            </w:r>
          </w:p>
        </w:tc>
        <w:tc>
          <w:tcPr>
            <w:tcW w:w="921" w:type="dxa"/>
            <w:noWrap/>
            <w:hideMark/>
          </w:tcPr>
          <w:p w14:paraId="59057C7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0.244***</w:t>
            </w:r>
          </w:p>
        </w:tc>
        <w:tc>
          <w:tcPr>
            <w:tcW w:w="950" w:type="dxa"/>
            <w:noWrap/>
            <w:hideMark/>
          </w:tcPr>
          <w:p w14:paraId="42846BB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0.249***</w:t>
            </w:r>
          </w:p>
        </w:tc>
        <w:tc>
          <w:tcPr>
            <w:tcW w:w="820" w:type="dxa"/>
            <w:noWrap/>
            <w:hideMark/>
          </w:tcPr>
          <w:p w14:paraId="6D255C2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0.381***</w:t>
            </w:r>
          </w:p>
        </w:tc>
        <w:tc>
          <w:tcPr>
            <w:tcW w:w="820" w:type="dxa"/>
            <w:noWrap/>
            <w:hideMark/>
          </w:tcPr>
          <w:p w14:paraId="4D4DADC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0.212***</w:t>
            </w:r>
          </w:p>
        </w:tc>
        <w:tc>
          <w:tcPr>
            <w:tcW w:w="741" w:type="dxa"/>
            <w:noWrap/>
            <w:hideMark/>
          </w:tcPr>
          <w:p w14:paraId="38112C5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0.162**</w:t>
            </w:r>
          </w:p>
        </w:tc>
        <w:tc>
          <w:tcPr>
            <w:tcW w:w="820" w:type="dxa"/>
            <w:noWrap/>
            <w:hideMark/>
          </w:tcPr>
          <w:p w14:paraId="05E01A5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0.337***</w:t>
            </w:r>
          </w:p>
        </w:tc>
        <w:tc>
          <w:tcPr>
            <w:tcW w:w="820" w:type="dxa"/>
            <w:noWrap/>
            <w:hideMark/>
          </w:tcPr>
          <w:p w14:paraId="01606A8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0.281***</w:t>
            </w:r>
          </w:p>
        </w:tc>
        <w:tc>
          <w:tcPr>
            <w:tcW w:w="820" w:type="dxa"/>
            <w:noWrap/>
            <w:hideMark/>
          </w:tcPr>
          <w:p w14:paraId="6AE3A9D6"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0.335***</w:t>
            </w:r>
          </w:p>
        </w:tc>
        <w:tc>
          <w:tcPr>
            <w:tcW w:w="820" w:type="dxa"/>
            <w:noWrap/>
            <w:hideMark/>
          </w:tcPr>
          <w:p w14:paraId="3AF76D0E"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411F9045"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72EE8D44"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44AE609D"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70BD4B10"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03D9B7BA" w14:textId="77777777" w:rsidTr="00F92532">
        <w:trPr>
          <w:trHeight w:val="20"/>
        </w:trPr>
        <w:tc>
          <w:tcPr>
            <w:tcW w:w="920" w:type="dxa"/>
            <w:vMerge/>
            <w:noWrap/>
            <w:hideMark/>
          </w:tcPr>
          <w:p w14:paraId="6FDA1E07"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1DBEDB4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information</w:t>
            </w:r>
          </w:p>
        </w:tc>
        <w:tc>
          <w:tcPr>
            <w:tcW w:w="820" w:type="dxa"/>
          </w:tcPr>
          <w:p w14:paraId="3DEFA3B0"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0.378***</w:t>
            </w:r>
          </w:p>
        </w:tc>
        <w:tc>
          <w:tcPr>
            <w:tcW w:w="820" w:type="dxa"/>
            <w:noWrap/>
            <w:hideMark/>
          </w:tcPr>
          <w:p w14:paraId="2D676FC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0.251***</w:t>
            </w:r>
          </w:p>
        </w:tc>
        <w:tc>
          <w:tcPr>
            <w:tcW w:w="860" w:type="dxa"/>
            <w:noWrap/>
            <w:hideMark/>
          </w:tcPr>
          <w:p w14:paraId="7438F5A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0.12*</w:t>
            </w:r>
          </w:p>
        </w:tc>
        <w:tc>
          <w:tcPr>
            <w:tcW w:w="921" w:type="dxa"/>
            <w:noWrap/>
            <w:hideMark/>
          </w:tcPr>
          <w:p w14:paraId="4834A38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0.358***</w:t>
            </w:r>
          </w:p>
        </w:tc>
        <w:tc>
          <w:tcPr>
            <w:tcW w:w="950" w:type="dxa"/>
            <w:noWrap/>
            <w:hideMark/>
          </w:tcPr>
          <w:p w14:paraId="2672D4D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0.305***</w:t>
            </w:r>
          </w:p>
        </w:tc>
        <w:tc>
          <w:tcPr>
            <w:tcW w:w="820" w:type="dxa"/>
            <w:noWrap/>
            <w:hideMark/>
          </w:tcPr>
          <w:p w14:paraId="1E5C825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0.345***</w:t>
            </w:r>
          </w:p>
        </w:tc>
        <w:tc>
          <w:tcPr>
            <w:tcW w:w="820" w:type="dxa"/>
            <w:noWrap/>
            <w:hideMark/>
          </w:tcPr>
          <w:p w14:paraId="5E021B7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0.267***</w:t>
            </w:r>
          </w:p>
        </w:tc>
        <w:tc>
          <w:tcPr>
            <w:tcW w:w="741" w:type="dxa"/>
            <w:noWrap/>
            <w:hideMark/>
          </w:tcPr>
          <w:p w14:paraId="11E3F9A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0.149*</w:t>
            </w:r>
          </w:p>
        </w:tc>
        <w:tc>
          <w:tcPr>
            <w:tcW w:w="820" w:type="dxa"/>
            <w:noWrap/>
            <w:hideMark/>
          </w:tcPr>
          <w:p w14:paraId="71EE0EB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0.309***</w:t>
            </w:r>
          </w:p>
        </w:tc>
        <w:tc>
          <w:tcPr>
            <w:tcW w:w="820" w:type="dxa"/>
            <w:noWrap/>
            <w:hideMark/>
          </w:tcPr>
          <w:p w14:paraId="54B7EE3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0.447***</w:t>
            </w:r>
          </w:p>
        </w:tc>
        <w:tc>
          <w:tcPr>
            <w:tcW w:w="820" w:type="dxa"/>
            <w:noWrap/>
            <w:hideMark/>
          </w:tcPr>
          <w:p w14:paraId="2F3A2BD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0.389***</w:t>
            </w:r>
          </w:p>
        </w:tc>
        <w:tc>
          <w:tcPr>
            <w:tcW w:w="820" w:type="dxa"/>
            <w:noWrap/>
            <w:hideMark/>
          </w:tcPr>
          <w:p w14:paraId="65AFAC1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0.256***</w:t>
            </w:r>
          </w:p>
        </w:tc>
        <w:tc>
          <w:tcPr>
            <w:tcW w:w="820" w:type="dxa"/>
            <w:noWrap/>
            <w:hideMark/>
          </w:tcPr>
          <w:p w14:paraId="1F6AE7C6" w14:textId="77777777" w:rsidR="00C7217E" w:rsidRPr="00530906" w:rsidRDefault="00C7217E" w:rsidP="008756B1">
            <w:pPr>
              <w:spacing w:line="240" w:lineRule="auto"/>
              <w:jc w:val="both"/>
              <w:rPr>
                <w:rFonts w:ascii="Cambria" w:hAnsi="Cambria"/>
                <w:sz w:val="16"/>
                <w:szCs w:val="16"/>
                <w:lang w:val="en-US"/>
              </w:rPr>
            </w:pPr>
          </w:p>
        </w:tc>
        <w:tc>
          <w:tcPr>
            <w:tcW w:w="820" w:type="dxa"/>
            <w:noWrap/>
            <w:hideMark/>
          </w:tcPr>
          <w:p w14:paraId="634A477B"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33A52E7F"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62F59ECB"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528FF755" w14:textId="77777777" w:rsidTr="00F92532">
        <w:trPr>
          <w:trHeight w:val="20"/>
        </w:trPr>
        <w:tc>
          <w:tcPr>
            <w:tcW w:w="920" w:type="dxa"/>
            <w:vMerge/>
            <w:noWrap/>
            <w:hideMark/>
          </w:tcPr>
          <w:p w14:paraId="526A1636"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4AE305E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Norm</w:t>
            </w:r>
          </w:p>
        </w:tc>
        <w:tc>
          <w:tcPr>
            <w:tcW w:w="820" w:type="dxa"/>
          </w:tcPr>
          <w:p w14:paraId="02678662"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0.313***</w:t>
            </w:r>
          </w:p>
        </w:tc>
        <w:tc>
          <w:tcPr>
            <w:tcW w:w="820" w:type="dxa"/>
            <w:noWrap/>
            <w:hideMark/>
          </w:tcPr>
          <w:p w14:paraId="589B07EF"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0.237***</w:t>
            </w:r>
          </w:p>
        </w:tc>
        <w:tc>
          <w:tcPr>
            <w:tcW w:w="860" w:type="dxa"/>
            <w:noWrap/>
            <w:hideMark/>
          </w:tcPr>
          <w:p w14:paraId="4E8C4DB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0.293***</w:t>
            </w:r>
          </w:p>
        </w:tc>
        <w:tc>
          <w:tcPr>
            <w:tcW w:w="921" w:type="dxa"/>
            <w:noWrap/>
            <w:hideMark/>
          </w:tcPr>
          <w:p w14:paraId="778E59E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0.421***</w:t>
            </w:r>
          </w:p>
        </w:tc>
        <w:tc>
          <w:tcPr>
            <w:tcW w:w="950" w:type="dxa"/>
            <w:noWrap/>
            <w:hideMark/>
          </w:tcPr>
          <w:p w14:paraId="2B1C708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0.347***</w:t>
            </w:r>
          </w:p>
        </w:tc>
        <w:tc>
          <w:tcPr>
            <w:tcW w:w="820" w:type="dxa"/>
            <w:noWrap/>
            <w:hideMark/>
          </w:tcPr>
          <w:p w14:paraId="7D16A58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0.219***</w:t>
            </w:r>
          </w:p>
        </w:tc>
        <w:tc>
          <w:tcPr>
            <w:tcW w:w="820" w:type="dxa"/>
            <w:noWrap/>
            <w:hideMark/>
          </w:tcPr>
          <w:p w14:paraId="68D8A00D"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w:t>
            </w:r>
          </w:p>
        </w:tc>
        <w:tc>
          <w:tcPr>
            <w:tcW w:w="741" w:type="dxa"/>
            <w:noWrap/>
            <w:hideMark/>
          </w:tcPr>
          <w:p w14:paraId="5981108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0.086</w:t>
            </w:r>
          </w:p>
        </w:tc>
        <w:tc>
          <w:tcPr>
            <w:tcW w:w="820" w:type="dxa"/>
            <w:noWrap/>
            <w:hideMark/>
          </w:tcPr>
          <w:p w14:paraId="4763E3E8"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0.165**</w:t>
            </w:r>
          </w:p>
        </w:tc>
        <w:tc>
          <w:tcPr>
            <w:tcW w:w="820" w:type="dxa"/>
            <w:noWrap/>
            <w:hideMark/>
          </w:tcPr>
          <w:p w14:paraId="5E2B2574"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0.358***</w:t>
            </w:r>
          </w:p>
        </w:tc>
        <w:tc>
          <w:tcPr>
            <w:tcW w:w="820" w:type="dxa"/>
            <w:noWrap/>
            <w:hideMark/>
          </w:tcPr>
          <w:p w14:paraId="3848BBB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0.317***</w:t>
            </w:r>
          </w:p>
        </w:tc>
        <w:tc>
          <w:tcPr>
            <w:tcW w:w="820" w:type="dxa"/>
            <w:noWrap/>
            <w:hideMark/>
          </w:tcPr>
          <w:p w14:paraId="5957316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0.063</w:t>
            </w:r>
          </w:p>
        </w:tc>
        <w:tc>
          <w:tcPr>
            <w:tcW w:w="820" w:type="dxa"/>
            <w:noWrap/>
            <w:hideMark/>
          </w:tcPr>
          <w:p w14:paraId="010E296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0.54***</w:t>
            </w:r>
          </w:p>
        </w:tc>
        <w:tc>
          <w:tcPr>
            <w:tcW w:w="820" w:type="dxa"/>
            <w:noWrap/>
            <w:hideMark/>
          </w:tcPr>
          <w:p w14:paraId="17576C73" w14:textId="77777777" w:rsidR="00C7217E" w:rsidRPr="00530906" w:rsidRDefault="00C7217E" w:rsidP="008756B1">
            <w:pPr>
              <w:spacing w:line="240" w:lineRule="auto"/>
              <w:jc w:val="both"/>
              <w:rPr>
                <w:rFonts w:ascii="Cambria" w:hAnsi="Cambria"/>
                <w:sz w:val="16"/>
                <w:szCs w:val="16"/>
                <w:lang w:val="en-US"/>
              </w:rPr>
            </w:pPr>
          </w:p>
        </w:tc>
        <w:tc>
          <w:tcPr>
            <w:tcW w:w="619" w:type="dxa"/>
            <w:noWrap/>
            <w:hideMark/>
          </w:tcPr>
          <w:p w14:paraId="0FE84050"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5BF7F572" w14:textId="77777777" w:rsidR="00C7217E" w:rsidRPr="00530906" w:rsidRDefault="00C7217E" w:rsidP="008756B1">
            <w:pPr>
              <w:spacing w:line="240" w:lineRule="auto"/>
              <w:jc w:val="both"/>
              <w:rPr>
                <w:rFonts w:ascii="Cambria" w:hAnsi="Cambria"/>
                <w:sz w:val="16"/>
                <w:szCs w:val="16"/>
                <w:lang w:val="en-US"/>
              </w:rPr>
            </w:pPr>
          </w:p>
        </w:tc>
      </w:tr>
      <w:tr w:rsidR="00C7217E" w:rsidRPr="00530906" w14:paraId="363F6E40" w14:textId="77777777" w:rsidTr="00F92532">
        <w:trPr>
          <w:trHeight w:val="20"/>
        </w:trPr>
        <w:tc>
          <w:tcPr>
            <w:tcW w:w="920" w:type="dxa"/>
            <w:vMerge/>
            <w:noWrap/>
            <w:hideMark/>
          </w:tcPr>
          <w:p w14:paraId="78106306" w14:textId="77777777" w:rsidR="00C7217E" w:rsidRPr="00530906" w:rsidRDefault="00C7217E" w:rsidP="008756B1">
            <w:pPr>
              <w:spacing w:line="240" w:lineRule="auto"/>
              <w:jc w:val="both"/>
              <w:rPr>
                <w:rFonts w:ascii="Cambria" w:hAnsi="Cambria"/>
                <w:sz w:val="16"/>
                <w:szCs w:val="16"/>
                <w:lang w:val="en-US"/>
              </w:rPr>
            </w:pPr>
          </w:p>
        </w:tc>
        <w:tc>
          <w:tcPr>
            <w:tcW w:w="1202" w:type="dxa"/>
            <w:noWrap/>
            <w:hideMark/>
          </w:tcPr>
          <w:p w14:paraId="27B3D3A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Expertise</w:t>
            </w:r>
          </w:p>
        </w:tc>
        <w:tc>
          <w:tcPr>
            <w:tcW w:w="820" w:type="dxa"/>
          </w:tcPr>
          <w:p w14:paraId="38CB1B2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w:t>
            </w:r>
          </w:p>
        </w:tc>
        <w:tc>
          <w:tcPr>
            <w:tcW w:w="820" w:type="dxa"/>
            <w:noWrap/>
            <w:hideMark/>
          </w:tcPr>
          <w:p w14:paraId="62DDD2E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0.391***</w:t>
            </w:r>
          </w:p>
        </w:tc>
        <w:tc>
          <w:tcPr>
            <w:tcW w:w="860" w:type="dxa"/>
            <w:noWrap/>
            <w:hideMark/>
          </w:tcPr>
          <w:p w14:paraId="72F0CE0B"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w:t>
            </w:r>
          </w:p>
        </w:tc>
        <w:tc>
          <w:tcPr>
            <w:tcW w:w="921" w:type="dxa"/>
            <w:noWrap/>
            <w:hideMark/>
          </w:tcPr>
          <w:p w14:paraId="1B1D6BF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0.398***</w:t>
            </w:r>
          </w:p>
        </w:tc>
        <w:tc>
          <w:tcPr>
            <w:tcW w:w="950" w:type="dxa"/>
            <w:noWrap/>
            <w:hideMark/>
          </w:tcPr>
          <w:p w14:paraId="52C2BE6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w:t>
            </w:r>
          </w:p>
        </w:tc>
        <w:tc>
          <w:tcPr>
            <w:tcW w:w="820" w:type="dxa"/>
            <w:noWrap/>
            <w:hideMark/>
          </w:tcPr>
          <w:p w14:paraId="140FB56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0.429***</w:t>
            </w:r>
          </w:p>
        </w:tc>
        <w:tc>
          <w:tcPr>
            <w:tcW w:w="820" w:type="dxa"/>
            <w:noWrap/>
            <w:hideMark/>
          </w:tcPr>
          <w:p w14:paraId="39AE5861"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0.331***</w:t>
            </w:r>
          </w:p>
        </w:tc>
        <w:tc>
          <w:tcPr>
            <w:tcW w:w="741" w:type="dxa"/>
            <w:noWrap/>
            <w:hideMark/>
          </w:tcPr>
          <w:p w14:paraId="70814AAA"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0.07</w:t>
            </w:r>
          </w:p>
        </w:tc>
        <w:tc>
          <w:tcPr>
            <w:tcW w:w="820" w:type="dxa"/>
            <w:noWrap/>
            <w:hideMark/>
          </w:tcPr>
          <w:p w14:paraId="2B1A5C43"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0.41***</w:t>
            </w:r>
          </w:p>
        </w:tc>
        <w:tc>
          <w:tcPr>
            <w:tcW w:w="820" w:type="dxa"/>
            <w:noWrap/>
            <w:hideMark/>
          </w:tcPr>
          <w:p w14:paraId="2D523D99"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0.451***</w:t>
            </w:r>
          </w:p>
        </w:tc>
        <w:tc>
          <w:tcPr>
            <w:tcW w:w="820" w:type="dxa"/>
            <w:noWrap/>
            <w:hideMark/>
          </w:tcPr>
          <w:p w14:paraId="4711E675"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0.41***</w:t>
            </w:r>
          </w:p>
        </w:tc>
        <w:tc>
          <w:tcPr>
            <w:tcW w:w="820" w:type="dxa"/>
            <w:noWrap/>
            <w:hideMark/>
          </w:tcPr>
          <w:p w14:paraId="14C2E21C"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0.156**</w:t>
            </w:r>
          </w:p>
        </w:tc>
        <w:tc>
          <w:tcPr>
            <w:tcW w:w="820" w:type="dxa"/>
            <w:noWrap/>
            <w:hideMark/>
          </w:tcPr>
          <w:p w14:paraId="13690A37"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0.254***</w:t>
            </w:r>
          </w:p>
        </w:tc>
        <w:tc>
          <w:tcPr>
            <w:tcW w:w="820" w:type="dxa"/>
            <w:noWrap/>
            <w:hideMark/>
          </w:tcPr>
          <w:p w14:paraId="3FB9A2BE" w14:textId="77777777" w:rsidR="00C7217E" w:rsidRPr="00530906" w:rsidRDefault="00C7217E" w:rsidP="008756B1">
            <w:pPr>
              <w:spacing w:line="240" w:lineRule="auto"/>
              <w:jc w:val="both"/>
              <w:rPr>
                <w:rFonts w:ascii="Cambria" w:hAnsi="Cambria"/>
                <w:sz w:val="16"/>
                <w:szCs w:val="16"/>
                <w:lang w:val="en-US"/>
              </w:rPr>
            </w:pPr>
            <w:r w:rsidRPr="00530906">
              <w:rPr>
                <w:rFonts w:ascii="Cambria" w:hAnsi="Cambria"/>
                <w:sz w:val="16"/>
                <w:szCs w:val="16"/>
                <w:lang w:val="en-US"/>
              </w:rPr>
              <w:t>0.271***</w:t>
            </w:r>
          </w:p>
        </w:tc>
        <w:tc>
          <w:tcPr>
            <w:tcW w:w="619" w:type="dxa"/>
            <w:noWrap/>
            <w:hideMark/>
          </w:tcPr>
          <w:p w14:paraId="4FA526CB" w14:textId="77777777" w:rsidR="00C7217E" w:rsidRPr="00530906" w:rsidRDefault="00C7217E" w:rsidP="008756B1">
            <w:pPr>
              <w:spacing w:line="240" w:lineRule="auto"/>
              <w:jc w:val="both"/>
              <w:rPr>
                <w:rFonts w:ascii="Cambria" w:hAnsi="Cambria"/>
                <w:sz w:val="16"/>
                <w:szCs w:val="16"/>
                <w:lang w:val="en-US"/>
              </w:rPr>
            </w:pPr>
          </w:p>
        </w:tc>
        <w:tc>
          <w:tcPr>
            <w:tcW w:w="535" w:type="dxa"/>
            <w:noWrap/>
            <w:hideMark/>
          </w:tcPr>
          <w:p w14:paraId="0DCE1670" w14:textId="77777777" w:rsidR="00C7217E" w:rsidRPr="00530906" w:rsidRDefault="00C7217E" w:rsidP="008756B1">
            <w:pPr>
              <w:spacing w:line="240" w:lineRule="auto"/>
              <w:jc w:val="both"/>
              <w:rPr>
                <w:rFonts w:ascii="Cambria" w:hAnsi="Cambria"/>
                <w:sz w:val="16"/>
                <w:szCs w:val="16"/>
                <w:lang w:val="en-US"/>
              </w:rPr>
            </w:pPr>
          </w:p>
        </w:tc>
      </w:tr>
    </w:tbl>
    <w:p w14:paraId="3A75637E" w14:textId="77777777" w:rsidR="00C7217E" w:rsidRPr="00530906" w:rsidRDefault="00C7217E" w:rsidP="008756B1">
      <w:pPr>
        <w:spacing w:after="0" w:line="240" w:lineRule="auto"/>
        <w:jc w:val="both"/>
        <w:rPr>
          <w:rFonts w:ascii="Cambria" w:hAnsi="Cambria"/>
        </w:rPr>
      </w:pPr>
      <w:r w:rsidRPr="00530906">
        <w:rPr>
          <w:rFonts w:ascii="Cambria" w:hAnsi="Cambria"/>
        </w:rPr>
        <w:t>.a Cells contain zero–order (Pearson) correlations.</w:t>
      </w:r>
    </w:p>
    <w:p w14:paraId="4476B53C" w14:textId="77777777" w:rsidR="00C7217E" w:rsidRPr="00530906" w:rsidRDefault="00C7217E" w:rsidP="008756B1">
      <w:pPr>
        <w:spacing w:after="0" w:line="240" w:lineRule="auto"/>
        <w:jc w:val="both"/>
        <w:rPr>
          <w:rFonts w:ascii="Cambria" w:hAnsi="Cambria"/>
          <w:lang w:val="en-US"/>
        </w:rPr>
      </w:pPr>
      <w:r w:rsidRPr="00530906">
        <w:rPr>
          <w:rFonts w:ascii="Cambria" w:hAnsi="Cambria"/>
          <w:lang w:val="en-US"/>
        </w:rPr>
        <w:t>* represents significance at .05 level, ** represents significance at .01 level and *** represents significance at .001 level</w:t>
      </w:r>
    </w:p>
    <w:p w14:paraId="18054B19" w14:textId="77777777" w:rsidR="00C7217E" w:rsidRPr="00530906" w:rsidRDefault="00C7217E">
      <w:pPr>
        <w:spacing w:line="360" w:lineRule="auto"/>
        <w:jc w:val="both"/>
        <w:rPr>
          <w:rFonts w:ascii="Cambria" w:eastAsia="Calibri" w:hAnsi="Cambria" w:cs="Times New Roman"/>
        </w:rPr>
      </w:pPr>
    </w:p>
    <w:p w14:paraId="4413F069" w14:textId="77777777" w:rsidR="00C7217E" w:rsidRPr="00530906" w:rsidRDefault="00C7217E">
      <w:pPr>
        <w:spacing w:line="360" w:lineRule="auto"/>
        <w:jc w:val="both"/>
        <w:rPr>
          <w:rFonts w:ascii="Cambria" w:eastAsia="Calibri" w:hAnsi="Cambria" w:cs="Times New Roman"/>
        </w:rPr>
      </w:pPr>
    </w:p>
    <w:p w14:paraId="0C817B3F" w14:textId="77777777" w:rsidR="0056783F" w:rsidRDefault="0056783F" w:rsidP="00206CE8">
      <w:pPr>
        <w:pStyle w:val="Heading2"/>
        <w:rPr>
          <w:rFonts w:eastAsia="Calibri"/>
        </w:rPr>
        <w:sectPr w:rsidR="0056783F" w:rsidSect="00F92532">
          <w:pgSz w:w="16838" w:h="11906" w:orient="landscape"/>
          <w:pgMar w:top="1440" w:right="1440" w:bottom="1440" w:left="1440" w:header="709" w:footer="709" w:gutter="0"/>
          <w:cols w:space="708"/>
          <w:docGrid w:linePitch="360"/>
        </w:sectPr>
      </w:pPr>
    </w:p>
    <w:p w14:paraId="5177FF94" w14:textId="78073738" w:rsidR="00986C96" w:rsidRDefault="00206CE8" w:rsidP="00206CE8">
      <w:pPr>
        <w:pStyle w:val="Heading2"/>
        <w:rPr>
          <w:rFonts w:eastAsia="Calibri"/>
        </w:rPr>
      </w:pPr>
      <w:bookmarkStart w:id="131" w:name="_Toc115726286"/>
      <w:r>
        <w:rPr>
          <w:rFonts w:eastAsia="Calibri"/>
        </w:rPr>
        <w:t>Appendix 3.5 –</w:t>
      </w:r>
      <w:r w:rsidR="00986C96">
        <w:rPr>
          <w:rFonts w:eastAsia="Calibri"/>
        </w:rPr>
        <w:t xml:space="preserve"> Exploratory factor analysis result</w:t>
      </w:r>
      <w:bookmarkEnd w:id="131"/>
      <w:r w:rsidR="00986C96">
        <w:rPr>
          <w:rFonts w:eastAsia="Calibri"/>
        </w:rPr>
        <w:t xml:space="preserve"> </w:t>
      </w:r>
    </w:p>
    <w:p w14:paraId="47DE5D39" w14:textId="77777777" w:rsidR="00986C96" w:rsidRPr="00986C96" w:rsidRDefault="00986C96" w:rsidP="00986C96"/>
    <w:tbl>
      <w:tblPr>
        <w:tblW w:w="5300" w:type="dxa"/>
        <w:tblLook w:val="04A0" w:firstRow="1" w:lastRow="0" w:firstColumn="1" w:lastColumn="0" w:noHBand="0" w:noVBand="1"/>
      </w:tblPr>
      <w:tblGrid>
        <w:gridCol w:w="2420"/>
        <w:gridCol w:w="960"/>
        <w:gridCol w:w="1017"/>
        <w:gridCol w:w="960"/>
      </w:tblGrid>
      <w:tr w:rsidR="00986C96" w:rsidRPr="00986C96" w14:paraId="3D888F52" w14:textId="77777777" w:rsidTr="00986C96">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EE53F"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 xml:space="preserve">EFA rotated loading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9D7343"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 279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5B8EDB"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February N 158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844645"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April N 121</w:t>
            </w:r>
          </w:p>
        </w:tc>
      </w:tr>
      <w:tr w:rsidR="00986C96" w:rsidRPr="00986C96" w14:paraId="402320D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EF16DA"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invlv_1</w:t>
            </w:r>
          </w:p>
        </w:tc>
        <w:tc>
          <w:tcPr>
            <w:tcW w:w="960" w:type="dxa"/>
            <w:tcBorders>
              <w:top w:val="nil"/>
              <w:left w:val="nil"/>
              <w:bottom w:val="single" w:sz="4" w:space="0" w:color="auto"/>
              <w:right w:val="single" w:sz="4" w:space="0" w:color="auto"/>
            </w:tcBorders>
            <w:shd w:val="clear" w:color="auto" w:fill="auto"/>
            <w:noWrap/>
            <w:vAlign w:val="bottom"/>
            <w:hideMark/>
          </w:tcPr>
          <w:p w14:paraId="014C8FC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0.825</w:t>
            </w:r>
          </w:p>
        </w:tc>
        <w:tc>
          <w:tcPr>
            <w:tcW w:w="960" w:type="dxa"/>
            <w:tcBorders>
              <w:top w:val="nil"/>
              <w:left w:val="nil"/>
              <w:bottom w:val="single" w:sz="4" w:space="0" w:color="auto"/>
              <w:right w:val="single" w:sz="4" w:space="0" w:color="auto"/>
            </w:tcBorders>
            <w:shd w:val="clear" w:color="auto" w:fill="auto"/>
            <w:noWrap/>
            <w:vAlign w:val="bottom"/>
            <w:hideMark/>
          </w:tcPr>
          <w:p w14:paraId="71346BF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0.827</w:t>
            </w:r>
          </w:p>
        </w:tc>
        <w:tc>
          <w:tcPr>
            <w:tcW w:w="960" w:type="dxa"/>
            <w:tcBorders>
              <w:top w:val="nil"/>
              <w:left w:val="nil"/>
              <w:bottom w:val="single" w:sz="4" w:space="0" w:color="auto"/>
              <w:right w:val="single" w:sz="4" w:space="0" w:color="auto"/>
            </w:tcBorders>
            <w:shd w:val="clear" w:color="auto" w:fill="auto"/>
            <w:noWrap/>
            <w:vAlign w:val="bottom"/>
            <w:hideMark/>
          </w:tcPr>
          <w:p w14:paraId="031E655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0.823</w:t>
            </w:r>
          </w:p>
        </w:tc>
      </w:tr>
      <w:tr w:rsidR="00986C96" w:rsidRPr="00986C96" w14:paraId="6AFBEF68"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EB078BC"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invlv_2</w:t>
            </w:r>
          </w:p>
        </w:tc>
        <w:tc>
          <w:tcPr>
            <w:tcW w:w="960" w:type="dxa"/>
            <w:tcBorders>
              <w:top w:val="nil"/>
              <w:left w:val="nil"/>
              <w:bottom w:val="single" w:sz="4" w:space="0" w:color="auto"/>
              <w:right w:val="single" w:sz="4" w:space="0" w:color="auto"/>
            </w:tcBorders>
            <w:shd w:val="clear" w:color="auto" w:fill="auto"/>
            <w:noWrap/>
            <w:vAlign w:val="bottom"/>
            <w:hideMark/>
          </w:tcPr>
          <w:p w14:paraId="7314827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w:t>
            </w:r>
          </w:p>
        </w:tc>
        <w:tc>
          <w:tcPr>
            <w:tcW w:w="960" w:type="dxa"/>
            <w:tcBorders>
              <w:top w:val="nil"/>
              <w:left w:val="nil"/>
              <w:bottom w:val="single" w:sz="4" w:space="0" w:color="auto"/>
              <w:right w:val="single" w:sz="4" w:space="0" w:color="auto"/>
            </w:tcBorders>
            <w:shd w:val="clear" w:color="auto" w:fill="auto"/>
            <w:noWrap/>
            <w:vAlign w:val="bottom"/>
            <w:hideMark/>
          </w:tcPr>
          <w:p w14:paraId="74DEC61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0.846</w:t>
            </w:r>
          </w:p>
        </w:tc>
        <w:tc>
          <w:tcPr>
            <w:tcW w:w="960" w:type="dxa"/>
            <w:tcBorders>
              <w:top w:val="nil"/>
              <w:left w:val="nil"/>
              <w:bottom w:val="single" w:sz="4" w:space="0" w:color="auto"/>
              <w:right w:val="single" w:sz="4" w:space="0" w:color="auto"/>
            </w:tcBorders>
            <w:shd w:val="clear" w:color="auto" w:fill="auto"/>
            <w:noWrap/>
            <w:vAlign w:val="bottom"/>
            <w:hideMark/>
          </w:tcPr>
          <w:p w14:paraId="2162EBC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0.875</w:t>
            </w:r>
          </w:p>
        </w:tc>
      </w:tr>
      <w:tr w:rsidR="00986C96" w:rsidRPr="00986C96" w14:paraId="102E939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1C58DF"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invlv_3</w:t>
            </w:r>
          </w:p>
        </w:tc>
        <w:tc>
          <w:tcPr>
            <w:tcW w:w="960" w:type="dxa"/>
            <w:tcBorders>
              <w:top w:val="nil"/>
              <w:left w:val="nil"/>
              <w:bottom w:val="single" w:sz="4" w:space="0" w:color="auto"/>
              <w:right w:val="single" w:sz="4" w:space="0" w:color="auto"/>
            </w:tcBorders>
            <w:shd w:val="clear" w:color="auto" w:fill="auto"/>
            <w:noWrap/>
            <w:vAlign w:val="bottom"/>
            <w:hideMark/>
          </w:tcPr>
          <w:p w14:paraId="008A590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0.784</w:t>
            </w:r>
          </w:p>
        </w:tc>
        <w:tc>
          <w:tcPr>
            <w:tcW w:w="960" w:type="dxa"/>
            <w:tcBorders>
              <w:top w:val="nil"/>
              <w:left w:val="nil"/>
              <w:bottom w:val="single" w:sz="4" w:space="0" w:color="auto"/>
              <w:right w:val="single" w:sz="4" w:space="0" w:color="auto"/>
            </w:tcBorders>
            <w:shd w:val="clear" w:color="auto" w:fill="auto"/>
            <w:noWrap/>
            <w:vAlign w:val="bottom"/>
            <w:hideMark/>
          </w:tcPr>
          <w:p w14:paraId="5686183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0.794</w:t>
            </w:r>
          </w:p>
        </w:tc>
        <w:tc>
          <w:tcPr>
            <w:tcW w:w="960" w:type="dxa"/>
            <w:tcBorders>
              <w:top w:val="nil"/>
              <w:left w:val="nil"/>
              <w:bottom w:val="single" w:sz="4" w:space="0" w:color="auto"/>
              <w:right w:val="single" w:sz="4" w:space="0" w:color="auto"/>
            </w:tcBorders>
            <w:shd w:val="clear" w:color="auto" w:fill="auto"/>
            <w:noWrap/>
            <w:vAlign w:val="bottom"/>
            <w:hideMark/>
          </w:tcPr>
          <w:p w14:paraId="715CCCE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0.771</w:t>
            </w:r>
          </w:p>
        </w:tc>
      </w:tr>
      <w:tr w:rsidR="00986C96" w:rsidRPr="00986C96" w14:paraId="0A4D519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5DFD1B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invlv_4</w:t>
            </w:r>
          </w:p>
        </w:tc>
        <w:tc>
          <w:tcPr>
            <w:tcW w:w="960" w:type="dxa"/>
            <w:tcBorders>
              <w:top w:val="nil"/>
              <w:left w:val="nil"/>
              <w:bottom w:val="single" w:sz="4" w:space="0" w:color="auto"/>
              <w:right w:val="single" w:sz="4" w:space="0" w:color="auto"/>
            </w:tcBorders>
            <w:shd w:val="clear" w:color="auto" w:fill="auto"/>
            <w:noWrap/>
            <w:vAlign w:val="bottom"/>
            <w:hideMark/>
          </w:tcPr>
          <w:p w14:paraId="567CD0C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0.851</w:t>
            </w:r>
          </w:p>
        </w:tc>
        <w:tc>
          <w:tcPr>
            <w:tcW w:w="960" w:type="dxa"/>
            <w:tcBorders>
              <w:top w:val="nil"/>
              <w:left w:val="nil"/>
              <w:bottom w:val="single" w:sz="4" w:space="0" w:color="auto"/>
              <w:right w:val="single" w:sz="4" w:space="0" w:color="auto"/>
            </w:tcBorders>
            <w:shd w:val="clear" w:color="auto" w:fill="auto"/>
            <w:noWrap/>
            <w:vAlign w:val="bottom"/>
            <w:hideMark/>
          </w:tcPr>
          <w:p w14:paraId="0D62AC8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0.862</w:t>
            </w:r>
          </w:p>
        </w:tc>
        <w:tc>
          <w:tcPr>
            <w:tcW w:w="960" w:type="dxa"/>
            <w:tcBorders>
              <w:top w:val="nil"/>
              <w:left w:val="nil"/>
              <w:bottom w:val="single" w:sz="4" w:space="0" w:color="auto"/>
              <w:right w:val="single" w:sz="4" w:space="0" w:color="auto"/>
            </w:tcBorders>
            <w:shd w:val="clear" w:color="auto" w:fill="auto"/>
            <w:noWrap/>
            <w:vAlign w:val="bottom"/>
            <w:hideMark/>
          </w:tcPr>
          <w:p w14:paraId="1D81740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0.844</w:t>
            </w:r>
          </w:p>
        </w:tc>
      </w:tr>
      <w:tr w:rsidR="00986C96" w:rsidRPr="00986C96" w14:paraId="1666D2DA"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33EE86A"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invlv_5</w:t>
            </w:r>
          </w:p>
        </w:tc>
        <w:tc>
          <w:tcPr>
            <w:tcW w:w="960" w:type="dxa"/>
            <w:tcBorders>
              <w:top w:val="nil"/>
              <w:left w:val="nil"/>
              <w:bottom w:val="single" w:sz="4" w:space="0" w:color="auto"/>
              <w:right w:val="single" w:sz="4" w:space="0" w:color="auto"/>
            </w:tcBorders>
            <w:shd w:val="clear" w:color="auto" w:fill="auto"/>
            <w:noWrap/>
            <w:vAlign w:val="bottom"/>
            <w:hideMark/>
          </w:tcPr>
          <w:p w14:paraId="2F6701F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0.846</w:t>
            </w:r>
          </w:p>
        </w:tc>
        <w:tc>
          <w:tcPr>
            <w:tcW w:w="960" w:type="dxa"/>
            <w:tcBorders>
              <w:top w:val="nil"/>
              <w:left w:val="nil"/>
              <w:bottom w:val="single" w:sz="4" w:space="0" w:color="auto"/>
              <w:right w:val="single" w:sz="4" w:space="0" w:color="auto"/>
            </w:tcBorders>
            <w:shd w:val="clear" w:color="auto" w:fill="auto"/>
            <w:noWrap/>
            <w:vAlign w:val="bottom"/>
            <w:hideMark/>
          </w:tcPr>
          <w:p w14:paraId="1DC2A02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0.859</w:t>
            </w:r>
          </w:p>
        </w:tc>
        <w:tc>
          <w:tcPr>
            <w:tcW w:w="960" w:type="dxa"/>
            <w:tcBorders>
              <w:top w:val="nil"/>
              <w:left w:val="nil"/>
              <w:bottom w:val="single" w:sz="4" w:space="0" w:color="auto"/>
              <w:right w:val="single" w:sz="4" w:space="0" w:color="auto"/>
            </w:tcBorders>
            <w:shd w:val="clear" w:color="auto" w:fill="auto"/>
            <w:noWrap/>
            <w:vAlign w:val="bottom"/>
            <w:hideMark/>
          </w:tcPr>
          <w:p w14:paraId="4E866F4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0.831</w:t>
            </w:r>
          </w:p>
        </w:tc>
      </w:tr>
      <w:tr w:rsidR="00986C96" w:rsidRPr="00986C96" w14:paraId="6B46572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B3BE8E"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invlv_6</w:t>
            </w:r>
          </w:p>
        </w:tc>
        <w:tc>
          <w:tcPr>
            <w:tcW w:w="960" w:type="dxa"/>
            <w:tcBorders>
              <w:top w:val="nil"/>
              <w:left w:val="nil"/>
              <w:bottom w:val="single" w:sz="4" w:space="0" w:color="auto"/>
              <w:right w:val="single" w:sz="4" w:space="0" w:color="auto"/>
            </w:tcBorders>
            <w:shd w:val="clear" w:color="auto" w:fill="auto"/>
            <w:noWrap/>
            <w:vAlign w:val="bottom"/>
            <w:hideMark/>
          </w:tcPr>
          <w:p w14:paraId="67A1FA6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0.787</w:t>
            </w:r>
          </w:p>
        </w:tc>
        <w:tc>
          <w:tcPr>
            <w:tcW w:w="960" w:type="dxa"/>
            <w:tcBorders>
              <w:top w:val="nil"/>
              <w:left w:val="nil"/>
              <w:bottom w:val="single" w:sz="4" w:space="0" w:color="auto"/>
              <w:right w:val="single" w:sz="4" w:space="0" w:color="auto"/>
            </w:tcBorders>
            <w:shd w:val="clear" w:color="auto" w:fill="auto"/>
            <w:noWrap/>
            <w:vAlign w:val="bottom"/>
            <w:hideMark/>
          </w:tcPr>
          <w:p w14:paraId="4C0FBFF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0.779</w:t>
            </w:r>
          </w:p>
        </w:tc>
        <w:tc>
          <w:tcPr>
            <w:tcW w:w="960" w:type="dxa"/>
            <w:tcBorders>
              <w:top w:val="nil"/>
              <w:left w:val="nil"/>
              <w:bottom w:val="single" w:sz="4" w:space="0" w:color="auto"/>
              <w:right w:val="single" w:sz="4" w:space="0" w:color="auto"/>
            </w:tcBorders>
            <w:shd w:val="clear" w:color="auto" w:fill="auto"/>
            <w:noWrap/>
            <w:vAlign w:val="bottom"/>
            <w:hideMark/>
          </w:tcPr>
          <w:p w14:paraId="1345792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0.801</w:t>
            </w:r>
          </w:p>
        </w:tc>
      </w:tr>
      <w:tr w:rsidR="00986C96" w:rsidRPr="00986C96" w14:paraId="3F45CB1A"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8AB95B"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invlv_7</w:t>
            </w:r>
          </w:p>
        </w:tc>
        <w:tc>
          <w:tcPr>
            <w:tcW w:w="960" w:type="dxa"/>
            <w:tcBorders>
              <w:top w:val="nil"/>
              <w:left w:val="nil"/>
              <w:bottom w:val="single" w:sz="4" w:space="0" w:color="auto"/>
              <w:right w:val="single" w:sz="4" w:space="0" w:color="auto"/>
            </w:tcBorders>
            <w:shd w:val="clear" w:color="auto" w:fill="auto"/>
            <w:noWrap/>
            <w:vAlign w:val="bottom"/>
            <w:hideMark/>
          </w:tcPr>
          <w:p w14:paraId="58F59C7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0.786</w:t>
            </w:r>
          </w:p>
        </w:tc>
        <w:tc>
          <w:tcPr>
            <w:tcW w:w="960" w:type="dxa"/>
            <w:tcBorders>
              <w:top w:val="nil"/>
              <w:left w:val="nil"/>
              <w:bottom w:val="single" w:sz="4" w:space="0" w:color="auto"/>
              <w:right w:val="single" w:sz="4" w:space="0" w:color="auto"/>
            </w:tcBorders>
            <w:shd w:val="clear" w:color="auto" w:fill="auto"/>
            <w:noWrap/>
            <w:vAlign w:val="bottom"/>
            <w:hideMark/>
          </w:tcPr>
          <w:p w14:paraId="61807B3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0.74</w:t>
            </w:r>
          </w:p>
        </w:tc>
        <w:tc>
          <w:tcPr>
            <w:tcW w:w="960" w:type="dxa"/>
            <w:tcBorders>
              <w:top w:val="nil"/>
              <w:left w:val="nil"/>
              <w:bottom w:val="single" w:sz="4" w:space="0" w:color="auto"/>
              <w:right w:val="single" w:sz="4" w:space="0" w:color="auto"/>
            </w:tcBorders>
            <w:shd w:val="clear" w:color="auto" w:fill="auto"/>
            <w:noWrap/>
            <w:vAlign w:val="bottom"/>
            <w:hideMark/>
          </w:tcPr>
          <w:p w14:paraId="1903BBB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0.839</w:t>
            </w:r>
          </w:p>
        </w:tc>
      </w:tr>
      <w:tr w:rsidR="00986C96" w:rsidRPr="00986C96" w14:paraId="29D6FBE5"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8D79F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invlv_8</w:t>
            </w:r>
          </w:p>
        </w:tc>
        <w:tc>
          <w:tcPr>
            <w:tcW w:w="960" w:type="dxa"/>
            <w:tcBorders>
              <w:top w:val="nil"/>
              <w:left w:val="nil"/>
              <w:bottom w:val="single" w:sz="4" w:space="0" w:color="auto"/>
              <w:right w:val="single" w:sz="4" w:space="0" w:color="auto"/>
            </w:tcBorders>
            <w:shd w:val="clear" w:color="auto" w:fill="auto"/>
            <w:noWrap/>
            <w:vAlign w:val="bottom"/>
            <w:hideMark/>
          </w:tcPr>
          <w:p w14:paraId="158BCFB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0.817</w:t>
            </w:r>
          </w:p>
        </w:tc>
        <w:tc>
          <w:tcPr>
            <w:tcW w:w="960" w:type="dxa"/>
            <w:tcBorders>
              <w:top w:val="nil"/>
              <w:left w:val="nil"/>
              <w:bottom w:val="single" w:sz="4" w:space="0" w:color="auto"/>
              <w:right w:val="single" w:sz="4" w:space="0" w:color="auto"/>
            </w:tcBorders>
            <w:shd w:val="clear" w:color="auto" w:fill="auto"/>
            <w:noWrap/>
            <w:vAlign w:val="bottom"/>
            <w:hideMark/>
          </w:tcPr>
          <w:p w14:paraId="2FAB9B8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0.829</w:t>
            </w:r>
          </w:p>
        </w:tc>
        <w:tc>
          <w:tcPr>
            <w:tcW w:w="960" w:type="dxa"/>
            <w:tcBorders>
              <w:top w:val="nil"/>
              <w:left w:val="nil"/>
              <w:bottom w:val="single" w:sz="4" w:space="0" w:color="auto"/>
              <w:right w:val="single" w:sz="4" w:space="0" w:color="auto"/>
            </w:tcBorders>
            <w:shd w:val="clear" w:color="auto" w:fill="auto"/>
            <w:noWrap/>
            <w:vAlign w:val="bottom"/>
            <w:hideMark/>
          </w:tcPr>
          <w:p w14:paraId="657A8F4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0.807</w:t>
            </w:r>
          </w:p>
        </w:tc>
      </w:tr>
      <w:tr w:rsidR="00986C96" w:rsidRPr="00986C96" w14:paraId="624702B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78A520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invlv_9</w:t>
            </w:r>
          </w:p>
        </w:tc>
        <w:tc>
          <w:tcPr>
            <w:tcW w:w="960" w:type="dxa"/>
            <w:tcBorders>
              <w:top w:val="nil"/>
              <w:left w:val="nil"/>
              <w:bottom w:val="single" w:sz="4" w:space="0" w:color="auto"/>
              <w:right w:val="single" w:sz="4" w:space="0" w:color="auto"/>
            </w:tcBorders>
            <w:shd w:val="clear" w:color="auto" w:fill="auto"/>
            <w:noWrap/>
            <w:vAlign w:val="bottom"/>
            <w:hideMark/>
          </w:tcPr>
          <w:p w14:paraId="5079246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0.781</w:t>
            </w:r>
          </w:p>
        </w:tc>
        <w:tc>
          <w:tcPr>
            <w:tcW w:w="960" w:type="dxa"/>
            <w:tcBorders>
              <w:top w:val="nil"/>
              <w:left w:val="nil"/>
              <w:bottom w:val="single" w:sz="4" w:space="0" w:color="auto"/>
              <w:right w:val="single" w:sz="4" w:space="0" w:color="auto"/>
            </w:tcBorders>
            <w:shd w:val="clear" w:color="auto" w:fill="auto"/>
            <w:noWrap/>
            <w:vAlign w:val="bottom"/>
            <w:hideMark/>
          </w:tcPr>
          <w:p w14:paraId="5276E2D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0.794</w:t>
            </w:r>
          </w:p>
        </w:tc>
        <w:tc>
          <w:tcPr>
            <w:tcW w:w="960" w:type="dxa"/>
            <w:tcBorders>
              <w:top w:val="nil"/>
              <w:left w:val="nil"/>
              <w:bottom w:val="single" w:sz="4" w:space="0" w:color="auto"/>
              <w:right w:val="single" w:sz="4" w:space="0" w:color="auto"/>
            </w:tcBorders>
            <w:shd w:val="clear" w:color="auto" w:fill="auto"/>
            <w:noWrap/>
            <w:vAlign w:val="bottom"/>
            <w:hideMark/>
          </w:tcPr>
          <w:p w14:paraId="35E9B81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0.765</w:t>
            </w:r>
          </w:p>
        </w:tc>
      </w:tr>
      <w:tr w:rsidR="00986C96" w:rsidRPr="00986C96" w14:paraId="219A93B7"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41376C"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invlv_10</w:t>
            </w:r>
          </w:p>
        </w:tc>
        <w:tc>
          <w:tcPr>
            <w:tcW w:w="960" w:type="dxa"/>
            <w:tcBorders>
              <w:top w:val="nil"/>
              <w:left w:val="nil"/>
              <w:bottom w:val="single" w:sz="4" w:space="0" w:color="auto"/>
              <w:right w:val="single" w:sz="4" w:space="0" w:color="auto"/>
            </w:tcBorders>
            <w:shd w:val="clear" w:color="auto" w:fill="auto"/>
            <w:noWrap/>
            <w:vAlign w:val="bottom"/>
            <w:hideMark/>
          </w:tcPr>
          <w:p w14:paraId="35F8028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0.818</w:t>
            </w:r>
          </w:p>
        </w:tc>
        <w:tc>
          <w:tcPr>
            <w:tcW w:w="960" w:type="dxa"/>
            <w:tcBorders>
              <w:top w:val="nil"/>
              <w:left w:val="nil"/>
              <w:bottom w:val="single" w:sz="4" w:space="0" w:color="auto"/>
              <w:right w:val="single" w:sz="4" w:space="0" w:color="auto"/>
            </w:tcBorders>
            <w:shd w:val="clear" w:color="auto" w:fill="auto"/>
            <w:noWrap/>
            <w:vAlign w:val="bottom"/>
            <w:hideMark/>
          </w:tcPr>
          <w:p w14:paraId="0684C14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0.818</w:t>
            </w:r>
          </w:p>
        </w:tc>
        <w:tc>
          <w:tcPr>
            <w:tcW w:w="960" w:type="dxa"/>
            <w:tcBorders>
              <w:top w:val="nil"/>
              <w:left w:val="nil"/>
              <w:bottom w:val="single" w:sz="4" w:space="0" w:color="auto"/>
              <w:right w:val="single" w:sz="4" w:space="0" w:color="auto"/>
            </w:tcBorders>
            <w:shd w:val="clear" w:color="auto" w:fill="auto"/>
            <w:noWrap/>
            <w:vAlign w:val="bottom"/>
            <w:hideMark/>
          </w:tcPr>
          <w:p w14:paraId="2DF8171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0.817</w:t>
            </w:r>
          </w:p>
        </w:tc>
      </w:tr>
      <w:tr w:rsidR="00986C96" w:rsidRPr="00986C96" w14:paraId="5A71829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219C7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SCV_image_1</w:t>
            </w:r>
          </w:p>
        </w:tc>
        <w:tc>
          <w:tcPr>
            <w:tcW w:w="960" w:type="dxa"/>
            <w:tcBorders>
              <w:top w:val="nil"/>
              <w:left w:val="nil"/>
              <w:bottom w:val="single" w:sz="4" w:space="0" w:color="auto"/>
              <w:right w:val="single" w:sz="4" w:space="0" w:color="auto"/>
            </w:tcBorders>
            <w:shd w:val="clear" w:color="auto" w:fill="auto"/>
            <w:noWrap/>
            <w:vAlign w:val="bottom"/>
            <w:hideMark/>
          </w:tcPr>
          <w:p w14:paraId="1E7C319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0.868</w:t>
            </w:r>
          </w:p>
        </w:tc>
        <w:tc>
          <w:tcPr>
            <w:tcW w:w="960" w:type="dxa"/>
            <w:tcBorders>
              <w:top w:val="nil"/>
              <w:left w:val="nil"/>
              <w:bottom w:val="single" w:sz="4" w:space="0" w:color="auto"/>
              <w:right w:val="single" w:sz="4" w:space="0" w:color="auto"/>
            </w:tcBorders>
            <w:shd w:val="clear" w:color="auto" w:fill="auto"/>
            <w:noWrap/>
            <w:vAlign w:val="bottom"/>
            <w:hideMark/>
          </w:tcPr>
          <w:p w14:paraId="1D861AD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0.864</w:t>
            </w:r>
          </w:p>
        </w:tc>
        <w:tc>
          <w:tcPr>
            <w:tcW w:w="960" w:type="dxa"/>
            <w:tcBorders>
              <w:top w:val="nil"/>
              <w:left w:val="nil"/>
              <w:bottom w:val="single" w:sz="4" w:space="0" w:color="auto"/>
              <w:right w:val="single" w:sz="4" w:space="0" w:color="auto"/>
            </w:tcBorders>
            <w:shd w:val="clear" w:color="auto" w:fill="auto"/>
            <w:noWrap/>
            <w:vAlign w:val="bottom"/>
            <w:hideMark/>
          </w:tcPr>
          <w:p w14:paraId="3CC1309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0.878</w:t>
            </w:r>
          </w:p>
        </w:tc>
      </w:tr>
      <w:tr w:rsidR="00986C96" w:rsidRPr="00986C96" w14:paraId="254FEEE6"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ACD3F8"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SCV_image_2</w:t>
            </w:r>
          </w:p>
        </w:tc>
        <w:tc>
          <w:tcPr>
            <w:tcW w:w="960" w:type="dxa"/>
            <w:tcBorders>
              <w:top w:val="nil"/>
              <w:left w:val="nil"/>
              <w:bottom w:val="single" w:sz="4" w:space="0" w:color="auto"/>
              <w:right w:val="single" w:sz="4" w:space="0" w:color="auto"/>
            </w:tcBorders>
            <w:shd w:val="clear" w:color="auto" w:fill="auto"/>
            <w:noWrap/>
            <w:vAlign w:val="bottom"/>
            <w:hideMark/>
          </w:tcPr>
          <w:p w14:paraId="344CB28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0.911</w:t>
            </w:r>
          </w:p>
        </w:tc>
        <w:tc>
          <w:tcPr>
            <w:tcW w:w="960" w:type="dxa"/>
            <w:tcBorders>
              <w:top w:val="nil"/>
              <w:left w:val="nil"/>
              <w:bottom w:val="single" w:sz="4" w:space="0" w:color="auto"/>
              <w:right w:val="single" w:sz="4" w:space="0" w:color="auto"/>
            </w:tcBorders>
            <w:shd w:val="clear" w:color="auto" w:fill="auto"/>
            <w:noWrap/>
            <w:vAlign w:val="bottom"/>
            <w:hideMark/>
          </w:tcPr>
          <w:p w14:paraId="7D68B76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0.904</w:t>
            </w:r>
          </w:p>
        </w:tc>
        <w:tc>
          <w:tcPr>
            <w:tcW w:w="960" w:type="dxa"/>
            <w:tcBorders>
              <w:top w:val="nil"/>
              <w:left w:val="nil"/>
              <w:bottom w:val="single" w:sz="4" w:space="0" w:color="auto"/>
              <w:right w:val="single" w:sz="4" w:space="0" w:color="auto"/>
            </w:tcBorders>
            <w:shd w:val="clear" w:color="auto" w:fill="auto"/>
            <w:noWrap/>
            <w:vAlign w:val="bottom"/>
            <w:hideMark/>
          </w:tcPr>
          <w:p w14:paraId="3551FC7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w:t>
            </w:r>
          </w:p>
        </w:tc>
      </w:tr>
      <w:tr w:rsidR="00986C96" w:rsidRPr="00986C96" w14:paraId="0E061C2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8CBCD5"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SCV_image_3</w:t>
            </w:r>
          </w:p>
        </w:tc>
        <w:tc>
          <w:tcPr>
            <w:tcW w:w="960" w:type="dxa"/>
            <w:tcBorders>
              <w:top w:val="nil"/>
              <w:left w:val="nil"/>
              <w:bottom w:val="single" w:sz="4" w:space="0" w:color="auto"/>
              <w:right w:val="single" w:sz="4" w:space="0" w:color="auto"/>
            </w:tcBorders>
            <w:shd w:val="clear" w:color="auto" w:fill="auto"/>
            <w:noWrap/>
            <w:vAlign w:val="bottom"/>
            <w:hideMark/>
          </w:tcPr>
          <w:p w14:paraId="6034F19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0.911</w:t>
            </w:r>
          </w:p>
        </w:tc>
        <w:tc>
          <w:tcPr>
            <w:tcW w:w="960" w:type="dxa"/>
            <w:tcBorders>
              <w:top w:val="nil"/>
              <w:left w:val="nil"/>
              <w:bottom w:val="single" w:sz="4" w:space="0" w:color="auto"/>
              <w:right w:val="single" w:sz="4" w:space="0" w:color="auto"/>
            </w:tcBorders>
            <w:shd w:val="clear" w:color="auto" w:fill="auto"/>
            <w:noWrap/>
            <w:vAlign w:val="bottom"/>
            <w:hideMark/>
          </w:tcPr>
          <w:p w14:paraId="6A25599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0.898</w:t>
            </w:r>
          </w:p>
        </w:tc>
        <w:tc>
          <w:tcPr>
            <w:tcW w:w="960" w:type="dxa"/>
            <w:tcBorders>
              <w:top w:val="nil"/>
              <w:left w:val="nil"/>
              <w:bottom w:val="single" w:sz="4" w:space="0" w:color="auto"/>
              <w:right w:val="single" w:sz="4" w:space="0" w:color="auto"/>
            </w:tcBorders>
            <w:shd w:val="clear" w:color="auto" w:fill="auto"/>
            <w:noWrap/>
            <w:vAlign w:val="bottom"/>
            <w:hideMark/>
          </w:tcPr>
          <w:p w14:paraId="35EADBF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0.926</w:t>
            </w:r>
          </w:p>
        </w:tc>
      </w:tr>
      <w:tr w:rsidR="00986C96" w:rsidRPr="00986C96" w14:paraId="5149E9D4"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71DFB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SCV_image_4</w:t>
            </w:r>
          </w:p>
        </w:tc>
        <w:tc>
          <w:tcPr>
            <w:tcW w:w="960" w:type="dxa"/>
            <w:tcBorders>
              <w:top w:val="nil"/>
              <w:left w:val="nil"/>
              <w:bottom w:val="single" w:sz="4" w:space="0" w:color="auto"/>
              <w:right w:val="single" w:sz="4" w:space="0" w:color="auto"/>
            </w:tcBorders>
            <w:shd w:val="clear" w:color="auto" w:fill="auto"/>
            <w:noWrap/>
            <w:vAlign w:val="bottom"/>
            <w:hideMark/>
          </w:tcPr>
          <w:p w14:paraId="7A9FBB5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0.911</w:t>
            </w:r>
          </w:p>
        </w:tc>
        <w:tc>
          <w:tcPr>
            <w:tcW w:w="960" w:type="dxa"/>
            <w:tcBorders>
              <w:top w:val="nil"/>
              <w:left w:val="nil"/>
              <w:bottom w:val="single" w:sz="4" w:space="0" w:color="auto"/>
              <w:right w:val="single" w:sz="4" w:space="0" w:color="auto"/>
            </w:tcBorders>
            <w:shd w:val="clear" w:color="auto" w:fill="auto"/>
            <w:noWrap/>
            <w:vAlign w:val="bottom"/>
            <w:hideMark/>
          </w:tcPr>
          <w:p w14:paraId="5CE2758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0.902</w:t>
            </w:r>
          </w:p>
        </w:tc>
        <w:tc>
          <w:tcPr>
            <w:tcW w:w="960" w:type="dxa"/>
            <w:tcBorders>
              <w:top w:val="nil"/>
              <w:left w:val="nil"/>
              <w:bottom w:val="single" w:sz="4" w:space="0" w:color="auto"/>
              <w:right w:val="single" w:sz="4" w:space="0" w:color="auto"/>
            </w:tcBorders>
            <w:shd w:val="clear" w:color="auto" w:fill="auto"/>
            <w:noWrap/>
            <w:vAlign w:val="bottom"/>
            <w:hideMark/>
          </w:tcPr>
          <w:p w14:paraId="76C3D18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0.922</w:t>
            </w:r>
          </w:p>
        </w:tc>
      </w:tr>
      <w:tr w:rsidR="00986C96" w:rsidRPr="00986C96" w14:paraId="66E57500"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9C567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SCVengrossment_1</w:t>
            </w:r>
          </w:p>
        </w:tc>
        <w:tc>
          <w:tcPr>
            <w:tcW w:w="960" w:type="dxa"/>
            <w:tcBorders>
              <w:top w:val="nil"/>
              <w:left w:val="nil"/>
              <w:bottom w:val="single" w:sz="4" w:space="0" w:color="auto"/>
              <w:right w:val="single" w:sz="4" w:space="0" w:color="auto"/>
            </w:tcBorders>
            <w:shd w:val="clear" w:color="auto" w:fill="auto"/>
            <w:noWrap/>
            <w:vAlign w:val="bottom"/>
            <w:hideMark/>
          </w:tcPr>
          <w:p w14:paraId="57ACDA2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0.751</w:t>
            </w:r>
          </w:p>
        </w:tc>
        <w:tc>
          <w:tcPr>
            <w:tcW w:w="960" w:type="dxa"/>
            <w:tcBorders>
              <w:top w:val="nil"/>
              <w:left w:val="nil"/>
              <w:bottom w:val="single" w:sz="4" w:space="0" w:color="auto"/>
              <w:right w:val="single" w:sz="4" w:space="0" w:color="auto"/>
            </w:tcBorders>
            <w:shd w:val="clear" w:color="auto" w:fill="auto"/>
            <w:noWrap/>
            <w:vAlign w:val="bottom"/>
            <w:hideMark/>
          </w:tcPr>
          <w:p w14:paraId="1D3A17B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0.808</w:t>
            </w:r>
          </w:p>
        </w:tc>
        <w:tc>
          <w:tcPr>
            <w:tcW w:w="960" w:type="dxa"/>
            <w:tcBorders>
              <w:top w:val="nil"/>
              <w:left w:val="nil"/>
              <w:bottom w:val="single" w:sz="4" w:space="0" w:color="auto"/>
              <w:right w:val="single" w:sz="4" w:space="0" w:color="auto"/>
            </w:tcBorders>
            <w:shd w:val="clear" w:color="auto" w:fill="auto"/>
            <w:noWrap/>
            <w:vAlign w:val="bottom"/>
            <w:hideMark/>
          </w:tcPr>
          <w:p w14:paraId="58AC592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0.638</w:t>
            </w:r>
          </w:p>
        </w:tc>
      </w:tr>
      <w:tr w:rsidR="00986C96" w:rsidRPr="00986C96" w14:paraId="404C9483"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BC66B8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SCVengrossment_2</w:t>
            </w:r>
          </w:p>
        </w:tc>
        <w:tc>
          <w:tcPr>
            <w:tcW w:w="960" w:type="dxa"/>
            <w:tcBorders>
              <w:top w:val="nil"/>
              <w:left w:val="nil"/>
              <w:bottom w:val="single" w:sz="4" w:space="0" w:color="auto"/>
              <w:right w:val="single" w:sz="4" w:space="0" w:color="auto"/>
            </w:tcBorders>
            <w:shd w:val="clear" w:color="auto" w:fill="auto"/>
            <w:noWrap/>
            <w:vAlign w:val="bottom"/>
            <w:hideMark/>
          </w:tcPr>
          <w:p w14:paraId="5618BEF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0.796</w:t>
            </w:r>
          </w:p>
        </w:tc>
        <w:tc>
          <w:tcPr>
            <w:tcW w:w="960" w:type="dxa"/>
            <w:tcBorders>
              <w:top w:val="nil"/>
              <w:left w:val="nil"/>
              <w:bottom w:val="single" w:sz="4" w:space="0" w:color="auto"/>
              <w:right w:val="single" w:sz="4" w:space="0" w:color="auto"/>
            </w:tcBorders>
            <w:shd w:val="clear" w:color="auto" w:fill="auto"/>
            <w:noWrap/>
            <w:vAlign w:val="bottom"/>
            <w:hideMark/>
          </w:tcPr>
          <w:p w14:paraId="0E61D84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0.785</w:t>
            </w:r>
          </w:p>
        </w:tc>
        <w:tc>
          <w:tcPr>
            <w:tcW w:w="960" w:type="dxa"/>
            <w:tcBorders>
              <w:top w:val="nil"/>
              <w:left w:val="nil"/>
              <w:bottom w:val="single" w:sz="4" w:space="0" w:color="auto"/>
              <w:right w:val="single" w:sz="4" w:space="0" w:color="auto"/>
            </w:tcBorders>
            <w:shd w:val="clear" w:color="auto" w:fill="auto"/>
            <w:noWrap/>
            <w:vAlign w:val="bottom"/>
            <w:hideMark/>
          </w:tcPr>
          <w:p w14:paraId="5AB3D70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0.816</w:t>
            </w:r>
          </w:p>
        </w:tc>
      </w:tr>
      <w:tr w:rsidR="00986C96" w:rsidRPr="00986C96" w14:paraId="57DC75A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4EA3A2F"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SCVengrossment_3</w:t>
            </w:r>
          </w:p>
        </w:tc>
        <w:tc>
          <w:tcPr>
            <w:tcW w:w="960" w:type="dxa"/>
            <w:tcBorders>
              <w:top w:val="nil"/>
              <w:left w:val="nil"/>
              <w:bottom w:val="single" w:sz="4" w:space="0" w:color="auto"/>
              <w:right w:val="single" w:sz="4" w:space="0" w:color="auto"/>
            </w:tcBorders>
            <w:shd w:val="clear" w:color="auto" w:fill="auto"/>
            <w:noWrap/>
            <w:vAlign w:val="bottom"/>
            <w:hideMark/>
          </w:tcPr>
          <w:p w14:paraId="38C6F9B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0.876</w:t>
            </w:r>
          </w:p>
        </w:tc>
        <w:tc>
          <w:tcPr>
            <w:tcW w:w="960" w:type="dxa"/>
            <w:tcBorders>
              <w:top w:val="nil"/>
              <w:left w:val="nil"/>
              <w:bottom w:val="single" w:sz="4" w:space="0" w:color="auto"/>
              <w:right w:val="single" w:sz="4" w:space="0" w:color="auto"/>
            </w:tcBorders>
            <w:shd w:val="clear" w:color="auto" w:fill="auto"/>
            <w:noWrap/>
            <w:vAlign w:val="bottom"/>
            <w:hideMark/>
          </w:tcPr>
          <w:p w14:paraId="44659BE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0.873</w:t>
            </w:r>
          </w:p>
        </w:tc>
        <w:tc>
          <w:tcPr>
            <w:tcW w:w="960" w:type="dxa"/>
            <w:tcBorders>
              <w:top w:val="nil"/>
              <w:left w:val="nil"/>
              <w:bottom w:val="single" w:sz="4" w:space="0" w:color="auto"/>
              <w:right w:val="single" w:sz="4" w:space="0" w:color="auto"/>
            </w:tcBorders>
            <w:shd w:val="clear" w:color="auto" w:fill="auto"/>
            <w:noWrap/>
            <w:vAlign w:val="bottom"/>
            <w:hideMark/>
          </w:tcPr>
          <w:p w14:paraId="091A7A8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0.883</w:t>
            </w:r>
          </w:p>
        </w:tc>
      </w:tr>
      <w:tr w:rsidR="00986C96" w:rsidRPr="00986C96" w14:paraId="3648B41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9B2A6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SCVengrossment_4</w:t>
            </w:r>
          </w:p>
        </w:tc>
        <w:tc>
          <w:tcPr>
            <w:tcW w:w="960" w:type="dxa"/>
            <w:tcBorders>
              <w:top w:val="nil"/>
              <w:left w:val="nil"/>
              <w:bottom w:val="single" w:sz="4" w:space="0" w:color="auto"/>
              <w:right w:val="single" w:sz="4" w:space="0" w:color="auto"/>
            </w:tcBorders>
            <w:shd w:val="clear" w:color="auto" w:fill="auto"/>
            <w:noWrap/>
            <w:vAlign w:val="bottom"/>
            <w:hideMark/>
          </w:tcPr>
          <w:p w14:paraId="3EB60F2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w:t>
            </w:r>
          </w:p>
        </w:tc>
        <w:tc>
          <w:tcPr>
            <w:tcW w:w="960" w:type="dxa"/>
            <w:tcBorders>
              <w:top w:val="nil"/>
              <w:left w:val="nil"/>
              <w:bottom w:val="single" w:sz="4" w:space="0" w:color="auto"/>
              <w:right w:val="single" w:sz="4" w:space="0" w:color="auto"/>
            </w:tcBorders>
            <w:shd w:val="clear" w:color="auto" w:fill="auto"/>
            <w:noWrap/>
            <w:vAlign w:val="bottom"/>
            <w:hideMark/>
          </w:tcPr>
          <w:p w14:paraId="69710AC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0.848</w:t>
            </w:r>
          </w:p>
        </w:tc>
        <w:tc>
          <w:tcPr>
            <w:tcW w:w="960" w:type="dxa"/>
            <w:tcBorders>
              <w:top w:val="nil"/>
              <w:left w:val="nil"/>
              <w:bottom w:val="single" w:sz="4" w:space="0" w:color="auto"/>
              <w:right w:val="single" w:sz="4" w:space="0" w:color="auto"/>
            </w:tcBorders>
            <w:shd w:val="clear" w:color="auto" w:fill="auto"/>
            <w:noWrap/>
            <w:vAlign w:val="bottom"/>
            <w:hideMark/>
          </w:tcPr>
          <w:p w14:paraId="30B8A2C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w:t>
            </w:r>
          </w:p>
        </w:tc>
      </w:tr>
      <w:tr w:rsidR="00986C96" w:rsidRPr="00986C96" w14:paraId="335B87BB"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E326287"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SCV_self_projection_1</w:t>
            </w:r>
          </w:p>
        </w:tc>
        <w:tc>
          <w:tcPr>
            <w:tcW w:w="960" w:type="dxa"/>
            <w:tcBorders>
              <w:top w:val="nil"/>
              <w:left w:val="nil"/>
              <w:bottom w:val="single" w:sz="4" w:space="0" w:color="auto"/>
              <w:right w:val="single" w:sz="4" w:space="0" w:color="auto"/>
            </w:tcBorders>
            <w:shd w:val="clear" w:color="auto" w:fill="auto"/>
            <w:noWrap/>
            <w:vAlign w:val="bottom"/>
            <w:hideMark/>
          </w:tcPr>
          <w:p w14:paraId="0DFA8C0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0.773</w:t>
            </w:r>
          </w:p>
        </w:tc>
        <w:tc>
          <w:tcPr>
            <w:tcW w:w="960" w:type="dxa"/>
            <w:tcBorders>
              <w:top w:val="nil"/>
              <w:left w:val="nil"/>
              <w:bottom w:val="single" w:sz="4" w:space="0" w:color="auto"/>
              <w:right w:val="single" w:sz="4" w:space="0" w:color="auto"/>
            </w:tcBorders>
            <w:shd w:val="clear" w:color="auto" w:fill="auto"/>
            <w:noWrap/>
            <w:vAlign w:val="bottom"/>
            <w:hideMark/>
          </w:tcPr>
          <w:p w14:paraId="5FDB41E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0.792</w:t>
            </w:r>
          </w:p>
        </w:tc>
        <w:tc>
          <w:tcPr>
            <w:tcW w:w="960" w:type="dxa"/>
            <w:tcBorders>
              <w:top w:val="nil"/>
              <w:left w:val="nil"/>
              <w:bottom w:val="single" w:sz="4" w:space="0" w:color="auto"/>
              <w:right w:val="single" w:sz="4" w:space="0" w:color="auto"/>
            </w:tcBorders>
            <w:shd w:val="clear" w:color="auto" w:fill="auto"/>
            <w:noWrap/>
            <w:vAlign w:val="bottom"/>
            <w:hideMark/>
          </w:tcPr>
          <w:p w14:paraId="797C5F2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0.759</w:t>
            </w:r>
          </w:p>
        </w:tc>
      </w:tr>
      <w:tr w:rsidR="00986C96" w:rsidRPr="00986C96" w14:paraId="2CB6DFF0"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72D0B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SCV_self_projection_2</w:t>
            </w:r>
          </w:p>
        </w:tc>
        <w:tc>
          <w:tcPr>
            <w:tcW w:w="960" w:type="dxa"/>
            <w:tcBorders>
              <w:top w:val="nil"/>
              <w:left w:val="nil"/>
              <w:bottom w:val="single" w:sz="4" w:space="0" w:color="auto"/>
              <w:right w:val="single" w:sz="4" w:space="0" w:color="auto"/>
            </w:tcBorders>
            <w:shd w:val="clear" w:color="auto" w:fill="auto"/>
            <w:noWrap/>
            <w:vAlign w:val="bottom"/>
            <w:hideMark/>
          </w:tcPr>
          <w:p w14:paraId="24BD2C9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0.775</w:t>
            </w:r>
          </w:p>
        </w:tc>
        <w:tc>
          <w:tcPr>
            <w:tcW w:w="960" w:type="dxa"/>
            <w:tcBorders>
              <w:top w:val="nil"/>
              <w:left w:val="nil"/>
              <w:bottom w:val="single" w:sz="4" w:space="0" w:color="auto"/>
              <w:right w:val="single" w:sz="4" w:space="0" w:color="auto"/>
            </w:tcBorders>
            <w:shd w:val="clear" w:color="auto" w:fill="auto"/>
            <w:noWrap/>
            <w:vAlign w:val="bottom"/>
            <w:hideMark/>
          </w:tcPr>
          <w:p w14:paraId="08651E6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0.781</w:t>
            </w:r>
          </w:p>
        </w:tc>
        <w:tc>
          <w:tcPr>
            <w:tcW w:w="960" w:type="dxa"/>
            <w:tcBorders>
              <w:top w:val="nil"/>
              <w:left w:val="nil"/>
              <w:bottom w:val="single" w:sz="4" w:space="0" w:color="auto"/>
              <w:right w:val="single" w:sz="4" w:space="0" w:color="auto"/>
            </w:tcBorders>
            <w:shd w:val="clear" w:color="auto" w:fill="auto"/>
            <w:noWrap/>
            <w:vAlign w:val="bottom"/>
            <w:hideMark/>
          </w:tcPr>
          <w:p w14:paraId="2A4B7AE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0.773</w:t>
            </w:r>
          </w:p>
        </w:tc>
      </w:tr>
      <w:tr w:rsidR="00986C96" w:rsidRPr="00986C96" w14:paraId="071EFBC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B9C2D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SCV_self_projection_3</w:t>
            </w:r>
          </w:p>
        </w:tc>
        <w:tc>
          <w:tcPr>
            <w:tcW w:w="960" w:type="dxa"/>
            <w:tcBorders>
              <w:top w:val="nil"/>
              <w:left w:val="nil"/>
              <w:bottom w:val="single" w:sz="4" w:space="0" w:color="auto"/>
              <w:right w:val="single" w:sz="4" w:space="0" w:color="auto"/>
            </w:tcBorders>
            <w:shd w:val="clear" w:color="auto" w:fill="auto"/>
            <w:noWrap/>
            <w:vAlign w:val="bottom"/>
            <w:hideMark/>
          </w:tcPr>
          <w:p w14:paraId="37759FD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0.877</w:t>
            </w:r>
          </w:p>
        </w:tc>
        <w:tc>
          <w:tcPr>
            <w:tcW w:w="960" w:type="dxa"/>
            <w:tcBorders>
              <w:top w:val="nil"/>
              <w:left w:val="nil"/>
              <w:bottom w:val="single" w:sz="4" w:space="0" w:color="auto"/>
              <w:right w:val="single" w:sz="4" w:space="0" w:color="auto"/>
            </w:tcBorders>
            <w:shd w:val="clear" w:color="auto" w:fill="auto"/>
            <w:noWrap/>
            <w:vAlign w:val="bottom"/>
            <w:hideMark/>
          </w:tcPr>
          <w:p w14:paraId="3681787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0.878</w:t>
            </w:r>
          </w:p>
        </w:tc>
        <w:tc>
          <w:tcPr>
            <w:tcW w:w="960" w:type="dxa"/>
            <w:tcBorders>
              <w:top w:val="nil"/>
              <w:left w:val="nil"/>
              <w:bottom w:val="single" w:sz="4" w:space="0" w:color="auto"/>
              <w:right w:val="single" w:sz="4" w:space="0" w:color="auto"/>
            </w:tcBorders>
            <w:shd w:val="clear" w:color="auto" w:fill="auto"/>
            <w:noWrap/>
            <w:vAlign w:val="bottom"/>
            <w:hideMark/>
          </w:tcPr>
          <w:p w14:paraId="1FF7F92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0.874</w:t>
            </w:r>
          </w:p>
        </w:tc>
      </w:tr>
      <w:tr w:rsidR="00986C96" w:rsidRPr="00986C96" w14:paraId="4CBDC826"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AAEDA1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SCV_self_projection_4</w:t>
            </w:r>
          </w:p>
        </w:tc>
        <w:tc>
          <w:tcPr>
            <w:tcW w:w="960" w:type="dxa"/>
            <w:tcBorders>
              <w:top w:val="nil"/>
              <w:left w:val="nil"/>
              <w:bottom w:val="single" w:sz="4" w:space="0" w:color="auto"/>
              <w:right w:val="single" w:sz="4" w:space="0" w:color="auto"/>
            </w:tcBorders>
            <w:shd w:val="clear" w:color="auto" w:fill="auto"/>
            <w:noWrap/>
            <w:vAlign w:val="bottom"/>
            <w:hideMark/>
          </w:tcPr>
          <w:p w14:paraId="30F260E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0.85</w:t>
            </w:r>
          </w:p>
        </w:tc>
        <w:tc>
          <w:tcPr>
            <w:tcW w:w="960" w:type="dxa"/>
            <w:tcBorders>
              <w:top w:val="nil"/>
              <w:left w:val="nil"/>
              <w:bottom w:val="single" w:sz="4" w:space="0" w:color="auto"/>
              <w:right w:val="single" w:sz="4" w:space="0" w:color="auto"/>
            </w:tcBorders>
            <w:shd w:val="clear" w:color="auto" w:fill="auto"/>
            <w:noWrap/>
            <w:vAlign w:val="bottom"/>
            <w:hideMark/>
          </w:tcPr>
          <w:p w14:paraId="5D7D4E7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0.847</w:t>
            </w:r>
          </w:p>
        </w:tc>
        <w:tc>
          <w:tcPr>
            <w:tcW w:w="960" w:type="dxa"/>
            <w:tcBorders>
              <w:top w:val="nil"/>
              <w:left w:val="nil"/>
              <w:bottom w:val="single" w:sz="4" w:space="0" w:color="auto"/>
              <w:right w:val="single" w:sz="4" w:space="0" w:color="auto"/>
            </w:tcBorders>
            <w:shd w:val="clear" w:color="auto" w:fill="auto"/>
            <w:noWrap/>
            <w:vAlign w:val="bottom"/>
            <w:hideMark/>
          </w:tcPr>
          <w:p w14:paraId="2B39354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0.855</w:t>
            </w:r>
          </w:p>
        </w:tc>
      </w:tr>
      <w:tr w:rsidR="00986C96" w:rsidRPr="00986C96" w14:paraId="5FDB9A3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B42E1A"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SCV_self_projection_5</w:t>
            </w:r>
          </w:p>
        </w:tc>
        <w:tc>
          <w:tcPr>
            <w:tcW w:w="960" w:type="dxa"/>
            <w:tcBorders>
              <w:top w:val="nil"/>
              <w:left w:val="nil"/>
              <w:bottom w:val="single" w:sz="4" w:space="0" w:color="auto"/>
              <w:right w:val="single" w:sz="4" w:space="0" w:color="auto"/>
            </w:tcBorders>
            <w:shd w:val="clear" w:color="auto" w:fill="auto"/>
            <w:noWrap/>
            <w:vAlign w:val="bottom"/>
            <w:hideMark/>
          </w:tcPr>
          <w:p w14:paraId="46595C2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w:t>
            </w:r>
          </w:p>
        </w:tc>
        <w:tc>
          <w:tcPr>
            <w:tcW w:w="960" w:type="dxa"/>
            <w:tcBorders>
              <w:top w:val="nil"/>
              <w:left w:val="nil"/>
              <w:bottom w:val="single" w:sz="4" w:space="0" w:color="auto"/>
              <w:right w:val="single" w:sz="4" w:space="0" w:color="auto"/>
            </w:tcBorders>
            <w:shd w:val="clear" w:color="auto" w:fill="auto"/>
            <w:noWrap/>
            <w:vAlign w:val="bottom"/>
            <w:hideMark/>
          </w:tcPr>
          <w:p w14:paraId="6D324E8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0.884</w:t>
            </w:r>
          </w:p>
        </w:tc>
        <w:tc>
          <w:tcPr>
            <w:tcW w:w="960" w:type="dxa"/>
            <w:tcBorders>
              <w:top w:val="nil"/>
              <w:left w:val="nil"/>
              <w:bottom w:val="single" w:sz="4" w:space="0" w:color="auto"/>
              <w:right w:val="single" w:sz="4" w:space="0" w:color="auto"/>
            </w:tcBorders>
            <w:shd w:val="clear" w:color="auto" w:fill="auto"/>
            <w:noWrap/>
            <w:vAlign w:val="bottom"/>
            <w:hideMark/>
          </w:tcPr>
          <w:p w14:paraId="3DFAF6D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0.874</w:t>
            </w:r>
          </w:p>
        </w:tc>
      </w:tr>
      <w:tr w:rsidR="00986C96" w:rsidRPr="00986C96" w14:paraId="73DFEED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B9596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SCV mental fluency</w:t>
            </w:r>
          </w:p>
        </w:tc>
        <w:tc>
          <w:tcPr>
            <w:tcW w:w="960" w:type="dxa"/>
            <w:tcBorders>
              <w:top w:val="nil"/>
              <w:left w:val="nil"/>
              <w:bottom w:val="single" w:sz="4" w:space="0" w:color="auto"/>
              <w:right w:val="single" w:sz="4" w:space="0" w:color="auto"/>
            </w:tcBorders>
            <w:shd w:val="clear" w:color="auto" w:fill="auto"/>
            <w:noWrap/>
            <w:vAlign w:val="bottom"/>
            <w:hideMark/>
          </w:tcPr>
          <w:p w14:paraId="0FA86BB7" w14:textId="6250C30C"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 </w:t>
            </w:r>
            <w:r>
              <w:rPr>
                <w:rFonts w:ascii="Calibri" w:eastAsia="Times New Roman" w:hAnsi="Calibri" w:cs="Calibri"/>
                <w:color w:val="000000"/>
                <w:lang w:eastAsia="en-GB"/>
              </w:rPr>
              <w:t>N/A</w:t>
            </w:r>
          </w:p>
        </w:tc>
        <w:tc>
          <w:tcPr>
            <w:tcW w:w="960" w:type="dxa"/>
            <w:tcBorders>
              <w:top w:val="nil"/>
              <w:left w:val="nil"/>
              <w:bottom w:val="single" w:sz="4" w:space="0" w:color="auto"/>
              <w:right w:val="single" w:sz="4" w:space="0" w:color="auto"/>
            </w:tcBorders>
            <w:shd w:val="clear" w:color="auto" w:fill="auto"/>
            <w:noWrap/>
            <w:vAlign w:val="bottom"/>
            <w:hideMark/>
          </w:tcPr>
          <w:p w14:paraId="4B38F909" w14:textId="2A64D822" w:rsidR="00986C96" w:rsidRPr="00986C96" w:rsidRDefault="00986C96" w:rsidP="00986C9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n/A</w:t>
            </w:r>
            <w:r w:rsidRPr="00986C96">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3B6B8E4" w14:textId="6AD422B2" w:rsidR="00986C96" w:rsidRPr="00986C96" w:rsidRDefault="00986C96" w:rsidP="00986C9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N/a</w:t>
            </w:r>
            <w:r w:rsidRPr="00986C96">
              <w:rPr>
                <w:rFonts w:ascii="Calibri" w:eastAsia="Times New Roman" w:hAnsi="Calibri" w:cs="Calibri"/>
                <w:color w:val="000000"/>
                <w:lang w:eastAsia="en-GB"/>
              </w:rPr>
              <w:t> </w:t>
            </w:r>
          </w:p>
        </w:tc>
      </w:tr>
      <w:tr w:rsidR="00986C96" w:rsidRPr="00986C96" w14:paraId="1B870FAD"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DBDE5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pleasure_1</w:t>
            </w:r>
          </w:p>
        </w:tc>
        <w:tc>
          <w:tcPr>
            <w:tcW w:w="960" w:type="dxa"/>
            <w:tcBorders>
              <w:top w:val="nil"/>
              <w:left w:val="nil"/>
              <w:bottom w:val="single" w:sz="4" w:space="0" w:color="auto"/>
              <w:right w:val="single" w:sz="4" w:space="0" w:color="auto"/>
            </w:tcBorders>
            <w:shd w:val="clear" w:color="auto" w:fill="auto"/>
            <w:noWrap/>
            <w:vAlign w:val="bottom"/>
            <w:hideMark/>
          </w:tcPr>
          <w:p w14:paraId="3DEE91A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0.882</w:t>
            </w:r>
          </w:p>
        </w:tc>
        <w:tc>
          <w:tcPr>
            <w:tcW w:w="960" w:type="dxa"/>
            <w:tcBorders>
              <w:top w:val="nil"/>
              <w:left w:val="nil"/>
              <w:bottom w:val="single" w:sz="4" w:space="0" w:color="auto"/>
              <w:right w:val="single" w:sz="4" w:space="0" w:color="auto"/>
            </w:tcBorders>
            <w:shd w:val="clear" w:color="auto" w:fill="auto"/>
            <w:noWrap/>
            <w:vAlign w:val="bottom"/>
            <w:hideMark/>
          </w:tcPr>
          <w:p w14:paraId="0456242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0.875</w:t>
            </w:r>
          </w:p>
        </w:tc>
        <w:tc>
          <w:tcPr>
            <w:tcW w:w="960" w:type="dxa"/>
            <w:tcBorders>
              <w:top w:val="nil"/>
              <w:left w:val="nil"/>
              <w:bottom w:val="single" w:sz="4" w:space="0" w:color="auto"/>
              <w:right w:val="single" w:sz="4" w:space="0" w:color="auto"/>
            </w:tcBorders>
            <w:shd w:val="clear" w:color="auto" w:fill="auto"/>
            <w:noWrap/>
            <w:vAlign w:val="bottom"/>
            <w:hideMark/>
          </w:tcPr>
          <w:p w14:paraId="77B5FBB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0.893</w:t>
            </w:r>
          </w:p>
        </w:tc>
      </w:tr>
      <w:tr w:rsidR="00986C96" w:rsidRPr="00986C96" w14:paraId="443E048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71122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pleasure_2</w:t>
            </w:r>
          </w:p>
        </w:tc>
        <w:tc>
          <w:tcPr>
            <w:tcW w:w="960" w:type="dxa"/>
            <w:tcBorders>
              <w:top w:val="nil"/>
              <w:left w:val="nil"/>
              <w:bottom w:val="single" w:sz="4" w:space="0" w:color="auto"/>
              <w:right w:val="single" w:sz="4" w:space="0" w:color="auto"/>
            </w:tcBorders>
            <w:shd w:val="clear" w:color="auto" w:fill="auto"/>
            <w:noWrap/>
            <w:vAlign w:val="bottom"/>
            <w:hideMark/>
          </w:tcPr>
          <w:p w14:paraId="37D12AE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0.893</w:t>
            </w:r>
          </w:p>
        </w:tc>
        <w:tc>
          <w:tcPr>
            <w:tcW w:w="960" w:type="dxa"/>
            <w:tcBorders>
              <w:top w:val="nil"/>
              <w:left w:val="nil"/>
              <w:bottom w:val="single" w:sz="4" w:space="0" w:color="auto"/>
              <w:right w:val="single" w:sz="4" w:space="0" w:color="auto"/>
            </w:tcBorders>
            <w:shd w:val="clear" w:color="auto" w:fill="auto"/>
            <w:noWrap/>
            <w:vAlign w:val="bottom"/>
            <w:hideMark/>
          </w:tcPr>
          <w:p w14:paraId="6E6761C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0.885</w:t>
            </w:r>
          </w:p>
        </w:tc>
        <w:tc>
          <w:tcPr>
            <w:tcW w:w="960" w:type="dxa"/>
            <w:tcBorders>
              <w:top w:val="nil"/>
              <w:left w:val="nil"/>
              <w:bottom w:val="single" w:sz="4" w:space="0" w:color="auto"/>
              <w:right w:val="single" w:sz="4" w:space="0" w:color="auto"/>
            </w:tcBorders>
            <w:shd w:val="clear" w:color="auto" w:fill="auto"/>
            <w:noWrap/>
            <w:vAlign w:val="bottom"/>
            <w:hideMark/>
          </w:tcPr>
          <w:p w14:paraId="0F1F70F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0.907</w:t>
            </w:r>
          </w:p>
        </w:tc>
      </w:tr>
      <w:tr w:rsidR="00986C96" w:rsidRPr="00986C96" w14:paraId="23E2449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419E58"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pleasure_3</w:t>
            </w:r>
          </w:p>
        </w:tc>
        <w:tc>
          <w:tcPr>
            <w:tcW w:w="960" w:type="dxa"/>
            <w:tcBorders>
              <w:top w:val="nil"/>
              <w:left w:val="nil"/>
              <w:bottom w:val="single" w:sz="4" w:space="0" w:color="auto"/>
              <w:right w:val="single" w:sz="4" w:space="0" w:color="auto"/>
            </w:tcBorders>
            <w:shd w:val="clear" w:color="auto" w:fill="auto"/>
            <w:noWrap/>
            <w:vAlign w:val="bottom"/>
            <w:hideMark/>
          </w:tcPr>
          <w:p w14:paraId="626458E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0.872</w:t>
            </w:r>
          </w:p>
        </w:tc>
        <w:tc>
          <w:tcPr>
            <w:tcW w:w="960" w:type="dxa"/>
            <w:tcBorders>
              <w:top w:val="nil"/>
              <w:left w:val="nil"/>
              <w:bottom w:val="single" w:sz="4" w:space="0" w:color="auto"/>
              <w:right w:val="single" w:sz="4" w:space="0" w:color="auto"/>
            </w:tcBorders>
            <w:shd w:val="clear" w:color="auto" w:fill="auto"/>
            <w:noWrap/>
            <w:vAlign w:val="bottom"/>
            <w:hideMark/>
          </w:tcPr>
          <w:p w14:paraId="3EB2917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0.861</w:t>
            </w:r>
          </w:p>
        </w:tc>
        <w:tc>
          <w:tcPr>
            <w:tcW w:w="960" w:type="dxa"/>
            <w:tcBorders>
              <w:top w:val="nil"/>
              <w:left w:val="nil"/>
              <w:bottom w:val="single" w:sz="4" w:space="0" w:color="auto"/>
              <w:right w:val="single" w:sz="4" w:space="0" w:color="auto"/>
            </w:tcBorders>
            <w:shd w:val="clear" w:color="auto" w:fill="auto"/>
            <w:noWrap/>
            <w:vAlign w:val="bottom"/>
            <w:hideMark/>
          </w:tcPr>
          <w:p w14:paraId="638296D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0.885</w:t>
            </w:r>
          </w:p>
        </w:tc>
      </w:tr>
      <w:tr w:rsidR="00986C96" w:rsidRPr="00986C96" w14:paraId="5E780F7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6E70C8"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pleasure_4</w:t>
            </w:r>
          </w:p>
        </w:tc>
        <w:tc>
          <w:tcPr>
            <w:tcW w:w="960" w:type="dxa"/>
            <w:tcBorders>
              <w:top w:val="nil"/>
              <w:left w:val="nil"/>
              <w:bottom w:val="single" w:sz="4" w:space="0" w:color="auto"/>
              <w:right w:val="single" w:sz="4" w:space="0" w:color="auto"/>
            </w:tcBorders>
            <w:shd w:val="clear" w:color="auto" w:fill="auto"/>
            <w:noWrap/>
            <w:vAlign w:val="bottom"/>
            <w:hideMark/>
          </w:tcPr>
          <w:p w14:paraId="39E9824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w:t>
            </w:r>
          </w:p>
        </w:tc>
        <w:tc>
          <w:tcPr>
            <w:tcW w:w="960" w:type="dxa"/>
            <w:tcBorders>
              <w:top w:val="nil"/>
              <w:left w:val="nil"/>
              <w:bottom w:val="single" w:sz="4" w:space="0" w:color="auto"/>
              <w:right w:val="single" w:sz="4" w:space="0" w:color="auto"/>
            </w:tcBorders>
            <w:shd w:val="clear" w:color="auto" w:fill="auto"/>
            <w:noWrap/>
            <w:vAlign w:val="bottom"/>
            <w:hideMark/>
          </w:tcPr>
          <w:p w14:paraId="4E37743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0.827</w:t>
            </w:r>
          </w:p>
        </w:tc>
        <w:tc>
          <w:tcPr>
            <w:tcW w:w="960" w:type="dxa"/>
            <w:tcBorders>
              <w:top w:val="nil"/>
              <w:left w:val="nil"/>
              <w:bottom w:val="single" w:sz="4" w:space="0" w:color="auto"/>
              <w:right w:val="single" w:sz="4" w:space="0" w:color="auto"/>
            </w:tcBorders>
            <w:shd w:val="clear" w:color="auto" w:fill="auto"/>
            <w:noWrap/>
            <w:vAlign w:val="bottom"/>
            <w:hideMark/>
          </w:tcPr>
          <w:p w14:paraId="407187E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0.786</w:t>
            </w:r>
          </w:p>
        </w:tc>
      </w:tr>
      <w:tr w:rsidR="00986C96" w:rsidRPr="00986C96" w14:paraId="56114CE7"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F66B4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pleasure_5</w:t>
            </w:r>
          </w:p>
        </w:tc>
        <w:tc>
          <w:tcPr>
            <w:tcW w:w="960" w:type="dxa"/>
            <w:tcBorders>
              <w:top w:val="nil"/>
              <w:left w:val="nil"/>
              <w:bottom w:val="single" w:sz="4" w:space="0" w:color="auto"/>
              <w:right w:val="single" w:sz="4" w:space="0" w:color="auto"/>
            </w:tcBorders>
            <w:shd w:val="clear" w:color="auto" w:fill="auto"/>
            <w:noWrap/>
            <w:vAlign w:val="bottom"/>
            <w:hideMark/>
          </w:tcPr>
          <w:p w14:paraId="0E7E3FD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0.825</w:t>
            </w:r>
          </w:p>
        </w:tc>
        <w:tc>
          <w:tcPr>
            <w:tcW w:w="960" w:type="dxa"/>
            <w:tcBorders>
              <w:top w:val="nil"/>
              <w:left w:val="nil"/>
              <w:bottom w:val="single" w:sz="4" w:space="0" w:color="auto"/>
              <w:right w:val="single" w:sz="4" w:space="0" w:color="auto"/>
            </w:tcBorders>
            <w:shd w:val="clear" w:color="auto" w:fill="auto"/>
            <w:noWrap/>
            <w:vAlign w:val="bottom"/>
            <w:hideMark/>
          </w:tcPr>
          <w:p w14:paraId="1C64B63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0.785</w:t>
            </w:r>
          </w:p>
        </w:tc>
        <w:tc>
          <w:tcPr>
            <w:tcW w:w="960" w:type="dxa"/>
            <w:tcBorders>
              <w:top w:val="nil"/>
              <w:left w:val="nil"/>
              <w:bottom w:val="single" w:sz="4" w:space="0" w:color="auto"/>
              <w:right w:val="single" w:sz="4" w:space="0" w:color="auto"/>
            </w:tcBorders>
            <w:shd w:val="clear" w:color="auto" w:fill="auto"/>
            <w:noWrap/>
            <w:vAlign w:val="bottom"/>
            <w:hideMark/>
          </w:tcPr>
          <w:p w14:paraId="5EAE0C0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0.879</w:t>
            </w:r>
          </w:p>
        </w:tc>
      </w:tr>
      <w:tr w:rsidR="00986C96" w:rsidRPr="00986C96" w14:paraId="4D31D7B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C00F4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Arousal_1</w:t>
            </w:r>
          </w:p>
        </w:tc>
        <w:tc>
          <w:tcPr>
            <w:tcW w:w="960" w:type="dxa"/>
            <w:tcBorders>
              <w:top w:val="nil"/>
              <w:left w:val="nil"/>
              <w:bottom w:val="single" w:sz="4" w:space="0" w:color="auto"/>
              <w:right w:val="single" w:sz="4" w:space="0" w:color="auto"/>
            </w:tcBorders>
            <w:shd w:val="clear" w:color="auto" w:fill="auto"/>
            <w:noWrap/>
            <w:vAlign w:val="bottom"/>
            <w:hideMark/>
          </w:tcPr>
          <w:p w14:paraId="131652E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w:t>
            </w:r>
          </w:p>
        </w:tc>
        <w:tc>
          <w:tcPr>
            <w:tcW w:w="960" w:type="dxa"/>
            <w:tcBorders>
              <w:top w:val="nil"/>
              <w:left w:val="nil"/>
              <w:bottom w:val="single" w:sz="4" w:space="0" w:color="auto"/>
              <w:right w:val="single" w:sz="4" w:space="0" w:color="auto"/>
            </w:tcBorders>
            <w:shd w:val="clear" w:color="auto" w:fill="auto"/>
            <w:noWrap/>
            <w:vAlign w:val="bottom"/>
            <w:hideMark/>
          </w:tcPr>
          <w:p w14:paraId="5A7778E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0.648</w:t>
            </w:r>
          </w:p>
        </w:tc>
        <w:tc>
          <w:tcPr>
            <w:tcW w:w="960" w:type="dxa"/>
            <w:tcBorders>
              <w:top w:val="nil"/>
              <w:left w:val="nil"/>
              <w:bottom w:val="single" w:sz="4" w:space="0" w:color="auto"/>
              <w:right w:val="single" w:sz="4" w:space="0" w:color="auto"/>
            </w:tcBorders>
            <w:shd w:val="clear" w:color="auto" w:fill="auto"/>
            <w:noWrap/>
            <w:vAlign w:val="bottom"/>
            <w:hideMark/>
          </w:tcPr>
          <w:p w14:paraId="346621F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0.843</w:t>
            </w:r>
          </w:p>
        </w:tc>
      </w:tr>
      <w:tr w:rsidR="00986C96" w:rsidRPr="00986C96" w14:paraId="531497B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C2DA9A1"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Arousal_2</w:t>
            </w:r>
          </w:p>
        </w:tc>
        <w:tc>
          <w:tcPr>
            <w:tcW w:w="960" w:type="dxa"/>
            <w:tcBorders>
              <w:top w:val="nil"/>
              <w:left w:val="nil"/>
              <w:bottom w:val="single" w:sz="4" w:space="0" w:color="auto"/>
              <w:right w:val="single" w:sz="4" w:space="0" w:color="auto"/>
            </w:tcBorders>
            <w:shd w:val="clear" w:color="auto" w:fill="auto"/>
            <w:noWrap/>
            <w:vAlign w:val="bottom"/>
            <w:hideMark/>
          </w:tcPr>
          <w:p w14:paraId="4ED13BA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0.719</w:t>
            </w:r>
          </w:p>
        </w:tc>
        <w:tc>
          <w:tcPr>
            <w:tcW w:w="960" w:type="dxa"/>
            <w:tcBorders>
              <w:top w:val="nil"/>
              <w:left w:val="nil"/>
              <w:bottom w:val="single" w:sz="4" w:space="0" w:color="auto"/>
              <w:right w:val="single" w:sz="4" w:space="0" w:color="auto"/>
            </w:tcBorders>
            <w:shd w:val="clear" w:color="auto" w:fill="auto"/>
            <w:noWrap/>
            <w:vAlign w:val="bottom"/>
            <w:hideMark/>
          </w:tcPr>
          <w:p w14:paraId="4BEAA8B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0.66</w:t>
            </w:r>
          </w:p>
        </w:tc>
        <w:tc>
          <w:tcPr>
            <w:tcW w:w="960" w:type="dxa"/>
            <w:tcBorders>
              <w:top w:val="nil"/>
              <w:left w:val="nil"/>
              <w:bottom w:val="single" w:sz="4" w:space="0" w:color="auto"/>
              <w:right w:val="single" w:sz="4" w:space="0" w:color="auto"/>
            </w:tcBorders>
            <w:shd w:val="clear" w:color="auto" w:fill="auto"/>
            <w:noWrap/>
            <w:vAlign w:val="bottom"/>
            <w:hideMark/>
          </w:tcPr>
          <w:p w14:paraId="045885E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0.781</w:t>
            </w:r>
          </w:p>
        </w:tc>
      </w:tr>
      <w:tr w:rsidR="00986C96" w:rsidRPr="00986C96" w14:paraId="2B9F507D"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80D7AA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Arousal_3</w:t>
            </w:r>
          </w:p>
        </w:tc>
        <w:tc>
          <w:tcPr>
            <w:tcW w:w="960" w:type="dxa"/>
            <w:tcBorders>
              <w:top w:val="nil"/>
              <w:left w:val="nil"/>
              <w:bottom w:val="single" w:sz="4" w:space="0" w:color="auto"/>
              <w:right w:val="single" w:sz="4" w:space="0" w:color="auto"/>
            </w:tcBorders>
            <w:shd w:val="clear" w:color="auto" w:fill="auto"/>
            <w:noWrap/>
            <w:vAlign w:val="bottom"/>
            <w:hideMark/>
          </w:tcPr>
          <w:p w14:paraId="18267E4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0.705</w:t>
            </w:r>
          </w:p>
        </w:tc>
        <w:tc>
          <w:tcPr>
            <w:tcW w:w="960" w:type="dxa"/>
            <w:tcBorders>
              <w:top w:val="nil"/>
              <w:left w:val="nil"/>
              <w:bottom w:val="single" w:sz="4" w:space="0" w:color="auto"/>
              <w:right w:val="single" w:sz="4" w:space="0" w:color="auto"/>
            </w:tcBorders>
            <w:shd w:val="clear" w:color="auto" w:fill="auto"/>
            <w:noWrap/>
            <w:vAlign w:val="bottom"/>
            <w:hideMark/>
          </w:tcPr>
          <w:p w14:paraId="17C84DE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14:paraId="7A6263E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0.721</w:t>
            </w:r>
          </w:p>
        </w:tc>
      </w:tr>
      <w:tr w:rsidR="00986C96" w:rsidRPr="00986C96" w14:paraId="246737C6"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DF8E7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Arousal_4</w:t>
            </w:r>
          </w:p>
        </w:tc>
        <w:tc>
          <w:tcPr>
            <w:tcW w:w="960" w:type="dxa"/>
            <w:tcBorders>
              <w:top w:val="nil"/>
              <w:left w:val="nil"/>
              <w:bottom w:val="single" w:sz="4" w:space="0" w:color="auto"/>
              <w:right w:val="single" w:sz="4" w:space="0" w:color="auto"/>
            </w:tcBorders>
            <w:shd w:val="clear" w:color="auto" w:fill="auto"/>
            <w:noWrap/>
            <w:vAlign w:val="bottom"/>
            <w:hideMark/>
          </w:tcPr>
          <w:p w14:paraId="3069813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0.775</w:t>
            </w:r>
          </w:p>
        </w:tc>
        <w:tc>
          <w:tcPr>
            <w:tcW w:w="960" w:type="dxa"/>
            <w:tcBorders>
              <w:top w:val="nil"/>
              <w:left w:val="nil"/>
              <w:bottom w:val="single" w:sz="4" w:space="0" w:color="auto"/>
              <w:right w:val="single" w:sz="4" w:space="0" w:color="auto"/>
            </w:tcBorders>
            <w:shd w:val="clear" w:color="auto" w:fill="auto"/>
            <w:noWrap/>
            <w:vAlign w:val="bottom"/>
            <w:hideMark/>
          </w:tcPr>
          <w:p w14:paraId="5A8FCD5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0.787</w:t>
            </w:r>
          </w:p>
        </w:tc>
        <w:tc>
          <w:tcPr>
            <w:tcW w:w="960" w:type="dxa"/>
            <w:tcBorders>
              <w:top w:val="nil"/>
              <w:left w:val="nil"/>
              <w:bottom w:val="single" w:sz="4" w:space="0" w:color="auto"/>
              <w:right w:val="single" w:sz="4" w:space="0" w:color="auto"/>
            </w:tcBorders>
            <w:shd w:val="clear" w:color="auto" w:fill="auto"/>
            <w:noWrap/>
            <w:vAlign w:val="bottom"/>
            <w:hideMark/>
          </w:tcPr>
          <w:p w14:paraId="59C6383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0.768</w:t>
            </w:r>
          </w:p>
        </w:tc>
      </w:tr>
      <w:tr w:rsidR="00986C96" w:rsidRPr="00986C96" w14:paraId="4F2D3467"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D37DB3"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Arousal_5</w:t>
            </w:r>
          </w:p>
        </w:tc>
        <w:tc>
          <w:tcPr>
            <w:tcW w:w="960" w:type="dxa"/>
            <w:tcBorders>
              <w:top w:val="nil"/>
              <w:left w:val="nil"/>
              <w:bottom w:val="single" w:sz="4" w:space="0" w:color="auto"/>
              <w:right w:val="single" w:sz="4" w:space="0" w:color="auto"/>
            </w:tcBorders>
            <w:shd w:val="clear" w:color="auto" w:fill="auto"/>
            <w:noWrap/>
            <w:vAlign w:val="bottom"/>
            <w:hideMark/>
          </w:tcPr>
          <w:p w14:paraId="1A89FC8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0.767</w:t>
            </w:r>
          </w:p>
        </w:tc>
        <w:tc>
          <w:tcPr>
            <w:tcW w:w="960" w:type="dxa"/>
            <w:tcBorders>
              <w:top w:val="nil"/>
              <w:left w:val="nil"/>
              <w:bottom w:val="single" w:sz="4" w:space="0" w:color="auto"/>
              <w:right w:val="single" w:sz="4" w:space="0" w:color="auto"/>
            </w:tcBorders>
            <w:shd w:val="clear" w:color="auto" w:fill="auto"/>
            <w:noWrap/>
            <w:vAlign w:val="bottom"/>
            <w:hideMark/>
          </w:tcPr>
          <w:p w14:paraId="3AAA230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0.754</w:t>
            </w:r>
          </w:p>
        </w:tc>
        <w:tc>
          <w:tcPr>
            <w:tcW w:w="960" w:type="dxa"/>
            <w:tcBorders>
              <w:top w:val="nil"/>
              <w:left w:val="nil"/>
              <w:bottom w:val="single" w:sz="4" w:space="0" w:color="auto"/>
              <w:right w:val="single" w:sz="4" w:space="0" w:color="auto"/>
            </w:tcBorders>
            <w:shd w:val="clear" w:color="auto" w:fill="auto"/>
            <w:noWrap/>
            <w:vAlign w:val="bottom"/>
            <w:hideMark/>
          </w:tcPr>
          <w:p w14:paraId="2C0ECF2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0.783</w:t>
            </w:r>
          </w:p>
        </w:tc>
      </w:tr>
      <w:tr w:rsidR="00986C96" w:rsidRPr="00986C96" w14:paraId="72DF4D3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440203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Arousal_6</w:t>
            </w:r>
          </w:p>
        </w:tc>
        <w:tc>
          <w:tcPr>
            <w:tcW w:w="960" w:type="dxa"/>
            <w:tcBorders>
              <w:top w:val="nil"/>
              <w:left w:val="nil"/>
              <w:bottom w:val="single" w:sz="4" w:space="0" w:color="auto"/>
              <w:right w:val="single" w:sz="4" w:space="0" w:color="auto"/>
            </w:tcBorders>
            <w:shd w:val="clear" w:color="auto" w:fill="auto"/>
            <w:noWrap/>
            <w:vAlign w:val="bottom"/>
            <w:hideMark/>
          </w:tcPr>
          <w:p w14:paraId="7B20E52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0.784</w:t>
            </w:r>
          </w:p>
        </w:tc>
        <w:tc>
          <w:tcPr>
            <w:tcW w:w="960" w:type="dxa"/>
            <w:tcBorders>
              <w:top w:val="nil"/>
              <w:left w:val="nil"/>
              <w:bottom w:val="single" w:sz="4" w:space="0" w:color="auto"/>
              <w:right w:val="single" w:sz="4" w:space="0" w:color="auto"/>
            </w:tcBorders>
            <w:shd w:val="clear" w:color="auto" w:fill="auto"/>
            <w:noWrap/>
            <w:vAlign w:val="bottom"/>
            <w:hideMark/>
          </w:tcPr>
          <w:p w14:paraId="3803D6B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0.783</w:t>
            </w:r>
          </w:p>
        </w:tc>
        <w:tc>
          <w:tcPr>
            <w:tcW w:w="960" w:type="dxa"/>
            <w:tcBorders>
              <w:top w:val="nil"/>
              <w:left w:val="nil"/>
              <w:bottom w:val="single" w:sz="4" w:space="0" w:color="auto"/>
              <w:right w:val="single" w:sz="4" w:space="0" w:color="auto"/>
            </w:tcBorders>
            <w:shd w:val="clear" w:color="auto" w:fill="auto"/>
            <w:noWrap/>
            <w:vAlign w:val="bottom"/>
            <w:hideMark/>
          </w:tcPr>
          <w:p w14:paraId="06512AB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0.789</w:t>
            </w:r>
          </w:p>
        </w:tc>
      </w:tr>
      <w:tr w:rsidR="00986C96" w:rsidRPr="00986C96" w14:paraId="4EEC1D6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A3434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dominance_1</w:t>
            </w:r>
          </w:p>
        </w:tc>
        <w:tc>
          <w:tcPr>
            <w:tcW w:w="960" w:type="dxa"/>
            <w:tcBorders>
              <w:top w:val="nil"/>
              <w:left w:val="nil"/>
              <w:bottom w:val="single" w:sz="4" w:space="0" w:color="auto"/>
              <w:right w:val="single" w:sz="4" w:space="0" w:color="auto"/>
            </w:tcBorders>
            <w:shd w:val="clear" w:color="auto" w:fill="auto"/>
            <w:noWrap/>
            <w:vAlign w:val="bottom"/>
            <w:hideMark/>
          </w:tcPr>
          <w:p w14:paraId="4158C91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0.625</w:t>
            </w:r>
          </w:p>
        </w:tc>
        <w:tc>
          <w:tcPr>
            <w:tcW w:w="960" w:type="dxa"/>
            <w:tcBorders>
              <w:top w:val="nil"/>
              <w:left w:val="nil"/>
              <w:bottom w:val="single" w:sz="4" w:space="0" w:color="auto"/>
              <w:right w:val="single" w:sz="4" w:space="0" w:color="auto"/>
            </w:tcBorders>
            <w:shd w:val="clear" w:color="auto" w:fill="auto"/>
            <w:noWrap/>
            <w:vAlign w:val="bottom"/>
            <w:hideMark/>
          </w:tcPr>
          <w:p w14:paraId="0627708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0.644</w:t>
            </w:r>
          </w:p>
        </w:tc>
        <w:tc>
          <w:tcPr>
            <w:tcW w:w="960" w:type="dxa"/>
            <w:tcBorders>
              <w:top w:val="nil"/>
              <w:left w:val="nil"/>
              <w:bottom w:val="single" w:sz="4" w:space="0" w:color="auto"/>
              <w:right w:val="single" w:sz="4" w:space="0" w:color="auto"/>
            </w:tcBorders>
            <w:shd w:val="clear" w:color="auto" w:fill="auto"/>
            <w:noWrap/>
            <w:vAlign w:val="bottom"/>
            <w:hideMark/>
          </w:tcPr>
          <w:p w14:paraId="321446C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0.596</w:t>
            </w:r>
          </w:p>
        </w:tc>
      </w:tr>
      <w:tr w:rsidR="00986C96" w:rsidRPr="00986C96" w14:paraId="27D09E5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331D655"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dominance_2</w:t>
            </w:r>
          </w:p>
        </w:tc>
        <w:tc>
          <w:tcPr>
            <w:tcW w:w="960" w:type="dxa"/>
            <w:tcBorders>
              <w:top w:val="nil"/>
              <w:left w:val="nil"/>
              <w:bottom w:val="single" w:sz="4" w:space="0" w:color="auto"/>
              <w:right w:val="single" w:sz="4" w:space="0" w:color="auto"/>
            </w:tcBorders>
            <w:shd w:val="clear" w:color="auto" w:fill="auto"/>
            <w:noWrap/>
            <w:vAlign w:val="bottom"/>
            <w:hideMark/>
          </w:tcPr>
          <w:p w14:paraId="39F85EC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0.735</w:t>
            </w:r>
          </w:p>
        </w:tc>
        <w:tc>
          <w:tcPr>
            <w:tcW w:w="960" w:type="dxa"/>
            <w:tcBorders>
              <w:top w:val="nil"/>
              <w:left w:val="nil"/>
              <w:bottom w:val="single" w:sz="4" w:space="0" w:color="auto"/>
              <w:right w:val="single" w:sz="4" w:space="0" w:color="auto"/>
            </w:tcBorders>
            <w:shd w:val="clear" w:color="auto" w:fill="auto"/>
            <w:noWrap/>
            <w:vAlign w:val="bottom"/>
            <w:hideMark/>
          </w:tcPr>
          <w:p w14:paraId="0858173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0.702</w:t>
            </w:r>
          </w:p>
        </w:tc>
        <w:tc>
          <w:tcPr>
            <w:tcW w:w="960" w:type="dxa"/>
            <w:tcBorders>
              <w:top w:val="nil"/>
              <w:left w:val="nil"/>
              <w:bottom w:val="single" w:sz="4" w:space="0" w:color="auto"/>
              <w:right w:val="single" w:sz="4" w:space="0" w:color="auto"/>
            </w:tcBorders>
            <w:shd w:val="clear" w:color="auto" w:fill="auto"/>
            <w:noWrap/>
            <w:vAlign w:val="bottom"/>
            <w:hideMark/>
          </w:tcPr>
          <w:p w14:paraId="367E56B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0.782</w:t>
            </w:r>
          </w:p>
        </w:tc>
      </w:tr>
      <w:tr w:rsidR="00986C96" w:rsidRPr="00986C96" w14:paraId="674B950D"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583C5E"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dominance_3</w:t>
            </w:r>
          </w:p>
        </w:tc>
        <w:tc>
          <w:tcPr>
            <w:tcW w:w="960" w:type="dxa"/>
            <w:tcBorders>
              <w:top w:val="nil"/>
              <w:left w:val="nil"/>
              <w:bottom w:val="single" w:sz="4" w:space="0" w:color="auto"/>
              <w:right w:val="single" w:sz="4" w:space="0" w:color="auto"/>
            </w:tcBorders>
            <w:shd w:val="clear" w:color="auto" w:fill="auto"/>
            <w:noWrap/>
            <w:vAlign w:val="bottom"/>
            <w:hideMark/>
          </w:tcPr>
          <w:p w14:paraId="191088D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0.726</w:t>
            </w:r>
          </w:p>
        </w:tc>
        <w:tc>
          <w:tcPr>
            <w:tcW w:w="960" w:type="dxa"/>
            <w:tcBorders>
              <w:top w:val="nil"/>
              <w:left w:val="nil"/>
              <w:bottom w:val="single" w:sz="4" w:space="0" w:color="auto"/>
              <w:right w:val="single" w:sz="4" w:space="0" w:color="auto"/>
            </w:tcBorders>
            <w:shd w:val="clear" w:color="auto" w:fill="auto"/>
            <w:noWrap/>
            <w:vAlign w:val="bottom"/>
            <w:hideMark/>
          </w:tcPr>
          <w:p w14:paraId="2A5D62E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0.729</w:t>
            </w:r>
          </w:p>
        </w:tc>
        <w:tc>
          <w:tcPr>
            <w:tcW w:w="960" w:type="dxa"/>
            <w:tcBorders>
              <w:top w:val="nil"/>
              <w:left w:val="nil"/>
              <w:bottom w:val="single" w:sz="4" w:space="0" w:color="auto"/>
              <w:right w:val="single" w:sz="4" w:space="0" w:color="auto"/>
            </w:tcBorders>
            <w:shd w:val="clear" w:color="auto" w:fill="auto"/>
            <w:noWrap/>
            <w:vAlign w:val="bottom"/>
            <w:hideMark/>
          </w:tcPr>
          <w:p w14:paraId="5BA86C3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0.732</w:t>
            </w:r>
          </w:p>
        </w:tc>
      </w:tr>
      <w:tr w:rsidR="00986C96" w:rsidRPr="00986C96" w14:paraId="4E4A5E9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A1FA3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dominance_4</w:t>
            </w:r>
          </w:p>
        </w:tc>
        <w:tc>
          <w:tcPr>
            <w:tcW w:w="960" w:type="dxa"/>
            <w:tcBorders>
              <w:top w:val="nil"/>
              <w:left w:val="nil"/>
              <w:bottom w:val="single" w:sz="4" w:space="0" w:color="auto"/>
              <w:right w:val="single" w:sz="4" w:space="0" w:color="auto"/>
            </w:tcBorders>
            <w:shd w:val="clear" w:color="auto" w:fill="auto"/>
            <w:noWrap/>
            <w:vAlign w:val="bottom"/>
            <w:hideMark/>
          </w:tcPr>
          <w:p w14:paraId="3609492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0.746</w:t>
            </w:r>
          </w:p>
        </w:tc>
        <w:tc>
          <w:tcPr>
            <w:tcW w:w="960" w:type="dxa"/>
            <w:tcBorders>
              <w:top w:val="nil"/>
              <w:left w:val="nil"/>
              <w:bottom w:val="single" w:sz="4" w:space="0" w:color="auto"/>
              <w:right w:val="single" w:sz="4" w:space="0" w:color="auto"/>
            </w:tcBorders>
            <w:shd w:val="clear" w:color="auto" w:fill="auto"/>
            <w:noWrap/>
            <w:vAlign w:val="bottom"/>
            <w:hideMark/>
          </w:tcPr>
          <w:p w14:paraId="1D474A7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0.731</w:t>
            </w:r>
          </w:p>
        </w:tc>
        <w:tc>
          <w:tcPr>
            <w:tcW w:w="960" w:type="dxa"/>
            <w:tcBorders>
              <w:top w:val="nil"/>
              <w:left w:val="nil"/>
              <w:bottom w:val="single" w:sz="4" w:space="0" w:color="auto"/>
              <w:right w:val="single" w:sz="4" w:space="0" w:color="auto"/>
            </w:tcBorders>
            <w:shd w:val="clear" w:color="auto" w:fill="auto"/>
            <w:noWrap/>
            <w:vAlign w:val="bottom"/>
            <w:hideMark/>
          </w:tcPr>
          <w:p w14:paraId="530051A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0.772</w:t>
            </w:r>
          </w:p>
        </w:tc>
      </w:tr>
      <w:tr w:rsidR="00986C96" w:rsidRPr="00986C96" w14:paraId="3486D055"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61CCE8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dominance_5</w:t>
            </w:r>
          </w:p>
        </w:tc>
        <w:tc>
          <w:tcPr>
            <w:tcW w:w="960" w:type="dxa"/>
            <w:tcBorders>
              <w:top w:val="nil"/>
              <w:left w:val="nil"/>
              <w:bottom w:val="single" w:sz="4" w:space="0" w:color="auto"/>
              <w:right w:val="single" w:sz="4" w:space="0" w:color="auto"/>
            </w:tcBorders>
            <w:shd w:val="clear" w:color="auto" w:fill="auto"/>
            <w:noWrap/>
            <w:vAlign w:val="bottom"/>
            <w:hideMark/>
          </w:tcPr>
          <w:p w14:paraId="6A2B156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0.508</w:t>
            </w:r>
          </w:p>
        </w:tc>
        <w:tc>
          <w:tcPr>
            <w:tcW w:w="960" w:type="dxa"/>
            <w:tcBorders>
              <w:top w:val="nil"/>
              <w:left w:val="nil"/>
              <w:bottom w:val="single" w:sz="4" w:space="0" w:color="auto"/>
              <w:right w:val="single" w:sz="4" w:space="0" w:color="auto"/>
            </w:tcBorders>
            <w:shd w:val="clear" w:color="auto" w:fill="auto"/>
            <w:noWrap/>
            <w:vAlign w:val="bottom"/>
            <w:hideMark/>
          </w:tcPr>
          <w:p w14:paraId="11E1423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0.451</w:t>
            </w:r>
          </w:p>
        </w:tc>
        <w:tc>
          <w:tcPr>
            <w:tcW w:w="960" w:type="dxa"/>
            <w:tcBorders>
              <w:top w:val="nil"/>
              <w:left w:val="nil"/>
              <w:bottom w:val="single" w:sz="4" w:space="0" w:color="auto"/>
              <w:right w:val="single" w:sz="4" w:space="0" w:color="auto"/>
            </w:tcBorders>
            <w:shd w:val="clear" w:color="auto" w:fill="auto"/>
            <w:noWrap/>
            <w:vAlign w:val="bottom"/>
            <w:hideMark/>
          </w:tcPr>
          <w:p w14:paraId="09B65FD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0.579</w:t>
            </w:r>
          </w:p>
        </w:tc>
      </w:tr>
      <w:tr w:rsidR="00986C96" w:rsidRPr="00986C96" w14:paraId="2690C68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F32CF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dominance_6</w:t>
            </w:r>
          </w:p>
        </w:tc>
        <w:tc>
          <w:tcPr>
            <w:tcW w:w="960" w:type="dxa"/>
            <w:tcBorders>
              <w:top w:val="nil"/>
              <w:left w:val="nil"/>
              <w:bottom w:val="single" w:sz="4" w:space="0" w:color="auto"/>
              <w:right w:val="single" w:sz="4" w:space="0" w:color="auto"/>
            </w:tcBorders>
            <w:shd w:val="clear" w:color="auto" w:fill="auto"/>
            <w:noWrap/>
            <w:vAlign w:val="bottom"/>
            <w:hideMark/>
          </w:tcPr>
          <w:p w14:paraId="360FC7C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0.57</w:t>
            </w:r>
          </w:p>
        </w:tc>
        <w:tc>
          <w:tcPr>
            <w:tcW w:w="960" w:type="dxa"/>
            <w:tcBorders>
              <w:top w:val="nil"/>
              <w:left w:val="nil"/>
              <w:bottom w:val="single" w:sz="4" w:space="0" w:color="auto"/>
              <w:right w:val="single" w:sz="4" w:space="0" w:color="auto"/>
            </w:tcBorders>
            <w:shd w:val="clear" w:color="auto" w:fill="auto"/>
            <w:noWrap/>
            <w:vAlign w:val="bottom"/>
            <w:hideMark/>
          </w:tcPr>
          <w:p w14:paraId="1670204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0.529</w:t>
            </w:r>
          </w:p>
        </w:tc>
        <w:tc>
          <w:tcPr>
            <w:tcW w:w="960" w:type="dxa"/>
            <w:tcBorders>
              <w:top w:val="nil"/>
              <w:left w:val="nil"/>
              <w:bottom w:val="single" w:sz="4" w:space="0" w:color="auto"/>
              <w:right w:val="single" w:sz="4" w:space="0" w:color="auto"/>
            </w:tcBorders>
            <w:shd w:val="clear" w:color="auto" w:fill="auto"/>
            <w:noWrap/>
            <w:vAlign w:val="bottom"/>
            <w:hideMark/>
          </w:tcPr>
          <w:p w14:paraId="6692BE0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0.641</w:t>
            </w:r>
          </w:p>
        </w:tc>
      </w:tr>
      <w:tr w:rsidR="00986C96" w:rsidRPr="00986C96" w14:paraId="3A00C7FB"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1D9E9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attitude_1</w:t>
            </w:r>
          </w:p>
        </w:tc>
        <w:tc>
          <w:tcPr>
            <w:tcW w:w="960" w:type="dxa"/>
            <w:tcBorders>
              <w:top w:val="nil"/>
              <w:left w:val="nil"/>
              <w:bottom w:val="single" w:sz="4" w:space="0" w:color="auto"/>
              <w:right w:val="single" w:sz="4" w:space="0" w:color="auto"/>
            </w:tcBorders>
            <w:shd w:val="clear" w:color="auto" w:fill="auto"/>
            <w:noWrap/>
            <w:vAlign w:val="bottom"/>
            <w:hideMark/>
          </w:tcPr>
          <w:p w14:paraId="5A599D0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0.922</w:t>
            </w:r>
          </w:p>
        </w:tc>
        <w:tc>
          <w:tcPr>
            <w:tcW w:w="960" w:type="dxa"/>
            <w:tcBorders>
              <w:top w:val="nil"/>
              <w:left w:val="nil"/>
              <w:bottom w:val="single" w:sz="4" w:space="0" w:color="auto"/>
              <w:right w:val="single" w:sz="4" w:space="0" w:color="auto"/>
            </w:tcBorders>
            <w:shd w:val="clear" w:color="auto" w:fill="auto"/>
            <w:noWrap/>
            <w:vAlign w:val="bottom"/>
            <w:hideMark/>
          </w:tcPr>
          <w:p w14:paraId="3AEA331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0.926</w:t>
            </w:r>
          </w:p>
        </w:tc>
        <w:tc>
          <w:tcPr>
            <w:tcW w:w="960" w:type="dxa"/>
            <w:tcBorders>
              <w:top w:val="nil"/>
              <w:left w:val="nil"/>
              <w:bottom w:val="single" w:sz="4" w:space="0" w:color="auto"/>
              <w:right w:val="single" w:sz="4" w:space="0" w:color="auto"/>
            </w:tcBorders>
            <w:shd w:val="clear" w:color="auto" w:fill="auto"/>
            <w:noWrap/>
            <w:vAlign w:val="bottom"/>
            <w:hideMark/>
          </w:tcPr>
          <w:p w14:paraId="45B7DF5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0.915</w:t>
            </w:r>
          </w:p>
        </w:tc>
      </w:tr>
      <w:tr w:rsidR="00986C96" w:rsidRPr="00986C96" w14:paraId="525AB10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04AFD1"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attitude_2</w:t>
            </w:r>
          </w:p>
        </w:tc>
        <w:tc>
          <w:tcPr>
            <w:tcW w:w="960" w:type="dxa"/>
            <w:tcBorders>
              <w:top w:val="nil"/>
              <w:left w:val="nil"/>
              <w:bottom w:val="single" w:sz="4" w:space="0" w:color="auto"/>
              <w:right w:val="single" w:sz="4" w:space="0" w:color="auto"/>
            </w:tcBorders>
            <w:shd w:val="clear" w:color="auto" w:fill="auto"/>
            <w:noWrap/>
            <w:vAlign w:val="bottom"/>
            <w:hideMark/>
          </w:tcPr>
          <w:p w14:paraId="0DD9B14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0.955</w:t>
            </w:r>
          </w:p>
        </w:tc>
        <w:tc>
          <w:tcPr>
            <w:tcW w:w="960" w:type="dxa"/>
            <w:tcBorders>
              <w:top w:val="nil"/>
              <w:left w:val="nil"/>
              <w:bottom w:val="single" w:sz="4" w:space="0" w:color="auto"/>
              <w:right w:val="single" w:sz="4" w:space="0" w:color="auto"/>
            </w:tcBorders>
            <w:shd w:val="clear" w:color="auto" w:fill="auto"/>
            <w:noWrap/>
            <w:vAlign w:val="bottom"/>
            <w:hideMark/>
          </w:tcPr>
          <w:p w14:paraId="7372CE2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0.959</w:t>
            </w:r>
          </w:p>
        </w:tc>
        <w:tc>
          <w:tcPr>
            <w:tcW w:w="960" w:type="dxa"/>
            <w:tcBorders>
              <w:top w:val="nil"/>
              <w:left w:val="nil"/>
              <w:bottom w:val="single" w:sz="4" w:space="0" w:color="auto"/>
              <w:right w:val="single" w:sz="4" w:space="0" w:color="auto"/>
            </w:tcBorders>
            <w:shd w:val="clear" w:color="auto" w:fill="auto"/>
            <w:noWrap/>
            <w:vAlign w:val="bottom"/>
            <w:hideMark/>
          </w:tcPr>
          <w:p w14:paraId="165B947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0.952</w:t>
            </w:r>
          </w:p>
        </w:tc>
      </w:tr>
      <w:tr w:rsidR="00986C96" w:rsidRPr="00986C96" w14:paraId="007036E2"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455A2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attitude_3</w:t>
            </w:r>
          </w:p>
        </w:tc>
        <w:tc>
          <w:tcPr>
            <w:tcW w:w="960" w:type="dxa"/>
            <w:tcBorders>
              <w:top w:val="nil"/>
              <w:left w:val="nil"/>
              <w:bottom w:val="single" w:sz="4" w:space="0" w:color="auto"/>
              <w:right w:val="single" w:sz="4" w:space="0" w:color="auto"/>
            </w:tcBorders>
            <w:shd w:val="clear" w:color="auto" w:fill="auto"/>
            <w:noWrap/>
            <w:vAlign w:val="bottom"/>
            <w:hideMark/>
          </w:tcPr>
          <w:p w14:paraId="0BA0DF3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0.931</w:t>
            </w:r>
          </w:p>
        </w:tc>
        <w:tc>
          <w:tcPr>
            <w:tcW w:w="960" w:type="dxa"/>
            <w:tcBorders>
              <w:top w:val="nil"/>
              <w:left w:val="nil"/>
              <w:bottom w:val="single" w:sz="4" w:space="0" w:color="auto"/>
              <w:right w:val="single" w:sz="4" w:space="0" w:color="auto"/>
            </w:tcBorders>
            <w:shd w:val="clear" w:color="auto" w:fill="auto"/>
            <w:noWrap/>
            <w:vAlign w:val="bottom"/>
            <w:hideMark/>
          </w:tcPr>
          <w:p w14:paraId="359F1DD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0.936</w:t>
            </w:r>
          </w:p>
        </w:tc>
        <w:tc>
          <w:tcPr>
            <w:tcW w:w="960" w:type="dxa"/>
            <w:tcBorders>
              <w:top w:val="nil"/>
              <w:left w:val="nil"/>
              <w:bottom w:val="single" w:sz="4" w:space="0" w:color="auto"/>
              <w:right w:val="single" w:sz="4" w:space="0" w:color="auto"/>
            </w:tcBorders>
            <w:shd w:val="clear" w:color="auto" w:fill="auto"/>
            <w:noWrap/>
            <w:vAlign w:val="bottom"/>
            <w:hideMark/>
          </w:tcPr>
          <w:p w14:paraId="3449709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0.923</w:t>
            </w:r>
          </w:p>
        </w:tc>
      </w:tr>
      <w:tr w:rsidR="00986C96" w:rsidRPr="00986C96" w14:paraId="1942DF4B"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BF6252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attitude_4</w:t>
            </w:r>
          </w:p>
        </w:tc>
        <w:tc>
          <w:tcPr>
            <w:tcW w:w="960" w:type="dxa"/>
            <w:tcBorders>
              <w:top w:val="nil"/>
              <w:left w:val="nil"/>
              <w:bottom w:val="single" w:sz="4" w:space="0" w:color="auto"/>
              <w:right w:val="single" w:sz="4" w:space="0" w:color="auto"/>
            </w:tcBorders>
            <w:shd w:val="clear" w:color="auto" w:fill="auto"/>
            <w:noWrap/>
            <w:vAlign w:val="bottom"/>
            <w:hideMark/>
          </w:tcPr>
          <w:p w14:paraId="5CFC846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0.915</w:t>
            </w:r>
          </w:p>
        </w:tc>
        <w:tc>
          <w:tcPr>
            <w:tcW w:w="960" w:type="dxa"/>
            <w:tcBorders>
              <w:top w:val="nil"/>
              <w:left w:val="nil"/>
              <w:bottom w:val="single" w:sz="4" w:space="0" w:color="auto"/>
              <w:right w:val="single" w:sz="4" w:space="0" w:color="auto"/>
            </w:tcBorders>
            <w:shd w:val="clear" w:color="auto" w:fill="auto"/>
            <w:noWrap/>
            <w:vAlign w:val="bottom"/>
            <w:hideMark/>
          </w:tcPr>
          <w:p w14:paraId="5E70B8E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0.915</w:t>
            </w:r>
          </w:p>
        </w:tc>
        <w:tc>
          <w:tcPr>
            <w:tcW w:w="960" w:type="dxa"/>
            <w:tcBorders>
              <w:top w:val="nil"/>
              <w:left w:val="nil"/>
              <w:bottom w:val="single" w:sz="4" w:space="0" w:color="auto"/>
              <w:right w:val="single" w:sz="4" w:space="0" w:color="auto"/>
            </w:tcBorders>
            <w:shd w:val="clear" w:color="auto" w:fill="auto"/>
            <w:noWrap/>
            <w:vAlign w:val="bottom"/>
            <w:hideMark/>
          </w:tcPr>
          <w:p w14:paraId="2571C94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0.918</w:t>
            </w:r>
          </w:p>
        </w:tc>
      </w:tr>
      <w:tr w:rsidR="00986C96" w:rsidRPr="00986C96" w14:paraId="3A151CF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7CEC7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engagement_1</w:t>
            </w:r>
          </w:p>
        </w:tc>
        <w:tc>
          <w:tcPr>
            <w:tcW w:w="960" w:type="dxa"/>
            <w:tcBorders>
              <w:top w:val="nil"/>
              <w:left w:val="nil"/>
              <w:bottom w:val="single" w:sz="4" w:space="0" w:color="auto"/>
              <w:right w:val="single" w:sz="4" w:space="0" w:color="auto"/>
            </w:tcBorders>
            <w:shd w:val="clear" w:color="auto" w:fill="auto"/>
            <w:noWrap/>
            <w:vAlign w:val="bottom"/>
            <w:hideMark/>
          </w:tcPr>
          <w:p w14:paraId="1487FE6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0.496</w:t>
            </w:r>
          </w:p>
        </w:tc>
        <w:tc>
          <w:tcPr>
            <w:tcW w:w="960" w:type="dxa"/>
            <w:tcBorders>
              <w:top w:val="nil"/>
              <w:left w:val="nil"/>
              <w:bottom w:val="single" w:sz="4" w:space="0" w:color="auto"/>
              <w:right w:val="single" w:sz="4" w:space="0" w:color="auto"/>
            </w:tcBorders>
            <w:shd w:val="clear" w:color="auto" w:fill="auto"/>
            <w:noWrap/>
            <w:vAlign w:val="bottom"/>
            <w:hideMark/>
          </w:tcPr>
          <w:p w14:paraId="40385EB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0.479</w:t>
            </w:r>
          </w:p>
        </w:tc>
        <w:tc>
          <w:tcPr>
            <w:tcW w:w="960" w:type="dxa"/>
            <w:tcBorders>
              <w:top w:val="nil"/>
              <w:left w:val="nil"/>
              <w:bottom w:val="single" w:sz="4" w:space="0" w:color="auto"/>
              <w:right w:val="single" w:sz="4" w:space="0" w:color="auto"/>
            </w:tcBorders>
            <w:shd w:val="clear" w:color="auto" w:fill="auto"/>
            <w:noWrap/>
            <w:vAlign w:val="bottom"/>
            <w:hideMark/>
          </w:tcPr>
          <w:p w14:paraId="4D97228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0.517</w:t>
            </w:r>
          </w:p>
        </w:tc>
      </w:tr>
      <w:tr w:rsidR="00986C96" w:rsidRPr="00986C96" w14:paraId="5B41B3E4"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04195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engagement_2</w:t>
            </w:r>
          </w:p>
        </w:tc>
        <w:tc>
          <w:tcPr>
            <w:tcW w:w="960" w:type="dxa"/>
            <w:tcBorders>
              <w:top w:val="nil"/>
              <w:left w:val="nil"/>
              <w:bottom w:val="single" w:sz="4" w:space="0" w:color="auto"/>
              <w:right w:val="single" w:sz="4" w:space="0" w:color="auto"/>
            </w:tcBorders>
            <w:shd w:val="clear" w:color="auto" w:fill="auto"/>
            <w:noWrap/>
            <w:vAlign w:val="bottom"/>
            <w:hideMark/>
          </w:tcPr>
          <w:p w14:paraId="534D565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0.779</w:t>
            </w:r>
          </w:p>
        </w:tc>
        <w:tc>
          <w:tcPr>
            <w:tcW w:w="960" w:type="dxa"/>
            <w:tcBorders>
              <w:top w:val="nil"/>
              <w:left w:val="nil"/>
              <w:bottom w:val="single" w:sz="4" w:space="0" w:color="auto"/>
              <w:right w:val="single" w:sz="4" w:space="0" w:color="auto"/>
            </w:tcBorders>
            <w:shd w:val="clear" w:color="auto" w:fill="auto"/>
            <w:noWrap/>
            <w:vAlign w:val="bottom"/>
            <w:hideMark/>
          </w:tcPr>
          <w:p w14:paraId="58F5BD0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0.724</w:t>
            </w:r>
          </w:p>
        </w:tc>
        <w:tc>
          <w:tcPr>
            <w:tcW w:w="960" w:type="dxa"/>
            <w:tcBorders>
              <w:top w:val="nil"/>
              <w:left w:val="nil"/>
              <w:bottom w:val="single" w:sz="4" w:space="0" w:color="auto"/>
              <w:right w:val="single" w:sz="4" w:space="0" w:color="auto"/>
            </w:tcBorders>
            <w:shd w:val="clear" w:color="auto" w:fill="auto"/>
            <w:noWrap/>
            <w:vAlign w:val="bottom"/>
            <w:hideMark/>
          </w:tcPr>
          <w:p w14:paraId="6662116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0.846</w:t>
            </w:r>
          </w:p>
        </w:tc>
      </w:tr>
      <w:tr w:rsidR="00986C96" w:rsidRPr="00986C96" w14:paraId="32D86D1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29F232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engagement_3</w:t>
            </w:r>
          </w:p>
        </w:tc>
        <w:tc>
          <w:tcPr>
            <w:tcW w:w="960" w:type="dxa"/>
            <w:tcBorders>
              <w:top w:val="nil"/>
              <w:left w:val="nil"/>
              <w:bottom w:val="single" w:sz="4" w:space="0" w:color="auto"/>
              <w:right w:val="single" w:sz="4" w:space="0" w:color="auto"/>
            </w:tcBorders>
            <w:shd w:val="clear" w:color="auto" w:fill="auto"/>
            <w:noWrap/>
            <w:vAlign w:val="bottom"/>
            <w:hideMark/>
          </w:tcPr>
          <w:p w14:paraId="2E13285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0.894</w:t>
            </w:r>
          </w:p>
        </w:tc>
        <w:tc>
          <w:tcPr>
            <w:tcW w:w="960" w:type="dxa"/>
            <w:tcBorders>
              <w:top w:val="nil"/>
              <w:left w:val="nil"/>
              <w:bottom w:val="single" w:sz="4" w:space="0" w:color="auto"/>
              <w:right w:val="single" w:sz="4" w:space="0" w:color="auto"/>
            </w:tcBorders>
            <w:shd w:val="clear" w:color="auto" w:fill="auto"/>
            <w:noWrap/>
            <w:vAlign w:val="bottom"/>
            <w:hideMark/>
          </w:tcPr>
          <w:p w14:paraId="2FFE6CE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0.886</w:t>
            </w:r>
          </w:p>
        </w:tc>
        <w:tc>
          <w:tcPr>
            <w:tcW w:w="960" w:type="dxa"/>
            <w:tcBorders>
              <w:top w:val="nil"/>
              <w:left w:val="nil"/>
              <w:bottom w:val="single" w:sz="4" w:space="0" w:color="auto"/>
              <w:right w:val="single" w:sz="4" w:space="0" w:color="auto"/>
            </w:tcBorders>
            <w:shd w:val="clear" w:color="auto" w:fill="auto"/>
            <w:noWrap/>
            <w:vAlign w:val="bottom"/>
            <w:hideMark/>
          </w:tcPr>
          <w:p w14:paraId="4EA5346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0.906</w:t>
            </w:r>
          </w:p>
        </w:tc>
      </w:tr>
      <w:tr w:rsidR="00986C96" w:rsidRPr="00986C96" w14:paraId="29ECFF65"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3DE2077"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engagement_4</w:t>
            </w:r>
          </w:p>
        </w:tc>
        <w:tc>
          <w:tcPr>
            <w:tcW w:w="960" w:type="dxa"/>
            <w:tcBorders>
              <w:top w:val="nil"/>
              <w:left w:val="nil"/>
              <w:bottom w:val="single" w:sz="4" w:space="0" w:color="auto"/>
              <w:right w:val="single" w:sz="4" w:space="0" w:color="auto"/>
            </w:tcBorders>
            <w:shd w:val="clear" w:color="auto" w:fill="auto"/>
            <w:noWrap/>
            <w:vAlign w:val="bottom"/>
            <w:hideMark/>
          </w:tcPr>
          <w:p w14:paraId="6B903A8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0.849</w:t>
            </w:r>
          </w:p>
        </w:tc>
        <w:tc>
          <w:tcPr>
            <w:tcW w:w="960" w:type="dxa"/>
            <w:tcBorders>
              <w:top w:val="nil"/>
              <w:left w:val="nil"/>
              <w:bottom w:val="single" w:sz="4" w:space="0" w:color="auto"/>
              <w:right w:val="single" w:sz="4" w:space="0" w:color="auto"/>
            </w:tcBorders>
            <w:shd w:val="clear" w:color="auto" w:fill="auto"/>
            <w:noWrap/>
            <w:vAlign w:val="bottom"/>
            <w:hideMark/>
          </w:tcPr>
          <w:p w14:paraId="17229AA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0.861</w:t>
            </w:r>
          </w:p>
        </w:tc>
        <w:tc>
          <w:tcPr>
            <w:tcW w:w="960" w:type="dxa"/>
            <w:tcBorders>
              <w:top w:val="nil"/>
              <w:left w:val="nil"/>
              <w:bottom w:val="single" w:sz="4" w:space="0" w:color="auto"/>
              <w:right w:val="single" w:sz="4" w:space="0" w:color="auto"/>
            </w:tcBorders>
            <w:shd w:val="clear" w:color="auto" w:fill="auto"/>
            <w:noWrap/>
            <w:vAlign w:val="bottom"/>
            <w:hideMark/>
          </w:tcPr>
          <w:p w14:paraId="259395F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0.831</w:t>
            </w:r>
          </w:p>
        </w:tc>
      </w:tr>
      <w:tr w:rsidR="00986C96" w:rsidRPr="00986C96" w14:paraId="6E57BA23"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0E974B"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coff_purce_intent_1</w:t>
            </w:r>
          </w:p>
        </w:tc>
        <w:tc>
          <w:tcPr>
            <w:tcW w:w="960" w:type="dxa"/>
            <w:tcBorders>
              <w:top w:val="nil"/>
              <w:left w:val="nil"/>
              <w:bottom w:val="single" w:sz="4" w:space="0" w:color="auto"/>
              <w:right w:val="single" w:sz="4" w:space="0" w:color="auto"/>
            </w:tcBorders>
            <w:shd w:val="clear" w:color="auto" w:fill="auto"/>
            <w:noWrap/>
            <w:vAlign w:val="bottom"/>
            <w:hideMark/>
          </w:tcPr>
          <w:p w14:paraId="3ECEC44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0.928</w:t>
            </w:r>
          </w:p>
        </w:tc>
        <w:tc>
          <w:tcPr>
            <w:tcW w:w="960" w:type="dxa"/>
            <w:tcBorders>
              <w:top w:val="nil"/>
              <w:left w:val="nil"/>
              <w:bottom w:val="single" w:sz="4" w:space="0" w:color="auto"/>
              <w:right w:val="single" w:sz="4" w:space="0" w:color="auto"/>
            </w:tcBorders>
            <w:shd w:val="clear" w:color="auto" w:fill="auto"/>
            <w:noWrap/>
            <w:vAlign w:val="bottom"/>
            <w:hideMark/>
          </w:tcPr>
          <w:p w14:paraId="1D4DB6A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0.931</w:t>
            </w:r>
          </w:p>
        </w:tc>
        <w:tc>
          <w:tcPr>
            <w:tcW w:w="960" w:type="dxa"/>
            <w:tcBorders>
              <w:top w:val="nil"/>
              <w:left w:val="nil"/>
              <w:bottom w:val="single" w:sz="4" w:space="0" w:color="auto"/>
              <w:right w:val="single" w:sz="4" w:space="0" w:color="auto"/>
            </w:tcBorders>
            <w:shd w:val="clear" w:color="auto" w:fill="auto"/>
            <w:noWrap/>
            <w:vAlign w:val="bottom"/>
            <w:hideMark/>
          </w:tcPr>
          <w:p w14:paraId="496622F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0.928</w:t>
            </w:r>
          </w:p>
        </w:tc>
      </w:tr>
      <w:tr w:rsidR="00986C96" w:rsidRPr="00986C96" w14:paraId="38611DDD"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68CC634"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coff_purce_intent_2</w:t>
            </w:r>
          </w:p>
        </w:tc>
        <w:tc>
          <w:tcPr>
            <w:tcW w:w="960" w:type="dxa"/>
            <w:tcBorders>
              <w:top w:val="nil"/>
              <w:left w:val="nil"/>
              <w:bottom w:val="single" w:sz="4" w:space="0" w:color="auto"/>
              <w:right w:val="single" w:sz="4" w:space="0" w:color="auto"/>
            </w:tcBorders>
            <w:shd w:val="clear" w:color="auto" w:fill="auto"/>
            <w:noWrap/>
            <w:vAlign w:val="bottom"/>
            <w:hideMark/>
          </w:tcPr>
          <w:p w14:paraId="519C8B8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0.937</w:t>
            </w:r>
          </w:p>
        </w:tc>
        <w:tc>
          <w:tcPr>
            <w:tcW w:w="960" w:type="dxa"/>
            <w:tcBorders>
              <w:top w:val="nil"/>
              <w:left w:val="nil"/>
              <w:bottom w:val="single" w:sz="4" w:space="0" w:color="auto"/>
              <w:right w:val="single" w:sz="4" w:space="0" w:color="auto"/>
            </w:tcBorders>
            <w:shd w:val="clear" w:color="auto" w:fill="auto"/>
            <w:noWrap/>
            <w:vAlign w:val="bottom"/>
            <w:hideMark/>
          </w:tcPr>
          <w:p w14:paraId="7DA1EE0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0.944</w:t>
            </w:r>
          </w:p>
        </w:tc>
        <w:tc>
          <w:tcPr>
            <w:tcW w:w="960" w:type="dxa"/>
            <w:tcBorders>
              <w:top w:val="nil"/>
              <w:left w:val="nil"/>
              <w:bottom w:val="single" w:sz="4" w:space="0" w:color="auto"/>
              <w:right w:val="single" w:sz="4" w:space="0" w:color="auto"/>
            </w:tcBorders>
            <w:shd w:val="clear" w:color="auto" w:fill="auto"/>
            <w:noWrap/>
            <w:vAlign w:val="bottom"/>
            <w:hideMark/>
          </w:tcPr>
          <w:p w14:paraId="48351B3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w:t>
            </w:r>
          </w:p>
        </w:tc>
      </w:tr>
      <w:tr w:rsidR="00986C96" w:rsidRPr="00986C96" w14:paraId="2C9BB6B6"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0C372D1"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coff_purce_intent_3</w:t>
            </w:r>
          </w:p>
        </w:tc>
        <w:tc>
          <w:tcPr>
            <w:tcW w:w="960" w:type="dxa"/>
            <w:tcBorders>
              <w:top w:val="nil"/>
              <w:left w:val="nil"/>
              <w:bottom w:val="single" w:sz="4" w:space="0" w:color="auto"/>
              <w:right w:val="single" w:sz="4" w:space="0" w:color="auto"/>
            </w:tcBorders>
            <w:shd w:val="clear" w:color="auto" w:fill="auto"/>
            <w:noWrap/>
            <w:vAlign w:val="bottom"/>
            <w:hideMark/>
          </w:tcPr>
          <w:p w14:paraId="651872F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w:t>
            </w:r>
          </w:p>
        </w:tc>
        <w:tc>
          <w:tcPr>
            <w:tcW w:w="960" w:type="dxa"/>
            <w:tcBorders>
              <w:top w:val="nil"/>
              <w:left w:val="nil"/>
              <w:bottom w:val="single" w:sz="4" w:space="0" w:color="auto"/>
              <w:right w:val="single" w:sz="4" w:space="0" w:color="auto"/>
            </w:tcBorders>
            <w:shd w:val="clear" w:color="auto" w:fill="auto"/>
            <w:noWrap/>
            <w:vAlign w:val="bottom"/>
            <w:hideMark/>
          </w:tcPr>
          <w:p w14:paraId="76008DE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0.899</w:t>
            </w:r>
          </w:p>
        </w:tc>
        <w:tc>
          <w:tcPr>
            <w:tcW w:w="960" w:type="dxa"/>
            <w:tcBorders>
              <w:top w:val="nil"/>
              <w:left w:val="nil"/>
              <w:bottom w:val="single" w:sz="4" w:space="0" w:color="auto"/>
              <w:right w:val="single" w:sz="4" w:space="0" w:color="auto"/>
            </w:tcBorders>
            <w:shd w:val="clear" w:color="auto" w:fill="auto"/>
            <w:noWrap/>
            <w:vAlign w:val="bottom"/>
            <w:hideMark/>
          </w:tcPr>
          <w:p w14:paraId="0E4FF5F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0.829</w:t>
            </w:r>
          </w:p>
        </w:tc>
      </w:tr>
      <w:tr w:rsidR="00986C96" w:rsidRPr="00986C96" w14:paraId="741B99D4"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CBD1D83"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coff_purce_intent_4</w:t>
            </w:r>
          </w:p>
        </w:tc>
        <w:tc>
          <w:tcPr>
            <w:tcW w:w="960" w:type="dxa"/>
            <w:tcBorders>
              <w:top w:val="nil"/>
              <w:left w:val="nil"/>
              <w:bottom w:val="single" w:sz="4" w:space="0" w:color="auto"/>
              <w:right w:val="single" w:sz="4" w:space="0" w:color="auto"/>
            </w:tcBorders>
            <w:shd w:val="clear" w:color="auto" w:fill="auto"/>
            <w:noWrap/>
            <w:vAlign w:val="bottom"/>
            <w:hideMark/>
          </w:tcPr>
          <w:p w14:paraId="2E2209A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0.753</w:t>
            </w:r>
          </w:p>
        </w:tc>
        <w:tc>
          <w:tcPr>
            <w:tcW w:w="960" w:type="dxa"/>
            <w:tcBorders>
              <w:top w:val="nil"/>
              <w:left w:val="nil"/>
              <w:bottom w:val="single" w:sz="4" w:space="0" w:color="auto"/>
              <w:right w:val="single" w:sz="4" w:space="0" w:color="auto"/>
            </w:tcBorders>
            <w:shd w:val="clear" w:color="auto" w:fill="auto"/>
            <w:noWrap/>
            <w:vAlign w:val="bottom"/>
            <w:hideMark/>
          </w:tcPr>
          <w:p w14:paraId="6AD9F8A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0.851</w:t>
            </w:r>
          </w:p>
        </w:tc>
        <w:tc>
          <w:tcPr>
            <w:tcW w:w="960" w:type="dxa"/>
            <w:tcBorders>
              <w:top w:val="nil"/>
              <w:left w:val="nil"/>
              <w:bottom w:val="single" w:sz="4" w:space="0" w:color="auto"/>
              <w:right w:val="single" w:sz="4" w:space="0" w:color="auto"/>
            </w:tcBorders>
            <w:shd w:val="clear" w:color="auto" w:fill="auto"/>
            <w:noWrap/>
            <w:vAlign w:val="bottom"/>
            <w:hideMark/>
          </w:tcPr>
          <w:p w14:paraId="4725117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0.611</w:t>
            </w:r>
          </w:p>
        </w:tc>
      </w:tr>
      <w:tr w:rsidR="00986C96" w:rsidRPr="00986C96" w14:paraId="7C7980C7"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E96289"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coff_purce_intent_5</w:t>
            </w:r>
          </w:p>
        </w:tc>
        <w:tc>
          <w:tcPr>
            <w:tcW w:w="960" w:type="dxa"/>
            <w:tcBorders>
              <w:top w:val="nil"/>
              <w:left w:val="nil"/>
              <w:bottom w:val="single" w:sz="4" w:space="0" w:color="auto"/>
              <w:right w:val="single" w:sz="4" w:space="0" w:color="auto"/>
            </w:tcBorders>
            <w:shd w:val="clear" w:color="auto" w:fill="auto"/>
            <w:noWrap/>
            <w:vAlign w:val="bottom"/>
            <w:hideMark/>
          </w:tcPr>
          <w:p w14:paraId="5175F9C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0.711</w:t>
            </w:r>
          </w:p>
        </w:tc>
        <w:tc>
          <w:tcPr>
            <w:tcW w:w="960" w:type="dxa"/>
            <w:tcBorders>
              <w:top w:val="nil"/>
              <w:left w:val="nil"/>
              <w:bottom w:val="single" w:sz="4" w:space="0" w:color="auto"/>
              <w:right w:val="single" w:sz="4" w:space="0" w:color="auto"/>
            </w:tcBorders>
            <w:shd w:val="clear" w:color="auto" w:fill="auto"/>
            <w:noWrap/>
            <w:vAlign w:val="bottom"/>
            <w:hideMark/>
          </w:tcPr>
          <w:p w14:paraId="35FD647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0.703</w:t>
            </w:r>
          </w:p>
        </w:tc>
        <w:tc>
          <w:tcPr>
            <w:tcW w:w="960" w:type="dxa"/>
            <w:tcBorders>
              <w:top w:val="nil"/>
              <w:left w:val="nil"/>
              <w:bottom w:val="single" w:sz="4" w:space="0" w:color="auto"/>
              <w:right w:val="single" w:sz="4" w:space="0" w:color="auto"/>
            </w:tcBorders>
            <w:shd w:val="clear" w:color="auto" w:fill="auto"/>
            <w:noWrap/>
            <w:vAlign w:val="bottom"/>
            <w:hideMark/>
          </w:tcPr>
          <w:p w14:paraId="550358F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0.727</w:t>
            </w:r>
          </w:p>
        </w:tc>
      </w:tr>
      <w:tr w:rsidR="00986C96" w:rsidRPr="00986C96" w14:paraId="4D5C66AA"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4E4C33"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coff_purce_intent_6</w:t>
            </w:r>
          </w:p>
        </w:tc>
        <w:tc>
          <w:tcPr>
            <w:tcW w:w="960" w:type="dxa"/>
            <w:tcBorders>
              <w:top w:val="nil"/>
              <w:left w:val="nil"/>
              <w:bottom w:val="single" w:sz="4" w:space="0" w:color="auto"/>
              <w:right w:val="single" w:sz="4" w:space="0" w:color="auto"/>
            </w:tcBorders>
            <w:shd w:val="clear" w:color="auto" w:fill="auto"/>
            <w:noWrap/>
            <w:vAlign w:val="bottom"/>
            <w:hideMark/>
          </w:tcPr>
          <w:p w14:paraId="42CE2EB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0.897</w:t>
            </w:r>
          </w:p>
        </w:tc>
        <w:tc>
          <w:tcPr>
            <w:tcW w:w="960" w:type="dxa"/>
            <w:tcBorders>
              <w:top w:val="nil"/>
              <w:left w:val="nil"/>
              <w:bottom w:val="single" w:sz="4" w:space="0" w:color="auto"/>
              <w:right w:val="single" w:sz="4" w:space="0" w:color="auto"/>
            </w:tcBorders>
            <w:shd w:val="clear" w:color="auto" w:fill="auto"/>
            <w:noWrap/>
            <w:vAlign w:val="bottom"/>
            <w:hideMark/>
          </w:tcPr>
          <w:p w14:paraId="7AE436A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w:t>
            </w:r>
          </w:p>
        </w:tc>
        <w:tc>
          <w:tcPr>
            <w:tcW w:w="960" w:type="dxa"/>
            <w:tcBorders>
              <w:top w:val="nil"/>
              <w:left w:val="nil"/>
              <w:bottom w:val="single" w:sz="4" w:space="0" w:color="auto"/>
              <w:right w:val="single" w:sz="4" w:space="0" w:color="auto"/>
            </w:tcBorders>
            <w:shd w:val="clear" w:color="auto" w:fill="auto"/>
            <w:noWrap/>
            <w:vAlign w:val="bottom"/>
            <w:hideMark/>
          </w:tcPr>
          <w:p w14:paraId="201128F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0.894</w:t>
            </w:r>
          </w:p>
        </w:tc>
      </w:tr>
      <w:tr w:rsidR="00986C96" w:rsidRPr="00986C96" w14:paraId="7DF77F58"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CDB5BA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behaviour_intent_1</w:t>
            </w:r>
          </w:p>
        </w:tc>
        <w:tc>
          <w:tcPr>
            <w:tcW w:w="960" w:type="dxa"/>
            <w:tcBorders>
              <w:top w:val="nil"/>
              <w:left w:val="nil"/>
              <w:bottom w:val="single" w:sz="4" w:space="0" w:color="auto"/>
              <w:right w:val="single" w:sz="4" w:space="0" w:color="auto"/>
            </w:tcBorders>
            <w:shd w:val="clear" w:color="auto" w:fill="auto"/>
            <w:noWrap/>
            <w:vAlign w:val="bottom"/>
            <w:hideMark/>
          </w:tcPr>
          <w:p w14:paraId="3658E67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0.935</w:t>
            </w:r>
          </w:p>
        </w:tc>
        <w:tc>
          <w:tcPr>
            <w:tcW w:w="960" w:type="dxa"/>
            <w:tcBorders>
              <w:top w:val="nil"/>
              <w:left w:val="nil"/>
              <w:bottom w:val="single" w:sz="4" w:space="0" w:color="auto"/>
              <w:right w:val="single" w:sz="4" w:space="0" w:color="auto"/>
            </w:tcBorders>
            <w:shd w:val="clear" w:color="auto" w:fill="auto"/>
            <w:noWrap/>
            <w:vAlign w:val="bottom"/>
            <w:hideMark/>
          </w:tcPr>
          <w:p w14:paraId="0B8E75B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0.951</w:t>
            </w:r>
          </w:p>
        </w:tc>
        <w:tc>
          <w:tcPr>
            <w:tcW w:w="960" w:type="dxa"/>
            <w:tcBorders>
              <w:top w:val="nil"/>
              <w:left w:val="nil"/>
              <w:bottom w:val="single" w:sz="4" w:space="0" w:color="auto"/>
              <w:right w:val="single" w:sz="4" w:space="0" w:color="auto"/>
            </w:tcBorders>
            <w:shd w:val="clear" w:color="auto" w:fill="auto"/>
            <w:noWrap/>
            <w:vAlign w:val="bottom"/>
            <w:hideMark/>
          </w:tcPr>
          <w:p w14:paraId="7346CB7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0.918</w:t>
            </w:r>
          </w:p>
        </w:tc>
      </w:tr>
      <w:tr w:rsidR="00986C96" w:rsidRPr="00986C96" w14:paraId="50AB8F52"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DD565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behaviour_intent_2</w:t>
            </w:r>
          </w:p>
        </w:tc>
        <w:tc>
          <w:tcPr>
            <w:tcW w:w="960" w:type="dxa"/>
            <w:tcBorders>
              <w:top w:val="nil"/>
              <w:left w:val="nil"/>
              <w:bottom w:val="single" w:sz="4" w:space="0" w:color="auto"/>
              <w:right w:val="single" w:sz="4" w:space="0" w:color="auto"/>
            </w:tcBorders>
            <w:shd w:val="clear" w:color="auto" w:fill="auto"/>
            <w:noWrap/>
            <w:vAlign w:val="bottom"/>
            <w:hideMark/>
          </w:tcPr>
          <w:p w14:paraId="38454B4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0.932</w:t>
            </w:r>
          </w:p>
        </w:tc>
        <w:tc>
          <w:tcPr>
            <w:tcW w:w="960" w:type="dxa"/>
            <w:tcBorders>
              <w:top w:val="nil"/>
              <w:left w:val="nil"/>
              <w:bottom w:val="single" w:sz="4" w:space="0" w:color="auto"/>
              <w:right w:val="single" w:sz="4" w:space="0" w:color="auto"/>
            </w:tcBorders>
            <w:shd w:val="clear" w:color="auto" w:fill="auto"/>
            <w:noWrap/>
            <w:vAlign w:val="bottom"/>
            <w:hideMark/>
          </w:tcPr>
          <w:p w14:paraId="556695B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0.945</w:t>
            </w:r>
          </w:p>
        </w:tc>
        <w:tc>
          <w:tcPr>
            <w:tcW w:w="960" w:type="dxa"/>
            <w:tcBorders>
              <w:top w:val="nil"/>
              <w:left w:val="nil"/>
              <w:bottom w:val="single" w:sz="4" w:space="0" w:color="auto"/>
              <w:right w:val="single" w:sz="4" w:space="0" w:color="auto"/>
            </w:tcBorders>
            <w:shd w:val="clear" w:color="auto" w:fill="auto"/>
            <w:noWrap/>
            <w:vAlign w:val="bottom"/>
            <w:hideMark/>
          </w:tcPr>
          <w:p w14:paraId="5B89CDD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0.915</w:t>
            </w:r>
          </w:p>
        </w:tc>
      </w:tr>
      <w:tr w:rsidR="00986C96" w:rsidRPr="00986C96" w14:paraId="6FE282E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0A6162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behaviour_intent_3</w:t>
            </w:r>
          </w:p>
        </w:tc>
        <w:tc>
          <w:tcPr>
            <w:tcW w:w="960" w:type="dxa"/>
            <w:tcBorders>
              <w:top w:val="nil"/>
              <w:left w:val="nil"/>
              <w:bottom w:val="single" w:sz="4" w:space="0" w:color="auto"/>
              <w:right w:val="single" w:sz="4" w:space="0" w:color="auto"/>
            </w:tcBorders>
            <w:shd w:val="clear" w:color="auto" w:fill="auto"/>
            <w:noWrap/>
            <w:vAlign w:val="bottom"/>
            <w:hideMark/>
          </w:tcPr>
          <w:p w14:paraId="5EADB0E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0.905</w:t>
            </w:r>
          </w:p>
        </w:tc>
        <w:tc>
          <w:tcPr>
            <w:tcW w:w="960" w:type="dxa"/>
            <w:tcBorders>
              <w:top w:val="nil"/>
              <w:left w:val="nil"/>
              <w:bottom w:val="single" w:sz="4" w:space="0" w:color="auto"/>
              <w:right w:val="single" w:sz="4" w:space="0" w:color="auto"/>
            </w:tcBorders>
            <w:shd w:val="clear" w:color="auto" w:fill="auto"/>
            <w:noWrap/>
            <w:vAlign w:val="bottom"/>
            <w:hideMark/>
          </w:tcPr>
          <w:p w14:paraId="4869B2F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0.916</w:t>
            </w:r>
          </w:p>
        </w:tc>
        <w:tc>
          <w:tcPr>
            <w:tcW w:w="960" w:type="dxa"/>
            <w:tcBorders>
              <w:top w:val="nil"/>
              <w:left w:val="nil"/>
              <w:bottom w:val="single" w:sz="4" w:space="0" w:color="auto"/>
              <w:right w:val="single" w:sz="4" w:space="0" w:color="auto"/>
            </w:tcBorders>
            <w:shd w:val="clear" w:color="auto" w:fill="auto"/>
            <w:noWrap/>
            <w:vAlign w:val="bottom"/>
            <w:hideMark/>
          </w:tcPr>
          <w:p w14:paraId="1A02938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0.889</w:t>
            </w:r>
          </w:p>
        </w:tc>
      </w:tr>
      <w:tr w:rsidR="00986C96" w:rsidRPr="00986C96" w14:paraId="702B2E6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FC5929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behaviour_intent_4</w:t>
            </w:r>
          </w:p>
        </w:tc>
        <w:tc>
          <w:tcPr>
            <w:tcW w:w="960" w:type="dxa"/>
            <w:tcBorders>
              <w:top w:val="nil"/>
              <w:left w:val="nil"/>
              <w:bottom w:val="single" w:sz="4" w:space="0" w:color="auto"/>
              <w:right w:val="single" w:sz="4" w:space="0" w:color="auto"/>
            </w:tcBorders>
            <w:shd w:val="clear" w:color="auto" w:fill="auto"/>
            <w:noWrap/>
            <w:vAlign w:val="bottom"/>
            <w:hideMark/>
          </w:tcPr>
          <w:p w14:paraId="39968D0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0.891</w:t>
            </w:r>
          </w:p>
        </w:tc>
        <w:tc>
          <w:tcPr>
            <w:tcW w:w="960" w:type="dxa"/>
            <w:tcBorders>
              <w:top w:val="nil"/>
              <w:left w:val="nil"/>
              <w:bottom w:val="single" w:sz="4" w:space="0" w:color="auto"/>
              <w:right w:val="single" w:sz="4" w:space="0" w:color="auto"/>
            </w:tcBorders>
            <w:shd w:val="clear" w:color="auto" w:fill="auto"/>
            <w:noWrap/>
            <w:vAlign w:val="bottom"/>
            <w:hideMark/>
          </w:tcPr>
          <w:p w14:paraId="5FADAA1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0.924</w:t>
            </w:r>
          </w:p>
        </w:tc>
        <w:tc>
          <w:tcPr>
            <w:tcW w:w="960" w:type="dxa"/>
            <w:tcBorders>
              <w:top w:val="nil"/>
              <w:left w:val="nil"/>
              <w:bottom w:val="single" w:sz="4" w:space="0" w:color="auto"/>
              <w:right w:val="single" w:sz="4" w:space="0" w:color="auto"/>
            </w:tcBorders>
            <w:shd w:val="clear" w:color="auto" w:fill="auto"/>
            <w:noWrap/>
            <w:vAlign w:val="bottom"/>
            <w:hideMark/>
          </w:tcPr>
          <w:p w14:paraId="246274E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0.844</w:t>
            </w:r>
          </w:p>
        </w:tc>
      </w:tr>
      <w:tr w:rsidR="00986C96" w:rsidRPr="00986C96" w14:paraId="40769F50"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A14FD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behaviour_intent_5</w:t>
            </w:r>
          </w:p>
        </w:tc>
        <w:tc>
          <w:tcPr>
            <w:tcW w:w="960" w:type="dxa"/>
            <w:tcBorders>
              <w:top w:val="nil"/>
              <w:left w:val="nil"/>
              <w:bottom w:val="single" w:sz="4" w:space="0" w:color="auto"/>
              <w:right w:val="single" w:sz="4" w:space="0" w:color="auto"/>
            </w:tcBorders>
            <w:shd w:val="clear" w:color="auto" w:fill="auto"/>
            <w:noWrap/>
            <w:vAlign w:val="bottom"/>
            <w:hideMark/>
          </w:tcPr>
          <w:p w14:paraId="1E8093C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0.74</w:t>
            </w:r>
          </w:p>
        </w:tc>
        <w:tc>
          <w:tcPr>
            <w:tcW w:w="960" w:type="dxa"/>
            <w:tcBorders>
              <w:top w:val="nil"/>
              <w:left w:val="nil"/>
              <w:bottom w:val="single" w:sz="4" w:space="0" w:color="auto"/>
              <w:right w:val="single" w:sz="4" w:space="0" w:color="auto"/>
            </w:tcBorders>
            <w:shd w:val="clear" w:color="auto" w:fill="auto"/>
            <w:noWrap/>
            <w:vAlign w:val="bottom"/>
            <w:hideMark/>
          </w:tcPr>
          <w:p w14:paraId="45B29E6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0.796</w:t>
            </w:r>
          </w:p>
        </w:tc>
        <w:tc>
          <w:tcPr>
            <w:tcW w:w="960" w:type="dxa"/>
            <w:tcBorders>
              <w:top w:val="nil"/>
              <w:left w:val="nil"/>
              <w:bottom w:val="single" w:sz="4" w:space="0" w:color="auto"/>
              <w:right w:val="single" w:sz="4" w:space="0" w:color="auto"/>
            </w:tcBorders>
            <w:shd w:val="clear" w:color="auto" w:fill="auto"/>
            <w:noWrap/>
            <w:vAlign w:val="bottom"/>
            <w:hideMark/>
          </w:tcPr>
          <w:p w14:paraId="7074809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0.633</w:t>
            </w:r>
          </w:p>
        </w:tc>
      </w:tr>
      <w:tr w:rsidR="00986C96" w:rsidRPr="00986C96" w14:paraId="1B4AD51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CA9436"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behaviour_intent_6</w:t>
            </w:r>
          </w:p>
        </w:tc>
        <w:tc>
          <w:tcPr>
            <w:tcW w:w="960" w:type="dxa"/>
            <w:tcBorders>
              <w:top w:val="nil"/>
              <w:left w:val="nil"/>
              <w:bottom w:val="single" w:sz="4" w:space="0" w:color="auto"/>
              <w:right w:val="single" w:sz="4" w:space="0" w:color="auto"/>
            </w:tcBorders>
            <w:shd w:val="clear" w:color="auto" w:fill="auto"/>
            <w:noWrap/>
            <w:vAlign w:val="bottom"/>
            <w:hideMark/>
          </w:tcPr>
          <w:p w14:paraId="73A48E6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0.917</w:t>
            </w:r>
          </w:p>
        </w:tc>
        <w:tc>
          <w:tcPr>
            <w:tcW w:w="960" w:type="dxa"/>
            <w:tcBorders>
              <w:top w:val="nil"/>
              <w:left w:val="nil"/>
              <w:bottom w:val="single" w:sz="4" w:space="0" w:color="auto"/>
              <w:right w:val="single" w:sz="4" w:space="0" w:color="auto"/>
            </w:tcBorders>
            <w:shd w:val="clear" w:color="auto" w:fill="auto"/>
            <w:noWrap/>
            <w:vAlign w:val="bottom"/>
            <w:hideMark/>
          </w:tcPr>
          <w:p w14:paraId="0AF87E8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0.951</w:t>
            </w:r>
          </w:p>
        </w:tc>
        <w:tc>
          <w:tcPr>
            <w:tcW w:w="960" w:type="dxa"/>
            <w:tcBorders>
              <w:top w:val="nil"/>
              <w:left w:val="nil"/>
              <w:bottom w:val="single" w:sz="4" w:space="0" w:color="auto"/>
              <w:right w:val="single" w:sz="4" w:space="0" w:color="auto"/>
            </w:tcBorders>
            <w:shd w:val="clear" w:color="auto" w:fill="auto"/>
            <w:noWrap/>
            <w:vAlign w:val="bottom"/>
            <w:hideMark/>
          </w:tcPr>
          <w:p w14:paraId="7A1BE5C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0.861</w:t>
            </w:r>
          </w:p>
        </w:tc>
      </w:tr>
      <w:tr w:rsidR="00986C96" w:rsidRPr="00986C96" w14:paraId="486DAE7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0DEA0D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info_1</w:t>
            </w:r>
          </w:p>
        </w:tc>
        <w:tc>
          <w:tcPr>
            <w:tcW w:w="960" w:type="dxa"/>
            <w:tcBorders>
              <w:top w:val="nil"/>
              <w:left w:val="nil"/>
              <w:bottom w:val="single" w:sz="4" w:space="0" w:color="auto"/>
              <w:right w:val="single" w:sz="4" w:space="0" w:color="auto"/>
            </w:tcBorders>
            <w:shd w:val="clear" w:color="auto" w:fill="auto"/>
            <w:noWrap/>
            <w:vAlign w:val="bottom"/>
            <w:hideMark/>
          </w:tcPr>
          <w:p w14:paraId="17CE044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0.814</w:t>
            </w:r>
          </w:p>
        </w:tc>
        <w:tc>
          <w:tcPr>
            <w:tcW w:w="960" w:type="dxa"/>
            <w:tcBorders>
              <w:top w:val="nil"/>
              <w:left w:val="nil"/>
              <w:bottom w:val="single" w:sz="4" w:space="0" w:color="auto"/>
              <w:right w:val="single" w:sz="4" w:space="0" w:color="auto"/>
            </w:tcBorders>
            <w:shd w:val="clear" w:color="auto" w:fill="auto"/>
            <w:noWrap/>
            <w:vAlign w:val="bottom"/>
            <w:hideMark/>
          </w:tcPr>
          <w:p w14:paraId="5586979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0.802</w:t>
            </w:r>
          </w:p>
        </w:tc>
        <w:tc>
          <w:tcPr>
            <w:tcW w:w="960" w:type="dxa"/>
            <w:tcBorders>
              <w:top w:val="nil"/>
              <w:left w:val="nil"/>
              <w:bottom w:val="single" w:sz="4" w:space="0" w:color="auto"/>
              <w:right w:val="single" w:sz="4" w:space="0" w:color="auto"/>
            </w:tcBorders>
            <w:shd w:val="clear" w:color="auto" w:fill="auto"/>
            <w:noWrap/>
            <w:vAlign w:val="bottom"/>
            <w:hideMark/>
          </w:tcPr>
          <w:p w14:paraId="277180F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w:t>
            </w:r>
          </w:p>
        </w:tc>
      </w:tr>
      <w:tr w:rsidR="00986C96" w:rsidRPr="00986C96" w14:paraId="55F91020"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CBF00A"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info_2</w:t>
            </w:r>
          </w:p>
        </w:tc>
        <w:tc>
          <w:tcPr>
            <w:tcW w:w="960" w:type="dxa"/>
            <w:tcBorders>
              <w:top w:val="nil"/>
              <w:left w:val="nil"/>
              <w:bottom w:val="single" w:sz="4" w:space="0" w:color="auto"/>
              <w:right w:val="single" w:sz="4" w:space="0" w:color="auto"/>
            </w:tcBorders>
            <w:shd w:val="clear" w:color="auto" w:fill="auto"/>
            <w:noWrap/>
            <w:vAlign w:val="bottom"/>
            <w:hideMark/>
          </w:tcPr>
          <w:p w14:paraId="54C4886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0.806</w:t>
            </w:r>
          </w:p>
        </w:tc>
        <w:tc>
          <w:tcPr>
            <w:tcW w:w="960" w:type="dxa"/>
            <w:tcBorders>
              <w:top w:val="nil"/>
              <w:left w:val="nil"/>
              <w:bottom w:val="single" w:sz="4" w:space="0" w:color="auto"/>
              <w:right w:val="single" w:sz="4" w:space="0" w:color="auto"/>
            </w:tcBorders>
            <w:shd w:val="clear" w:color="auto" w:fill="auto"/>
            <w:noWrap/>
            <w:vAlign w:val="bottom"/>
            <w:hideMark/>
          </w:tcPr>
          <w:p w14:paraId="12B27A7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w:t>
            </w:r>
          </w:p>
        </w:tc>
        <w:tc>
          <w:tcPr>
            <w:tcW w:w="960" w:type="dxa"/>
            <w:tcBorders>
              <w:top w:val="nil"/>
              <w:left w:val="nil"/>
              <w:bottom w:val="single" w:sz="4" w:space="0" w:color="auto"/>
              <w:right w:val="single" w:sz="4" w:space="0" w:color="auto"/>
            </w:tcBorders>
            <w:shd w:val="clear" w:color="auto" w:fill="auto"/>
            <w:noWrap/>
            <w:vAlign w:val="bottom"/>
            <w:hideMark/>
          </w:tcPr>
          <w:p w14:paraId="6410076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0.757</w:t>
            </w:r>
          </w:p>
        </w:tc>
      </w:tr>
      <w:tr w:rsidR="00986C96" w:rsidRPr="00986C96" w14:paraId="2E9FC05B"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EEC7251"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info_3</w:t>
            </w:r>
          </w:p>
        </w:tc>
        <w:tc>
          <w:tcPr>
            <w:tcW w:w="960" w:type="dxa"/>
            <w:tcBorders>
              <w:top w:val="nil"/>
              <w:left w:val="nil"/>
              <w:bottom w:val="single" w:sz="4" w:space="0" w:color="auto"/>
              <w:right w:val="single" w:sz="4" w:space="0" w:color="auto"/>
            </w:tcBorders>
            <w:shd w:val="clear" w:color="auto" w:fill="auto"/>
            <w:noWrap/>
            <w:vAlign w:val="bottom"/>
            <w:hideMark/>
          </w:tcPr>
          <w:p w14:paraId="5FEA6D5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w:t>
            </w:r>
          </w:p>
        </w:tc>
        <w:tc>
          <w:tcPr>
            <w:tcW w:w="960" w:type="dxa"/>
            <w:tcBorders>
              <w:top w:val="nil"/>
              <w:left w:val="nil"/>
              <w:bottom w:val="single" w:sz="4" w:space="0" w:color="auto"/>
              <w:right w:val="single" w:sz="4" w:space="0" w:color="auto"/>
            </w:tcBorders>
            <w:shd w:val="clear" w:color="auto" w:fill="auto"/>
            <w:noWrap/>
            <w:vAlign w:val="bottom"/>
            <w:hideMark/>
          </w:tcPr>
          <w:p w14:paraId="3F7142E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0.811</w:t>
            </w:r>
          </w:p>
        </w:tc>
        <w:tc>
          <w:tcPr>
            <w:tcW w:w="960" w:type="dxa"/>
            <w:tcBorders>
              <w:top w:val="nil"/>
              <w:left w:val="nil"/>
              <w:bottom w:val="single" w:sz="4" w:space="0" w:color="auto"/>
              <w:right w:val="single" w:sz="4" w:space="0" w:color="auto"/>
            </w:tcBorders>
            <w:shd w:val="clear" w:color="auto" w:fill="auto"/>
            <w:noWrap/>
            <w:vAlign w:val="bottom"/>
            <w:hideMark/>
          </w:tcPr>
          <w:p w14:paraId="7720566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0.849</w:t>
            </w:r>
          </w:p>
        </w:tc>
      </w:tr>
      <w:tr w:rsidR="00986C96" w:rsidRPr="00986C96" w14:paraId="6640A32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A31E2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norm_1</w:t>
            </w:r>
          </w:p>
        </w:tc>
        <w:tc>
          <w:tcPr>
            <w:tcW w:w="960" w:type="dxa"/>
            <w:tcBorders>
              <w:top w:val="nil"/>
              <w:left w:val="nil"/>
              <w:bottom w:val="single" w:sz="4" w:space="0" w:color="auto"/>
              <w:right w:val="single" w:sz="4" w:space="0" w:color="auto"/>
            </w:tcBorders>
            <w:shd w:val="clear" w:color="auto" w:fill="auto"/>
            <w:noWrap/>
            <w:vAlign w:val="bottom"/>
            <w:hideMark/>
          </w:tcPr>
          <w:p w14:paraId="29C98A4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0.798</w:t>
            </w:r>
          </w:p>
        </w:tc>
        <w:tc>
          <w:tcPr>
            <w:tcW w:w="960" w:type="dxa"/>
            <w:tcBorders>
              <w:top w:val="nil"/>
              <w:left w:val="nil"/>
              <w:bottom w:val="single" w:sz="4" w:space="0" w:color="auto"/>
              <w:right w:val="single" w:sz="4" w:space="0" w:color="auto"/>
            </w:tcBorders>
            <w:shd w:val="clear" w:color="auto" w:fill="auto"/>
            <w:noWrap/>
            <w:vAlign w:val="bottom"/>
            <w:hideMark/>
          </w:tcPr>
          <w:p w14:paraId="33C9944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0.786</w:t>
            </w:r>
          </w:p>
        </w:tc>
        <w:tc>
          <w:tcPr>
            <w:tcW w:w="960" w:type="dxa"/>
            <w:tcBorders>
              <w:top w:val="nil"/>
              <w:left w:val="nil"/>
              <w:bottom w:val="single" w:sz="4" w:space="0" w:color="auto"/>
              <w:right w:val="single" w:sz="4" w:space="0" w:color="auto"/>
            </w:tcBorders>
            <w:shd w:val="clear" w:color="auto" w:fill="auto"/>
            <w:noWrap/>
            <w:vAlign w:val="bottom"/>
            <w:hideMark/>
          </w:tcPr>
          <w:p w14:paraId="574AA8F5"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0.813</w:t>
            </w:r>
          </w:p>
        </w:tc>
      </w:tr>
      <w:tr w:rsidR="00986C96" w:rsidRPr="00986C96" w14:paraId="39583D11"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8C1164B"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norm_2</w:t>
            </w:r>
          </w:p>
        </w:tc>
        <w:tc>
          <w:tcPr>
            <w:tcW w:w="960" w:type="dxa"/>
            <w:tcBorders>
              <w:top w:val="nil"/>
              <w:left w:val="nil"/>
              <w:bottom w:val="single" w:sz="4" w:space="0" w:color="auto"/>
              <w:right w:val="single" w:sz="4" w:space="0" w:color="auto"/>
            </w:tcBorders>
            <w:shd w:val="clear" w:color="auto" w:fill="auto"/>
            <w:noWrap/>
            <w:vAlign w:val="bottom"/>
            <w:hideMark/>
          </w:tcPr>
          <w:p w14:paraId="02811B6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0.771</w:t>
            </w:r>
          </w:p>
        </w:tc>
        <w:tc>
          <w:tcPr>
            <w:tcW w:w="960" w:type="dxa"/>
            <w:tcBorders>
              <w:top w:val="nil"/>
              <w:left w:val="nil"/>
              <w:bottom w:val="single" w:sz="4" w:space="0" w:color="auto"/>
              <w:right w:val="single" w:sz="4" w:space="0" w:color="auto"/>
            </w:tcBorders>
            <w:shd w:val="clear" w:color="auto" w:fill="auto"/>
            <w:noWrap/>
            <w:vAlign w:val="bottom"/>
            <w:hideMark/>
          </w:tcPr>
          <w:p w14:paraId="2E0433C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0.808</w:t>
            </w:r>
          </w:p>
        </w:tc>
        <w:tc>
          <w:tcPr>
            <w:tcW w:w="960" w:type="dxa"/>
            <w:tcBorders>
              <w:top w:val="nil"/>
              <w:left w:val="nil"/>
              <w:bottom w:val="single" w:sz="4" w:space="0" w:color="auto"/>
              <w:right w:val="single" w:sz="4" w:space="0" w:color="auto"/>
            </w:tcBorders>
            <w:shd w:val="clear" w:color="auto" w:fill="auto"/>
            <w:noWrap/>
            <w:vAlign w:val="bottom"/>
            <w:hideMark/>
          </w:tcPr>
          <w:p w14:paraId="724417F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0.72</w:t>
            </w:r>
          </w:p>
        </w:tc>
      </w:tr>
      <w:tr w:rsidR="00986C96" w:rsidRPr="00986C96" w14:paraId="416811ED"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2B8308"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norm_3</w:t>
            </w:r>
          </w:p>
        </w:tc>
        <w:tc>
          <w:tcPr>
            <w:tcW w:w="960" w:type="dxa"/>
            <w:tcBorders>
              <w:top w:val="nil"/>
              <w:left w:val="nil"/>
              <w:bottom w:val="single" w:sz="4" w:space="0" w:color="auto"/>
              <w:right w:val="single" w:sz="4" w:space="0" w:color="auto"/>
            </w:tcBorders>
            <w:shd w:val="clear" w:color="auto" w:fill="auto"/>
            <w:noWrap/>
            <w:vAlign w:val="bottom"/>
            <w:hideMark/>
          </w:tcPr>
          <w:p w14:paraId="654E72D1"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0.836</w:t>
            </w:r>
          </w:p>
        </w:tc>
        <w:tc>
          <w:tcPr>
            <w:tcW w:w="960" w:type="dxa"/>
            <w:tcBorders>
              <w:top w:val="nil"/>
              <w:left w:val="nil"/>
              <w:bottom w:val="single" w:sz="4" w:space="0" w:color="auto"/>
              <w:right w:val="single" w:sz="4" w:space="0" w:color="auto"/>
            </w:tcBorders>
            <w:shd w:val="clear" w:color="auto" w:fill="auto"/>
            <w:noWrap/>
            <w:vAlign w:val="bottom"/>
            <w:hideMark/>
          </w:tcPr>
          <w:p w14:paraId="0D979C8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0.843</w:t>
            </w:r>
          </w:p>
        </w:tc>
        <w:tc>
          <w:tcPr>
            <w:tcW w:w="960" w:type="dxa"/>
            <w:tcBorders>
              <w:top w:val="nil"/>
              <w:left w:val="nil"/>
              <w:bottom w:val="single" w:sz="4" w:space="0" w:color="auto"/>
              <w:right w:val="single" w:sz="4" w:space="0" w:color="auto"/>
            </w:tcBorders>
            <w:shd w:val="clear" w:color="auto" w:fill="auto"/>
            <w:noWrap/>
            <w:vAlign w:val="bottom"/>
            <w:hideMark/>
          </w:tcPr>
          <w:p w14:paraId="0C5C063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0.826</w:t>
            </w:r>
          </w:p>
        </w:tc>
      </w:tr>
      <w:tr w:rsidR="00986C96" w:rsidRPr="00986C96" w14:paraId="6819BD90"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0847AAD"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norm_4</w:t>
            </w:r>
          </w:p>
        </w:tc>
        <w:tc>
          <w:tcPr>
            <w:tcW w:w="960" w:type="dxa"/>
            <w:tcBorders>
              <w:top w:val="nil"/>
              <w:left w:val="nil"/>
              <w:bottom w:val="single" w:sz="4" w:space="0" w:color="auto"/>
              <w:right w:val="single" w:sz="4" w:space="0" w:color="auto"/>
            </w:tcBorders>
            <w:shd w:val="clear" w:color="auto" w:fill="auto"/>
            <w:noWrap/>
            <w:vAlign w:val="bottom"/>
            <w:hideMark/>
          </w:tcPr>
          <w:p w14:paraId="056326ED"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0.814</w:t>
            </w:r>
          </w:p>
        </w:tc>
        <w:tc>
          <w:tcPr>
            <w:tcW w:w="960" w:type="dxa"/>
            <w:tcBorders>
              <w:top w:val="nil"/>
              <w:left w:val="nil"/>
              <w:bottom w:val="single" w:sz="4" w:space="0" w:color="auto"/>
              <w:right w:val="single" w:sz="4" w:space="0" w:color="auto"/>
            </w:tcBorders>
            <w:shd w:val="clear" w:color="auto" w:fill="auto"/>
            <w:noWrap/>
            <w:vAlign w:val="bottom"/>
            <w:hideMark/>
          </w:tcPr>
          <w:p w14:paraId="47D9110A"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w:t>
            </w:r>
          </w:p>
        </w:tc>
        <w:tc>
          <w:tcPr>
            <w:tcW w:w="960" w:type="dxa"/>
            <w:tcBorders>
              <w:top w:val="nil"/>
              <w:left w:val="nil"/>
              <w:bottom w:val="single" w:sz="4" w:space="0" w:color="auto"/>
              <w:right w:val="single" w:sz="4" w:space="0" w:color="auto"/>
            </w:tcBorders>
            <w:shd w:val="clear" w:color="auto" w:fill="auto"/>
            <w:noWrap/>
            <w:vAlign w:val="bottom"/>
            <w:hideMark/>
          </w:tcPr>
          <w:p w14:paraId="6D6F7649"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0.835</w:t>
            </w:r>
          </w:p>
        </w:tc>
      </w:tr>
      <w:tr w:rsidR="00986C96" w:rsidRPr="00986C96" w14:paraId="7596076F"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8A1EA5"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norm_5</w:t>
            </w:r>
          </w:p>
        </w:tc>
        <w:tc>
          <w:tcPr>
            <w:tcW w:w="960" w:type="dxa"/>
            <w:tcBorders>
              <w:top w:val="nil"/>
              <w:left w:val="nil"/>
              <w:bottom w:val="single" w:sz="4" w:space="0" w:color="auto"/>
              <w:right w:val="single" w:sz="4" w:space="0" w:color="auto"/>
            </w:tcBorders>
            <w:shd w:val="clear" w:color="auto" w:fill="auto"/>
            <w:noWrap/>
            <w:vAlign w:val="bottom"/>
            <w:hideMark/>
          </w:tcPr>
          <w:p w14:paraId="53C677E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0.79</w:t>
            </w:r>
          </w:p>
        </w:tc>
        <w:tc>
          <w:tcPr>
            <w:tcW w:w="960" w:type="dxa"/>
            <w:tcBorders>
              <w:top w:val="nil"/>
              <w:left w:val="nil"/>
              <w:bottom w:val="single" w:sz="4" w:space="0" w:color="auto"/>
              <w:right w:val="single" w:sz="4" w:space="0" w:color="auto"/>
            </w:tcBorders>
            <w:shd w:val="clear" w:color="auto" w:fill="auto"/>
            <w:noWrap/>
            <w:vAlign w:val="bottom"/>
            <w:hideMark/>
          </w:tcPr>
          <w:p w14:paraId="7FF2E28F"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0.808</w:t>
            </w:r>
          </w:p>
        </w:tc>
        <w:tc>
          <w:tcPr>
            <w:tcW w:w="960" w:type="dxa"/>
            <w:tcBorders>
              <w:top w:val="nil"/>
              <w:left w:val="nil"/>
              <w:bottom w:val="single" w:sz="4" w:space="0" w:color="auto"/>
              <w:right w:val="single" w:sz="4" w:space="0" w:color="auto"/>
            </w:tcBorders>
            <w:shd w:val="clear" w:color="auto" w:fill="auto"/>
            <w:noWrap/>
            <w:vAlign w:val="bottom"/>
            <w:hideMark/>
          </w:tcPr>
          <w:p w14:paraId="23EA7BA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0.773</w:t>
            </w:r>
          </w:p>
        </w:tc>
      </w:tr>
      <w:tr w:rsidR="00986C96" w:rsidRPr="00986C96" w14:paraId="48AC4AAA"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A82AC2"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expertise_1</w:t>
            </w:r>
          </w:p>
        </w:tc>
        <w:tc>
          <w:tcPr>
            <w:tcW w:w="960" w:type="dxa"/>
            <w:tcBorders>
              <w:top w:val="nil"/>
              <w:left w:val="nil"/>
              <w:bottom w:val="single" w:sz="4" w:space="0" w:color="auto"/>
              <w:right w:val="single" w:sz="4" w:space="0" w:color="auto"/>
            </w:tcBorders>
            <w:shd w:val="clear" w:color="auto" w:fill="auto"/>
            <w:noWrap/>
            <w:vAlign w:val="bottom"/>
            <w:hideMark/>
          </w:tcPr>
          <w:p w14:paraId="297D0AA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0.889</w:t>
            </w:r>
          </w:p>
        </w:tc>
        <w:tc>
          <w:tcPr>
            <w:tcW w:w="960" w:type="dxa"/>
            <w:tcBorders>
              <w:top w:val="nil"/>
              <w:left w:val="nil"/>
              <w:bottom w:val="single" w:sz="4" w:space="0" w:color="auto"/>
              <w:right w:val="single" w:sz="4" w:space="0" w:color="auto"/>
            </w:tcBorders>
            <w:shd w:val="clear" w:color="auto" w:fill="auto"/>
            <w:noWrap/>
            <w:vAlign w:val="bottom"/>
            <w:hideMark/>
          </w:tcPr>
          <w:p w14:paraId="3D0E68A8"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0.903</w:t>
            </w:r>
          </w:p>
        </w:tc>
        <w:tc>
          <w:tcPr>
            <w:tcW w:w="960" w:type="dxa"/>
            <w:tcBorders>
              <w:top w:val="nil"/>
              <w:left w:val="nil"/>
              <w:bottom w:val="single" w:sz="4" w:space="0" w:color="auto"/>
              <w:right w:val="single" w:sz="4" w:space="0" w:color="auto"/>
            </w:tcBorders>
            <w:shd w:val="clear" w:color="auto" w:fill="auto"/>
            <w:noWrap/>
            <w:vAlign w:val="bottom"/>
            <w:hideMark/>
          </w:tcPr>
          <w:p w14:paraId="6CD1D38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0.873</w:t>
            </w:r>
          </w:p>
        </w:tc>
      </w:tr>
      <w:tr w:rsidR="00986C96" w:rsidRPr="00986C96" w14:paraId="4146F599"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4B94230"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expertise_2</w:t>
            </w:r>
          </w:p>
        </w:tc>
        <w:tc>
          <w:tcPr>
            <w:tcW w:w="960" w:type="dxa"/>
            <w:tcBorders>
              <w:top w:val="nil"/>
              <w:left w:val="nil"/>
              <w:bottom w:val="single" w:sz="4" w:space="0" w:color="auto"/>
              <w:right w:val="single" w:sz="4" w:space="0" w:color="auto"/>
            </w:tcBorders>
            <w:shd w:val="clear" w:color="auto" w:fill="auto"/>
            <w:noWrap/>
            <w:vAlign w:val="bottom"/>
            <w:hideMark/>
          </w:tcPr>
          <w:p w14:paraId="222CEA8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0.935</w:t>
            </w:r>
          </w:p>
        </w:tc>
        <w:tc>
          <w:tcPr>
            <w:tcW w:w="960" w:type="dxa"/>
            <w:tcBorders>
              <w:top w:val="nil"/>
              <w:left w:val="nil"/>
              <w:bottom w:val="single" w:sz="4" w:space="0" w:color="auto"/>
              <w:right w:val="single" w:sz="4" w:space="0" w:color="auto"/>
            </w:tcBorders>
            <w:shd w:val="clear" w:color="auto" w:fill="auto"/>
            <w:noWrap/>
            <w:vAlign w:val="bottom"/>
            <w:hideMark/>
          </w:tcPr>
          <w:p w14:paraId="302E14A3"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0.94</w:t>
            </w:r>
          </w:p>
        </w:tc>
        <w:tc>
          <w:tcPr>
            <w:tcW w:w="960" w:type="dxa"/>
            <w:tcBorders>
              <w:top w:val="nil"/>
              <w:left w:val="nil"/>
              <w:bottom w:val="single" w:sz="4" w:space="0" w:color="auto"/>
              <w:right w:val="single" w:sz="4" w:space="0" w:color="auto"/>
            </w:tcBorders>
            <w:shd w:val="clear" w:color="auto" w:fill="auto"/>
            <w:noWrap/>
            <w:vAlign w:val="bottom"/>
            <w:hideMark/>
          </w:tcPr>
          <w:p w14:paraId="72DA71A7"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0.931</w:t>
            </w:r>
          </w:p>
        </w:tc>
      </w:tr>
      <w:tr w:rsidR="00986C96" w:rsidRPr="00986C96" w14:paraId="64925F9E"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48D801"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expertise_3</w:t>
            </w:r>
          </w:p>
        </w:tc>
        <w:tc>
          <w:tcPr>
            <w:tcW w:w="960" w:type="dxa"/>
            <w:tcBorders>
              <w:top w:val="nil"/>
              <w:left w:val="nil"/>
              <w:bottom w:val="single" w:sz="4" w:space="0" w:color="auto"/>
              <w:right w:val="single" w:sz="4" w:space="0" w:color="auto"/>
            </w:tcBorders>
            <w:shd w:val="clear" w:color="auto" w:fill="auto"/>
            <w:noWrap/>
            <w:vAlign w:val="bottom"/>
            <w:hideMark/>
          </w:tcPr>
          <w:p w14:paraId="37938E0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0.908</w:t>
            </w:r>
          </w:p>
        </w:tc>
        <w:tc>
          <w:tcPr>
            <w:tcW w:w="960" w:type="dxa"/>
            <w:tcBorders>
              <w:top w:val="nil"/>
              <w:left w:val="nil"/>
              <w:bottom w:val="single" w:sz="4" w:space="0" w:color="auto"/>
              <w:right w:val="single" w:sz="4" w:space="0" w:color="auto"/>
            </w:tcBorders>
            <w:shd w:val="clear" w:color="auto" w:fill="auto"/>
            <w:noWrap/>
            <w:vAlign w:val="bottom"/>
            <w:hideMark/>
          </w:tcPr>
          <w:p w14:paraId="32BBAEEE"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0.895</w:t>
            </w:r>
          </w:p>
        </w:tc>
        <w:tc>
          <w:tcPr>
            <w:tcW w:w="960" w:type="dxa"/>
            <w:tcBorders>
              <w:top w:val="nil"/>
              <w:left w:val="nil"/>
              <w:bottom w:val="single" w:sz="4" w:space="0" w:color="auto"/>
              <w:right w:val="single" w:sz="4" w:space="0" w:color="auto"/>
            </w:tcBorders>
            <w:shd w:val="clear" w:color="auto" w:fill="auto"/>
            <w:noWrap/>
            <w:vAlign w:val="bottom"/>
            <w:hideMark/>
          </w:tcPr>
          <w:p w14:paraId="6532AFE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0.924</w:t>
            </w:r>
          </w:p>
        </w:tc>
      </w:tr>
      <w:tr w:rsidR="00986C96" w:rsidRPr="00986C96" w14:paraId="16E2744C"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6B2D87"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expertise_4</w:t>
            </w:r>
          </w:p>
        </w:tc>
        <w:tc>
          <w:tcPr>
            <w:tcW w:w="960" w:type="dxa"/>
            <w:tcBorders>
              <w:top w:val="nil"/>
              <w:left w:val="nil"/>
              <w:bottom w:val="single" w:sz="4" w:space="0" w:color="auto"/>
              <w:right w:val="single" w:sz="4" w:space="0" w:color="auto"/>
            </w:tcBorders>
            <w:shd w:val="clear" w:color="auto" w:fill="auto"/>
            <w:noWrap/>
            <w:vAlign w:val="bottom"/>
            <w:hideMark/>
          </w:tcPr>
          <w:p w14:paraId="50BE7AEB"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0.917</w:t>
            </w:r>
          </w:p>
        </w:tc>
        <w:tc>
          <w:tcPr>
            <w:tcW w:w="960" w:type="dxa"/>
            <w:tcBorders>
              <w:top w:val="nil"/>
              <w:left w:val="nil"/>
              <w:bottom w:val="single" w:sz="4" w:space="0" w:color="auto"/>
              <w:right w:val="single" w:sz="4" w:space="0" w:color="auto"/>
            </w:tcBorders>
            <w:shd w:val="clear" w:color="auto" w:fill="auto"/>
            <w:noWrap/>
            <w:vAlign w:val="bottom"/>
            <w:hideMark/>
          </w:tcPr>
          <w:p w14:paraId="367E7246"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0.936</w:t>
            </w:r>
          </w:p>
        </w:tc>
        <w:tc>
          <w:tcPr>
            <w:tcW w:w="960" w:type="dxa"/>
            <w:tcBorders>
              <w:top w:val="nil"/>
              <w:left w:val="nil"/>
              <w:bottom w:val="single" w:sz="4" w:space="0" w:color="auto"/>
              <w:right w:val="single" w:sz="4" w:space="0" w:color="auto"/>
            </w:tcBorders>
            <w:shd w:val="clear" w:color="auto" w:fill="auto"/>
            <w:noWrap/>
            <w:vAlign w:val="bottom"/>
            <w:hideMark/>
          </w:tcPr>
          <w:p w14:paraId="2BF2A64C"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0.892</w:t>
            </w:r>
          </w:p>
        </w:tc>
      </w:tr>
      <w:tr w:rsidR="00986C96" w:rsidRPr="00986C96" w14:paraId="033AC062" w14:textId="77777777" w:rsidTr="00986C9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894546A" w14:textId="77777777" w:rsidR="00986C96" w:rsidRPr="00986C96" w:rsidRDefault="00986C96" w:rsidP="00986C96">
            <w:pPr>
              <w:spacing w:after="0" w:line="240" w:lineRule="auto"/>
              <w:rPr>
                <w:rFonts w:ascii="Calibri" w:eastAsia="Times New Roman" w:hAnsi="Calibri" w:cs="Calibri"/>
                <w:color w:val="000000"/>
                <w:lang w:eastAsia="en-GB"/>
              </w:rPr>
            </w:pPr>
            <w:r w:rsidRPr="00986C96">
              <w:rPr>
                <w:rFonts w:ascii="Calibri" w:eastAsia="Times New Roman" w:hAnsi="Calibri" w:cs="Calibri"/>
                <w:color w:val="000000"/>
                <w:lang w:eastAsia="en-GB"/>
              </w:rPr>
              <w:t>expertise_5</w:t>
            </w:r>
          </w:p>
        </w:tc>
        <w:tc>
          <w:tcPr>
            <w:tcW w:w="960" w:type="dxa"/>
            <w:tcBorders>
              <w:top w:val="nil"/>
              <w:left w:val="nil"/>
              <w:bottom w:val="single" w:sz="4" w:space="0" w:color="auto"/>
              <w:right w:val="single" w:sz="4" w:space="0" w:color="auto"/>
            </w:tcBorders>
            <w:shd w:val="clear" w:color="auto" w:fill="auto"/>
            <w:noWrap/>
            <w:vAlign w:val="bottom"/>
            <w:hideMark/>
          </w:tcPr>
          <w:p w14:paraId="3D7720F4"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0.916</w:t>
            </w:r>
          </w:p>
        </w:tc>
        <w:tc>
          <w:tcPr>
            <w:tcW w:w="960" w:type="dxa"/>
            <w:tcBorders>
              <w:top w:val="nil"/>
              <w:left w:val="nil"/>
              <w:bottom w:val="single" w:sz="4" w:space="0" w:color="auto"/>
              <w:right w:val="single" w:sz="4" w:space="0" w:color="auto"/>
            </w:tcBorders>
            <w:shd w:val="clear" w:color="auto" w:fill="auto"/>
            <w:noWrap/>
            <w:vAlign w:val="bottom"/>
            <w:hideMark/>
          </w:tcPr>
          <w:p w14:paraId="1E37FE32"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0.911</w:t>
            </w:r>
          </w:p>
        </w:tc>
        <w:tc>
          <w:tcPr>
            <w:tcW w:w="960" w:type="dxa"/>
            <w:tcBorders>
              <w:top w:val="nil"/>
              <w:left w:val="nil"/>
              <w:bottom w:val="single" w:sz="4" w:space="0" w:color="auto"/>
              <w:right w:val="single" w:sz="4" w:space="0" w:color="auto"/>
            </w:tcBorders>
            <w:shd w:val="clear" w:color="auto" w:fill="auto"/>
            <w:noWrap/>
            <w:vAlign w:val="bottom"/>
            <w:hideMark/>
          </w:tcPr>
          <w:p w14:paraId="651F7790" w14:textId="77777777" w:rsidR="00986C96" w:rsidRPr="00986C96" w:rsidRDefault="00986C96" w:rsidP="00986C96">
            <w:pPr>
              <w:spacing w:after="0" w:line="240" w:lineRule="auto"/>
              <w:jc w:val="right"/>
              <w:rPr>
                <w:rFonts w:ascii="Calibri" w:eastAsia="Times New Roman" w:hAnsi="Calibri" w:cs="Calibri"/>
                <w:color w:val="000000"/>
                <w:lang w:eastAsia="en-GB"/>
              </w:rPr>
            </w:pPr>
            <w:r w:rsidRPr="00986C96">
              <w:rPr>
                <w:rFonts w:ascii="Calibri" w:eastAsia="Times New Roman" w:hAnsi="Calibri" w:cs="Calibri"/>
                <w:color w:val="000000"/>
                <w:lang w:eastAsia="en-GB"/>
              </w:rPr>
              <w:t>0.924</w:t>
            </w:r>
          </w:p>
        </w:tc>
      </w:tr>
    </w:tbl>
    <w:p w14:paraId="6BDA5636" w14:textId="77777777" w:rsidR="00312F02" w:rsidRDefault="00312F02" w:rsidP="00986C96"/>
    <w:p w14:paraId="1D6A6831" w14:textId="77777777" w:rsidR="00312F02" w:rsidRDefault="00312F02" w:rsidP="00986C96"/>
    <w:p w14:paraId="2EF8470E" w14:textId="77777777" w:rsidR="00312F02" w:rsidRDefault="00312F02" w:rsidP="00986C96"/>
    <w:p w14:paraId="1617E212" w14:textId="162BF23A" w:rsidR="005001FF" w:rsidRDefault="00206CE8" w:rsidP="00986C96">
      <w:r>
        <w:t xml:space="preserve"> </w:t>
      </w:r>
    </w:p>
    <w:p w14:paraId="4BFAD20C" w14:textId="42A61816" w:rsidR="00C7217E" w:rsidRPr="00530906" w:rsidRDefault="00986C96" w:rsidP="00206CE8">
      <w:pPr>
        <w:pStyle w:val="Heading2"/>
        <w:rPr>
          <w:rFonts w:eastAsia="Calibri"/>
        </w:rPr>
      </w:pPr>
      <w:bookmarkStart w:id="132" w:name="_Toc115726287"/>
      <w:r>
        <w:rPr>
          <w:rFonts w:eastAsia="Calibri"/>
        </w:rPr>
        <w:t>Appendix 3.6-</w:t>
      </w:r>
      <w:r w:rsidR="00206CE8">
        <w:rPr>
          <w:rFonts w:eastAsia="Calibri"/>
        </w:rPr>
        <w:t>Comparison of convergent validity</w:t>
      </w:r>
      <w:r w:rsidR="00C75E0B">
        <w:rPr>
          <w:rFonts w:eastAsia="Calibri"/>
        </w:rPr>
        <w:t xml:space="preserve"> and </w:t>
      </w:r>
      <w:r w:rsidR="00A1175A" w:rsidRPr="00A1175A">
        <w:rPr>
          <w:rFonts w:eastAsia="Calibri"/>
        </w:rPr>
        <w:t>Cronbach's Alpha</w:t>
      </w:r>
      <w:r w:rsidR="00A1175A">
        <w:rPr>
          <w:rFonts w:eastAsia="Calibri"/>
        </w:rPr>
        <w:t xml:space="preserve"> (</w:t>
      </w:r>
      <w:r w:rsidR="00A1175A">
        <w:rPr>
          <w:rFonts w:ascii="Cambria" w:hAnsi="Cambria" w:cs="Adobe Devanagari"/>
        </w:rPr>
        <w:t>α</w:t>
      </w:r>
      <w:r w:rsidR="00A1175A">
        <w:rPr>
          <w:rFonts w:eastAsia="Calibri"/>
        </w:rPr>
        <w:t xml:space="preserve">) </w:t>
      </w:r>
      <w:r w:rsidR="00206CE8">
        <w:rPr>
          <w:rFonts w:eastAsia="Calibri"/>
        </w:rPr>
        <w:t xml:space="preserve"> </w:t>
      </w:r>
      <w:r w:rsidR="00FD150B">
        <w:rPr>
          <w:rFonts w:eastAsia="Calibri"/>
        </w:rPr>
        <w:t>among overall sample, February sample and April sample</w:t>
      </w:r>
      <w:bookmarkEnd w:id="132"/>
      <w:r w:rsidR="00FD150B">
        <w:rPr>
          <w:rFonts w:eastAsia="Calibri"/>
        </w:rPr>
        <w:t xml:space="preserve">  </w:t>
      </w:r>
      <w:r w:rsidR="00206CE8">
        <w:rPr>
          <w:rFonts w:eastAsia="Calibri"/>
        </w:rPr>
        <w:t xml:space="preserve"> </w:t>
      </w:r>
    </w:p>
    <w:tbl>
      <w:tblPr>
        <w:tblStyle w:val="TableGrid"/>
        <w:tblW w:w="0" w:type="auto"/>
        <w:tblLook w:val="04A0" w:firstRow="1" w:lastRow="0" w:firstColumn="1" w:lastColumn="0" w:noHBand="0" w:noVBand="1"/>
      </w:tblPr>
      <w:tblGrid>
        <w:gridCol w:w="2830"/>
        <w:gridCol w:w="814"/>
        <w:gridCol w:w="1029"/>
        <w:gridCol w:w="877"/>
        <w:gridCol w:w="966"/>
        <w:gridCol w:w="845"/>
        <w:gridCol w:w="856"/>
      </w:tblGrid>
      <w:tr w:rsidR="00E90F5F" w14:paraId="1353EAFA" w14:textId="77777777" w:rsidTr="00E90F5F">
        <w:tc>
          <w:tcPr>
            <w:tcW w:w="2830" w:type="dxa"/>
          </w:tcPr>
          <w:p w14:paraId="29548380" w14:textId="278873B7" w:rsidR="00B25007" w:rsidRDefault="00FA1752">
            <w:pPr>
              <w:spacing w:line="360" w:lineRule="auto"/>
              <w:jc w:val="both"/>
              <w:rPr>
                <w:rFonts w:ascii="Cambria" w:hAnsi="Cambria" w:cs="Adobe Devanagari"/>
              </w:rPr>
            </w:pPr>
            <w:r>
              <w:rPr>
                <w:rFonts w:ascii="Cambria" w:hAnsi="Cambria" w:cs="Adobe Devanagari"/>
              </w:rPr>
              <w:t xml:space="preserve">Variables </w:t>
            </w:r>
          </w:p>
        </w:tc>
        <w:tc>
          <w:tcPr>
            <w:tcW w:w="1843" w:type="dxa"/>
            <w:gridSpan w:val="2"/>
          </w:tcPr>
          <w:p w14:paraId="55B5ACE8" w14:textId="691117D1" w:rsidR="00B25007" w:rsidRDefault="00FA1752">
            <w:pPr>
              <w:spacing w:line="360" w:lineRule="auto"/>
              <w:jc w:val="both"/>
              <w:rPr>
                <w:rFonts w:ascii="Cambria" w:hAnsi="Cambria" w:cs="Adobe Devanagari"/>
              </w:rPr>
            </w:pPr>
            <w:r>
              <w:rPr>
                <w:rFonts w:ascii="Cambria" w:hAnsi="Cambria" w:cs="Adobe Devanagari"/>
              </w:rPr>
              <w:t xml:space="preserve">Overall sample </w:t>
            </w:r>
          </w:p>
          <w:p w14:paraId="2A458BA2" w14:textId="256CF447" w:rsidR="00FA1752" w:rsidRDefault="00FA1752">
            <w:pPr>
              <w:spacing w:line="360" w:lineRule="auto"/>
              <w:jc w:val="both"/>
              <w:rPr>
                <w:rFonts w:ascii="Cambria" w:hAnsi="Cambria" w:cs="Adobe Devanagari"/>
              </w:rPr>
            </w:pPr>
            <w:r>
              <w:rPr>
                <w:rFonts w:ascii="Cambria" w:hAnsi="Cambria" w:cs="Adobe Devanagari"/>
              </w:rPr>
              <w:t>N = 279</w:t>
            </w:r>
          </w:p>
        </w:tc>
        <w:tc>
          <w:tcPr>
            <w:tcW w:w="1843" w:type="dxa"/>
            <w:gridSpan w:val="2"/>
          </w:tcPr>
          <w:p w14:paraId="479A3E9F" w14:textId="3301933B" w:rsidR="00B25007" w:rsidRDefault="00FA1752">
            <w:pPr>
              <w:spacing w:line="360" w:lineRule="auto"/>
              <w:jc w:val="both"/>
              <w:rPr>
                <w:rFonts w:ascii="Cambria" w:hAnsi="Cambria" w:cs="Adobe Devanagari"/>
              </w:rPr>
            </w:pPr>
            <w:r>
              <w:rPr>
                <w:rFonts w:ascii="Cambria" w:hAnsi="Cambria" w:cs="Adobe Devanagari"/>
              </w:rPr>
              <w:t xml:space="preserve">February sample </w:t>
            </w:r>
          </w:p>
          <w:p w14:paraId="490AA04A" w14:textId="3D067FDA" w:rsidR="00FA1752" w:rsidRDefault="00FA1752">
            <w:pPr>
              <w:spacing w:line="360" w:lineRule="auto"/>
              <w:jc w:val="both"/>
              <w:rPr>
                <w:rFonts w:ascii="Cambria" w:hAnsi="Cambria" w:cs="Adobe Devanagari"/>
              </w:rPr>
            </w:pPr>
            <w:r>
              <w:rPr>
                <w:rFonts w:ascii="Cambria" w:hAnsi="Cambria" w:cs="Adobe Devanagari"/>
              </w:rPr>
              <w:t xml:space="preserve">N </w:t>
            </w:r>
            <w:r w:rsidR="00AD06C5">
              <w:rPr>
                <w:rFonts w:ascii="Cambria" w:hAnsi="Cambria" w:cs="Adobe Devanagari"/>
              </w:rPr>
              <w:t>= 158</w:t>
            </w:r>
          </w:p>
        </w:tc>
        <w:tc>
          <w:tcPr>
            <w:tcW w:w="1701" w:type="dxa"/>
            <w:gridSpan w:val="2"/>
          </w:tcPr>
          <w:p w14:paraId="494077D5" w14:textId="114E4248" w:rsidR="00B25007" w:rsidRDefault="00AD06C5">
            <w:pPr>
              <w:spacing w:line="360" w:lineRule="auto"/>
              <w:jc w:val="both"/>
              <w:rPr>
                <w:rFonts w:ascii="Cambria" w:hAnsi="Cambria" w:cs="Adobe Devanagari"/>
              </w:rPr>
            </w:pPr>
            <w:r>
              <w:rPr>
                <w:rFonts w:ascii="Cambria" w:hAnsi="Cambria" w:cs="Adobe Devanagari"/>
              </w:rPr>
              <w:t xml:space="preserve">April sample </w:t>
            </w:r>
          </w:p>
          <w:p w14:paraId="37B419F0" w14:textId="3B8FB995" w:rsidR="00AD06C5" w:rsidRDefault="00AD06C5">
            <w:pPr>
              <w:spacing w:line="360" w:lineRule="auto"/>
              <w:jc w:val="both"/>
              <w:rPr>
                <w:rFonts w:ascii="Cambria" w:hAnsi="Cambria" w:cs="Adobe Devanagari"/>
              </w:rPr>
            </w:pPr>
            <w:r>
              <w:rPr>
                <w:rFonts w:ascii="Cambria" w:hAnsi="Cambria" w:cs="Adobe Devanagari"/>
              </w:rPr>
              <w:t>N = 121</w:t>
            </w:r>
          </w:p>
        </w:tc>
      </w:tr>
      <w:tr w:rsidR="00F21A79" w14:paraId="0CE386BB" w14:textId="1928C6FF" w:rsidTr="00A57E47">
        <w:tc>
          <w:tcPr>
            <w:tcW w:w="2830" w:type="dxa"/>
          </w:tcPr>
          <w:p w14:paraId="566071B5" w14:textId="77777777" w:rsidR="00F21A79" w:rsidRDefault="00F21A79" w:rsidP="00F21A79">
            <w:pPr>
              <w:spacing w:line="360" w:lineRule="auto"/>
              <w:jc w:val="both"/>
              <w:rPr>
                <w:rFonts w:ascii="Cambria" w:hAnsi="Cambria" w:cs="Adobe Devanagari"/>
              </w:rPr>
            </w:pPr>
          </w:p>
        </w:tc>
        <w:tc>
          <w:tcPr>
            <w:tcW w:w="814" w:type="dxa"/>
            <w:tcBorders>
              <w:right w:val="single" w:sz="4" w:space="0" w:color="000000"/>
            </w:tcBorders>
          </w:tcPr>
          <w:p w14:paraId="4CF71042" w14:textId="256E283C" w:rsidR="00F21A79" w:rsidRDefault="00F21A79" w:rsidP="00F21A79">
            <w:pPr>
              <w:spacing w:line="360" w:lineRule="auto"/>
              <w:jc w:val="both"/>
              <w:rPr>
                <w:rFonts w:ascii="Cambria" w:hAnsi="Cambria" w:cs="Adobe Devanagari"/>
              </w:rPr>
            </w:pPr>
            <w:r>
              <w:rPr>
                <w:rFonts w:ascii="Cambria" w:hAnsi="Cambria" w:cs="Adobe Devanagari"/>
              </w:rPr>
              <w:t>CR</w:t>
            </w:r>
          </w:p>
        </w:tc>
        <w:tc>
          <w:tcPr>
            <w:tcW w:w="1029" w:type="dxa"/>
            <w:tcBorders>
              <w:left w:val="single" w:sz="4" w:space="0" w:color="000000"/>
            </w:tcBorders>
          </w:tcPr>
          <w:p w14:paraId="1213BDC5" w14:textId="53A79F5C" w:rsidR="00F21A79" w:rsidRDefault="00F21A79" w:rsidP="00F21A79">
            <w:pPr>
              <w:spacing w:line="360" w:lineRule="auto"/>
              <w:jc w:val="both"/>
              <w:rPr>
                <w:rFonts w:ascii="Cambria" w:hAnsi="Cambria" w:cs="Adobe Devanagari"/>
              </w:rPr>
            </w:pPr>
            <w:r>
              <w:rPr>
                <w:rFonts w:ascii="Cambria" w:hAnsi="Cambria" w:cs="Adobe Devanagari"/>
              </w:rPr>
              <w:t>α</w:t>
            </w:r>
          </w:p>
        </w:tc>
        <w:tc>
          <w:tcPr>
            <w:tcW w:w="877" w:type="dxa"/>
            <w:tcBorders>
              <w:right w:val="single" w:sz="4" w:space="0" w:color="000000"/>
            </w:tcBorders>
          </w:tcPr>
          <w:p w14:paraId="3D379635" w14:textId="7AE8E7FF" w:rsidR="00F21A79" w:rsidRDefault="00F21A79" w:rsidP="00F21A79">
            <w:pPr>
              <w:spacing w:line="360" w:lineRule="auto"/>
              <w:jc w:val="both"/>
              <w:rPr>
                <w:rFonts w:ascii="Cambria" w:hAnsi="Cambria" w:cs="Adobe Devanagari"/>
              </w:rPr>
            </w:pPr>
            <w:r>
              <w:rPr>
                <w:rFonts w:ascii="Cambria" w:hAnsi="Cambria" w:cs="Adobe Devanagari"/>
              </w:rPr>
              <w:t>CR</w:t>
            </w:r>
          </w:p>
        </w:tc>
        <w:tc>
          <w:tcPr>
            <w:tcW w:w="966" w:type="dxa"/>
            <w:tcBorders>
              <w:left w:val="single" w:sz="4" w:space="0" w:color="000000"/>
            </w:tcBorders>
          </w:tcPr>
          <w:p w14:paraId="5518B80E" w14:textId="760FAE79" w:rsidR="00F21A79" w:rsidRDefault="00F21A79" w:rsidP="00F21A79">
            <w:pPr>
              <w:spacing w:line="360" w:lineRule="auto"/>
              <w:jc w:val="both"/>
              <w:rPr>
                <w:rFonts w:ascii="Cambria" w:hAnsi="Cambria" w:cs="Adobe Devanagari"/>
              </w:rPr>
            </w:pPr>
            <w:r>
              <w:rPr>
                <w:rFonts w:ascii="Cambria" w:hAnsi="Cambria" w:cs="Adobe Devanagari"/>
              </w:rPr>
              <w:t>α</w:t>
            </w:r>
          </w:p>
        </w:tc>
        <w:tc>
          <w:tcPr>
            <w:tcW w:w="845" w:type="dxa"/>
            <w:tcBorders>
              <w:right w:val="single" w:sz="4" w:space="0" w:color="000000"/>
            </w:tcBorders>
          </w:tcPr>
          <w:p w14:paraId="188A4E1E" w14:textId="53C6E32B" w:rsidR="00F21A79" w:rsidRDefault="00F21A79" w:rsidP="00F21A79">
            <w:pPr>
              <w:spacing w:line="360" w:lineRule="auto"/>
              <w:jc w:val="both"/>
              <w:rPr>
                <w:rFonts w:ascii="Cambria" w:hAnsi="Cambria" w:cs="Adobe Devanagari"/>
              </w:rPr>
            </w:pPr>
            <w:r>
              <w:rPr>
                <w:rFonts w:ascii="Cambria" w:hAnsi="Cambria" w:cs="Adobe Devanagari"/>
              </w:rPr>
              <w:t>CR</w:t>
            </w:r>
          </w:p>
        </w:tc>
        <w:tc>
          <w:tcPr>
            <w:tcW w:w="856" w:type="dxa"/>
            <w:tcBorders>
              <w:left w:val="single" w:sz="4" w:space="0" w:color="000000"/>
            </w:tcBorders>
          </w:tcPr>
          <w:p w14:paraId="4C66D929" w14:textId="0A60978A" w:rsidR="00F21A79" w:rsidRDefault="00F21A79" w:rsidP="00F21A79">
            <w:pPr>
              <w:spacing w:line="360" w:lineRule="auto"/>
              <w:jc w:val="both"/>
              <w:rPr>
                <w:rFonts w:ascii="Cambria" w:hAnsi="Cambria" w:cs="Adobe Devanagari"/>
              </w:rPr>
            </w:pPr>
            <w:r>
              <w:rPr>
                <w:rFonts w:ascii="Cambria" w:hAnsi="Cambria" w:cs="Adobe Devanagari"/>
              </w:rPr>
              <w:t>α</w:t>
            </w:r>
          </w:p>
        </w:tc>
      </w:tr>
      <w:tr w:rsidR="00F21A79" w14:paraId="1DCA3B1E" w14:textId="296C4FB6" w:rsidTr="00A57E47">
        <w:tc>
          <w:tcPr>
            <w:tcW w:w="2830" w:type="dxa"/>
          </w:tcPr>
          <w:p w14:paraId="0AE6B920" w14:textId="447BC791" w:rsidR="00F21A79" w:rsidRDefault="00F21A79" w:rsidP="00F21A79">
            <w:pPr>
              <w:spacing w:line="360" w:lineRule="auto"/>
              <w:jc w:val="both"/>
              <w:rPr>
                <w:rFonts w:ascii="Cambria" w:hAnsi="Cambria" w:cs="Adobe Devanagari"/>
              </w:rPr>
            </w:pPr>
            <w:r w:rsidRPr="00102F72">
              <w:rPr>
                <w:rFonts w:ascii="Cambria" w:hAnsi="Cambria" w:cs="Adobe Devanagari"/>
              </w:rPr>
              <w:t>Involvement</w:t>
            </w:r>
          </w:p>
        </w:tc>
        <w:tc>
          <w:tcPr>
            <w:tcW w:w="814" w:type="dxa"/>
            <w:tcBorders>
              <w:right w:val="single" w:sz="4" w:space="0" w:color="000000"/>
            </w:tcBorders>
          </w:tcPr>
          <w:p w14:paraId="5058C9E7" w14:textId="639A2416" w:rsidR="00F21A79" w:rsidRDefault="00F21A79" w:rsidP="00F21A79">
            <w:pPr>
              <w:spacing w:line="360" w:lineRule="auto"/>
              <w:jc w:val="both"/>
              <w:rPr>
                <w:rFonts w:ascii="Cambria" w:hAnsi="Cambria" w:cs="Adobe Devanagari"/>
              </w:rPr>
            </w:pPr>
            <w:r>
              <w:rPr>
                <w:rFonts w:ascii="Cambria" w:hAnsi="Cambria" w:cs="Adobe Devanagari"/>
              </w:rPr>
              <w:t>.95</w:t>
            </w:r>
          </w:p>
        </w:tc>
        <w:tc>
          <w:tcPr>
            <w:tcW w:w="1029" w:type="dxa"/>
            <w:tcBorders>
              <w:left w:val="single" w:sz="4" w:space="0" w:color="000000"/>
            </w:tcBorders>
          </w:tcPr>
          <w:p w14:paraId="3EFAAD62" w14:textId="6E3071B7" w:rsidR="00F21A79" w:rsidRDefault="00A1175A" w:rsidP="00F21A79">
            <w:pPr>
              <w:spacing w:line="360" w:lineRule="auto"/>
              <w:jc w:val="both"/>
              <w:rPr>
                <w:rFonts w:ascii="Cambria" w:hAnsi="Cambria" w:cs="Adobe Devanagari"/>
              </w:rPr>
            </w:pPr>
            <w:r>
              <w:rPr>
                <w:rFonts w:ascii="Cambria" w:hAnsi="Cambria" w:cs="Adobe Devanagari"/>
              </w:rPr>
              <w:t>.944</w:t>
            </w:r>
          </w:p>
        </w:tc>
        <w:tc>
          <w:tcPr>
            <w:tcW w:w="877" w:type="dxa"/>
            <w:tcBorders>
              <w:right w:val="single" w:sz="4" w:space="0" w:color="000000"/>
            </w:tcBorders>
          </w:tcPr>
          <w:p w14:paraId="7946957B" w14:textId="1B0F8F57" w:rsidR="00F21A79" w:rsidRDefault="00F21A79" w:rsidP="00F21A79">
            <w:pPr>
              <w:spacing w:line="360" w:lineRule="auto"/>
              <w:jc w:val="both"/>
              <w:rPr>
                <w:rFonts w:ascii="Cambria" w:hAnsi="Cambria" w:cs="Adobe Devanagari"/>
              </w:rPr>
            </w:pPr>
            <w:r>
              <w:rPr>
                <w:rFonts w:ascii="Cambria" w:hAnsi="Cambria" w:cs="Adobe Devanagari"/>
              </w:rPr>
              <w:t>.95</w:t>
            </w:r>
          </w:p>
        </w:tc>
        <w:tc>
          <w:tcPr>
            <w:tcW w:w="966" w:type="dxa"/>
            <w:tcBorders>
              <w:left w:val="single" w:sz="4" w:space="0" w:color="000000"/>
            </w:tcBorders>
          </w:tcPr>
          <w:p w14:paraId="4CC7B37C" w14:textId="3EA2D7C8" w:rsidR="00F21A79" w:rsidRDefault="007C637A" w:rsidP="00F21A79">
            <w:pPr>
              <w:spacing w:line="360" w:lineRule="auto"/>
              <w:jc w:val="both"/>
              <w:rPr>
                <w:rFonts w:ascii="Cambria" w:hAnsi="Cambria" w:cs="Adobe Devanagari"/>
              </w:rPr>
            </w:pPr>
            <w:r>
              <w:rPr>
                <w:rFonts w:ascii="Cambria" w:hAnsi="Cambria" w:cs="Adobe Devanagari"/>
              </w:rPr>
              <w:t>.943</w:t>
            </w:r>
          </w:p>
        </w:tc>
        <w:tc>
          <w:tcPr>
            <w:tcW w:w="845" w:type="dxa"/>
            <w:tcBorders>
              <w:right w:val="single" w:sz="4" w:space="0" w:color="000000"/>
            </w:tcBorders>
          </w:tcPr>
          <w:p w14:paraId="23E18579" w14:textId="7A634129" w:rsidR="00F21A79" w:rsidRDefault="00F21A79" w:rsidP="00F21A79">
            <w:pPr>
              <w:spacing w:line="360" w:lineRule="auto"/>
              <w:jc w:val="both"/>
              <w:rPr>
                <w:rFonts w:ascii="Cambria" w:hAnsi="Cambria" w:cs="Adobe Devanagari"/>
              </w:rPr>
            </w:pPr>
            <w:r>
              <w:rPr>
                <w:rFonts w:ascii="Cambria" w:hAnsi="Cambria" w:cs="Adobe Devanagari"/>
              </w:rPr>
              <w:t>.95</w:t>
            </w:r>
          </w:p>
        </w:tc>
        <w:tc>
          <w:tcPr>
            <w:tcW w:w="856" w:type="dxa"/>
            <w:tcBorders>
              <w:left w:val="single" w:sz="4" w:space="0" w:color="000000"/>
            </w:tcBorders>
          </w:tcPr>
          <w:p w14:paraId="3B3AB7D5" w14:textId="56C06AF7" w:rsidR="00F21A79" w:rsidRDefault="000944A8" w:rsidP="00F21A79">
            <w:pPr>
              <w:spacing w:line="360" w:lineRule="auto"/>
              <w:jc w:val="both"/>
              <w:rPr>
                <w:rFonts w:ascii="Cambria" w:hAnsi="Cambria" w:cs="Adobe Devanagari"/>
              </w:rPr>
            </w:pPr>
            <w:r>
              <w:rPr>
                <w:rFonts w:ascii="Cambria" w:hAnsi="Cambria" w:cs="Adobe Devanagari"/>
              </w:rPr>
              <w:t>.944</w:t>
            </w:r>
          </w:p>
        </w:tc>
      </w:tr>
      <w:tr w:rsidR="00F21A79" w14:paraId="30B399D6" w14:textId="2EA38CC6" w:rsidTr="00A57E47">
        <w:tc>
          <w:tcPr>
            <w:tcW w:w="2830" w:type="dxa"/>
          </w:tcPr>
          <w:p w14:paraId="724A9E4D" w14:textId="5BA3EC54" w:rsidR="00F21A79" w:rsidRDefault="00F21A79" w:rsidP="00F21A79">
            <w:pPr>
              <w:spacing w:line="360" w:lineRule="auto"/>
              <w:jc w:val="both"/>
              <w:rPr>
                <w:rFonts w:ascii="Cambria" w:hAnsi="Cambria" w:cs="Adobe Devanagari"/>
              </w:rPr>
            </w:pPr>
            <w:r w:rsidRPr="00102F72">
              <w:rPr>
                <w:rFonts w:ascii="Cambria" w:hAnsi="Cambria" w:cs="Adobe Devanagari"/>
              </w:rPr>
              <w:t>SCV_Image</w:t>
            </w:r>
          </w:p>
        </w:tc>
        <w:tc>
          <w:tcPr>
            <w:tcW w:w="814" w:type="dxa"/>
            <w:tcBorders>
              <w:right w:val="single" w:sz="4" w:space="0" w:color="000000"/>
            </w:tcBorders>
          </w:tcPr>
          <w:p w14:paraId="33A7D6DA" w14:textId="46DFEA72" w:rsidR="00F21A79" w:rsidRDefault="00F21A79" w:rsidP="00F21A79">
            <w:pPr>
              <w:spacing w:line="360" w:lineRule="auto"/>
              <w:jc w:val="both"/>
              <w:rPr>
                <w:rFonts w:ascii="Cambria" w:hAnsi="Cambria" w:cs="Adobe Devanagari"/>
              </w:rPr>
            </w:pPr>
            <w:r>
              <w:rPr>
                <w:rFonts w:ascii="Cambria" w:hAnsi="Cambria" w:cs="Adobe Devanagari"/>
              </w:rPr>
              <w:t>.94</w:t>
            </w:r>
          </w:p>
        </w:tc>
        <w:tc>
          <w:tcPr>
            <w:tcW w:w="1029" w:type="dxa"/>
            <w:tcBorders>
              <w:left w:val="single" w:sz="4" w:space="0" w:color="000000"/>
            </w:tcBorders>
          </w:tcPr>
          <w:p w14:paraId="400EBCB1" w14:textId="252F7D30" w:rsidR="00F21A79" w:rsidRDefault="008211F4" w:rsidP="00F21A79">
            <w:pPr>
              <w:spacing w:line="360" w:lineRule="auto"/>
              <w:jc w:val="both"/>
              <w:rPr>
                <w:rFonts w:ascii="Cambria" w:hAnsi="Cambria" w:cs="Adobe Devanagari"/>
              </w:rPr>
            </w:pPr>
            <w:r>
              <w:rPr>
                <w:rFonts w:ascii="Cambria" w:hAnsi="Cambria" w:cs="Adobe Devanagari"/>
              </w:rPr>
              <w:t>.832</w:t>
            </w:r>
          </w:p>
        </w:tc>
        <w:tc>
          <w:tcPr>
            <w:tcW w:w="877" w:type="dxa"/>
            <w:tcBorders>
              <w:right w:val="single" w:sz="4" w:space="0" w:color="000000"/>
            </w:tcBorders>
          </w:tcPr>
          <w:p w14:paraId="48EA2BCE" w14:textId="3A2888A4" w:rsidR="00F21A79" w:rsidRDefault="00F21A79" w:rsidP="00F21A79">
            <w:pPr>
              <w:spacing w:line="360" w:lineRule="auto"/>
              <w:jc w:val="both"/>
              <w:rPr>
                <w:rFonts w:ascii="Cambria" w:hAnsi="Cambria" w:cs="Adobe Devanagari"/>
              </w:rPr>
            </w:pPr>
            <w:r>
              <w:rPr>
                <w:rFonts w:ascii="Cambria" w:hAnsi="Cambria" w:cs="Adobe Devanagari"/>
              </w:rPr>
              <w:t>.94</w:t>
            </w:r>
          </w:p>
        </w:tc>
        <w:tc>
          <w:tcPr>
            <w:tcW w:w="966" w:type="dxa"/>
            <w:tcBorders>
              <w:left w:val="single" w:sz="4" w:space="0" w:color="000000"/>
            </w:tcBorders>
          </w:tcPr>
          <w:p w14:paraId="365EE3A5" w14:textId="327664AF" w:rsidR="00F21A79" w:rsidRDefault="006553FC" w:rsidP="00F21A79">
            <w:pPr>
              <w:spacing w:line="360" w:lineRule="auto"/>
              <w:jc w:val="both"/>
              <w:rPr>
                <w:rFonts w:ascii="Cambria" w:hAnsi="Cambria" w:cs="Adobe Devanagari"/>
              </w:rPr>
            </w:pPr>
            <w:r>
              <w:rPr>
                <w:rFonts w:ascii="Cambria" w:hAnsi="Cambria" w:cs="Adobe Devanagari"/>
              </w:rPr>
              <w:t>.913</w:t>
            </w:r>
          </w:p>
        </w:tc>
        <w:tc>
          <w:tcPr>
            <w:tcW w:w="845" w:type="dxa"/>
            <w:tcBorders>
              <w:right w:val="single" w:sz="4" w:space="0" w:color="000000"/>
            </w:tcBorders>
          </w:tcPr>
          <w:p w14:paraId="5A9F6A08" w14:textId="2BC81874" w:rsidR="00F21A79" w:rsidRDefault="00F21A79" w:rsidP="00F21A79">
            <w:pPr>
              <w:spacing w:line="360" w:lineRule="auto"/>
              <w:jc w:val="both"/>
              <w:rPr>
                <w:rFonts w:ascii="Cambria" w:hAnsi="Cambria" w:cs="Adobe Devanagari"/>
              </w:rPr>
            </w:pPr>
            <w:r>
              <w:rPr>
                <w:rFonts w:ascii="Cambria" w:hAnsi="Cambria" w:cs="Adobe Devanagari"/>
              </w:rPr>
              <w:t>.95</w:t>
            </w:r>
          </w:p>
        </w:tc>
        <w:tc>
          <w:tcPr>
            <w:tcW w:w="856" w:type="dxa"/>
            <w:tcBorders>
              <w:left w:val="single" w:sz="4" w:space="0" w:color="000000"/>
            </w:tcBorders>
          </w:tcPr>
          <w:p w14:paraId="535C63F1" w14:textId="1871E08C" w:rsidR="00F21A79" w:rsidRDefault="00336AD0" w:rsidP="00F21A79">
            <w:pPr>
              <w:spacing w:line="360" w:lineRule="auto"/>
              <w:jc w:val="both"/>
              <w:rPr>
                <w:rFonts w:ascii="Cambria" w:hAnsi="Cambria" w:cs="Adobe Devanagari"/>
              </w:rPr>
            </w:pPr>
            <w:r>
              <w:rPr>
                <w:rFonts w:ascii="Cambria" w:hAnsi="Cambria" w:cs="Adobe Devanagari"/>
              </w:rPr>
              <w:t>.931</w:t>
            </w:r>
          </w:p>
        </w:tc>
      </w:tr>
      <w:tr w:rsidR="008211F4" w14:paraId="1EA277E0" w14:textId="22F69457" w:rsidTr="00A57E47">
        <w:tc>
          <w:tcPr>
            <w:tcW w:w="2830" w:type="dxa"/>
          </w:tcPr>
          <w:p w14:paraId="752173EA" w14:textId="3AAE2683" w:rsidR="008211F4" w:rsidRDefault="008211F4" w:rsidP="008211F4">
            <w:pPr>
              <w:spacing w:line="360" w:lineRule="auto"/>
              <w:jc w:val="both"/>
              <w:rPr>
                <w:rFonts w:ascii="Cambria" w:hAnsi="Cambria" w:cs="Adobe Devanagari"/>
              </w:rPr>
            </w:pPr>
            <w:r w:rsidRPr="00102F72">
              <w:rPr>
                <w:rFonts w:ascii="Cambria" w:hAnsi="Cambria" w:cs="Adobe Devanagari"/>
              </w:rPr>
              <w:t>SCV_engrossment</w:t>
            </w:r>
          </w:p>
        </w:tc>
        <w:tc>
          <w:tcPr>
            <w:tcW w:w="814" w:type="dxa"/>
            <w:tcBorders>
              <w:right w:val="single" w:sz="4" w:space="0" w:color="000000"/>
            </w:tcBorders>
          </w:tcPr>
          <w:p w14:paraId="1F68DBA9" w14:textId="18199681" w:rsidR="008211F4" w:rsidRDefault="008211F4" w:rsidP="008211F4">
            <w:pPr>
              <w:spacing w:line="360" w:lineRule="auto"/>
              <w:jc w:val="both"/>
              <w:rPr>
                <w:rFonts w:ascii="Cambria" w:hAnsi="Cambria" w:cs="Adobe Devanagari"/>
              </w:rPr>
            </w:pPr>
            <w:r>
              <w:rPr>
                <w:rFonts w:ascii="Cambria" w:hAnsi="Cambria" w:cs="Adobe Devanagari"/>
              </w:rPr>
              <w:t>.89</w:t>
            </w:r>
          </w:p>
        </w:tc>
        <w:tc>
          <w:tcPr>
            <w:tcW w:w="1029" w:type="dxa"/>
            <w:tcBorders>
              <w:left w:val="single" w:sz="4" w:space="0" w:color="000000"/>
            </w:tcBorders>
          </w:tcPr>
          <w:p w14:paraId="7AE6EB60" w14:textId="08B03736" w:rsidR="008211F4" w:rsidRDefault="008211F4" w:rsidP="008211F4">
            <w:pPr>
              <w:rPr>
                <w:rFonts w:ascii="Cambria" w:hAnsi="Cambria" w:cs="Adobe Devanagari"/>
              </w:rPr>
            </w:pPr>
            <w:r>
              <w:rPr>
                <w:rFonts w:ascii="Cambria" w:hAnsi="Cambria" w:cs="Adobe Devanagari"/>
              </w:rPr>
              <w:t>.922</w:t>
            </w:r>
          </w:p>
        </w:tc>
        <w:tc>
          <w:tcPr>
            <w:tcW w:w="877" w:type="dxa"/>
            <w:tcBorders>
              <w:right w:val="single" w:sz="4" w:space="0" w:color="000000"/>
            </w:tcBorders>
          </w:tcPr>
          <w:p w14:paraId="14BF9B6B" w14:textId="454ECBA2" w:rsidR="008211F4" w:rsidRDefault="008211F4" w:rsidP="008211F4">
            <w:pPr>
              <w:spacing w:line="360" w:lineRule="auto"/>
              <w:jc w:val="both"/>
              <w:rPr>
                <w:rFonts w:ascii="Cambria" w:hAnsi="Cambria" w:cs="Adobe Devanagari"/>
              </w:rPr>
            </w:pPr>
            <w:r>
              <w:rPr>
                <w:rFonts w:ascii="Cambria" w:hAnsi="Cambria" w:cs="Adobe Devanagari"/>
              </w:rPr>
              <w:t>.90</w:t>
            </w:r>
          </w:p>
        </w:tc>
        <w:tc>
          <w:tcPr>
            <w:tcW w:w="966" w:type="dxa"/>
            <w:tcBorders>
              <w:left w:val="single" w:sz="4" w:space="0" w:color="000000"/>
            </w:tcBorders>
          </w:tcPr>
          <w:p w14:paraId="7E2B9042" w14:textId="1F89EFB2" w:rsidR="008211F4" w:rsidRDefault="008211F4" w:rsidP="008211F4">
            <w:pPr>
              <w:spacing w:line="360" w:lineRule="auto"/>
              <w:jc w:val="both"/>
              <w:rPr>
                <w:rFonts w:ascii="Cambria" w:hAnsi="Cambria" w:cs="Adobe Devanagari"/>
              </w:rPr>
            </w:pPr>
            <w:r>
              <w:rPr>
                <w:rFonts w:ascii="Cambria" w:hAnsi="Cambria" w:cs="Adobe Devanagari"/>
              </w:rPr>
              <w:t>.846</w:t>
            </w:r>
          </w:p>
        </w:tc>
        <w:tc>
          <w:tcPr>
            <w:tcW w:w="845" w:type="dxa"/>
            <w:tcBorders>
              <w:right w:val="single" w:sz="4" w:space="0" w:color="000000"/>
            </w:tcBorders>
          </w:tcPr>
          <w:p w14:paraId="15BA141E" w14:textId="68CC3C20" w:rsidR="008211F4" w:rsidRDefault="008211F4" w:rsidP="008211F4">
            <w:pPr>
              <w:spacing w:line="360" w:lineRule="auto"/>
              <w:jc w:val="both"/>
              <w:rPr>
                <w:rFonts w:ascii="Cambria" w:hAnsi="Cambria" w:cs="Adobe Devanagari"/>
              </w:rPr>
            </w:pPr>
            <w:r>
              <w:rPr>
                <w:rFonts w:ascii="Cambria" w:hAnsi="Cambria" w:cs="Adobe Devanagari"/>
              </w:rPr>
              <w:t>.87</w:t>
            </w:r>
          </w:p>
        </w:tc>
        <w:tc>
          <w:tcPr>
            <w:tcW w:w="856" w:type="dxa"/>
            <w:tcBorders>
              <w:left w:val="single" w:sz="4" w:space="0" w:color="000000"/>
            </w:tcBorders>
          </w:tcPr>
          <w:p w14:paraId="68A58174" w14:textId="53041C5C" w:rsidR="008211F4" w:rsidRDefault="008211F4" w:rsidP="008211F4">
            <w:pPr>
              <w:spacing w:line="360" w:lineRule="auto"/>
              <w:jc w:val="both"/>
              <w:rPr>
                <w:rFonts w:ascii="Cambria" w:hAnsi="Cambria" w:cs="Adobe Devanagari"/>
              </w:rPr>
            </w:pPr>
            <w:r>
              <w:rPr>
                <w:rFonts w:ascii="Cambria" w:hAnsi="Cambria" w:cs="Adobe Devanagari"/>
              </w:rPr>
              <w:t>.801</w:t>
            </w:r>
          </w:p>
        </w:tc>
      </w:tr>
      <w:tr w:rsidR="008211F4" w14:paraId="05EF4603" w14:textId="612A7F9D" w:rsidTr="00A57E47">
        <w:tc>
          <w:tcPr>
            <w:tcW w:w="2830" w:type="dxa"/>
          </w:tcPr>
          <w:p w14:paraId="59DD8FF6" w14:textId="46083AD1" w:rsidR="008211F4" w:rsidRDefault="008211F4" w:rsidP="008211F4">
            <w:pPr>
              <w:spacing w:line="360" w:lineRule="auto"/>
              <w:jc w:val="both"/>
              <w:rPr>
                <w:rFonts w:ascii="Cambria" w:hAnsi="Cambria" w:cs="Adobe Devanagari"/>
              </w:rPr>
            </w:pPr>
            <w:r w:rsidRPr="00102F72">
              <w:rPr>
                <w:rFonts w:ascii="Cambria" w:hAnsi="Cambria" w:cs="Adobe Devanagari"/>
              </w:rPr>
              <w:t>SCV_self_projection</w:t>
            </w:r>
          </w:p>
        </w:tc>
        <w:tc>
          <w:tcPr>
            <w:tcW w:w="814" w:type="dxa"/>
            <w:tcBorders>
              <w:right w:val="single" w:sz="4" w:space="0" w:color="000000"/>
            </w:tcBorders>
          </w:tcPr>
          <w:p w14:paraId="23E8A410" w14:textId="0C717A01" w:rsidR="008211F4" w:rsidRDefault="008211F4" w:rsidP="008211F4">
            <w:pPr>
              <w:spacing w:line="360" w:lineRule="auto"/>
              <w:jc w:val="both"/>
              <w:rPr>
                <w:rFonts w:ascii="Cambria" w:hAnsi="Cambria" w:cs="Adobe Devanagari"/>
              </w:rPr>
            </w:pPr>
            <w:r>
              <w:rPr>
                <w:rFonts w:ascii="Cambria" w:hAnsi="Cambria" w:cs="Adobe Devanagari"/>
              </w:rPr>
              <w:t>.92</w:t>
            </w:r>
          </w:p>
        </w:tc>
        <w:tc>
          <w:tcPr>
            <w:tcW w:w="1029" w:type="dxa"/>
            <w:tcBorders>
              <w:left w:val="single" w:sz="4" w:space="0" w:color="000000"/>
            </w:tcBorders>
          </w:tcPr>
          <w:p w14:paraId="08495384" w14:textId="6B42BAC7" w:rsidR="008211F4" w:rsidRDefault="008211F4" w:rsidP="008211F4">
            <w:pPr>
              <w:rPr>
                <w:rFonts w:ascii="Cambria" w:hAnsi="Cambria" w:cs="Adobe Devanagari"/>
              </w:rPr>
            </w:pPr>
            <w:r w:rsidRPr="001435A7">
              <w:rPr>
                <w:rFonts w:ascii="Cambria" w:hAnsi="Cambria" w:cs="Arial"/>
                <w:sz w:val="24"/>
                <w:szCs w:val="24"/>
              </w:rPr>
              <w:t>.888</w:t>
            </w:r>
          </w:p>
        </w:tc>
        <w:tc>
          <w:tcPr>
            <w:tcW w:w="877" w:type="dxa"/>
            <w:tcBorders>
              <w:right w:val="single" w:sz="4" w:space="0" w:color="000000"/>
            </w:tcBorders>
          </w:tcPr>
          <w:p w14:paraId="2EEACF88" w14:textId="2DC20BBE" w:rsidR="008211F4" w:rsidRDefault="008211F4" w:rsidP="008211F4">
            <w:pPr>
              <w:spacing w:line="360" w:lineRule="auto"/>
              <w:jc w:val="both"/>
              <w:rPr>
                <w:rFonts w:ascii="Cambria" w:hAnsi="Cambria" w:cs="Adobe Devanagari"/>
              </w:rPr>
            </w:pPr>
            <w:r>
              <w:rPr>
                <w:rFonts w:ascii="Cambria" w:hAnsi="Cambria" w:cs="Adobe Devanagari"/>
              </w:rPr>
              <w:t>.92</w:t>
            </w:r>
          </w:p>
        </w:tc>
        <w:tc>
          <w:tcPr>
            <w:tcW w:w="966" w:type="dxa"/>
            <w:tcBorders>
              <w:left w:val="single" w:sz="4" w:space="0" w:color="000000"/>
            </w:tcBorders>
          </w:tcPr>
          <w:p w14:paraId="62B23753" w14:textId="131CD9AF" w:rsidR="008211F4" w:rsidRDefault="008211F4" w:rsidP="008211F4">
            <w:pPr>
              <w:spacing w:line="360" w:lineRule="auto"/>
              <w:jc w:val="both"/>
              <w:rPr>
                <w:rFonts w:ascii="Cambria" w:hAnsi="Cambria" w:cs="Adobe Devanagari"/>
              </w:rPr>
            </w:pPr>
            <w:r>
              <w:rPr>
                <w:rFonts w:ascii="Cambria" w:hAnsi="Cambria" w:cs="Adobe Devanagari"/>
              </w:rPr>
              <w:t>.892</w:t>
            </w:r>
          </w:p>
        </w:tc>
        <w:tc>
          <w:tcPr>
            <w:tcW w:w="845" w:type="dxa"/>
            <w:tcBorders>
              <w:right w:val="single" w:sz="4" w:space="0" w:color="000000"/>
            </w:tcBorders>
          </w:tcPr>
          <w:p w14:paraId="01286675" w14:textId="30951779" w:rsidR="008211F4" w:rsidRDefault="008211F4" w:rsidP="008211F4">
            <w:pPr>
              <w:spacing w:line="360" w:lineRule="auto"/>
              <w:jc w:val="both"/>
              <w:rPr>
                <w:rFonts w:ascii="Cambria" w:hAnsi="Cambria" w:cs="Adobe Devanagari"/>
              </w:rPr>
            </w:pPr>
            <w:r>
              <w:rPr>
                <w:rFonts w:ascii="Cambria" w:hAnsi="Cambria" w:cs="Adobe Devanagari"/>
              </w:rPr>
              <w:t>.92</w:t>
            </w:r>
          </w:p>
        </w:tc>
        <w:tc>
          <w:tcPr>
            <w:tcW w:w="856" w:type="dxa"/>
            <w:tcBorders>
              <w:left w:val="single" w:sz="4" w:space="0" w:color="000000"/>
            </w:tcBorders>
          </w:tcPr>
          <w:p w14:paraId="366E9183" w14:textId="2B6F6597" w:rsidR="008211F4" w:rsidRDefault="008211F4" w:rsidP="008211F4">
            <w:pPr>
              <w:spacing w:line="360" w:lineRule="auto"/>
              <w:jc w:val="both"/>
              <w:rPr>
                <w:rFonts w:ascii="Cambria" w:hAnsi="Cambria" w:cs="Adobe Devanagari"/>
              </w:rPr>
            </w:pPr>
            <w:r>
              <w:rPr>
                <w:rFonts w:ascii="Cambria" w:hAnsi="Cambria" w:cs="Adobe Devanagari"/>
              </w:rPr>
              <w:t>.885</w:t>
            </w:r>
          </w:p>
        </w:tc>
      </w:tr>
      <w:tr w:rsidR="008211F4" w14:paraId="112C1F7C" w14:textId="18D80ECA" w:rsidTr="00A57E47">
        <w:tc>
          <w:tcPr>
            <w:tcW w:w="2830" w:type="dxa"/>
          </w:tcPr>
          <w:p w14:paraId="475D9AB6" w14:textId="44C54BDA" w:rsidR="008211F4" w:rsidRDefault="008211F4" w:rsidP="008211F4">
            <w:pPr>
              <w:spacing w:line="360" w:lineRule="auto"/>
              <w:jc w:val="both"/>
              <w:rPr>
                <w:rFonts w:ascii="Cambria" w:hAnsi="Cambria" w:cs="Adobe Devanagari"/>
              </w:rPr>
            </w:pPr>
            <w:r w:rsidRPr="00102F72">
              <w:rPr>
                <w:rFonts w:ascii="Cambria" w:hAnsi="Cambria" w:cs="Adobe Devanagari"/>
              </w:rPr>
              <w:t>SCV_mental_fluency</w:t>
            </w:r>
          </w:p>
        </w:tc>
        <w:tc>
          <w:tcPr>
            <w:tcW w:w="814" w:type="dxa"/>
            <w:tcBorders>
              <w:right w:val="single" w:sz="4" w:space="0" w:color="000000"/>
            </w:tcBorders>
          </w:tcPr>
          <w:p w14:paraId="6D05113D" w14:textId="0428DDE9" w:rsidR="008211F4" w:rsidRDefault="008211F4" w:rsidP="008211F4">
            <w:pPr>
              <w:spacing w:line="360" w:lineRule="auto"/>
              <w:jc w:val="both"/>
              <w:rPr>
                <w:rFonts w:ascii="Cambria" w:hAnsi="Cambria" w:cs="Adobe Devanagari"/>
              </w:rPr>
            </w:pPr>
            <w:r>
              <w:rPr>
                <w:rFonts w:ascii="Cambria" w:hAnsi="Cambria" w:cs="Adobe Devanagari"/>
              </w:rPr>
              <w:t>n/a</w:t>
            </w:r>
          </w:p>
        </w:tc>
        <w:tc>
          <w:tcPr>
            <w:tcW w:w="1029" w:type="dxa"/>
            <w:tcBorders>
              <w:left w:val="single" w:sz="4" w:space="0" w:color="000000"/>
            </w:tcBorders>
          </w:tcPr>
          <w:p w14:paraId="08639520" w14:textId="77777777" w:rsidR="008211F4" w:rsidRDefault="008211F4" w:rsidP="008211F4">
            <w:pPr>
              <w:spacing w:line="360" w:lineRule="auto"/>
              <w:jc w:val="both"/>
              <w:rPr>
                <w:rFonts w:ascii="Cambria" w:hAnsi="Cambria" w:cs="Adobe Devanagari"/>
              </w:rPr>
            </w:pPr>
          </w:p>
        </w:tc>
        <w:tc>
          <w:tcPr>
            <w:tcW w:w="877" w:type="dxa"/>
            <w:tcBorders>
              <w:right w:val="single" w:sz="4" w:space="0" w:color="000000"/>
            </w:tcBorders>
          </w:tcPr>
          <w:p w14:paraId="767338EF" w14:textId="4750F8BF" w:rsidR="008211F4" w:rsidRDefault="008211F4" w:rsidP="008211F4">
            <w:pPr>
              <w:spacing w:line="360" w:lineRule="auto"/>
              <w:jc w:val="both"/>
              <w:rPr>
                <w:rFonts w:ascii="Cambria" w:hAnsi="Cambria" w:cs="Adobe Devanagari"/>
              </w:rPr>
            </w:pPr>
            <w:r>
              <w:rPr>
                <w:rFonts w:ascii="Cambria" w:hAnsi="Cambria" w:cs="Adobe Devanagari"/>
              </w:rPr>
              <w:t>n/a</w:t>
            </w:r>
          </w:p>
        </w:tc>
        <w:tc>
          <w:tcPr>
            <w:tcW w:w="966" w:type="dxa"/>
            <w:tcBorders>
              <w:left w:val="single" w:sz="4" w:space="0" w:color="000000"/>
            </w:tcBorders>
          </w:tcPr>
          <w:p w14:paraId="3E7F4B91" w14:textId="77777777" w:rsidR="008211F4" w:rsidRDefault="008211F4" w:rsidP="008211F4">
            <w:pPr>
              <w:spacing w:line="360" w:lineRule="auto"/>
              <w:jc w:val="both"/>
              <w:rPr>
                <w:rFonts w:ascii="Cambria" w:hAnsi="Cambria" w:cs="Adobe Devanagari"/>
              </w:rPr>
            </w:pPr>
          </w:p>
        </w:tc>
        <w:tc>
          <w:tcPr>
            <w:tcW w:w="845" w:type="dxa"/>
            <w:tcBorders>
              <w:right w:val="single" w:sz="4" w:space="0" w:color="000000"/>
            </w:tcBorders>
          </w:tcPr>
          <w:p w14:paraId="3D5C18B1" w14:textId="67A84C2D" w:rsidR="008211F4" w:rsidRDefault="008211F4" w:rsidP="008211F4">
            <w:pPr>
              <w:spacing w:line="360" w:lineRule="auto"/>
              <w:jc w:val="both"/>
              <w:rPr>
                <w:rFonts w:ascii="Cambria" w:hAnsi="Cambria" w:cs="Adobe Devanagari"/>
              </w:rPr>
            </w:pPr>
            <w:r>
              <w:rPr>
                <w:rFonts w:ascii="Cambria" w:hAnsi="Cambria" w:cs="Adobe Devanagari"/>
              </w:rPr>
              <w:t>n/a</w:t>
            </w:r>
          </w:p>
        </w:tc>
        <w:tc>
          <w:tcPr>
            <w:tcW w:w="856" w:type="dxa"/>
            <w:tcBorders>
              <w:left w:val="single" w:sz="4" w:space="0" w:color="000000"/>
            </w:tcBorders>
          </w:tcPr>
          <w:p w14:paraId="33BC1381" w14:textId="77777777" w:rsidR="008211F4" w:rsidRDefault="008211F4" w:rsidP="008211F4">
            <w:pPr>
              <w:spacing w:line="360" w:lineRule="auto"/>
              <w:jc w:val="both"/>
              <w:rPr>
                <w:rFonts w:ascii="Cambria" w:hAnsi="Cambria" w:cs="Adobe Devanagari"/>
              </w:rPr>
            </w:pPr>
          </w:p>
        </w:tc>
      </w:tr>
      <w:tr w:rsidR="008211F4" w14:paraId="68865B3D" w14:textId="78BF2AAF" w:rsidTr="00A57E47">
        <w:tc>
          <w:tcPr>
            <w:tcW w:w="2830" w:type="dxa"/>
          </w:tcPr>
          <w:p w14:paraId="64C0A213" w14:textId="5FFBC18F" w:rsidR="008211F4" w:rsidRDefault="008211F4" w:rsidP="008211F4">
            <w:pPr>
              <w:spacing w:line="360" w:lineRule="auto"/>
              <w:jc w:val="both"/>
              <w:rPr>
                <w:rFonts w:ascii="Cambria" w:hAnsi="Cambria" w:cs="Adobe Devanagari"/>
              </w:rPr>
            </w:pPr>
            <w:r w:rsidRPr="00102F72">
              <w:rPr>
                <w:rFonts w:ascii="Cambria" w:hAnsi="Cambria" w:cs="Adobe Devanagari"/>
              </w:rPr>
              <w:t>Pleasure</w:t>
            </w:r>
          </w:p>
        </w:tc>
        <w:tc>
          <w:tcPr>
            <w:tcW w:w="814" w:type="dxa"/>
            <w:tcBorders>
              <w:right w:val="single" w:sz="4" w:space="0" w:color="000000"/>
            </w:tcBorders>
          </w:tcPr>
          <w:p w14:paraId="4D169E6D" w14:textId="17C0D546" w:rsidR="008211F4" w:rsidRDefault="008211F4" w:rsidP="008211F4">
            <w:pPr>
              <w:spacing w:line="360" w:lineRule="auto"/>
              <w:jc w:val="both"/>
              <w:rPr>
                <w:rFonts w:ascii="Cambria" w:hAnsi="Cambria" w:cs="Adobe Devanagari"/>
              </w:rPr>
            </w:pPr>
            <w:r>
              <w:rPr>
                <w:rFonts w:ascii="Cambria" w:hAnsi="Cambria" w:cs="Adobe Devanagari"/>
              </w:rPr>
              <w:t>.93</w:t>
            </w:r>
          </w:p>
        </w:tc>
        <w:tc>
          <w:tcPr>
            <w:tcW w:w="1029" w:type="dxa"/>
            <w:tcBorders>
              <w:left w:val="single" w:sz="4" w:space="0" w:color="000000"/>
            </w:tcBorders>
          </w:tcPr>
          <w:p w14:paraId="75A0FA4B" w14:textId="1EC78D98" w:rsidR="008211F4" w:rsidRDefault="008211F4" w:rsidP="008211F4">
            <w:pPr>
              <w:rPr>
                <w:rFonts w:ascii="Cambria" w:hAnsi="Cambria" w:cs="Adobe Devanagari"/>
              </w:rPr>
            </w:pPr>
            <w:r>
              <w:rPr>
                <w:rFonts w:ascii="Cambria" w:hAnsi="Cambria" w:cs="Adobe Devanagari"/>
              </w:rPr>
              <w:t>.909</w:t>
            </w:r>
          </w:p>
        </w:tc>
        <w:tc>
          <w:tcPr>
            <w:tcW w:w="877" w:type="dxa"/>
            <w:tcBorders>
              <w:right w:val="single" w:sz="4" w:space="0" w:color="000000"/>
            </w:tcBorders>
          </w:tcPr>
          <w:p w14:paraId="77C8882C" w14:textId="70BBF488" w:rsidR="008211F4" w:rsidRDefault="008211F4" w:rsidP="008211F4">
            <w:pPr>
              <w:spacing w:line="360" w:lineRule="auto"/>
              <w:jc w:val="both"/>
              <w:rPr>
                <w:rFonts w:ascii="Cambria" w:hAnsi="Cambria" w:cs="Adobe Devanagari"/>
              </w:rPr>
            </w:pPr>
            <w:r>
              <w:rPr>
                <w:rFonts w:ascii="Cambria" w:hAnsi="Cambria" w:cs="Adobe Devanagari"/>
              </w:rPr>
              <w:t>.93</w:t>
            </w:r>
          </w:p>
        </w:tc>
        <w:tc>
          <w:tcPr>
            <w:tcW w:w="966" w:type="dxa"/>
            <w:tcBorders>
              <w:left w:val="single" w:sz="4" w:space="0" w:color="000000"/>
            </w:tcBorders>
          </w:tcPr>
          <w:p w14:paraId="35FB2789" w14:textId="68D42058" w:rsidR="008211F4" w:rsidRDefault="008211F4" w:rsidP="008211F4">
            <w:pPr>
              <w:spacing w:line="360" w:lineRule="auto"/>
              <w:jc w:val="both"/>
              <w:rPr>
                <w:rFonts w:ascii="Cambria" w:hAnsi="Cambria" w:cs="Adobe Devanagari"/>
              </w:rPr>
            </w:pPr>
            <w:r>
              <w:rPr>
                <w:rFonts w:ascii="Cambria" w:hAnsi="Cambria" w:cs="Adobe Devanagari"/>
              </w:rPr>
              <w:t>.899</w:t>
            </w:r>
          </w:p>
        </w:tc>
        <w:tc>
          <w:tcPr>
            <w:tcW w:w="845" w:type="dxa"/>
            <w:tcBorders>
              <w:right w:val="single" w:sz="4" w:space="0" w:color="000000"/>
            </w:tcBorders>
          </w:tcPr>
          <w:p w14:paraId="631CF240" w14:textId="7E950559" w:rsidR="008211F4" w:rsidRDefault="008211F4" w:rsidP="008211F4">
            <w:pPr>
              <w:spacing w:line="360" w:lineRule="auto"/>
              <w:jc w:val="both"/>
              <w:rPr>
                <w:rFonts w:ascii="Cambria" w:hAnsi="Cambria" w:cs="Adobe Devanagari"/>
              </w:rPr>
            </w:pPr>
            <w:r>
              <w:rPr>
                <w:rFonts w:ascii="Cambria" w:hAnsi="Cambria" w:cs="Adobe Devanagari"/>
              </w:rPr>
              <w:t>.94</w:t>
            </w:r>
          </w:p>
        </w:tc>
        <w:tc>
          <w:tcPr>
            <w:tcW w:w="856" w:type="dxa"/>
            <w:tcBorders>
              <w:left w:val="single" w:sz="4" w:space="0" w:color="000000"/>
            </w:tcBorders>
          </w:tcPr>
          <w:p w14:paraId="58D5643F" w14:textId="34EE87FD" w:rsidR="008211F4" w:rsidRDefault="008211F4" w:rsidP="008211F4">
            <w:pPr>
              <w:spacing w:line="360" w:lineRule="auto"/>
              <w:jc w:val="both"/>
              <w:rPr>
                <w:rFonts w:ascii="Cambria" w:hAnsi="Cambria" w:cs="Adobe Devanagari"/>
              </w:rPr>
            </w:pPr>
            <w:r>
              <w:rPr>
                <w:rFonts w:ascii="Cambria" w:hAnsi="Cambria" w:cs="Adobe Devanagari"/>
              </w:rPr>
              <w:t>.914</w:t>
            </w:r>
          </w:p>
        </w:tc>
      </w:tr>
      <w:tr w:rsidR="008211F4" w14:paraId="1FE3D2E1" w14:textId="310343E7" w:rsidTr="00A57E47">
        <w:tc>
          <w:tcPr>
            <w:tcW w:w="2830" w:type="dxa"/>
          </w:tcPr>
          <w:p w14:paraId="465CE761" w14:textId="583D8335" w:rsidR="008211F4" w:rsidRDefault="008211F4" w:rsidP="008211F4">
            <w:pPr>
              <w:spacing w:line="360" w:lineRule="auto"/>
              <w:jc w:val="both"/>
              <w:rPr>
                <w:rFonts w:ascii="Cambria" w:hAnsi="Cambria" w:cs="Adobe Devanagari"/>
              </w:rPr>
            </w:pPr>
            <w:r w:rsidRPr="00102F72">
              <w:rPr>
                <w:rFonts w:ascii="Cambria" w:hAnsi="Cambria" w:cs="Adobe Devanagari"/>
              </w:rPr>
              <w:t>Arousal</w:t>
            </w:r>
          </w:p>
        </w:tc>
        <w:tc>
          <w:tcPr>
            <w:tcW w:w="814" w:type="dxa"/>
            <w:tcBorders>
              <w:right w:val="single" w:sz="4" w:space="0" w:color="000000"/>
            </w:tcBorders>
          </w:tcPr>
          <w:p w14:paraId="75254E73" w14:textId="5D7D960C" w:rsidR="008211F4" w:rsidRDefault="008211F4" w:rsidP="008211F4">
            <w:pPr>
              <w:spacing w:line="360" w:lineRule="auto"/>
              <w:jc w:val="both"/>
              <w:rPr>
                <w:rFonts w:ascii="Cambria" w:hAnsi="Cambria" w:cs="Adobe Devanagari"/>
              </w:rPr>
            </w:pPr>
            <w:r>
              <w:rPr>
                <w:rFonts w:ascii="Cambria" w:hAnsi="Cambria" w:cs="Adobe Devanagari"/>
              </w:rPr>
              <w:t>.89</w:t>
            </w:r>
          </w:p>
        </w:tc>
        <w:tc>
          <w:tcPr>
            <w:tcW w:w="1029" w:type="dxa"/>
            <w:tcBorders>
              <w:left w:val="single" w:sz="4" w:space="0" w:color="000000"/>
            </w:tcBorders>
          </w:tcPr>
          <w:p w14:paraId="3BDC706B" w14:textId="7252E723" w:rsidR="008211F4" w:rsidRPr="00323938" w:rsidRDefault="008211F4" w:rsidP="008211F4">
            <w:r w:rsidRPr="001435A7">
              <w:rPr>
                <w:rFonts w:ascii="Cambria" w:hAnsi="Cambria" w:cs="Arial"/>
                <w:sz w:val="24"/>
                <w:szCs w:val="24"/>
              </w:rPr>
              <w:t>.845</w:t>
            </w:r>
          </w:p>
        </w:tc>
        <w:tc>
          <w:tcPr>
            <w:tcW w:w="877" w:type="dxa"/>
            <w:tcBorders>
              <w:right w:val="single" w:sz="4" w:space="0" w:color="000000"/>
            </w:tcBorders>
          </w:tcPr>
          <w:p w14:paraId="333F864B" w14:textId="6B4E749C" w:rsidR="008211F4" w:rsidRDefault="008211F4" w:rsidP="008211F4">
            <w:pPr>
              <w:spacing w:line="360" w:lineRule="auto"/>
              <w:jc w:val="both"/>
              <w:rPr>
                <w:rFonts w:ascii="Cambria" w:hAnsi="Cambria" w:cs="Adobe Devanagari"/>
              </w:rPr>
            </w:pPr>
            <w:r>
              <w:rPr>
                <w:rFonts w:ascii="Cambria" w:hAnsi="Cambria" w:cs="Adobe Devanagari"/>
              </w:rPr>
              <w:t>.87</w:t>
            </w:r>
          </w:p>
        </w:tc>
        <w:tc>
          <w:tcPr>
            <w:tcW w:w="966" w:type="dxa"/>
            <w:tcBorders>
              <w:left w:val="single" w:sz="4" w:space="0" w:color="000000"/>
            </w:tcBorders>
          </w:tcPr>
          <w:p w14:paraId="7BD76C51" w14:textId="0A87DDCF" w:rsidR="008211F4" w:rsidRDefault="008211F4" w:rsidP="008211F4">
            <w:pPr>
              <w:spacing w:line="360" w:lineRule="auto"/>
              <w:jc w:val="both"/>
              <w:rPr>
                <w:rFonts w:ascii="Cambria" w:hAnsi="Cambria" w:cs="Adobe Devanagari"/>
              </w:rPr>
            </w:pPr>
            <w:r>
              <w:rPr>
                <w:rFonts w:ascii="Cambria" w:hAnsi="Cambria" w:cs="Adobe Devanagari"/>
              </w:rPr>
              <w:t>.813</w:t>
            </w:r>
          </w:p>
        </w:tc>
        <w:tc>
          <w:tcPr>
            <w:tcW w:w="845" w:type="dxa"/>
            <w:tcBorders>
              <w:bottom w:val="single" w:sz="4" w:space="0" w:color="000000"/>
              <w:right w:val="single" w:sz="4" w:space="0" w:color="000000"/>
            </w:tcBorders>
          </w:tcPr>
          <w:p w14:paraId="270FB01B" w14:textId="0694218A" w:rsidR="008211F4" w:rsidRDefault="008211F4" w:rsidP="008211F4">
            <w:pPr>
              <w:spacing w:line="360" w:lineRule="auto"/>
              <w:jc w:val="both"/>
              <w:rPr>
                <w:rFonts w:ascii="Cambria" w:hAnsi="Cambria" w:cs="Adobe Devanagari"/>
              </w:rPr>
            </w:pPr>
            <w:r>
              <w:rPr>
                <w:rFonts w:ascii="Cambria" w:hAnsi="Cambria" w:cs="Adobe Devanagari"/>
              </w:rPr>
              <w:t>.90</w:t>
            </w:r>
          </w:p>
        </w:tc>
        <w:tc>
          <w:tcPr>
            <w:tcW w:w="856" w:type="dxa"/>
            <w:tcBorders>
              <w:left w:val="single" w:sz="4" w:space="0" w:color="000000"/>
              <w:bottom w:val="single" w:sz="4" w:space="0" w:color="000000"/>
            </w:tcBorders>
          </w:tcPr>
          <w:p w14:paraId="6550BEDF" w14:textId="2CDBA9C7" w:rsidR="008211F4" w:rsidRDefault="008211F4" w:rsidP="008211F4">
            <w:pPr>
              <w:spacing w:line="360" w:lineRule="auto"/>
              <w:jc w:val="both"/>
              <w:rPr>
                <w:rFonts w:ascii="Cambria" w:hAnsi="Cambria" w:cs="Adobe Devanagari"/>
              </w:rPr>
            </w:pPr>
            <w:r>
              <w:rPr>
                <w:rFonts w:ascii="Cambria" w:hAnsi="Cambria" w:cs="Adobe Devanagari"/>
              </w:rPr>
              <w:t>.867</w:t>
            </w:r>
          </w:p>
        </w:tc>
      </w:tr>
      <w:tr w:rsidR="008211F4" w14:paraId="0BB7E56C" w14:textId="0C21E3E2" w:rsidTr="00A57E47">
        <w:tc>
          <w:tcPr>
            <w:tcW w:w="2830" w:type="dxa"/>
          </w:tcPr>
          <w:p w14:paraId="1DAD7472" w14:textId="4ADF768C" w:rsidR="008211F4" w:rsidRDefault="008211F4" w:rsidP="008211F4">
            <w:pPr>
              <w:spacing w:line="360" w:lineRule="auto"/>
              <w:jc w:val="both"/>
              <w:rPr>
                <w:rFonts w:ascii="Cambria" w:hAnsi="Cambria" w:cs="Adobe Devanagari"/>
              </w:rPr>
            </w:pPr>
            <w:r w:rsidRPr="00102F72">
              <w:rPr>
                <w:rFonts w:ascii="Cambria" w:hAnsi="Cambria" w:cs="Adobe Devanagari"/>
              </w:rPr>
              <w:t>Dominance</w:t>
            </w:r>
          </w:p>
        </w:tc>
        <w:tc>
          <w:tcPr>
            <w:tcW w:w="814" w:type="dxa"/>
            <w:tcBorders>
              <w:right w:val="single" w:sz="4" w:space="0" w:color="000000"/>
            </w:tcBorders>
          </w:tcPr>
          <w:p w14:paraId="2258FC2D" w14:textId="6C7C7CF4" w:rsidR="008211F4" w:rsidRDefault="008211F4" w:rsidP="008211F4">
            <w:pPr>
              <w:spacing w:line="360" w:lineRule="auto"/>
              <w:jc w:val="both"/>
              <w:rPr>
                <w:rFonts w:ascii="Cambria" w:hAnsi="Cambria" w:cs="Adobe Devanagari"/>
              </w:rPr>
            </w:pPr>
            <w:r>
              <w:rPr>
                <w:rFonts w:ascii="Cambria" w:hAnsi="Cambria" w:cs="Adobe Devanagari"/>
              </w:rPr>
              <w:t>.82</w:t>
            </w:r>
          </w:p>
        </w:tc>
        <w:tc>
          <w:tcPr>
            <w:tcW w:w="1029" w:type="dxa"/>
            <w:tcBorders>
              <w:left w:val="single" w:sz="4" w:space="0" w:color="000000"/>
            </w:tcBorders>
          </w:tcPr>
          <w:p w14:paraId="10C5A057" w14:textId="717A1456" w:rsidR="008211F4" w:rsidRDefault="008211F4" w:rsidP="008211F4">
            <w:pPr>
              <w:spacing w:line="360" w:lineRule="auto"/>
              <w:jc w:val="both"/>
              <w:rPr>
                <w:rFonts w:ascii="Cambria" w:hAnsi="Cambria" w:cs="Adobe Devanagari"/>
              </w:rPr>
            </w:pPr>
            <w:r w:rsidRPr="001435A7">
              <w:rPr>
                <w:rFonts w:ascii="Cambria" w:hAnsi="Cambria" w:cs="Arial"/>
                <w:sz w:val="24"/>
                <w:szCs w:val="24"/>
              </w:rPr>
              <w:t>.726</w:t>
            </w:r>
          </w:p>
        </w:tc>
        <w:tc>
          <w:tcPr>
            <w:tcW w:w="877" w:type="dxa"/>
            <w:tcBorders>
              <w:right w:val="single" w:sz="4" w:space="0" w:color="000000"/>
            </w:tcBorders>
          </w:tcPr>
          <w:p w14:paraId="4ACF1E1E" w14:textId="0A7A4C16" w:rsidR="008211F4" w:rsidRDefault="008211F4" w:rsidP="008211F4">
            <w:pPr>
              <w:spacing w:line="360" w:lineRule="auto"/>
              <w:jc w:val="both"/>
              <w:rPr>
                <w:rFonts w:ascii="Cambria" w:hAnsi="Cambria" w:cs="Adobe Devanagari"/>
              </w:rPr>
            </w:pPr>
            <w:r>
              <w:rPr>
                <w:rFonts w:ascii="Cambria" w:hAnsi="Cambria" w:cs="Adobe Devanagari"/>
              </w:rPr>
              <w:t>.80</w:t>
            </w:r>
          </w:p>
        </w:tc>
        <w:tc>
          <w:tcPr>
            <w:tcW w:w="966" w:type="dxa"/>
            <w:tcBorders>
              <w:left w:val="single" w:sz="4" w:space="0" w:color="000000"/>
            </w:tcBorders>
          </w:tcPr>
          <w:p w14:paraId="3609E9B1" w14:textId="38701BC7" w:rsidR="008211F4" w:rsidRDefault="008211F4" w:rsidP="008211F4">
            <w:pPr>
              <w:spacing w:line="360" w:lineRule="auto"/>
              <w:jc w:val="both"/>
              <w:rPr>
                <w:rFonts w:ascii="Cambria" w:hAnsi="Cambria" w:cs="Adobe Devanagari"/>
              </w:rPr>
            </w:pPr>
            <w:r>
              <w:rPr>
                <w:rFonts w:ascii="Cambria" w:hAnsi="Cambria" w:cs="Adobe Devanagari"/>
              </w:rPr>
              <w:t>.694</w:t>
            </w:r>
          </w:p>
        </w:tc>
        <w:tc>
          <w:tcPr>
            <w:tcW w:w="845" w:type="dxa"/>
            <w:tcBorders>
              <w:top w:val="single" w:sz="4" w:space="0" w:color="000000"/>
              <w:right w:val="single" w:sz="4" w:space="0" w:color="000000"/>
            </w:tcBorders>
          </w:tcPr>
          <w:p w14:paraId="06C34197" w14:textId="3367F40A" w:rsidR="008211F4" w:rsidRDefault="008211F4" w:rsidP="008211F4">
            <w:pPr>
              <w:spacing w:line="360" w:lineRule="auto"/>
              <w:jc w:val="both"/>
              <w:rPr>
                <w:rFonts w:ascii="Cambria" w:hAnsi="Cambria" w:cs="Adobe Devanagari"/>
              </w:rPr>
            </w:pPr>
            <w:r>
              <w:rPr>
                <w:rFonts w:ascii="Cambria" w:hAnsi="Cambria" w:cs="Adobe Devanagari"/>
              </w:rPr>
              <w:t>.84</w:t>
            </w:r>
          </w:p>
        </w:tc>
        <w:tc>
          <w:tcPr>
            <w:tcW w:w="856" w:type="dxa"/>
            <w:tcBorders>
              <w:top w:val="single" w:sz="4" w:space="0" w:color="000000"/>
              <w:left w:val="single" w:sz="4" w:space="0" w:color="000000"/>
            </w:tcBorders>
          </w:tcPr>
          <w:p w14:paraId="0B2FFEEA" w14:textId="4D9B86C7" w:rsidR="008211F4" w:rsidRDefault="008211F4" w:rsidP="008211F4">
            <w:pPr>
              <w:spacing w:line="360" w:lineRule="auto"/>
              <w:jc w:val="both"/>
              <w:rPr>
                <w:rFonts w:ascii="Cambria" w:hAnsi="Cambria" w:cs="Adobe Devanagari"/>
              </w:rPr>
            </w:pPr>
            <w:r>
              <w:rPr>
                <w:rFonts w:ascii="Cambria" w:hAnsi="Cambria" w:cs="Adobe Devanagari"/>
              </w:rPr>
              <w:t>.770</w:t>
            </w:r>
          </w:p>
        </w:tc>
      </w:tr>
      <w:tr w:rsidR="008211F4" w14:paraId="00AC573F" w14:textId="1F301E32" w:rsidTr="00A57E47">
        <w:tc>
          <w:tcPr>
            <w:tcW w:w="2830" w:type="dxa"/>
          </w:tcPr>
          <w:p w14:paraId="71233E92" w14:textId="380F769B" w:rsidR="008211F4" w:rsidRDefault="008211F4" w:rsidP="008211F4">
            <w:pPr>
              <w:spacing w:line="360" w:lineRule="auto"/>
              <w:jc w:val="both"/>
              <w:rPr>
                <w:rFonts w:ascii="Cambria" w:hAnsi="Cambria" w:cs="Adobe Devanagari"/>
              </w:rPr>
            </w:pPr>
            <w:r>
              <w:rPr>
                <w:rFonts w:ascii="Cambria" w:hAnsi="Cambria" w:cs="Adobe Devanagari"/>
              </w:rPr>
              <w:t xml:space="preserve">Ad </w:t>
            </w:r>
            <w:r w:rsidRPr="00102F72">
              <w:rPr>
                <w:rFonts w:ascii="Cambria" w:hAnsi="Cambria" w:cs="Adobe Devanagari"/>
              </w:rPr>
              <w:t>Attitude</w:t>
            </w:r>
          </w:p>
        </w:tc>
        <w:tc>
          <w:tcPr>
            <w:tcW w:w="814" w:type="dxa"/>
            <w:tcBorders>
              <w:right w:val="single" w:sz="4" w:space="0" w:color="000000"/>
            </w:tcBorders>
          </w:tcPr>
          <w:p w14:paraId="702450FC" w14:textId="7612DC46" w:rsidR="008211F4" w:rsidRDefault="008211F4" w:rsidP="008211F4">
            <w:pPr>
              <w:spacing w:line="360" w:lineRule="auto"/>
              <w:jc w:val="both"/>
              <w:rPr>
                <w:rFonts w:ascii="Cambria" w:hAnsi="Cambria" w:cs="Adobe Devanagari"/>
              </w:rPr>
            </w:pPr>
            <w:r>
              <w:rPr>
                <w:rFonts w:ascii="Cambria" w:hAnsi="Cambria" w:cs="Adobe Devanagari"/>
              </w:rPr>
              <w:t>.96</w:t>
            </w:r>
          </w:p>
        </w:tc>
        <w:tc>
          <w:tcPr>
            <w:tcW w:w="1029" w:type="dxa"/>
            <w:tcBorders>
              <w:left w:val="single" w:sz="4" w:space="0" w:color="000000"/>
            </w:tcBorders>
          </w:tcPr>
          <w:p w14:paraId="68138DA5" w14:textId="736B135C" w:rsidR="008211F4" w:rsidRPr="00C012C6" w:rsidRDefault="008211F4" w:rsidP="008211F4">
            <w:r w:rsidRPr="001435A7">
              <w:rPr>
                <w:rFonts w:ascii="Cambria" w:hAnsi="Cambria" w:cs="Arial"/>
                <w:sz w:val="24"/>
                <w:szCs w:val="24"/>
              </w:rPr>
              <w:t>.949</w:t>
            </w:r>
          </w:p>
        </w:tc>
        <w:tc>
          <w:tcPr>
            <w:tcW w:w="877" w:type="dxa"/>
            <w:tcBorders>
              <w:right w:val="single" w:sz="4" w:space="0" w:color="000000"/>
            </w:tcBorders>
          </w:tcPr>
          <w:p w14:paraId="3C43CDC1" w14:textId="381DBE1F" w:rsidR="008211F4" w:rsidRDefault="008211F4" w:rsidP="008211F4">
            <w:pPr>
              <w:spacing w:line="360" w:lineRule="auto"/>
              <w:jc w:val="both"/>
              <w:rPr>
                <w:rFonts w:ascii="Cambria" w:hAnsi="Cambria" w:cs="Adobe Devanagari"/>
              </w:rPr>
            </w:pPr>
            <w:r>
              <w:rPr>
                <w:rFonts w:ascii="Cambria" w:hAnsi="Cambria" w:cs="Adobe Devanagari"/>
              </w:rPr>
              <w:t>.96</w:t>
            </w:r>
          </w:p>
        </w:tc>
        <w:tc>
          <w:tcPr>
            <w:tcW w:w="966" w:type="dxa"/>
            <w:tcBorders>
              <w:left w:val="single" w:sz="4" w:space="0" w:color="000000"/>
            </w:tcBorders>
          </w:tcPr>
          <w:p w14:paraId="7E754AE4" w14:textId="04A832F7" w:rsidR="008211F4" w:rsidRDefault="008211F4" w:rsidP="008211F4">
            <w:pPr>
              <w:spacing w:line="360" w:lineRule="auto"/>
              <w:jc w:val="both"/>
              <w:rPr>
                <w:rFonts w:ascii="Cambria" w:hAnsi="Cambria" w:cs="Adobe Devanagari"/>
              </w:rPr>
            </w:pPr>
            <w:r>
              <w:rPr>
                <w:rFonts w:ascii="Cambria" w:hAnsi="Cambria" w:cs="Adobe Devanagari"/>
              </w:rPr>
              <w:t>.951</w:t>
            </w:r>
          </w:p>
        </w:tc>
        <w:tc>
          <w:tcPr>
            <w:tcW w:w="845" w:type="dxa"/>
            <w:tcBorders>
              <w:right w:val="single" w:sz="4" w:space="0" w:color="000000"/>
            </w:tcBorders>
          </w:tcPr>
          <w:p w14:paraId="103948D9" w14:textId="134FFBA3" w:rsidR="008211F4" w:rsidRDefault="008211F4" w:rsidP="008211F4">
            <w:pPr>
              <w:spacing w:line="360" w:lineRule="auto"/>
              <w:jc w:val="both"/>
              <w:rPr>
                <w:rFonts w:ascii="Cambria" w:hAnsi="Cambria" w:cs="Adobe Devanagari"/>
              </w:rPr>
            </w:pPr>
            <w:r>
              <w:rPr>
                <w:rFonts w:ascii="Cambria" w:hAnsi="Cambria" w:cs="Adobe Devanagari"/>
              </w:rPr>
              <w:t>.96</w:t>
            </w:r>
          </w:p>
        </w:tc>
        <w:tc>
          <w:tcPr>
            <w:tcW w:w="856" w:type="dxa"/>
            <w:tcBorders>
              <w:left w:val="single" w:sz="4" w:space="0" w:color="000000"/>
            </w:tcBorders>
          </w:tcPr>
          <w:p w14:paraId="140327C1" w14:textId="1B845A21" w:rsidR="008211F4" w:rsidRDefault="008211F4" w:rsidP="008211F4">
            <w:pPr>
              <w:spacing w:line="360" w:lineRule="auto"/>
              <w:jc w:val="both"/>
              <w:rPr>
                <w:rFonts w:ascii="Cambria" w:hAnsi="Cambria" w:cs="Adobe Devanagari"/>
              </w:rPr>
            </w:pPr>
            <w:r>
              <w:rPr>
                <w:rFonts w:ascii="Cambria" w:hAnsi="Cambria" w:cs="Adobe Devanagari"/>
              </w:rPr>
              <w:t>.945</w:t>
            </w:r>
          </w:p>
        </w:tc>
      </w:tr>
      <w:tr w:rsidR="008211F4" w14:paraId="50CA7EC8" w14:textId="12A9D433" w:rsidTr="00A57E47">
        <w:tc>
          <w:tcPr>
            <w:tcW w:w="2830" w:type="dxa"/>
          </w:tcPr>
          <w:p w14:paraId="366335A0" w14:textId="4BA335DE" w:rsidR="008211F4" w:rsidRDefault="008211F4" w:rsidP="008211F4">
            <w:pPr>
              <w:spacing w:line="360" w:lineRule="auto"/>
              <w:jc w:val="both"/>
              <w:rPr>
                <w:rFonts w:ascii="Cambria" w:hAnsi="Cambria" w:cs="Adobe Devanagari"/>
              </w:rPr>
            </w:pPr>
            <w:r w:rsidRPr="00102F72">
              <w:rPr>
                <w:rFonts w:ascii="Cambria" w:hAnsi="Cambria" w:cs="Adobe Devanagari"/>
              </w:rPr>
              <w:t>Engagement</w:t>
            </w:r>
          </w:p>
        </w:tc>
        <w:tc>
          <w:tcPr>
            <w:tcW w:w="814" w:type="dxa"/>
            <w:tcBorders>
              <w:right w:val="single" w:sz="4" w:space="0" w:color="000000"/>
            </w:tcBorders>
          </w:tcPr>
          <w:p w14:paraId="170D0C80" w14:textId="385CBAC4" w:rsidR="008211F4" w:rsidRDefault="008211F4" w:rsidP="008211F4">
            <w:pPr>
              <w:spacing w:line="360" w:lineRule="auto"/>
              <w:jc w:val="both"/>
              <w:rPr>
                <w:rFonts w:ascii="Cambria" w:hAnsi="Cambria" w:cs="Adobe Devanagari"/>
              </w:rPr>
            </w:pPr>
            <w:r>
              <w:rPr>
                <w:rFonts w:ascii="Cambria" w:hAnsi="Cambria" w:cs="Adobe Devanagari"/>
              </w:rPr>
              <w:t>.85</w:t>
            </w:r>
          </w:p>
        </w:tc>
        <w:tc>
          <w:tcPr>
            <w:tcW w:w="1029" w:type="dxa"/>
            <w:tcBorders>
              <w:left w:val="single" w:sz="4" w:space="0" w:color="000000"/>
            </w:tcBorders>
          </w:tcPr>
          <w:p w14:paraId="121A8804" w14:textId="6DD2B4D1" w:rsidR="008211F4" w:rsidRDefault="008211F4" w:rsidP="008211F4">
            <w:pPr>
              <w:spacing w:line="360" w:lineRule="auto"/>
              <w:jc w:val="both"/>
              <w:rPr>
                <w:rFonts w:ascii="Cambria" w:hAnsi="Cambria" w:cs="Adobe Devanagari"/>
              </w:rPr>
            </w:pPr>
            <w:r w:rsidRPr="001435A7">
              <w:rPr>
                <w:rFonts w:ascii="Cambria" w:hAnsi="Cambria" w:cs="Arial"/>
                <w:sz w:val="24"/>
                <w:szCs w:val="24"/>
              </w:rPr>
              <w:t>.756</w:t>
            </w:r>
          </w:p>
        </w:tc>
        <w:tc>
          <w:tcPr>
            <w:tcW w:w="877" w:type="dxa"/>
            <w:tcBorders>
              <w:right w:val="single" w:sz="4" w:space="0" w:color="000000"/>
            </w:tcBorders>
          </w:tcPr>
          <w:p w14:paraId="6AA5537A" w14:textId="277D6F10" w:rsidR="008211F4" w:rsidRDefault="008211F4" w:rsidP="008211F4">
            <w:pPr>
              <w:spacing w:line="360" w:lineRule="auto"/>
              <w:jc w:val="both"/>
              <w:rPr>
                <w:rFonts w:ascii="Cambria" w:hAnsi="Cambria" w:cs="Adobe Devanagari"/>
              </w:rPr>
            </w:pPr>
            <w:r>
              <w:rPr>
                <w:rFonts w:ascii="Cambria" w:hAnsi="Cambria" w:cs="Adobe Devanagari"/>
              </w:rPr>
              <w:t>.84</w:t>
            </w:r>
          </w:p>
        </w:tc>
        <w:tc>
          <w:tcPr>
            <w:tcW w:w="966" w:type="dxa"/>
            <w:tcBorders>
              <w:left w:val="single" w:sz="4" w:space="0" w:color="000000"/>
            </w:tcBorders>
          </w:tcPr>
          <w:p w14:paraId="3BEE8AE5" w14:textId="1B721434" w:rsidR="008211F4" w:rsidRDefault="008211F4" w:rsidP="008211F4">
            <w:pPr>
              <w:spacing w:line="360" w:lineRule="auto"/>
              <w:jc w:val="both"/>
              <w:rPr>
                <w:rFonts w:ascii="Cambria" w:hAnsi="Cambria" w:cs="Adobe Devanagari"/>
              </w:rPr>
            </w:pPr>
            <w:r>
              <w:rPr>
                <w:rFonts w:ascii="Cambria" w:hAnsi="Cambria" w:cs="Adobe Devanagari"/>
              </w:rPr>
              <w:t>.742</w:t>
            </w:r>
          </w:p>
        </w:tc>
        <w:tc>
          <w:tcPr>
            <w:tcW w:w="845" w:type="dxa"/>
            <w:tcBorders>
              <w:right w:val="single" w:sz="4" w:space="0" w:color="000000"/>
            </w:tcBorders>
          </w:tcPr>
          <w:p w14:paraId="63806C60" w14:textId="72297807" w:rsidR="008211F4" w:rsidRDefault="008211F4" w:rsidP="008211F4">
            <w:pPr>
              <w:spacing w:line="360" w:lineRule="auto"/>
              <w:jc w:val="both"/>
              <w:rPr>
                <w:rFonts w:ascii="Cambria" w:hAnsi="Cambria" w:cs="Adobe Devanagari"/>
              </w:rPr>
            </w:pPr>
            <w:r>
              <w:rPr>
                <w:rFonts w:ascii="Cambria" w:hAnsi="Cambria" w:cs="Adobe Devanagari"/>
              </w:rPr>
              <w:t>.86</w:t>
            </w:r>
          </w:p>
        </w:tc>
        <w:tc>
          <w:tcPr>
            <w:tcW w:w="856" w:type="dxa"/>
            <w:tcBorders>
              <w:left w:val="single" w:sz="4" w:space="0" w:color="000000"/>
            </w:tcBorders>
          </w:tcPr>
          <w:p w14:paraId="183E6AFE" w14:textId="18C4E019" w:rsidR="008211F4" w:rsidRDefault="008211F4" w:rsidP="008211F4">
            <w:pPr>
              <w:spacing w:line="360" w:lineRule="auto"/>
              <w:jc w:val="both"/>
              <w:rPr>
                <w:rFonts w:ascii="Cambria" w:hAnsi="Cambria" w:cs="Adobe Devanagari"/>
              </w:rPr>
            </w:pPr>
            <w:r>
              <w:rPr>
                <w:rFonts w:ascii="Cambria" w:hAnsi="Cambria" w:cs="Adobe Devanagari"/>
              </w:rPr>
              <w:t>.787</w:t>
            </w:r>
          </w:p>
        </w:tc>
      </w:tr>
      <w:tr w:rsidR="008211F4" w14:paraId="2950A08B" w14:textId="51778B26" w:rsidTr="00A57E47">
        <w:tc>
          <w:tcPr>
            <w:tcW w:w="2830" w:type="dxa"/>
          </w:tcPr>
          <w:p w14:paraId="453145D8" w14:textId="265CD999" w:rsidR="008211F4" w:rsidRDefault="008211F4" w:rsidP="008211F4">
            <w:pPr>
              <w:spacing w:line="360" w:lineRule="auto"/>
              <w:jc w:val="both"/>
              <w:rPr>
                <w:rFonts w:ascii="Cambria" w:hAnsi="Cambria" w:cs="Adobe Devanagari"/>
              </w:rPr>
            </w:pPr>
            <w:r w:rsidRPr="00102F72">
              <w:rPr>
                <w:rFonts w:ascii="Cambria" w:hAnsi="Cambria" w:cs="Adobe Devanagari"/>
              </w:rPr>
              <w:t>Purchase</w:t>
            </w:r>
            <w:r>
              <w:rPr>
                <w:rFonts w:ascii="Cambria" w:hAnsi="Cambria" w:cs="Adobe Devanagari"/>
              </w:rPr>
              <w:t xml:space="preserve"> intention</w:t>
            </w:r>
          </w:p>
        </w:tc>
        <w:tc>
          <w:tcPr>
            <w:tcW w:w="814" w:type="dxa"/>
            <w:tcBorders>
              <w:right w:val="single" w:sz="4" w:space="0" w:color="000000"/>
            </w:tcBorders>
          </w:tcPr>
          <w:p w14:paraId="0E514EA2" w14:textId="73E38AC4" w:rsidR="008211F4" w:rsidRDefault="008211F4" w:rsidP="008211F4">
            <w:pPr>
              <w:spacing w:line="360" w:lineRule="auto"/>
              <w:jc w:val="both"/>
              <w:rPr>
                <w:rFonts w:ascii="Cambria" w:hAnsi="Cambria" w:cs="Adobe Devanagari"/>
              </w:rPr>
            </w:pPr>
            <w:r>
              <w:rPr>
                <w:rFonts w:ascii="Cambria" w:hAnsi="Cambria" w:cs="Adobe Devanagari"/>
              </w:rPr>
              <w:t>.94</w:t>
            </w:r>
          </w:p>
        </w:tc>
        <w:tc>
          <w:tcPr>
            <w:tcW w:w="1029" w:type="dxa"/>
            <w:tcBorders>
              <w:left w:val="single" w:sz="4" w:space="0" w:color="000000"/>
            </w:tcBorders>
          </w:tcPr>
          <w:p w14:paraId="6E057028" w14:textId="3C26E0EE" w:rsidR="008211F4" w:rsidRDefault="008211F4" w:rsidP="008211F4">
            <w:pPr>
              <w:spacing w:line="360" w:lineRule="auto"/>
              <w:jc w:val="both"/>
              <w:rPr>
                <w:rFonts w:ascii="Cambria" w:hAnsi="Cambria" w:cs="Adobe Devanagari"/>
              </w:rPr>
            </w:pPr>
            <w:r>
              <w:rPr>
                <w:rFonts w:ascii="Cambria" w:hAnsi="Cambria" w:cs="Adobe Devanagari"/>
              </w:rPr>
              <w:t>.923</w:t>
            </w:r>
          </w:p>
        </w:tc>
        <w:tc>
          <w:tcPr>
            <w:tcW w:w="877" w:type="dxa"/>
            <w:tcBorders>
              <w:right w:val="single" w:sz="4" w:space="0" w:color="000000"/>
            </w:tcBorders>
          </w:tcPr>
          <w:p w14:paraId="60424430" w14:textId="792DD305" w:rsidR="008211F4" w:rsidRDefault="008211F4" w:rsidP="008211F4">
            <w:pPr>
              <w:spacing w:line="360" w:lineRule="auto"/>
              <w:jc w:val="both"/>
              <w:rPr>
                <w:rFonts w:ascii="Cambria" w:hAnsi="Cambria" w:cs="Adobe Devanagari"/>
              </w:rPr>
            </w:pPr>
            <w:r>
              <w:rPr>
                <w:rFonts w:ascii="Cambria" w:hAnsi="Cambria" w:cs="Adobe Devanagari"/>
              </w:rPr>
              <w:t>.95</w:t>
            </w:r>
          </w:p>
        </w:tc>
        <w:tc>
          <w:tcPr>
            <w:tcW w:w="966" w:type="dxa"/>
            <w:tcBorders>
              <w:left w:val="single" w:sz="4" w:space="0" w:color="000000"/>
            </w:tcBorders>
          </w:tcPr>
          <w:p w14:paraId="22763225" w14:textId="413A2CAE" w:rsidR="008211F4" w:rsidRDefault="008211F4" w:rsidP="008211F4">
            <w:pPr>
              <w:spacing w:line="360" w:lineRule="auto"/>
              <w:jc w:val="both"/>
              <w:rPr>
                <w:rFonts w:ascii="Cambria" w:hAnsi="Cambria" w:cs="Adobe Devanagari"/>
              </w:rPr>
            </w:pPr>
            <w:r>
              <w:rPr>
                <w:rFonts w:ascii="Cambria" w:hAnsi="Cambria" w:cs="Adobe Devanagari"/>
              </w:rPr>
              <w:t>.938</w:t>
            </w:r>
          </w:p>
        </w:tc>
        <w:tc>
          <w:tcPr>
            <w:tcW w:w="845" w:type="dxa"/>
            <w:tcBorders>
              <w:right w:val="single" w:sz="4" w:space="0" w:color="000000"/>
            </w:tcBorders>
          </w:tcPr>
          <w:p w14:paraId="693ECD23" w14:textId="2DE417EA" w:rsidR="008211F4" w:rsidRDefault="008211F4" w:rsidP="008211F4">
            <w:pPr>
              <w:spacing w:line="360" w:lineRule="auto"/>
              <w:jc w:val="both"/>
              <w:rPr>
                <w:rFonts w:ascii="Cambria" w:hAnsi="Cambria" w:cs="Adobe Devanagari"/>
              </w:rPr>
            </w:pPr>
            <w:r>
              <w:rPr>
                <w:rFonts w:ascii="Cambria" w:hAnsi="Cambria" w:cs="Adobe Devanagari"/>
              </w:rPr>
              <w:t>.92</w:t>
            </w:r>
          </w:p>
        </w:tc>
        <w:tc>
          <w:tcPr>
            <w:tcW w:w="856" w:type="dxa"/>
            <w:tcBorders>
              <w:left w:val="single" w:sz="4" w:space="0" w:color="000000"/>
            </w:tcBorders>
          </w:tcPr>
          <w:p w14:paraId="722210A3" w14:textId="0BFDCED0" w:rsidR="008211F4" w:rsidRDefault="008211F4" w:rsidP="008211F4">
            <w:pPr>
              <w:spacing w:line="360" w:lineRule="auto"/>
              <w:jc w:val="both"/>
              <w:rPr>
                <w:rFonts w:ascii="Cambria" w:hAnsi="Cambria" w:cs="Adobe Devanagari"/>
              </w:rPr>
            </w:pPr>
            <w:r>
              <w:rPr>
                <w:rFonts w:ascii="Cambria" w:hAnsi="Cambria" w:cs="Adobe Devanagari"/>
              </w:rPr>
              <w:t>.904</w:t>
            </w:r>
          </w:p>
        </w:tc>
      </w:tr>
      <w:tr w:rsidR="008211F4" w14:paraId="3E337618" w14:textId="7D368799" w:rsidTr="00A57E47">
        <w:tc>
          <w:tcPr>
            <w:tcW w:w="2830" w:type="dxa"/>
          </w:tcPr>
          <w:p w14:paraId="543F42C1" w14:textId="5B1A6F16" w:rsidR="008211F4" w:rsidRDefault="008211F4" w:rsidP="008211F4">
            <w:pPr>
              <w:spacing w:line="360" w:lineRule="auto"/>
              <w:jc w:val="both"/>
              <w:rPr>
                <w:rFonts w:ascii="Cambria" w:hAnsi="Cambria" w:cs="Adobe Devanagari"/>
              </w:rPr>
            </w:pPr>
            <w:r w:rsidRPr="00102F72">
              <w:rPr>
                <w:rFonts w:ascii="Cambria" w:hAnsi="Cambria" w:cs="Adobe Devanagari"/>
              </w:rPr>
              <w:t>Behaviour</w:t>
            </w:r>
            <w:r>
              <w:rPr>
                <w:rFonts w:ascii="Cambria" w:hAnsi="Cambria" w:cs="Adobe Devanagari"/>
              </w:rPr>
              <w:t xml:space="preserve">al intention </w:t>
            </w:r>
          </w:p>
        </w:tc>
        <w:tc>
          <w:tcPr>
            <w:tcW w:w="814" w:type="dxa"/>
            <w:tcBorders>
              <w:right w:val="single" w:sz="4" w:space="0" w:color="000000"/>
            </w:tcBorders>
          </w:tcPr>
          <w:p w14:paraId="19F0BE02" w14:textId="3BBB82BF" w:rsidR="008211F4" w:rsidRDefault="008211F4" w:rsidP="008211F4">
            <w:pPr>
              <w:spacing w:line="360" w:lineRule="auto"/>
              <w:jc w:val="both"/>
              <w:rPr>
                <w:rFonts w:ascii="Cambria" w:hAnsi="Cambria" w:cs="Adobe Devanagari"/>
              </w:rPr>
            </w:pPr>
            <w:r>
              <w:rPr>
                <w:rFonts w:ascii="Cambria" w:hAnsi="Cambria" w:cs="Adobe Devanagari"/>
              </w:rPr>
              <w:t>.96</w:t>
            </w:r>
          </w:p>
        </w:tc>
        <w:tc>
          <w:tcPr>
            <w:tcW w:w="1029" w:type="dxa"/>
            <w:tcBorders>
              <w:left w:val="single" w:sz="4" w:space="0" w:color="000000"/>
            </w:tcBorders>
          </w:tcPr>
          <w:p w14:paraId="7C83B6FA" w14:textId="19D16876" w:rsidR="008211F4" w:rsidRDefault="008211F4" w:rsidP="008211F4">
            <w:pPr>
              <w:spacing w:line="360" w:lineRule="auto"/>
              <w:jc w:val="both"/>
              <w:rPr>
                <w:rFonts w:ascii="Cambria" w:hAnsi="Cambria" w:cs="Adobe Devanagari"/>
              </w:rPr>
            </w:pPr>
            <w:r>
              <w:rPr>
                <w:rFonts w:ascii="Cambria" w:hAnsi="Cambria" w:cs="Adobe Devanagari"/>
              </w:rPr>
              <w:t>.946</w:t>
            </w:r>
          </w:p>
        </w:tc>
        <w:tc>
          <w:tcPr>
            <w:tcW w:w="877" w:type="dxa"/>
            <w:tcBorders>
              <w:right w:val="single" w:sz="4" w:space="0" w:color="000000"/>
            </w:tcBorders>
          </w:tcPr>
          <w:p w14:paraId="43B608AD" w14:textId="639F977E" w:rsidR="008211F4" w:rsidRDefault="008211F4" w:rsidP="008211F4">
            <w:pPr>
              <w:spacing w:line="360" w:lineRule="auto"/>
              <w:jc w:val="both"/>
              <w:rPr>
                <w:rFonts w:ascii="Cambria" w:hAnsi="Cambria" w:cs="Adobe Devanagari"/>
              </w:rPr>
            </w:pPr>
            <w:r>
              <w:rPr>
                <w:rFonts w:ascii="Cambria" w:hAnsi="Cambria" w:cs="Adobe Devanagari"/>
              </w:rPr>
              <w:t>.97</w:t>
            </w:r>
          </w:p>
        </w:tc>
        <w:tc>
          <w:tcPr>
            <w:tcW w:w="966" w:type="dxa"/>
            <w:tcBorders>
              <w:left w:val="single" w:sz="4" w:space="0" w:color="000000"/>
            </w:tcBorders>
          </w:tcPr>
          <w:p w14:paraId="6D5CB511" w14:textId="5C65070C" w:rsidR="008211F4" w:rsidRDefault="008211F4" w:rsidP="008211F4">
            <w:pPr>
              <w:spacing w:line="360" w:lineRule="auto"/>
              <w:jc w:val="both"/>
              <w:rPr>
                <w:rFonts w:ascii="Cambria" w:hAnsi="Cambria" w:cs="Adobe Devanagari"/>
              </w:rPr>
            </w:pPr>
            <w:r>
              <w:rPr>
                <w:rFonts w:ascii="Cambria" w:hAnsi="Cambria" w:cs="Adobe Devanagari"/>
              </w:rPr>
              <w:t>.959</w:t>
            </w:r>
          </w:p>
        </w:tc>
        <w:tc>
          <w:tcPr>
            <w:tcW w:w="845" w:type="dxa"/>
            <w:tcBorders>
              <w:right w:val="single" w:sz="4" w:space="0" w:color="000000"/>
            </w:tcBorders>
          </w:tcPr>
          <w:p w14:paraId="3977A64C" w14:textId="3D97386E" w:rsidR="008211F4" w:rsidRDefault="008211F4" w:rsidP="008211F4">
            <w:pPr>
              <w:spacing w:line="360" w:lineRule="auto"/>
              <w:jc w:val="both"/>
              <w:rPr>
                <w:rFonts w:ascii="Cambria" w:hAnsi="Cambria" w:cs="Adobe Devanagari"/>
              </w:rPr>
            </w:pPr>
            <w:r>
              <w:rPr>
                <w:rFonts w:ascii="Cambria" w:hAnsi="Cambria" w:cs="Adobe Devanagari"/>
              </w:rPr>
              <w:t>.94</w:t>
            </w:r>
          </w:p>
        </w:tc>
        <w:tc>
          <w:tcPr>
            <w:tcW w:w="856" w:type="dxa"/>
            <w:tcBorders>
              <w:left w:val="single" w:sz="4" w:space="0" w:color="000000"/>
            </w:tcBorders>
          </w:tcPr>
          <w:p w14:paraId="2FFCFE55" w14:textId="039C9AAF" w:rsidR="008211F4" w:rsidRDefault="008211F4" w:rsidP="008211F4">
            <w:pPr>
              <w:spacing w:line="360" w:lineRule="auto"/>
              <w:jc w:val="both"/>
              <w:rPr>
                <w:rFonts w:ascii="Cambria" w:hAnsi="Cambria" w:cs="Adobe Devanagari"/>
              </w:rPr>
            </w:pPr>
            <w:r>
              <w:rPr>
                <w:rFonts w:ascii="Cambria" w:hAnsi="Cambria" w:cs="Adobe Devanagari"/>
              </w:rPr>
              <w:t>.918</w:t>
            </w:r>
          </w:p>
        </w:tc>
      </w:tr>
      <w:tr w:rsidR="008211F4" w14:paraId="78D5BF12" w14:textId="768664A9" w:rsidTr="00A57E47">
        <w:tc>
          <w:tcPr>
            <w:tcW w:w="2830" w:type="dxa"/>
          </w:tcPr>
          <w:p w14:paraId="2ECE0649" w14:textId="5BEADB1D" w:rsidR="008211F4" w:rsidRDefault="008211F4" w:rsidP="008211F4">
            <w:pPr>
              <w:spacing w:line="360" w:lineRule="auto"/>
              <w:jc w:val="both"/>
              <w:rPr>
                <w:rFonts w:ascii="Cambria" w:hAnsi="Cambria" w:cs="Adobe Devanagari"/>
              </w:rPr>
            </w:pPr>
            <w:r w:rsidRPr="00102F72">
              <w:rPr>
                <w:rFonts w:ascii="Cambria" w:hAnsi="Cambria" w:cs="Adobe Devanagari"/>
              </w:rPr>
              <w:t>Information</w:t>
            </w:r>
            <w:r>
              <w:rPr>
                <w:rFonts w:ascii="Cambria" w:hAnsi="Cambria" w:cs="Adobe Devanagari"/>
              </w:rPr>
              <w:t>al influence</w:t>
            </w:r>
          </w:p>
        </w:tc>
        <w:tc>
          <w:tcPr>
            <w:tcW w:w="814" w:type="dxa"/>
            <w:tcBorders>
              <w:right w:val="single" w:sz="4" w:space="0" w:color="000000"/>
            </w:tcBorders>
          </w:tcPr>
          <w:p w14:paraId="30D3EA33" w14:textId="1D9F6BCA" w:rsidR="008211F4" w:rsidRDefault="008211F4" w:rsidP="008211F4">
            <w:pPr>
              <w:spacing w:line="360" w:lineRule="auto"/>
              <w:jc w:val="both"/>
              <w:rPr>
                <w:rFonts w:ascii="Cambria" w:hAnsi="Cambria" w:cs="Adobe Devanagari"/>
              </w:rPr>
            </w:pPr>
            <w:r>
              <w:rPr>
                <w:rFonts w:ascii="Cambria" w:hAnsi="Cambria" w:cs="Adobe Devanagari"/>
              </w:rPr>
              <w:t>.86</w:t>
            </w:r>
          </w:p>
        </w:tc>
        <w:tc>
          <w:tcPr>
            <w:tcW w:w="1029" w:type="dxa"/>
            <w:tcBorders>
              <w:left w:val="single" w:sz="4" w:space="0" w:color="000000"/>
            </w:tcBorders>
          </w:tcPr>
          <w:p w14:paraId="36633E22" w14:textId="755BF6A6" w:rsidR="008211F4" w:rsidRDefault="008211F4" w:rsidP="008211F4">
            <w:pPr>
              <w:spacing w:line="360" w:lineRule="auto"/>
              <w:jc w:val="both"/>
              <w:rPr>
                <w:rFonts w:ascii="Cambria" w:hAnsi="Cambria" w:cs="Adobe Devanagari"/>
              </w:rPr>
            </w:pPr>
            <w:r>
              <w:rPr>
                <w:rFonts w:ascii="Cambria" w:hAnsi="Cambria" w:cs="Adobe Devanagari"/>
              </w:rPr>
              <w:t>.750</w:t>
            </w:r>
          </w:p>
        </w:tc>
        <w:tc>
          <w:tcPr>
            <w:tcW w:w="877" w:type="dxa"/>
            <w:tcBorders>
              <w:right w:val="single" w:sz="4" w:space="0" w:color="000000"/>
            </w:tcBorders>
          </w:tcPr>
          <w:p w14:paraId="4CCC6B89" w14:textId="5AF64FE0" w:rsidR="008211F4" w:rsidRDefault="008211F4" w:rsidP="008211F4">
            <w:pPr>
              <w:spacing w:line="360" w:lineRule="auto"/>
              <w:jc w:val="both"/>
              <w:rPr>
                <w:rFonts w:ascii="Cambria" w:hAnsi="Cambria" w:cs="Adobe Devanagari"/>
              </w:rPr>
            </w:pPr>
            <w:r>
              <w:rPr>
                <w:rFonts w:ascii="Cambria" w:hAnsi="Cambria" w:cs="Adobe Devanagari"/>
              </w:rPr>
              <w:t>.86</w:t>
            </w:r>
          </w:p>
        </w:tc>
        <w:tc>
          <w:tcPr>
            <w:tcW w:w="966" w:type="dxa"/>
            <w:tcBorders>
              <w:left w:val="single" w:sz="4" w:space="0" w:color="000000"/>
            </w:tcBorders>
          </w:tcPr>
          <w:p w14:paraId="2F30E497" w14:textId="4C773BEB" w:rsidR="008211F4" w:rsidRDefault="008211F4" w:rsidP="008211F4">
            <w:pPr>
              <w:spacing w:line="360" w:lineRule="auto"/>
              <w:jc w:val="both"/>
              <w:rPr>
                <w:rFonts w:ascii="Cambria" w:hAnsi="Cambria" w:cs="Adobe Devanagari"/>
              </w:rPr>
            </w:pPr>
            <w:r>
              <w:rPr>
                <w:rFonts w:ascii="Cambria" w:hAnsi="Cambria" w:cs="Adobe Devanagari"/>
              </w:rPr>
              <w:t>.753</w:t>
            </w:r>
          </w:p>
        </w:tc>
        <w:tc>
          <w:tcPr>
            <w:tcW w:w="845" w:type="dxa"/>
            <w:tcBorders>
              <w:right w:val="single" w:sz="4" w:space="0" w:color="000000"/>
            </w:tcBorders>
          </w:tcPr>
          <w:p w14:paraId="59464BC6" w14:textId="7D653861" w:rsidR="008211F4" w:rsidRDefault="008211F4" w:rsidP="008211F4">
            <w:pPr>
              <w:spacing w:line="360" w:lineRule="auto"/>
              <w:jc w:val="both"/>
              <w:rPr>
                <w:rFonts w:ascii="Cambria" w:hAnsi="Cambria" w:cs="Adobe Devanagari"/>
              </w:rPr>
            </w:pPr>
            <w:r>
              <w:rPr>
                <w:rFonts w:ascii="Cambria" w:hAnsi="Cambria" w:cs="Adobe Devanagari"/>
              </w:rPr>
              <w:t>.85</w:t>
            </w:r>
          </w:p>
        </w:tc>
        <w:tc>
          <w:tcPr>
            <w:tcW w:w="856" w:type="dxa"/>
            <w:tcBorders>
              <w:left w:val="single" w:sz="4" w:space="0" w:color="000000"/>
            </w:tcBorders>
          </w:tcPr>
          <w:p w14:paraId="1CD0A86C" w14:textId="53C3941A" w:rsidR="008211F4" w:rsidRDefault="008211F4" w:rsidP="008211F4">
            <w:pPr>
              <w:spacing w:line="360" w:lineRule="auto"/>
              <w:jc w:val="both"/>
              <w:rPr>
                <w:rFonts w:ascii="Cambria" w:hAnsi="Cambria" w:cs="Adobe Devanagari"/>
              </w:rPr>
            </w:pPr>
            <w:r>
              <w:rPr>
                <w:rFonts w:ascii="Cambria" w:hAnsi="Cambria" w:cs="Adobe Devanagari"/>
              </w:rPr>
              <w:t>.743</w:t>
            </w:r>
          </w:p>
        </w:tc>
      </w:tr>
      <w:tr w:rsidR="008211F4" w14:paraId="05A904D9" w14:textId="181C1DED" w:rsidTr="00A57E47">
        <w:tc>
          <w:tcPr>
            <w:tcW w:w="2830" w:type="dxa"/>
          </w:tcPr>
          <w:p w14:paraId="02EC4EA5" w14:textId="61269BA4" w:rsidR="008211F4" w:rsidRDefault="008211F4" w:rsidP="008211F4">
            <w:pPr>
              <w:spacing w:line="360" w:lineRule="auto"/>
              <w:jc w:val="both"/>
              <w:rPr>
                <w:rFonts w:ascii="Cambria" w:hAnsi="Cambria" w:cs="Adobe Devanagari"/>
              </w:rPr>
            </w:pPr>
            <w:r w:rsidRPr="00102F72">
              <w:rPr>
                <w:rFonts w:ascii="Cambria" w:hAnsi="Cambria" w:cs="Adobe Devanagari"/>
              </w:rPr>
              <w:t>Norm</w:t>
            </w:r>
            <w:r>
              <w:rPr>
                <w:rFonts w:ascii="Cambria" w:hAnsi="Cambria" w:cs="Adobe Devanagari"/>
              </w:rPr>
              <w:t>ative influence</w:t>
            </w:r>
          </w:p>
        </w:tc>
        <w:tc>
          <w:tcPr>
            <w:tcW w:w="814" w:type="dxa"/>
            <w:tcBorders>
              <w:right w:val="single" w:sz="4" w:space="0" w:color="000000"/>
            </w:tcBorders>
          </w:tcPr>
          <w:p w14:paraId="3E91C644" w14:textId="5E463498" w:rsidR="008211F4" w:rsidRDefault="008211F4" w:rsidP="008211F4">
            <w:pPr>
              <w:spacing w:line="360" w:lineRule="auto"/>
              <w:jc w:val="both"/>
              <w:rPr>
                <w:rFonts w:ascii="Cambria" w:hAnsi="Cambria" w:cs="Adobe Devanagari"/>
              </w:rPr>
            </w:pPr>
            <w:r>
              <w:rPr>
                <w:rFonts w:ascii="Cambria" w:hAnsi="Cambria" w:cs="Adobe Devanagari"/>
              </w:rPr>
              <w:t>.90</w:t>
            </w:r>
          </w:p>
        </w:tc>
        <w:tc>
          <w:tcPr>
            <w:tcW w:w="1029" w:type="dxa"/>
            <w:tcBorders>
              <w:left w:val="single" w:sz="4" w:space="0" w:color="000000"/>
            </w:tcBorders>
          </w:tcPr>
          <w:p w14:paraId="789772C2" w14:textId="6E25DF29" w:rsidR="008211F4" w:rsidRDefault="008211F4" w:rsidP="008211F4">
            <w:pPr>
              <w:spacing w:line="360" w:lineRule="auto"/>
              <w:jc w:val="both"/>
              <w:rPr>
                <w:rFonts w:ascii="Cambria" w:hAnsi="Cambria" w:cs="Adobe Devanagari"/>
              </w:rPr>
            </w:pPr>
            <w:r>
              <w:rPr>
                <w:rFonts w:ascii="Cambria" w:hAnsi="Cambria" w:cs="Adobe Devanagari"/>
              </w:rPr>
              <w:t>.861</w:t>
            </w:r>
          </w:p>
        </w:tc>
        <w:tc>
          <w:tcPr>
            <w:tcW w:w="877" w:type="dxa"/>
            <w:tcBorders>
              <w:right w:val="single" w:sz="4" w:space="0" w:color="000000"/>
            </w:tcBorders>
          </w:tcPr>
          <w:p w14:paraId="796FECA1" w14:textId="38FA623C" w:rsidR="008211F4" w:rsidRDefault="008211F4" w:rsidP="008211F4">
            <w:pPr>
              <w:spacing w:line="360" w:lineRule="auto"/>
              <w:jc w:val="both"/>
              <w:rPr>
                <w:rFonts w:ascii="Cambria" w:hAnsi="Cambria" w:cs="Adobe Devanagari"/>
              </w:rPr>
            </w:pPr>
            <w:r>
              <w:rPr>
                <w:rFonts w:ascii="Cambria" w:hAnsi="Cambria" w:cs="Adobe Devanagari"/>
              </w:rPr>
              <w:t>.90</w:t>
            </w:r>
          </w:p>
        </w:tc>
        <w:tc>
          <w:tcPr>
            <w:tcW w:w="966" w:type="dxa"/>
            <w:tcBorders>
              <w:left w:val="single" w:sz="4" w:space="0" w:color="000000"/>
            </w:tcBorders>
          </w:tcPr>
          <w:p w14:paraId="26788B35" w14:textId="3EA74BC8" w:rsidR="008211F4" w:rsidRDefault="008211F4" w:rsidP="008211F4">
            <w:pPr>
              <w:spacing w:line="360" w:lineRule="auto"/>
              <w:jc w:val="both"/>
              <w:rPr>
                <w:rFonts w:ascii="Cambria" w:hAnsi="Cambria" w:cs="Adobe Devanagari"/>
              </w:rPr>
            </w:pPr>
            <w:r>
              <w:rPr>
                <w:rFonts w:ascii="Cambria" w:hAnsi="Cambria" w:cs="Adobe Devanagari"/>
              </w:rPr>
              <w:t>.867</w:t>
            </w:r>
          </w:p>
        </w:tc>
        <w:tc>
          <w:tcPr>
            <w:tcW w:w="845" w:type="dxa"/>
            <w:tcBorders>
              <w:right w:val="single" w:sz="4" w:space="0" w:color="000000"/>
            </w:tcBorders>
          </w:tcPr>
          <w:p w14:paraId="55D5C9BC" w14:textId="602FD7D9" w:rsidR="008211F4" w:rsidRDefault="008211F4" w:rsidP="008211F4">
            <w:pPr>
              <w:spacing w:line="360" w:lineRule="auto"/>
              <w:jc w:val="both"/>
              <w:rPr>
                <w:rFonts w:ascii="Cambria" w:hAnsi="Cambria" w:cs="Adobe Devanagari"/>
              </w:rPr>
            </w:pPr>
            <w:r>
              <w:rPr>
                <w:rFonts w:ascii="Cambria" w:hAnsi="Cambria" w:cs="Adobe Devanagari"/>
              </w:rPr>
              <w:t>.90</w:t>
            </w:r>
          </w:p>
        </w:tc>
        <w:tc>
          <w:tcPr>
            <w:tcW w:w="856" w:type="dxa"/>
            <w:tcBorders>
              <w:left w:val="single" w:sz="4" w:space="0" w:color="000000"/>
            </w:tcBorders>
          </w:tcPr>
          <w:p w14:paraId="09B4B975" w14:textId="72CA685B" w:rsidR="008211F4" w:rsidRDefault="008211F4" w:rsidP="008211F4">
            <w:pPr>
              <w:spacing w:line="360" w:lineRule="auto"/>
              <w:jc w:val="both"/>
              <w:rPr>
                <w:rFonts w:ascii="Cambria" w:hAnsi="Cambria" w:cs="Adobe Devanagari"/>
              </w:rPr>
            </w:pPr>
            <w:r>
              <w:rPr>
                <w:rFonts w:ascii="Cambria" w:hAnsi="Cambria" w:cs="Adobe Devanagari"/>
              </w:rPr>
              <w:t>.849</w:t>
            </w:r>
          </w:p>
        </w:tc>
      </w:tr>
      <w:tr w:rsidR="008211F4" w14:paraId="1A2DDEB9" w14:textId="7424B960" w:rsidTr="00A57E47">
        <w:tc>
          <w:tcPr>
            <w:tcW w:w="2830" w:type="dxa"/>
          </w:tcPr>
          <w:p w14:paraId="72450443" w14:textId="39480F0D" w:rsidR="008211F4" w:rsidRDefault="008211F4" w:rsidP="008211F4">
            <w:pPr>
              <w:spacing w:line="360" w:lineRule="auto"/>
              <w:jc w:val="both"/>
              <w:rPr>
                <w:rFonts w:ascii="Cambria" w:hAnsi="Cambria" w:cs="Adobe Devanagari"/>
              </w:rPr>
            </w:pPr>
            <w:r>
              <w:rPr>
                <w:rFonts w:ascii="Cambria" w:hAnsi="Cambria" w:cs="Adobe Devanagari"/>
              </w:rPr>
              <w:t xml:space="preserve">Source </w:t>
            </w:r>
            <w:r w:rsidRPr="00102F72">
              <w:rPr>
                <w:rFonts w:ascii="Cambria" w:hAnsi="Cambria" w:cs="Adobe Devanagari"/>
              </w:rPr>
              <w:t>Expertise</w:t>
            </w:r>
          </w:p>
        </w:tc>
        <w:tc>
          <w:tcPr>
            <w:tcW w:w="814" w:type="dxa"/>
            <w:tcBorders>
              <w:right w:val="single" w:sz="4" w:space="0" w:color="000000"/>
            </w:tcBorders>
          </w:tcPr>
          <w:p w14:paraId="5CC181B0" w14:textId="24E7BB88" w:rsidR="008211F4" w:rsidRDefault="008211F4" w:rsidP="008211F4">
            <w:pPr>
              <w:spacing w:line="360" w:lineRule="auto"/>
              <w:jc w:val="both"/>
              <w:rPr>
                <w:rFonts w:ascii="Cambria" w:hAnsi="Cambria" w:cs="Adobe Devanagari"/>
              </w:rPr>
            </w:pPr>
            <w:r>
              <w:rPr>
                <w:rFonts w:ascii="Cambria" w:hAnsi="Cambria" w:cs="Adobe Devanagari"/>
              </w:rPr>
              <w:t>.96</w:t>
            </w:r>
          </w:p>
        </w:tc>
        <w:tc>
          <w:tcPr>
            <w:tcW w:w="1029" w:type="dxa"/>
            <w:tcBorders>
              <w:left w:val="single" w:sz="4" w:space="0" w:color="000000"/>
            </w:tcBorders>
          </w:tcPr>
          <w:p w14:paraId="53947946" w14:textId="61421797" w:rsidR="008211F4" w:rsidRDefault="008211F4" w:rsidP="008211F4">
            <w:pPr>
              <w:spacing w:line="360" w:lineRule="auto"/>
              <w:jc w:val="both"/>
              <w:rPr>
                <w:rFonts w:ascii="Cambria" w:hAnsi="Cambria" w:cs="Adobe Devanagari"/>
              </w:rPr>
            </w:pPr>
            <w:r>
              <w:rPr>
                <w:rFonts w:ascii="Cambria" w:hAnsi="Cambria" w:cs="Adobe Devanagari"/>
              </w:rPr>
              <w:t>.950</w:t>
            </w:r>
          </w:p>
        </w:tc>
        <w:tc>
          <w:tcPr>
            <w:tcW w:w="877" w:type="dxa"/>
            <w:tcBorders>
              <w:right w:val="single" w:sz="4" w:space="0" w:color="000000"/>
            </w:tcBorders>
          </w:tcPr>
          <w:p w14:paraId="069926D1" w14:textId="16F86DAE" w:rsidR="008211F4" w:rsidRDefault="008211F4" w:rsidP="008211F4">
            <w:pPr>
              <w:spacing w:line="360" w:lineRule="auto"/>
              <w:jc w:val="both"/>
              <w:rPr>
                <w:rFonts w:ascii="Cambria" w:hAnsi="Cambria" w:cs="Adobe Devanagari"/>
              </w:rPr>
            </w:pPr>
            <w:r>
              <w:rPr>
                <w:rFonts w:ascii="Cambria" w:hAnsi="Cambria" w:cs="Adobe Devanagari"/>
              </w:rPr>
              <w:t>.96</w:t>
            </w:r>
          </w:p>
        </w:tc>
        <w:tc>
          <w:tcPr>
            <w:tcW w:w="966" w:type="dxa"/>
            <w:tcBorders>
              <w:left w:val="single" w:sz="4" w:space="0" w:color="000000"/>
            </w:tcBorders>
          </w:tcPr>
          <w:p w14:paraId="7B38706E" w14:textId="158C9A92" w:rsidR="008211F4" w:rsidRDefault="008211F4" w:rsidP="008211F4">
            <w:pPr>
              <w:spacing w:line="360" w:lineRule="auto"/>
              <w:jc w:val="both"/>
              <w:rPr>
                <w:rFonts w:ascii="Cambria" w:hAnsi="Cambria" w:cs="Adobe Devanagari"/>
              </w:rPr>
            </w:pPr>
            <w:r>
              <w:rPr>
                <w:rFonts w:ascii="Cambria" w:hAnsi="Cambria" w:cs="Adobe Devanagari"/>
              </w:rPr>
              <w:t>.952</w:t>
            </w:r>
          </w:p>
        </w:tc>
        <w:tc>
          <w:tcPr>
            <w:tcW w:w="845" w:type="dxa"/>
            <w:tcBorders>
              <w:right w:val="single" w:sz="4" w:space="0" w:color="000000"/>
            </w:tcBorders>
          </w:tcPr>
          <w:p w14:paraId="3C72C64A" w14:textId="379F742B" w:rsidR="008211F4" w:rsidRDefault="008211F4" w:rsidP="008211F4">
            <w:pPr>
              <w:spacing w:line="360" w:lineRule="auto"/>
              <w:jc w:val="both"/>
              <w:rPr>
                <w:rFonts w:ascii="Cambria" w:hAnsi="Cambria" w:cs="Adobe Devanagari"/>
              </w:rPr>
            </w:pPr>
            <w:r>
              <w:rPr>
                <w:rFonts w:ascii="Cambria" w:hAnsi="Cambria" w:cs="Adobe Devanagari"/>
              </w:rPr>
              <w:t>.96</w:t>
            </w:r>
          </w:p>
        </w:tc>
        <w:tc>
          <w:tcPr>
            <w:tcW w:w="856" w:type="dxa"/>
            <w:tcBorders>
              <w:left w:val="single" w:sz="4" w:space="0" w:color="000000"/>
            </w:tcBorders>
          </w:tcPr>
          <w:p w14:paraId="3FE891C9" w14:textId="1917F6C4" w:rsidR="008211F4" w:rsidRDefault="008211F4" w:rsidP="008211F4">
            <w:pPr>
              <w:spacing w:line="360" w:lineRule="auto"/>
              <w:jc w:val="both"/>
              <w:rPr>
                <w:rFonts w:ascii="Cambria" w:hAnsi="Cambria" w:cs="Adobe Devanagari"/>
              </w:rPr>
            </w:pPr>
            <w:r>
              <w:rPr>
                <w:rFonts w:ascii="Cambria" w:hAnsi="Cambria" w:cs="Adobe Devanagari"/>
              </w:rPr>
              <w:t>.946</w:t>
            </w:r>
          </w:p>
        </w:tc>
      </w:tr>
    </w:tbl>
    <w:p w14:paraId="6BB0698B" w14:textId="77777777" w:rsidR="00F92532" w:rsidRDefault="00F92532">
      <w:pPr>
        <w:spacing w:line="360" w:lineRule="auto"/>
        <w:jc w:val="both"/>
        <w:rPr>
          <w:rFonts w:ascii="Cambria" w:eastAsia="Calibri" w:hAnsi="Cambria" w:cs="Adobe Devanagari"/>
        </w:rPr>
      </w:pPr>
    </w:p>
    <w:p w14:paraId="0466F206" w14:textId="77777777" w:rsidR="00856BBF" w:rsidRDefault="00856BBF" w:rsidP="00856BBF">
      <w:pPr>
        <w:rPr>
          <w:rFonts w:ascii="Cambria" w:eastAsia="Calibri" w:hAnsi="Cambria" w:cs="Adobe Devanagari"/>
        </w:rPr>
      </w:pPr>
    </w:p>
    <w:p w14:paraId="5A7105A7" w14:textId="347827C0" w:rsidR="00856BBF" w:rsidRDefault="00856BBF">
      <w:pPr>
        <w:spacing w:line="259" w:lineRule="auto"/>
        <w:rPr>
          <w:rFonts w:ascii="Cambria" w:eastAsia="Calibri" w:hAnsi="Cambria" w:cs="Adobe Devanagari"/>
        </w:rPr>
      </w:pPr>
      <w:r>
        <w:rPr>
          <w:rFonts w:ascii="Cambria" w:eastAsia="Calibri" w:hAnsi="Cambria" w:cs="Adobe Devanagari"/>
        </w:rPr>
        <w:br w:type="page"/>
      </w:r>
    </w:p>
    <w:p w14:paraId="525BF919" w14:textId="11850239" w:rsidR="00275955" w:rsidRDefault="00425DAF" w:rsidP="00B00F9B">
      <w:pPr>
        <w:pStyle w:val="Heading2"/>
      </w:pPr>
      <w:bookmarkStart w:id="133" w:name="_Toc115726288"/>
      <w:r>
        <w:t xml:space="preserve">Appendix </w:t>
      </w:r>
      <w:r w:rsidR="00E7619D">
        <w:t xml:space="preserve">3.7 – </w:t>
      </w:r>
      <w:r w:rsidR="002C50BB">
        <w:t>C</w:t>
      </w:r>
      <w:r w:rsidR="00E7619D">
        <w:t>omparison of the February and April sample by variables</w:t>
      </w:r>
      <w:bookmarkEnd w:id="133"/>
    </w:p>
    <w:p w14:paraId="39412F73"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bl>
      <w:tblPr>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2694"/>
        <w:gridCol w:w="6"/>
        <w:gridCol w:w="702"/>
        <w:gridCol w:w="6"/>
        <w:gridCol w:w="561"/>
        <w:gridCol w:w="6"/>
        <w:gridCol w:w="703"/>
        <w:gridCol w:w="6"/>
        <w:gridCol w:w="845"/>
        <w:gridCol w:w="6"/>
        <w:gridCol w:w="561"/>
        <w:gridCol w:w="6"/>
        <w:gridCol w:w="844"/>
        <w:gridCol w:w="6"/>
        <w:gridCol w:w="731"/>
        <w:gridCol w:w="6"/>
        <w:gridCol w:w="816"/>
        <w:gridCol w:w="6"/>
        <w:gridCol w:w="703"/>
      </w:tblGrid>
      <w:tr w:rsidR="00275955" w:rsidRPr="00275955" w14:paraId="0DC9ACD6" w14:textId="77777777" w:rsidTr="00A267CF">
        <w:trPr>
          <w:cantSplit/>
        </w:trPr>
        <w:tc>
          <w:tcPr>
            <w:tcW w:w="10348" w:type="dxa"/>
            <w:gridSpan w:val="20"/>
            <w:tcBorders>
              <w:top w:val="nil"/>
              <w:left w:val="nil"/>
              <w:bottom w:val="nil"/>
              <w:right w:val="nil"/>
            </w:tcBorders>
            <w:shd w:val="clear" w:color="auto" w:fill="FFFFFF"/>
            <w:vAlign w:val="center"/>
          </w:tcPr>
          <w:p w14:paraId="14C612BE"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010205"/>
              </w:rPr>
            </w:pPr>
            <w:r w:rsidRPr="00275955">
              <w:rPr>
                <w:rFonts w:ascii="Arial" w:hAnsi="Arial" w:cs="Arial"/>
                <w:b/>
                <w:bCs/>
                <w:color w:val="010205"/>
              </w:rPr>
              <w:t>Independent Samples Test</w:t>
            </w:r>
          </w:p>
        </w:tc>
      </w:tr>
      <w:tr w:rsidR="00275955" w:rsidRPr="00275955" w14:paraId="43634699" w14:textId="77777777" w:rsidTr="00A267CF">
        <w:trPr>
          <w:cantSplit/>
        </w:trPr>
        <w:tc>
          <w:tcPr>
            <w:tcW w:w="3834" w:type="dxa"/>
            <w:gridSpan w:val="3"/>
            <w:vMerge w:val="restart"/>
            <w:tcBorders>
              <w:top w:val="nil"/>
              <w:left w:val="nil"/>
              <w:bottom w:val="nil"/>
              <w:right w:val="nil"/>
            </w:tcBorders>
            <w:shd w:val="clear" w:color="auto" w:fill="FFFFFF"/>
            <w:vAlign w:val="bottom"/>
          </w:tcPr>
          <w:p w14:paraId="0CF84EDC"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1275" w:type="dxa"/>
            <w:gridSpan w:val="4"/>
            <w:tcBorders>
              <w:top w:val="nil"/>
              <w:left w:val="nil"/>
              <w:bottom w:val="nil"/>
              <w:right w:val="single" w:sz="8" w:space="0" w:color="E0E0E0"/>
            </w:tcBorders>
            <w:shd w:val="clear" w:color="auto" w:fill="FFFFFF"/>
            <w:vAlign w:val="bottom"/>
          </w:tcPr>
          <w:p w14:paraId="2CF5FB7B"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Levene's Test for Equality of Variances</w:t>
            </w:r>
          </w:p>
        </w:tc>
        <w:tc>
          <w:tcPr>
            <w:tcW w:w="5239" w:type="dxa"/>
            <w:gridSpan w:val="13"/>
            <w:tcBorders>
              <w:top w:val="nil"/>
              <w:left w:val="single" w:sz="8" w:space="0" w:color="E0E0E0"/>
              <w:bottom w:val="nil"/>
              <w:right w:val="nil"/>
            </w:tcBorders>
            <w:shd w:val="clear" w:color="auto" w:fill="FFFFFF"/>
            <w:vAlign w:val="bottom"/>
          </w:tcPr>
          <w:p w14:paraId="73BD61F1"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t-test for Equality of Means</w:t>
            </w:r>
          </w:p>
        </w:tc>
      </w:tr>
      <w:tr w:rsidR="00275955" w:rsidRPr="00275955" w14:paraId="4684A0AA" w14:textId="77777777" w:rsidTr="00A267CF">
        <w:trPr>
          <w:cantSplit/>
        </w:trPr>
        <w:tc>
          <w:tcPr>
            <w:tcW w:w="3834" w:type="dxa"/>
            <w:gridSpan w:val="3"/>
            <w:vMerge/>
            <w:tcBorders>
              <w:top w:val="nil"/>
              <w:left w:val="nil"/>
              <w:bottom w:val="nil"/>
              <w:right w:val="nil"/>
            </w:tcBorders>
            <w:shd w:val="clear" w:color="auto" w:fill="FFFFFF"/>
            <w:vAlign w:val="bottom"/>
          </w:tcPr>
          <w:p w14:paraId="529832B9"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708" w:type="dxa"/>
            <w:gridSpan w:val="2"/>
            <w:vMerge w:val="restart"/>
            <w:tcBorders>
              <w:top w:val="nil"/>
              <w:left w:val="nil"/>
              <w:bottom w:val="nil"/>
              <w:right w:val="single" w:sz="8" w:space="0" w:color="E0E0E0"/>
            </w:tcBorders>
            <w:shd w:val="clear" w:color="auto" w:fill="FFFFFF"/>
            <w:vAlign w:val="bottom"/>
          </w:tcPr>
          <w:p w14:paraId="33DEC690"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F</w:t>
            </w:r>
          </w:p>
        </w:tc>
        <w:tc>
          <w:tcPr>
            <w:tcW w:w="567" w:type="dxa"/>
            <w:gridSpan w:val="2"/>
            <w:vMerge w:val="restart"/>
            <w:tcBorders>
              <w:top w:val="nil"/>
              <w:left w:val="single" w:sz="8" w:space="0" w:color="E0E0E0"/>
              <w:bottom w:val="nil"/>
              <w:right w:val="single" w:sz="8" w:space="0" w:color="E0E0E0"/>
            </w:tcBorders>
            <w:shd w:val="clear" w:color="auto" w:fill="FFFFFF"/>
            <w:vAlign w:val="bottom"/>
          </w:tcPr>
          <w:p w14:paraId="0474569C"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Sig.</w:t>
            </w:r>
          </w:p>
        </w:tc>
        <w:tc>
          <w:tcPr>
            <w:tcW w:w="709" w:type="dxa"/>
            <w:gridSpan w:val="2"/>
            <w:vMerge w:val="restart"/>
            <w:tcBorders>
              <w:top w:val="nil"/>
              <w:left w:val="single" w:sz="8" w:space="0" w:color="E0E0E0"/>
              <w:bottom w:val="nil"/>
              <w:right w:val="single" w:sz="8" w:space="0" w:color="E0E0E0"/>
            </w:tcBorders>
            <w:shd w:val="clear" w:color="auto" w:fill="FFFFFF"/>
            <w:vAlign w:val="bottom"/>
          </w:tcPr>
          <w:p w14:paraId="7E2B5F68"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t</w:t>
            </w:r>
          </w:p>
        </w:tc>
        <w:tc>
          <w:tcPr>
            <w:tcW w:w="851" w:type="dxa"/>
            <w:gridSpan w:val="2"/>
            <w:vMerge w:val="restart"/>
            <w:tcBorders>
              <w:top w:val="nil"/>
              <w:left w:val="single" w:sz="8" w:space="0" w:color="E0E0E0"/>
              <w:bottom w:val="nil"/>
              <w:right w:val="single" w:sz="8" w:space="0" w:color="E0E0E0"/>
            </w:tcBorders>
            <w:shd w:val="clear" w:color="auto" w:fill="FFFFFF"/>
            <w:vAlign w:val="bottom"/>
          </w:tcPr>
          <w:p w14:paraId="60F81696"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df</w:t>
            </w:r>
          </w:p>
        </w:tc>
        <w:tc>
          <w:tcPr>
            <w:tcW w:w="567" w:type="dxa"/>
            <w:gridSpan w:val="2"/>
            <w:vMerge w:val="restart"/>
            <w:tcBorders>
              <w:top w:val="nil"/>
              <w:left w:val="single" w:sz="8" w:space="0" w:color="E0E0E0"/>
              <w:bottom w:val="nil"/>
              <w:right w:val="single" w:sz="8" w:space="0" w:color="E0E0E0"/>
            </w:tcBorders>
            <w:shd w:val="clear" w:color="auto" w:fill="FFFFFF"/>
            <w:vAlign w:val="bottom"/>
          </w:tcPr>
          <w:p w14:paraId="2887516F"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Sig. (2-tailed)</w:t>
            </w:r>
          </w:p>
        </w:tc>
        <w:tc>
          <w:tcPr>
            <w:tcW w:w="850" w:type="dxa"/>
            <w:gridSpan w:val="2"/>
            <w:vMerge w:val="restart"/>
            <w:tcBorders>
              <w:top w:val="nil"/>
              <w:left w:val="single" w:sz="8" w:space="0" w:color="E0E0E0"/>
              <w:bottom w:val="nil"/>
              <w:right w:val="single" w:sz="8" w:space="0" w:color="E0E0E0"/>
            </w:tcBorders>
            <w:shd w:val="clear" w:color="auto" w:fill="FFFFFF"/>
            <w:vAlign w:val="bottom"/>
          </w:tcPr>
          <w:p w14:paraId="6A4BDA1A"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Mean Difference</w:t>
            </w:r>
          </w:p>
        </w:tc>
        <w:tc>
          <w:tcPr>
            <w:tcW w:w="737" w:type="dxa"/>
            <w:gridSpan w:val="2"/>
            <w:vMerge w:val="restart"/>
            <w:tcBorders>
              <w:top w:val="nil"/>
              <w:left w:val="single" w:sz="8" w:space="0" w:color="E0E0E0"/>
              <w:bottom w:val="nil"/>
              <w:right w:val="single" w:sz="8" w:space="0" w:color="E0E0E0"/>
            </w:tcBorders>
            <w:shd w:val="clear" w:color="auto" w:fill="FFFFFF"/>
            <w:vAlign w:val="bottom"/>
          </w:tcPr>
          <w:p w14:paraId="7AFAFBEC"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Std. Error Difference</w:t>
            </w:r>
          </w:p>
        </w:tc>
        <w:tc>
          <w:tcPr>
            <w:tcW w:w="1525" w:type="dxa"/>
            <w:gridSpan w:val="3"/>
            <w:tcBorders>
              <w:top w:val="nil"/>
              <w:left w:val="single" w:sz="8" w:space="0" w:color="E0E0E0"/>
              <w:bottom w:val="nil"/>
              <w:right w:val="nil"/>
            </w:tcBorders>
            <w:shd w:val="clear" w:color="auto" w:fill="FFFFFF"/>
            <w:vAlign w:val="bottom"/>
          </w:tcPr>
          <w:p w14:paraId="099F7CD5"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95% Confidence Interval of the Difference</w:t>
            </w:r>
          </w:p>
        </w:tc>
      </w:tr>
      <w:tr w:rsidR="00275955" w:rsidRPr="00275955" w14:paraId="7738E2DA" w14:textId="77777777" w:rsidTr="00A267CF">
        <w:trPr>
          <w:cantSplit/>
        </w:trPr>
        <w:tc>
          <w:tcPr>
            <w:tcW w:w="3834" w:type="dxa"/>
            <w:gridSpan w:val="3"/>
            <w:vMerge/>
            <w:tcBorders>
              <w:top w:val="nil"/>
              <w:left w:val="nil"/>
              <w:bottom w:val="nil"/>
              <w:right w:val="nil"/>
            </w:tcBorders>
            <w:shd w:val="clear" w:color="auto" w:fill="FFFFFF"/>
            <w:vAlign w:val="bottom"/>
          </w:tcPr>
          <w:p w14:paraId="691476D1"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708" w:type="dxa"/>
            <w:gridSpan w:val="2"/>
            <w:vMerge/>
            <w:tcBorders>
              <w:top w:val="nil"/>
              <w:left w:val="nil"/>
              <w:bottom w:val="nil"/>
              <w:right w:val="single" w:sz="8" w:space="0" w:color="E0E0E0"/>
            </w:tcBorders>
            <w:shd w:val="clear" w:color="auto" w:fill="FFFFFF"/>
            <w:vAlign w:val="bottom"/>
          </w:tcPr>
          <w:p w14:paraId="511F20B1"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567" w:type="dxa"/>
            <w:gridSpan w:val="2"/>
            <w:vMerge/>
            <w:tcBorders>
              <w:top w:val="nil"/>
              <w:left w:val="single" w:sz="8" w:space="0" w:color="E0E0E0"/>
              <w:bottom w:val="nil"/>
              <w:right w:val="single" w:sz="8" w:space="0" w:color="E0E0E0"/>
            </w:tcBorders>
            <w:shd w:val="clear" w:color="auto" w:fill="FFFFFF"/>
            <w:vAlign w:val="bottom"/>
          </w:tcPr>
          <w:p w14:paraId="32360E4D"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709" w:type="dxa"/>
            <w:gridSpan w:val="2"/>
            <w:vMerge/>
            <w:tcBorders>
              <w:top w:val="nil"/>
              <w:left w:val="single" w:sz="8" w:space="0" w:color="E0E0E0"/>
              <w:bottom w:val="nil"/>
              <w:right w:val="single" w:sz="8" w:space="0" w:color="E0E0E0"/>
            </w:tcBorders>
            <w:shd w:val="clear" w:color="auto" w:fill="FFFFFF"/>
            <w:vAlign w:val="bottom"/>
          </w:tcPr>
          <w:p w14:paraId="5ECF7E4E"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851" w:type="dxa"/>
            <w:gridSpan w:val="2"/>
            <w:vMerge/>
            <w:tcBorders>
              <w:top w:val="nil"/>
              <w:left w:val="single" w:sz="8" w:space="0" w:color="E0E0E0"/>
              <w:bottom w:val="nil"/>
              <w:right w:val="single" w:sz="8" w:space="0" w:color="E0E0E0"/>
            </w:tcBorders>
            <w:shd w:val="clear" w:color="auto" w:fill="FFFFFF"/>
            <w:vAlign w:val="bottom"/>
          </w:tcPr>
          <w:p w14:paraId="592D6A79"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567" w:type="dxa"/>
            <w:gridSpan w:val="2"/>
            <w:vMerge/>
            <w:tcBorders>
              <w:top w:val="nil"/>
              <w:left w:val="single" w:sz="8" w:space="0" w:color="E0E0E0"/>
              <w:bottom w:val="nil"/>
              <w:right w:val="single" w:sz="8" w:space="0" w:color="E0E0E0"/>
            </w:tcBorders>
            <w:shd w:val="clear" w:color="auto" w:fill="FFFFFF"/>
            <w:vAlign w:val="bottom"/>
          </w:tcPr>
          <w:p w14:paraId="3E5A92A0"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850" w:type="dxa"/>
            <w:gridSpan w:val="2"/>
            <w:vMerge/>
            <w:tcBorders>
              <w:top w:val="nil"/>
              <w:left w:val="single" w:sz="8" w:space="0" w:color="E0E0E0"/>
              <w:bottom w:val="nil"/>
              <w:right w:val="single" w:sz="8" w:space="0" w:color="E0E0E0"/>
            </w:tcBorders>
            <w:shd w:val="clear" w:color="auto" w:fill="FFFFFF"/>
            <w:vAlign w:val="bottom"/>
          </w:tcPr>
          <w:p w14:paraId="33B7E8D4"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737" w:type="dxa"/>
            <w:gridSpan w:val="2"/>
            <w:vMerge/>
            <w:tcBorders>
              <w:top w:val="nil"/>
              <w:left w:val="single" w:sz="8" w:space="0" w:color="E0E0E0"/>
              <w:bottom w:val="nil"/>
              <w:right w:val="single" w:sz="8" w:space="0" w:color="E0E0E0"/>
            </w:tcBorders>
            <w:shd w:val="clear" w:color="auto" w:fill="FFFFFF"/>
            <w:vAlign w:val="bottom"/>
          </w:tcPr>
          <w:p w14:paraId="316BEBA7" w14:textId="77777777" w:rsidR="00275955" w:rsidRPr="00275955" w:rsidRDefault="00275955" w:rsidP="00275955">
            <w:pPr>
              <w:autoSpaceDE w:val="0"/>
              <w:autoSpaceDN w:val="0"/>
              <w:adjustRightInd w:val="0"/>
              <w:spacing w:after="0" w:line="240" w:lineRule="auto"/>
              <w:rPr>
                <w:rFonts w:ascii="Arial" w:hAnsi="Arial" w:cs="Arial"/>
                <w:color w:val="264A60"/>
                <w:sz w:val="18"/>
                <w:szCs w:val="18"/>
              </w:rPr>
            </w:pPr>
          </w:p>
        </w:tc>
        <w:tc>
          <w:tcPr>
            <w:tcW w:w="822" w:type="dxa"/>
            <w:gridSpan w:val="2"/>
            <w:tcBorders>
              <w:top w:val="nil"/>
              <w:left w:val="single" w:sz="8" w:space="0" w:color="E0E0E0"/>
              <w:bottom w:val="single" w:sz="8" w:space="0" w:color="152935"/>
              <w:right w:val="single" w:sz="8" w:space="0" w:color="E0E0E0"/>
            </w:tcBorders>
            <w:shd w:val="clear" w:color="auto" w:fill="FFFFFF"/>
            <w:vAlign w:val="bottom"/>
          </w:tcPr>
          <w:p w14:paraId="143C28F5"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Lower</w:t>
            </w:r>
          </w:p>
        </w:tc>
        <w:tc>
          <w:tcPr>
            <w:tcW w:w="703" w:type="dxa"/>
            <w:tcBorders>
              <w:top w:val="nil"/>
              <w:left w:val="single" w:sz="8" w:space="0" w:color="E0E0E0"/>
              <w:bottom w:val="single" w:sz="8" w:space="0" w:color="152935"/>
              <w:right w:val="nil"/>
            </w:tcBorders>
            <w:shd w:val="clear" w:color="auto" w:fill="FFFFFF"/>
            <w:vAlign w:val="bottom"/>
          </w:tcPr>
          <w:p w14:paraId="62FBF6D3" w14:textId="77777777" w:rsidR="00275955" w:rsidRPr="00275955" w:rsidRDefault="00275955" w:rsidP="00275955">
            <w:pPr>
              <w:autoSpaceDE w:val="0"/>
              <w:autoSpaceDN w:val="0"/>
              <w:adjustRightInd w:val="0"/>
              <w:spacing w:after="0" w:line="320" w:lineRule="atLeast"/>
              <w:ind w:left="60" w:right="60"/>
              <w:jc w:val="center"/>
              <w:rPr>
                <w:rFonts w:ascii="Arial" w:hAnsi="Arial" w:cs="Arial"/>
                <w:color w:val="264A60"/>
                <w:sz w:val="18"/>
                <w:szCs w:val="18"/>
              </w:rPr>
            </w:pPr>
            <w:r w:rsidRPr="00275955">
              <w:rPr>
                <w:rFonts w:ascii="Arial" w:hAnsi="Arial" w:cs="Arial"/>
                <w:color w:val="264A60"/>
                <w:sz w:val="18"/>
                <w:szCs w:val="18"/>
              </w:rPr>
              <w:t>Upper</w:t>
            </w:r>
          </w:p>
        </w:tc>
      </w:tr>
      <w:tr w:rsidR="00275955" w:rsidRPr="00275955" w14:paraId="7D69FB4C" w14:textId="77777777" w:rsidTr="00A267CF">
        <w:trPr>
          <w:cantSplit/>
        </w:trPr>
        <w:tc>
          <w:tcPr>
            <w:tcW w:w="1134" w:type="dxa"/>
            <w:vMerge w:val="restart"/>
            <w:tcBorders>
              <w:top w:val="single" w:sz="8" w:space="0" w:color="152935"/>
              <w:left w:val="nil"/>
              <w:bottom w:val="nil"/>
              <w:right w:val="nil"/>
            </w:tcBorders>
            <w:shd w:val="clear" w:color="auto" w:fill="E0E0E0"/>
          </w:tcPr>
          <w:p w14:paraId="5C63BC1B"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Involvement</w:t>
            </w:r>
          </w:p>
        </w:tc>
        <w:tc>
          <w:tcPr>
            <w:tcW w:w="2694" w:type="dxa"/>
            <w:tcBorders>
              <w:top w:val="single" w:sz="8" w:space="0" w:color="152935"/>
              <w:left w:val="nil"/>
              <w:bottom w:val="single" w:sz="8" w:space="0" w:color="AEAEAE"/>
              <w:right w:val="nil"/>
            </w:tcBorders>
            <w:shd w:val="clear" w:color="auto" w:fill="E0E0E0"/>
          </w:tcPr>
          <w:p w14:paraId="79343BD6"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152935"/>
              <w:left w:val="nil"/>
              <w:bottom w:val="single" w:sz="8" w:space="0" w:color="AEAEAE"/>
              <w:right w:val="single" w:sz="8" w:space="0" w:color="E0E0E0"/>
            </w:tcBorders>
            <w:shd w:val="clear" w:color="auto" w:fill="FFFFFF"/>
          </w:tcPr>
          <w:p w14:paraId="63E86D6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.069</w:t>
            </w:r>
          </w:p>
        </w:tc>
        <w:tc>
          <w:tcPr>
            <w:tcW w:w="5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66B9577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.793</w:t>
            </w:r>
          </w:p>
        </w:tc>
        <w:tc>
          <w:tcPr>
            <w:tcW w:w="709" w:type="dxa"/>
            <w:gridSpan w:val="2"/>
            <w:tcBorders>
              <w:top w:val="single" w:sz="8" w:space="0" w:color="152935"/>
              <w:left w:val="single" w:sz="8" w:space="0" w:color="E0E0E0"/>
              <w:bottom w:val="single" w:sz="8" w:space="0" w:color="AEAEAE"/>
              <w:right w:val="single" w:sz="8" w:space="0" w:color="E0E0E0"/>
            </w:tcBorders>
            <w:shd w:val="clear" w:color="auto" w:fill="FFFFFF"/>
          </w:tcPr>
          <w:p w14:paraId="6F5E3F2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.780</w:t>
            </w:r>
          </w:p>
        </w:tc>
        <w:tc>
          <w:tcPr>
            <w:tcW w:w="851" w:type="dxa"/>
            <w:gridSpan w:val="2"/>
            <w:tcBorders>
              <w:top w:val="single" w:sz="8" w:space="0" w:color="152935"/>
              <w:left w:val="single" w:sz="8" w:space="0" w:color="E0E0E0"/>
              <w:bottom w:val="single" w:sz="8" w:space="0" w:color="AEAEAE"/>
              <w:right w:val="single" w:sz="8" w:space="0" w:color="E0E0E0"/>
            </w:tcBorders>
            <w:shd w:val="clear" w:color="auto" w:fill="FFFFFF"/>
          </w:tcPr>
          <w:p w14:paraId="0DA9DF3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48E3FF7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.436</w:t>
            </w:r>
          </w:p>
        </w:tc>
        <w:tc>
          <w:tcPr>
            <w:tcW w:w="8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DCB651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.12189</w:t>
            </w:r>
          </w:p>
        </w:tc>
        <w:tc>
          <w:tcPr>
            <w:tcW w:w="737" w:type="dxa"/>
            <w:gridSpan w:val="2"/>
            <w:tcBorders>
              <w:top w:val="single" w:sz="8" w:space="0" w:color="152935"/>
              <w:left w:val="single" w:sz="8" w:space="0" w:color="E0E0E0"/>
              <w:bottom w:val="single" w:sz="8" w:space="0" w:color="AEAEAE"/>
              <w:right w:val="single" w:sz="8" w:space="0" w:color="E0E0E0"/>
            </w:tcBorders>
            <w:shd w:val="clear" w:color="auto" w:fill="FFFFFF"/>
          </w:tcPr>
          <w:p w14:paraId="2EF1474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.15623</w:t>
            </w:r>
          </w:p>
        </w:tc>
        <w:tc>
          <w:tcPr>
            <w:tcW w:w="822" w:type="dxa"/>
            <w:gridSpan w:val="2"/>
            <w:tcBorders>
              <w:top w:val="single" w:sz="8" w:space="0" w:color="152935"/>
              <w:left w:val="single" w:sz="8" w:space="0" w:color="E0E0E0"/>
              <w:bottom w:val="single" w:sz="8" w:space="0" w:color="AEAEAE"/>
              <w:right w:val="single" w:sz="8" w:space="0" w:color="E0E0E0"/>
            </w:tcBorders>
            <w:shd w:val="clear" w:color="auto" w:fill="FFFFFF"/>
          </w:tcPr>
          <w:p w14:paraId="7947F2E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-.18566</w:t>
            </w:r>
          </w:p>
        </w:tc>
        <w:tc>
          <w:tcPr>
            <w:tcW w:w="709" w:type="dxa"/>
            <w:gridSpan w:val="2"/>
            <w:tcBorders>
              <w:top w:val="single" w:sz="8" w:space="0" w:color="152935"/>
              <w:left w:val="single" w:sz="8" w:space="0" w:color="E0E0E0"/>
              <w:bottom w:val="single" w:sz="8" w:space="0" w:color="AEAEAE"/>
              <w:right w:val="nil"/>
            </w:tcBorders>
            <w:shd w:val="clear" w:color="auto" w:fill="FFFFFF"/>
          </w:tcPr>
          <w:p w14:paraId="583ED47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.42944</w:t>
            </w:r>
          </w:p>
        </w:tc>
      </w:tr>
      <w:tr w:rsidR="00275955" w:rsidRPr="00275955" w14:paraId="5D7BD257" w14:textId="77777777" w:rsidTr="00A267CF">
        <w:trPr>
          <w:cantSplit/>
        </w:trPr>
        <w:tc>
          <w:tcPr>
            <w:tcW w:w="1134" w:type="dxa"/>
            <w:vMerge/>
            <w:tcBorders>
              <w:top w:val="single" w:sz="8" w:space="0" w:color="152935"/>
              <w:left w:val="nil"/>
              <w:bottom w:val="nil"/>
              <w:right w:val="nil"/>
            </w:tcBorders>
            <w:shd w:val="clear" w:color="auto" w:fill="E0E0E0"/>
          </w:tcPr>
          <w:p w14:paraId="65DA8E8A"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0C9B2EC2"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385D8E29"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782391E2"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07A086E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.776</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346368A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252.604</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64B21B9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.439</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1FD8682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.12189</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4C20C89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.15712</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20BCC8B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-.18755</w:t>
            </w:r>
          </w:p>
        </w:tc>
        <w:tc>
          <w:tcPr>
            <w:tcW w:w="709" w:type="dxa"/>
            <w:gridSpan w:val="2"/>
            <w:tcBorders>
              <w:top w:val="single" w:sz="8" w:space="0" w:color="AEAEAE"/>
              <w:left w:val="single" w:sz="8" w:space="0" w:color="E0E0E0"/>
              <w:bottom w:val="nil"/>
              <w:right w:val="nil"/>
            </w:tcBorders>
            <w:shd w:val="clear" w:color="auto" w:fill="FFFFFF"/>
          </w:tcPr>
          <w:p w14:paraId="056DB9C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.43133</w:t>
            </w:r>
          </w:p>
        </w:tc>
      </w:tr>
      <w:tr w:rsidR="00275955" w:rsidRPr="00275955" w14:paraId="37E25B99" w14:textId="77777777" w:rsidTr="00A267CF">
        <w:trPr>
          <w:cantSplit/>
        </w:trPr>
        <w:tc>
          <w:tcPr>
            <w:tcW w:w="1134" w:type="dxa"/>
            <w:vMerge w:val="restart"/>
            <w:tcBorders>
              <w:top w:val="single" w:sz="8" w:space="0" w:color="AEAEAE"/>
              <w:left w:val="nil"/>
              <w:bottom w:val="nil"/>
              <w:right w:val="nil"/>
            </w:tcBorders>
            <w:shd w:val="clear" w:color="auto" w:fill="E0E0E0"/>
          </w:tcPr>
          <w:p w14:paraId="72413A6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SCV_Image</w:t>
            </w:r>
          </w:p>
        </w:tc>
        <w:tc>
          <w:tcPr>
            <w:tcW w:w="2694" w:type="dxa"/>
            <w:tcBorders>
              <w:top w:val="single" w:sz="8" w:space="0" w:color="AEAEAE"/>
              <w:left w:val="nil"/>
              <w:bottom w:val="single" w:sz="8" w:space="0" w:color="AEAEAE"/>
              <w:right w:val="nil"/>
            </w:tcBorders>
            <w:shd w:val="clear" w:color="auto" w:fill="E0E0E0"/>
          </w:tcPr>
          <w:p w14:paraId="4B6A89B6"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5131F48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.879</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47F41C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.349</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10B3B7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46F6469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0FDCA7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.918</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4D345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.01877</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DE947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.18225</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CF1D04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-.34000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3CF043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.37753</w:t>
            </w:r>
          </w:p>
        </w:tc>
      </w:tr>
      <w:tr w:rsidR="00275955" w:rsidRPr="00275955" w14:paraId="511834CA" w14:textId="77777777" w:rsidTr="00A267CF">
        <w:trPr>
          <w:cantSplit/>
        </w:trPr>
        <w:tc>
          <w:tcPr>
            <w:tcW w:w="1134" w:type="dxa"/>
            <w:vMerge/>
            <w:tcBorders>
              <w:top w:val="single" w:sz="8" w:space="0" w:color="AEAEAE"/>
              <w:left w:val="nil"/>
              <w:bottom w:val="nil"/>
              <w:right w:val="nil"/>
            </w:tcBorders>
            <w:shd w:val="clear" w:color="auto" w:fill="E0E0E0"/>
          </w:tcPr>
          <w:p w14:paraId="01E0C258"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268C6191"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7287C8F9"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5E35EC5F"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5B9D25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.102</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54C7985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249.483</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082D278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.919</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4752A75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.01877</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48EB402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.18382</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0409CA5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-.34327</w:t>
            </w:r>
          </w:p>
        </w:tc>
        <w:tc>
          <w:tcPr>
            <w:tcW w:w="709" w:type="dxa"/>
            <w:gridSpan w:val="2"/>
            <w:tcBorders>
              <w:top w:val="single" w:sz="8" w:space="0" w:color="AEAEAE"/>
              <w:left w:val="single" w:sz="8" w:space="0" w:color="E0E0E0"/>
              <w:bottom w:val="nil"/>
              <w:right w:val="nil"/>
            </w:tcBorders>
            <w:shd w:val="clear" w:color="auto" w:fill="FFFFFF"/>
          </w:tcPr>
          <w:p w14:paraId="06A3B30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.38080</w:t>
            </w:r>
          </w:p>
        </w:tc>
      </w:tr>
      <w:tr w:rsidR="00275955" w:rsidRPr="00275955" w14:paraId="0DD52BD3" w14:textId="77777777" w:rsidTr="00A267CF">
        <w:trPr>
          <w:cantSplit/>
        </w:trPr>
        <w:tc>
          <w:tcPr>
            <w:tcW w:w="1134" w:type="dxa"/>
            <w:vMerge w:val="restart"/>
            <w:tcBorders>
              <w:top w:val="single" w:sz="8" w:space="0" w:color="AEAEAE"/>
              <w:left w:val="nil"/>
              <w:bottom w:val="nil"/>
              <w:right w:val="nil"/>
            </w:tcBorders>
            <w:shd w:val="clear" w:color="auto" w:fill="E0E0E0"/>
          </w:tcPr>
          <w:p w14:paraId="28ADFF07"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SCV_engrossment</w:t>
            </w:r>
          </w:p>
        </w:tc>
        <w:tc>
          <w:tcPr>
            <w:tcW w:w="2694" w:type="dxa"/>
            <w:tcBorders>
              <w:top w:val="single" w:sz="8" w:space="0" w:color="AEAEAE"/>
              <w:left w:val="nil"/>
              <w:bottom w:val="single" w:sz="8" w:space="0" w:color="AEAEAE"/>
              <w:right w:val="nil"/>
            </w:tcBorders>
            <w:shd w:val="clear" w:color="auto" w:fill="E0E0E0"/>
          </w:tcPr>
          <w:p w14:paraId="361D7A9F"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23F5FFC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3.187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61485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.075</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21C29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1.065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24322A0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382A02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.288</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47346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.15510</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7B19E9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.14565</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41E04E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-.13163</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EAE3FD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.44183</w:t>
            </w:r>
          </w:p>
        </w:tc>
      </w:tr>
      <w:tr w:rsidR="00275955" w:rsidRPr="00275955" w14:paraId="50956775" w14:textId="77777777" w:rsidTr="00A267CF">
        <w:trPr>
          <w:cantSplit/>
        </w:trPr>
        <w:tc>
          <w:tcPr>
            <w:tcW w:w="1134" w:type="dxa"/>
            <w:vMerge/>
            <w:tcBorders>
              <w:top w:val="single" w:sz="8" w:space="0" w:color="AEAEAE"/>
              <w:left w:val="nil"/>
              <w:bottom w:val="nil"/>
              <w:right w:val="nil"/>
            </w:tcBorders>
            <w:shd w:val="clear" w:color="auto" w:fill="E0E0E0"/>
          </w:tcPr>
          <w:p w14:paraId="45FF0103"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62D6B53E"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61F3ED9A"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65EF243B"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224DCBD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1.085</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1D92D4B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272.834</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24F7853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.279</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46BE57D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.15510</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0F3B8F5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.14290</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7AF5FE9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-.12622</w:t>
            </w:r>
          </w:p>
        </w:tc>
        <w:tc>
          <w:tcPr>
            <w:tcW w:w="709" w:type="dxa"/>
            <w:gridSpan w:val="2"/>
            <w:tcBorders>
              <w:top w:val="single" w:sz="8" w:space="0" w:color="AEAEAE"/>
              <w:left w:val="single" w:sz="8" w:space="0" w:color="E0E0E0"/>
              <w:bottom w:val="nil"/>
              <w:right w:val="nil"/>
            </w:tcBorders>
            <w:shd w:val="clear" w:color="auto" w:fill="FFFFFF"/>
          </w:tcPr>
          <w:p w14:paraId="4A3439A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.43643</w:t>
            </w:r>
          </w:p>
        </w:tc>
      </w:tr>
      <w:tr w:rsidR="00275955" w:rsidRPr="00275955" w14:paraId="00417CB7" w14:textId="77777777" w:rsidTr="00A267CF">
        <w:trPr>
          <w:cantSplit/>
        </w:trPr>
        <w:tc>
          <w:tcPr>
            <w:tcW w:w="1134" w:type="dxa"/>
            <w:vMerge w:val="restart"/>
            <w:tcBorders>
              <w:top w:val="single" w:sz="8" w:space="0" w:color="AEAEAE"/>
              <w:left w:val="nil"/>
              <w:bottom w:val="nil"/>
              <w:right w:val="nil"/>
            </w:tcBorders>
            <w:shd w:val="clear" w:color="auto" w:fill="E0E0E0"/>
          </w:tcPr>
          <w:p w14:paraId="0EAEC38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SCV_self_projection</w:t>
            </w:r>
          </w:p>
        </w:tc>
        <w:tc>
          <w:tcPr>
            <w:tcW w:w="2694" w:type="dxa"/>
            <w:tcBorders>
              <w:top w:val="single" w:sz="8" w:space="0" w:color="AEAEAE"/>
              <w:left w:val="nil"/>
              <w:bottom w:val="single" w:sz="8" w:space="0" w:color="AEAEAE"/>
              <w:right w:val="nil"/>
            </w:tcBorders>
            <w:shd w:val="clear" w:color="auto" w:fill="E0E0E0"/>
          </w:tcPr>
          <w:p w14:paraId="618FEB95"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694D8F4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.807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F7EF3C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.370</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45A263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317872B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D6419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.873</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A9FB0B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-.02786</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B4A915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.17419</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36B6163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-.37077</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27FEA0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.31505</w:t>
            </w:r>
          </w:p>
        </w:tc>
      </w:tr>
      <w:tr w:rsidR="00275955" w:rsidRPr="00275955" w14:paraId="030EB34F" w14:textId="77777777" w:rsidTr="00A267CF">
        <w:trPr>
          <w:cantSplit/>
        </w:trPr>
        <w:tc>
          <w:tcPr>
            <w:tcW w:w="1134" w:type="dxa"/>
            <w:vMerge/>
            <w:tcBorders>
              <w:top w:val="single" w:sz="8" w:space="0" w:color="AEAEAE"/>
              <w:left w:val="nil"/>
              <w:bottom w:val="nil"/>
              <w:right w:val="nil"/>
            </w:tcBorders>
            <w:shd w:val="clear" w:color="auto" w:fill="E0E0E0"/>
          </w:tcPr>
          <w:p w14:paraId="6B5A231D"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7C020DEE"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75DD63F6"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4950C1FD"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3A2ED6D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-.161</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31F5887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262.080</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33822A0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.873</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2394449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-.02786</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0A17FEB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.17349</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5594871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-.36948</w:t>
            </w:r>
          </w:p>
        </w:tc>
        <w:tc>
          <w:tcPr>
            <w:tcW w:w="709" w:type="dxa"/>
            <w:gridSpan w:val="2"/>
            <w:tcBorders>
              <w:top w:val="single" w:sz="8" w:space="0" w:color="AEAEAE"/>
              <w:left w:val="single" w:sz="8" w:space="0" w:color="E0E0E0"/>
              <w:bottom w:val="nil"/>
              <w:right w:val="nil"/>
            </w:tcBorders>
            <w:shd w:val="clear" w:color="auto" w:fill="FFFFFF"/>
          </w:tcPr>
          <w:p w14:paraId="3E0FE69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.31376</w:t>
            </w:r>
          </w:p>
        </w:tc>
      </w:tr>
      <w:tr w:rsidR="00275955" w:rsidRPr="00275955" w14:paraId="3BEBCDFE" w14:textId="77777777" w:rsidTr="00A267CF">
        <w:trPr>
          <w:cantSplit/>
        </w:trPr>
        <w:tc>
          <w:tcPr>
            <w:tcW w:w="1134" w:type="dxa"/>
            <w:vMerge w:val="restart"/>
            <w:tcBorders>
              <w:top w:val="single" w:sz="8" w:space="0" w:color="AEAEAE"/>
              <w:left w:val="nil"/>
              <w:bottom w:val="nil"/>
              <w:right w:val="nil"/>
            </w:tcBorders>
            <w:shd w:val="clear" w:color="auto" w:fill="E0E0E0"/>
          </w:tcPr>
          <w:p w14:paraId="66019FDC"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SCV_mental_fluency</w:t>
            </w:r>
          </w:p>
        </w:tc>
        <w:tc>
          <w:tcPr>
            <w:tcW w:w="2694" w:type="dxa"/>
            <w:tcBorders>
              <w:top w:val="single" w:sz="8" w:space="0" w:color="AEAEAE"/>
              <w:left w:val="nil"/>
              <w:bottom w:val="single" w:sz="8" w:space="0" w:color="AEAEAE"/>
              <w:right w:val="nil"/>
            </w:tcBorders>
            <w:shd w:val="clear" w:color="auto" w:fill="E0E0E0"/>
          </w:tcPr>
          <w:p w14:paraId="675EA3AC"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34B9EBC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.113</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B97198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.737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4EBAD03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-.366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6FD1CF9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F152A3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.715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A009A4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-.07093</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42C698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.19402</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D8DC3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-.45286</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885466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.31101</w:t>
            </w:r>
          </w:p>
        </w:tc>
      </w:tr>
      <w:tr w:rsidR="00275955" w:rsidRPr="00275955" w14:paraId="5EB902A8" w14:textId="77777777" w:rsidTr="00A267CF">
        <w:trPr>
          <w:cantSplit/>
        </w:trPr>
        <w:tc>
          <w:tcPr>
            <w:tcW w:w="1134" w:type="dxa"/>
            <w:vMerge/>
            <w:tcBorders>
              <w:top w:val="single" w:sz="8" w:space="0" w:color="AEAEAE"/>
              <w:left w:val="nil"/>
              <w:bottom w:val="nil"/>
              <w:right w:val="nil"/>
            </w:tcBorders>
            <w:shd w:val="clear" w:color="auto" w:fill="E0E0E0"/>
          </w:tcPr>
          <w:p w14:paraId="604A4F8E"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1DDAE2F7"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7141D22D"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05290E40"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1314512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-.367</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0D79AC2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262.489</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0FCDC7A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.714</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6471450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-.07093</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68731FC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.19315</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2397BCA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-.45125</w:t>
            </w:r>
          </w:p>
        </w:tc>
        <w:tc>
          <w:tcPr>
            <w:tcW w:w="709" w:type="dxa"/>
            <w:gridSpan w:val="2"/>
            <w:tcBorders>
              <w:top w:val="single" w:sz="8" w:space="0" w:color="AEAEAE"/>
              <w:left w:val="single" w:sz="8" w:space="0" w:color="E0E0E0"/>
              <w:bottom w:val="nil"/>
              <w:right w:val="nil"/>
            </w:tcBorders>
            <w:shd w:val="clear" w:color="auto" w:fill="FFFFFF"/>
          </w:tcPr>
          <w:p w14:paraId="0F2D7A4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.30939</w:t>
            </w:r>
          </w:p>
        </w:tc>
      </w:tr>
      <w:tr w:rsidR="00275955" w:rsidRPr="00275955" w14:paraId="1B73D57E" w14:textId="77777777" w:rsidTr="00A267CF">
        <w:trPr>
          <w:cantSplit/>
        </w:trPr>
        <w:tc>
          <w:tcPr>
            <w:tcW w:w="1134" w:type="dxa"/>
            <w:vMerge w:val="restart"/>
            <w:tcBorders>
              <w:top w:val="single" w:sz="8" w:space="0" w:color="AEAEAE"/>
              <w:left w:val="nil"/>
              <w:bottom w:val="nil"/>
              <w:right w:val="nil"/>
            </w:tcBorders>
            <w:shd w:val="clear" w:color="auto" w:fill="E0E0E0"/>
          </w:tcPr>
          <w:p w14:paraId="2FBA3B7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Pleasure</w:t>
            </w:r>
          </w:p>
        </w:tc>
        <w:tc>
          <w:tcPr>
            <w:tcW w:w="2694" w:type="dxa"/>
            <w:tcBorders>
              <w:top w:val="single" w:sz="8" w:space="0" w:color="AEAEAE"/>
              <w:left w:val="nil"/>
              <w:bottom w:val="single" w:sz="8" w:space="0" w:color="AEAEAE"/>
              <w:right w:val="nil"/>
            </w:tcBorders>
            <w:shd w:val="clear" w:color="auto" w:fill="E0E0E0"/>
          </w:tcPr>
          <w:p w14:paraId="1687A849"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6D4FB58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F336E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.722</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E8D634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-.996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1126793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0494A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.320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6C6F56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-.14203</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C12F2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.14260</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3A067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-.42275</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2416D84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.13868</w:t>
            </w:r>
          </w:p>
        </w:tc>
      </w:tr>
      <w:tr w:rsidR="00275955" w:rsidRPr="00275955" w14:paraId="76BFC83C" w14:textId="77777777" w:rsidTr="00A267CF">
        <w:trPr>
          <w:cantSplit/>
        </w:trPr>
        <w:tc>
          <w:tcPr>
            <w:tcW w:w="1134" w:type="dxa"/>
            <w:vMerge/>
            <w:tcBorders>
              <w:top w:val="single" w:sz="8" w:space="0" w:color="AEAEAE"/>
              <w:left w:val="nil"/>
              <w:bottom w:val="nil"/>
              <w:right w:val="nil"/>
            </w:tcBorders>
            <w:shd w:val="clear" w:color="auto" w:fill="E0E0E0"/>
          </w:tcPr>
          <w:p w14:paraId="45D1F101"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22178FFA"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7CFB30C6"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4B8B1CA8"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32D7354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-.993</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0523628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255.715</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39885D7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.321</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3F76787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-.14203</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3EF77B9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.14298</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374C2E7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-.42360</w:t>
            </w:r>
          </w:p>
        </w:tc>
        <w:tc>
          <w:tcPr>
            <w:tcW w:w="709" w:type="dxa"/>
            <w:gridSpan w:val="2"/>
            <w:tcBorders>
              <w:top w:val="single" w:sz="8" w:space="0" w:color="AEAEAE"/>
              <w:left w:val="single" w:sz="8" w:space="0" w:color="E0E0E0"/>
              <w:bottom w:val="nil"/>
              <w:right w:val="nil"/>
            </w:tcBorders>
            <w:shd w:val="clear" w:color="auto" w:fill="FFFFFF"/>
          </w:tcPr>
          <w:p w14:paraId="009F34F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.13954</w:t>
            </w:r>
          </w:p>
        </w:tc>
      </w:tr>
      <w:tr w:rsidR="00275955" w:rsidRPr="00275955" w14:paraId="0388882C" w14:textId="77777777" w:rsidTr="00A267CF">
        <w:trPr>
          <w:cantSplit/>
        </w:trPr>
        <w:tc>
          <w:tcPr>
            <w:tcW w:w="1134" w:type="dxa"/>
            <w:vMerge w:val="restart"/>
            <w:tcBorders>
              <w:top w:val="single" w:sz="8" w:space="0" w:color="AEAEAE"/>
              <w:left w:val="nil"/>
              <w:bottom w:val="nil"/>
              <w:right w:val="nil"/>
            </w:tcBorders>
            <w:shd w:val="clear" w:color="auto" w:fill="E0E0E0"/>
          </w:tcPr>
          <w:p w14:paraId="3671A43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Arousal</w:t>
            </w:r>
          </w:p>
        </w:tc>
        <w:tc>
          <w:tcPr>
            <w:tcW w:w="2694" w:type="dxa"/>
            <w:tcBorders>
              <w:top w:val="single" w:sz="8" w:space="0" w:color="AEAEAE"/>
              <w:left w:val="nil"/>
              <w:bottom w:val="single" w:sz="8" w:space="0" w:color="AEAEAE"/>
              <w:right w:val="nil"/>
            </w:tcBorders>
            <w:shd w:val="clear" w:color="auto" w:fill="E0E0E0"/>
          </w:tcPr>
          <w:p w14:paraId="40B52E6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01C1817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2.554</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79011C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.111</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D07334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.465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4846DA8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13A154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.642</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4F336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.05606</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733AB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.12054</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09FC7C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-.18123</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CC02CE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.29334</w:t>
            </w:r>
          </w:p>
        </w:tc>
      </w:tr>
      <w:tr w:rsidR="00275955" w:rsidRPr="00275955" w14:paraId="0CD71DEF" w14:textId="77777777" w:rsidTr="00A267CF">
        <w:trPr>
          <w:cantSplit/>
        </w:trPr>
        <w:tc>
          <w:tcPr>
            <w:tcW w:w="1134" w:type="dxa"/>
            <w:vMerge/>
            <w:tcBorders>
              <w:top w:val="single" w:sz="8" w:space="0" w:color="AEAEAE"/>
              <w:left w:val="nil"/>
              <w:bottom w:val="nil"/>
              <w:right w:val="nil"/>
            </w:tcBorders>
            <w:shd w:val="clear" w:color="auto" w:fill="E0E0E0"/>
          </w:tcPr>
          <w:p w14:paraId="27DCAE11"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580E90D9"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41D7CA65"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0E7C5E4F"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43AB97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.457</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6BE9EFF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240.112</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08A863A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.648</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3F03ADB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.05606</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0B2B701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.12259</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1C76ECF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-.18543</w:t>
            </w:r>
          </w:p>
        </w:tc>
        <w:tc>
          <w:tcPr>
            <w:tcW w:w="709" w:type="dxa"/>
            <w:gridSpan w:val="2"/>
            <w:tcBorders>
              <w:top w:val="single" w:sz="8" w:space="0" w:color="AEAEAE"/>
              <w:left w:val="single" w:sz="8" w:space="0" w:color="E0E0E0"/>
              <w:bottom w:val="nil"/>
              <w:right w:val="nil"/>
            </w:tcBorders>
            <w:shd w:val="clear" w:color="auto" w:fill="FFFFFF"/>
          </w:tcPr>
          <w:p w14:paraId="196D300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.29754</w:t>
            </w:r>
          </w:p>
        </w:tc>
      </w:tr>
      <w:tr w:rsidR="00275955" w:rsidRPr="00275955" w14:paraId="05141FA4" w14:textId="77777777" w:rsidTr="00A267CF">
        <w:trPr>
          <w:cantSplit/>
        </w:trPr>
        <w:tc>
          <w:tcPr>
            <w:tcW w:w="1134" w:type="dxa"/>
            <w:vMerge w:val="restart"/>
            <w:tcBorders>
              <w:top w:val="single" w:sz="8" w:space="0" w:color="AEAEAE"/>
              <w:left w:val="nil"/>
              <w:bottom w:val="nil"/>
              <w:right w:val="nil"/>
            </w:tcBorders>
            <w:shd w:val="clear" w:color="auto" w:fill="E0E0E0"/>
          </w:tcPr>
          <w:p w14:paraId="33A41A90"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Dominance</w:t>
            </w:r>
          </w:p>
        </w:tc>
        <w:tc>
          <w:tcPr>
            <w:tcW w:w="2694" w:type="dxa"/>
            <w:tcBorders>
              <w:top w:val="single" w:sz="8" w:space="0" w:color="AEAEAE"/>
              <w:left w:val="nil"/>
              <w:bottom w:val="single" w:sz="8" w:space="0" w:color="AEAEAE"/>
              <w:right w:val="nil"/>
            </w:tcBorders>
            <w:shd w:val="clear" w:color="auto" w:fill="E0E0E0"/>
          </w:tcPr>
          <w:p w14:paraId="399BDDC1"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2B970DF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.042</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0019F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.837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7F20DD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4C0B13B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00C01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.753</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7D6971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.03340</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E6FFC1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.10594</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925EB6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-.17515</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EC5608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.24195</w:t>
            </w:r>
          </w:p>
        </w:tc>
      </w:tr>
      <w:tr w:rsidR="00275955" w:rsidRPr="00275955" w14:paraId="129DD685" w14:textId="77777777" w:rsidTr="00A267CF">
        <w:trPr>
          <w:cantSplit/>
        </w:trPr>
        <w:tc>
          <w:tcPr>
            <w:tcW w:w="1134" w:type="dxa"/>
            <w:vMerge/>
            <w:tcBorders>
              <w:top w:val="single" w:sz="8" w:space="0" w:color="AEAEAE"/>
              <w:left w:val="nil"/>
              <w:bottom w:val="nil"/>
              <w:right w:val="nil"/>
            </w:tcBorders>
            <w:shd w:val="clear" w:color="auto" w:fill="E0E0E0"/>
          </w:tcPr>
          <w:p w14:paraId="700E83D5"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77E4777D"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12C8F305"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421FBCFD"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6A21C4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.315</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242314D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256.040</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70E2BE5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.753</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45ADDC3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.03340</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39E5E92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.10619</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442E0F0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-.17572</w:t>
            </w:r>
          </w:p>
        </w:tc>
        <w:tc>
          <w:tcPr>
            <w:tcW w:w="709" w:type="dxa"/>
            <w:gridSpan w:val="2"/>
            <w:tcBorders>
              <w:top w:val="single" w:sz="8" w:space="0" w:color="AEAEAE"/>
              <w:left w:val="single" w:sz="8" w:space="0" w:color="E0E0E0"/>
              <w:bottom w:val="nil"/>
              <w:right w:val="nil"/>
            </w:tcBorders>
            <w:shd w:val="clear" w:color="auto" w:fill="FFFFFF"/>
          </w:tcPr>
          <w:p w14:paraId="360255A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.24252</w:t>
            </w:r>
          </w:p>
        </w:tc>
      </w:tr>
      <w:tr w:rsidR="00275955" w:rsidRPr="00275955" w14:paraId="4470B6D3" w14:textId="77777777" w:rsidTr="00A267CF">
        <w:trPr>
          <w:cantSplit/>
        </w:trPr>
        <w:tc>
          <w:tcPr>
            <w:tcW w:w="1134" w:type="dxa"/>
            <w:vMerge w:val="restart"/>
            <w:tcBorders>
              <w:top w:val="single" w:sz="8" w:space="0" w:color="AEAEAE"/>
              <w:left w:val="nil"/>
              <w:bottom w:val="nil"/>
              <w:right w:val="nil"/>
            </w:tcBorders>
            <w:shd w:val="clear" w:color="auto" w:fill="E0E0E0"/>
          </w:tcPr>
          <w:p w14:paraId="4C3B6BC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Attitude</w:t>
            </w:r>
          </w:p>
        </w:tc>
        <w:tc>
          <w:tcPr>
            <w:tcW w:w="2694" w:type="dxa"/>
            <w:tcBorders>
              <w:top w:val="single" w:sz="8" w:space="0" w:color="AEAEAE"/>
              <w:left w:val="nil"/>
              <w:bottom w:val="single" w:sz="8" w:space="0" w:color="AEAEAE"/>
              <w:right w:val="nil"/>
            </w:tcBorders>
            <w:shd w:val="clear" w:color="auto" w:fill="E0E0E0"/>
          </w:tcPr>
          <w:p w14:paraId="1EA2ABBA"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61A2D0C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.097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E2FD30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.756</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4BBECB7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.366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719088F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0E36BC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.715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FAAC1D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.06038</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4DACA9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.16514</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289BD8C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-.26470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7DD7374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.38545</w:t>
            </w:r>
          </w:p>
        </w:tc>
      </w:tr>
      <w:tr w:rsidR="00275955" w:rsidRPr="00275955" w14:paraId="33C97E97" w14:textId="77777777" w:rsidTr="00A267CF">
        <w:trPr>
          <w:cantSplit/>
        </w:trPr>
        <w:tc>
          <w:tcPr>
            <w:tcW w:w="1134" w:type="dxa"/>
            <w:vMerge/>
            <w:tcBorders>
              <w:top w:val="single" w:sz="8" w:space="0" w:color="AEAEAE"/>
              <w:left w:val="nil"/>
              <w:bottom w:val="nil"/>
              <w:right w:val="nil"/>
            </w:tcBorders>
            <w:shd w:val="clear" w:color="auto" w:fill="E0E0E0"/>
          </w:tcPr>
          <w:p w14:paraId="33228542"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4E5F0F31"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2FD698F4"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56B68D6C"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345C5EB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.370</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56A9B32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267.757</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474B770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.712</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35220B6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.06038</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761D442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.16333</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5BCCEAD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-.26120</w:t>
            </w:r>
          </w:p>
        </w:tc>
        <w:tc>
          <w:tcPr>
            <w:tcW w:w="709" w:type="dxa"/>
            <w:gridSpan w:val="2"/>
            <w:tcBorders>
              <w:top w:val="single" w:sz="8" w:space="0" w:color="AEAEAE"/>
              <w:left w:val="single" w:sz="8" w:space="0" w:color="E0E0E0"/>
              <w:bottom w:val="nil"/>
              <w:right w:val="nil"/>
            </w:tcBorders>
            <w:shd w:val="clear" w:color="auto" w:fill="FFFFFF"/>
          </w:tcPr>
          <w:p w14:paraId="5F5AA71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.38195</w:t>
            </w:r>
          </w:p>
        </w:tc>
      </w:tr>
      <w:tr w:rsidR="00275955" w:rsidRPr="00275955" w14:paraId="58ADAAFB" w14:textId="77777777" w:rsidTr="00A267CF">
        <w:trPr>
          <w:cantSplit/>
        </w:trPr>
        <w:tc>
          <w:tcPr>
            <w:tcW w:w="1134" w:type="dxa"/>
            <w:vMerge w:val="restart"/>
            <w:tcBorders>
              <w:top w:val="single" w:sz="8" w:space="0" w:color="AEAEAE"/>
              <w:left w:val="nil"/>
              <w:bottom w:val="nil"/>
              <w:right w:val="nil"/>
            </w:tcBorders>
            <w:shd w:val="clear" w:color="auto" w:fill="E0E0E0"/>
          </w:tcPr>
          <w:p w14:paraId="540A4125"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Engagement</w:t>
            </w:r>
          </w:p>
        </w:tc>
        <w:tc>
          <w:tcPr>
            <w:tcW w:w="2694" w:type="dxa"/>
            <w:tcBorders>
              <w:top w:val="single" w:sz="8" w:space="0" w:color="AEAEAE"/>
              <w:left w:val="nil"/>
              <w:bottom w:val="single" w:sz="8" w:space="0" w:color="AEAEAE"/>
              <w:right w:val="nil"/>
            </w:tcBorders>
            <w:shd w:val="clear" w:color="auto" w:fill="E0E0E0"/>
          </w:tcPr>
          <w:p w14:paraId="2871FD90"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38193DF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.401</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B6B704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.527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BFCA3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1.999</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0FBE233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5A7A8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.047</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1C778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.32029</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D23072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.16023</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3D6667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.00487</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2324DFE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.63570</w:t>
            </w:r>
          </w:p>
        </w:tc>
      </w:tr>
      <w:tr w:rsidR="00275955" w:rsidRPr="00275955" w14:paraId="02F8DEEE" w14:textId="77777777" w:rsidTr="00A267CF">
        <w:trPr>
          <w:cantSplit/>
        </w:trPr>
        <w:tc>
          <w:tcPr>
            <w:tcW w:w="1134" w:type="dxa"/>
            <w:vMerge/>
            <w:tcBorders>
              <w:top w:val="single" w:sz="8" w:space="0" w:color="AEAEAE"/>
              <w:left w:val="nil"/>
              <w:bottom w:val="nil"/>
              <w:right w:val="nil"/>
            </w:tcBorders>
            <w:shd w:val="clear" w:color="auto" w:fill="E0E0E0"/>
          </w:tcPr>
          <w:p w14:paraId="19853CC6"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27792663"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6DC26F1E"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572DB2DB"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0F33573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1.990</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3FA4F8A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253.862</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36E2D55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.048</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371F1B7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.32029</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3F6D41D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.16095</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5D83323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.00333</w:t>
            </w:r>
          </w:p>
        </w:tc>
        <w:tc>
          <w:tcPr>
            <w:tcW w:w="709" w:type="dxa"/>
            <w:gridSpan w:val="2"/>
            <w:tcBorders>
              <w:top w:val="single" w:sz="8" w:space="0" w:color="AEAEAE"/>
              <w:left w:val="single" w:sz="8" w:space="0" w:color="E0E0E0"/>
              <w:bottom w:val="nil"/>
              <w:right w:val="nil"/>
            </w:tcBorders>
            <w:shd w:val="clear" w:color="auto" w:fill="FFFFFF"/>
          </w:tcPr>
          <w:p w14:paraId="0D2942E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.63725</w:t>
            </w:r>
          </w:p>
        </w:tc>
      </w:tr>
      <w:tr w:rsidR="00275955" w:rsidRPr="00275955" w14:paraId="4944AC55" w14:textId="77777777" w:rsidTr="00A267CF">
        <w:trPr>
          <w:cantSplit/>
        </w:trPr>
        <w:tc>
          <w:tcPr>
            <w:tcW w:w="1134" w:type="dxa"/>
            <w:vMerge w:val="restart"/>
            <w:tcBorders>
              <w:top w:val="single" w:sz="8" w:space="0" w:color="AEAEAE"/>
              <w:left w:val="nil"/>
              <w:bottom w:val="nil"/>
              <w:right w:val="nil"/>
            </w:tcBorders>
            <w:shd w:val="clear" w:color="auto" w:fill="E0E0E0"/>
          </w:tcPr>
          <w:p w14:paraId="208D14B9"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Purchase</w:t>
            </w:r>
          </w:p>
        </w:tc>
        <w:tc>
          <w:tcPr>
            <w:tcW w:w="2694" w:type="dxa"/>
            <w:tcBorders>
              <w:top w:val="single" w:sz="8" w:space="0" w:color="AEAEAE"/>
              <w:left w:val="nil"/>
              <w:bottom w:val="single" w:sz="8" w:space="0" w:color="AEAEAE"/>
              <w:right w:val="nil"/>
            </w:tcBorders>
            <w:shd w:val="clear" w:color="auto" w:fill="E0E0E0"/>
          </w:tcPr>
          <w:p w14:paraId="5F60C2E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1E2192D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1.676</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90A750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.196</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13784B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.461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EB937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85D3A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.645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214FB1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.07912</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29F18A4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.17152</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51C4D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-.25852</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5F9552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.41677</w:t>
            </w:r>
          </w:p>
        </w:tc>
      </w:tr>
      <w:tr w:rsidR="00275955" w:rsidRPr="00275955" w14:paraId="7E97275F" w14:textId="77777777" w:rsidTr="00A267CF">
        <w:trPr>
          <w:cantSplit/>
        </w:trPr>
        <w:tc>
          <w:tcPr>
            <w:tcW w:w="1134" w:type="dxa"/>
            <w:vMerge/>
            <w:tcBorders>
              <w:top w:val="single" w:sz="8" w:space="0" w:color="AEAEAE"/>
              <w:left w:val="nil"/>
              <w:bottom w:val="nil"/>
              <w:right w:val="nil"/>
            </w:tcBorders>
            <w:shd w:val="clear" w:color="auto" w:fill="E0E0E0"/>
          </w:tcPr>
          <w:p w14:paraId="6A9419AF"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4EAA427D"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74C58F2C"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5A127C0D"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122DDC5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.466</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0469978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267.804</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61E6947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.641</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65DAA08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.07912</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0F4E1CB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.16963</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42B043A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-.25486</w:t>
            </w:r>
          </w:p>
        </w:tc>
        <w:tc>
          <w:tcPr>
            <w:tcW w:w="709" w:type="dxa"/>
            <w:gridSpan w:val="2"/>
            <w:tcBorders>
              <w:top w:val="single" w:sz="8" w:space="0" w:color="AEAEAE"/>
              <w:left w:val="single" w:sz="8" w:space="0" w:color="E0E0E0"/>
              <w:bottom w:val="nil"/>
              <w:right w:val="nil"/>
            </w:tcBorders>
            <w:shd w:val="clear" w:color="auto" w:fill="FFFFFF"/>
          </w:tcPr>
          <w:p w14:paraId="7F1FB60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.41311</w:t>
            </w:r>
          </w:p>
        </w:tc>
      </w:tr>
      <w:tr w:rsidR="00275955" w:rsidRPr="00275955" w14:paraId="68BB4F87" w14:textId="77777777" w:rsidTr="00A267CF">
        <w:trPr>
          <w:cantSplit/>
        </w:trPr>
        <w:tc>
          <w:tcPr>
            <w:tcW w:w="1134" w:type="dxa"/>
            <w:vMerge w:val="restart"/>
            <w:tcBorders>
              <w:top w:val="single" w:sz="8" w:space="0" w:color="AEAEAE"/>
              <w:left w:val="nil"/>
              <w:bottom w:val="nil"/>
              <w:right w:val="nil"/>
            </w:tcBorders>
            <w:shd w:val="clear" w:color="auto" w:fill="E0E0E0"/>
          </w:tcPr>
          <w:p w14:paraId="07CE590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behaviour</w:t>
            </w:r>
          </w:p>
        </w:tc>
        <w:tc>
          <w:tcPr>
            <w:tcW w:w="2694" w:type="dxa"/>
            <w:tcBorders>
              <w:top w:val="single" w:sz="8" w:space="0" w:color="AEAEAE"/>
              <w:left w:val="nil"/>
              <w:bottom w:val="single" w:sz="8" w:space="0" w:color="AEAEAE"/>
              <w:right w:val="nil"/>
            </w:tcBorders>
            <w:shd w:val="clear" w:color="auto" w:fill="E0E0E0"/>
          </w:tcPr>
          <w:p w14:paraId="123A429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6018E3D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1.630</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EA3C5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.203</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61907F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-.423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53FB2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5D5FDD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.673</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77638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-.05844</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8318CF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.13820</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F949D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-.33049</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993088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.21362</w:t>
            </w:r>
          </w:p>
        </w:tc>
      </w:tr>
      <w:tr w:rsidR="00275955" w:rsidRPr="00275955" w14:paraId="04E7193A" w14:textId="77777777" w:rsidTr="00A267CF">
        <w:trPr>
          <w:cantSplit/>
        </w:trPr>
        <w:tc>
          <w:tcPr>
            <w:tcW w:w="1134" w:type="dxa"/>
            <w:vMerge/>
            <w:tcBorders>
              <w:top w:val="single" w:sz="8" w:space="0" w:color="AEAEAE"/>
              <w:left w:val="nil"/>
              <w:bottom w:val="nil"/>
              <w:right w:val="nil"/>
            </w:tcBorders>
            <w:shd w:val="clear" w:color="auto" w:fill="E0E0E0"/>
          </w:tcPr>
          <w:p w14:paraId="74E6CD20"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555831B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33784BAB"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28FBA136"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864500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-.432</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1B5F44A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274.094</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30DAB82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.666</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51D6999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-.05844</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30CDFF6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.13522</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69CC074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-.32465</w:t>
            </w:r>
          </w:p>
        </w:tc>
        <w:tc>
          <w:tcPr>
            <w:tcW w:w="709" w:type="dxa"/>
            <w:gridSpan w:val="2"/>
            <w:tcBorders>
              <w:top w:val="single" w:sz="8" w:space="0" w:color="AEAEAE"/>
              <w:left w:val="single" w:sz="8" w:space="0" w:color="E0E0E0"/>
              <w:bottom w:val="nil"/>
              <w:right w:val="nil"/>
            </w:tcBorders>
            <w:shd w:val="clear" w:color="auto" w:fill="FFFFFF"/>
          </w:tcPr>
          <w:p w14:paraId="534122F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.20778</w:t>
            </w:r>
          </w:p>
        </w:tc>
      </w:tr>
      <w:tr w:rsidR="00275955" w:rsidRPr="00275955" w14:paraId="0F900289" w14:textId="77777777" w:rsidTr="00A267CF">
        <w:trPr>
          <w:cantSplit/>
        </w:trPr>
        <w:tc>
          <w:tcPr>
            <w:tcW w:w="1134" w:type="dxa"/>
            <w:vMerge w:val="restart"/>
            <w:tcBorders>
              <w:top w:val="single" w:sz="8" w:space="0" w:color="AEAEAE"/>
              <w:left w:val="nil"/>
              <w:bottom w:val="nil"/>
              <w:right w:val="nil"/>
            </w:tcBorders>
            <w:shd w:val="clear" w:color="auto" w:fill="E0E0E0"/>
          </w:tcPr>
          <w:p w14:paraId="30BF8217"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information</w:t>
            </w:r>
          </w:p>
        </w:tc>
        <w:tc>
          <w:tcPr>
            <w:tcW w:w="2694" w:type="dxa"/>
            <w:tcBorders>
              <w:top w:val="single" w:sz="8" w:space="0" w:color="AEAEAE"/>
              <w:left w:val="nil"/>
              <w:bottom w:val="single" w:sz="8" w:space="0" w:color="AEAEAE"/>
              <w:right w:val="nil"/>
            </w:tcBorders>
            <w:shd w:val="clear" w:color="auto" w:fill="E0E0E0"/>
          </w:tcPr>
          <w:p w14:paraId="3DEE72CA"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7FB67F5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.296</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73FB27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.587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01ADC63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1.350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99D6B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2CE0C4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.178</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5BB128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.23275</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4C2A37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.17235</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7A056DE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-.10654</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3D5561A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.57203</w:t>
            </w:r>
          </w:p>
        </w:tc>
      </w:tr>
      <w:tr w:rsidR="00275955" w:rsidRPr="00275955" w14:paraId="1C31AD48" w14:textId="77777777" w:rsidTr="00A267CF">
        <w:trPr>
          <w:cantSplit/>
        </w:trPr>
        <w:tc>
          <w:tcPr>
            <w:tcW w:w="1134" w:type="dxa"/>
            <w:vMerge/>
            <w:tcBorders>
              <w:top w:val="single" w:sz="8" w:space="0" w:color="AEAEAE"/>
              <w:left w:val="nil"/>
              <w:bottom w:val="nil"/>
              <w:right w:val="nil"/>
            </w:tcBorders>
            <w:shd w:val="clear" w:color="auto" w:fill="E0E0E0"/>
          </w:tcPr>
          <w:p w14:paraId="22BE0475"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6EBDC94E"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01E09626"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1FECD6FF"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C00A80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1.346</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203B695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254.837</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2245030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.180</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4C92D86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.23275</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3884904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.17296</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509EE73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-.10787</w:t>
            </w:r>
          </w:p>
        </w:tc>
        <w:tc>
          <w:tcPr>
            <w:tcW w:w="709" w:type="dxa"/>
            <w:gridSpan w:val="2"/>
            <w:tcBorders>
              <w:top w:val="single" w:sz="8" w:space="0" w:color="AEAEAE"/>
              <w:left w:val="single" w:sz="8" w:space="0" w:color="E0E0E0"/>
              <w:bottom w:val="nil"/>
              <w:right w:val="nil"/>
            </w:tcBorders>
            <w:shd w:val="clear" w:color="auto" w:fill="FFFFFF"/>
          </w:tcPr>
          <w:p w14:paraId="7B197F3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.57337</w:t>
            </w:r>
          </w:p>
        </w:tc>
      </w:tr>
      <w:tr w:rsidR="00275955" w:rsidRPr="00275955" w14:paraId="78D6ADE5" w14:textId="77777777" w:rsidTr="00A267CF">
        <w:trPr>
          <w:cantSplit/>
        </w:trPr>
        <w:tc>
          <w:tcPr>
            <w:tcW w:w="1134" w:type="dxa"/>
            <w:vMerge w:val="restart"/>
            <w:tcBorders>
              <w:top w:val="single" w:sz="8" w:space="0" w:color="AEAEAE"/>
              <w:left w:val="nil"/>
              <w:bottom w:val="nil"/>
              <w:right w:val="nil"/>
            </w:tcBorders>
            <w:shd w:val="clear" w:color="auto" w:fill="E0E0E0"/>
          </w:tcPr>
          <w:p w14:paraId="38D17068"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Norm</w:t>
            </w:r>
          </w:p>
        </w:tc>
        <w:tc>
          <w:tcPr>
            <w:tcW w:w="2694" w:type="dxa"/>
            <w:tcBorders>
              <w:top w:val="single" w:sz="8" w:space="0" w:color="AEAEAE"/>
              <w:left w:val="nil"/>
              <w:bottom w:val="single" w:sz="8" w:space="0" w:color="AEAEAE"/>
              <w:right w:val="nil"/>
            </w:tcBorders>
            <w:shd w:val="clear" w:color="auto" w:fill="E0E0E0"/>
          </w:tcPr>
          <w:p w14:paraId="55D22A09"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7AA37674"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.093</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C04428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.761</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A789DE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.307</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004E08E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CB7332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.759</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B31EE0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.05029</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84833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.16382</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37ABA41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-.27220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EC1B8A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.37277</w:t>
            </w:r>
          </w:p>
        </w:tc>
      </w:tr>
      <w:tr w:rsidR="00275955" w:rsidRPr="00275955" w14:paraId="7A80370E" w14:textId="77777777" w:rsidTr="00A267CF">
        <w:trPr>
          <w:cantSplit/>
        </w:trPr>
        <w:tc>
          <w:tcPr>
            <w:tcW w:w="1134" w:type="dxa"/>
            <w:vMerge/>
            <w:tcBorders>
              <w:top w:val="single" w:sz="8" w:space="0" w:color="AEAEAE"/>
              <w:left w:val="nil"/>
              <w:bottom w:val="nil"/>
              <w:right w:val="nil"/>
            </w:tcBorders>
            <w:shd w:val="clear" w:color="auto" w:fill="E0E0E0"/>
          </w:tcPr>
          <w:p w14:paraId="5EDA1D5B"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70A50CF0"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06EE4E13"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7F35DE2E"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50997C2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.308</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2B3CBE4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262.778</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545DA3E1"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.758</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2764DE0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.05029</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63A5C27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.16303</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692199C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-.27073</w:t>
            </w:r>
          </w:p>
        </w:tc>
        <w:tc>
          <w:tcPr>
            <w:tcW w:w="709" w:type="dxa"/>
            <w:gridSpan w:val="2"/>
            <w:tcBorders>
              <w:top w:val="single" w:sz="8" w:space="0" w:color="AEAEAE"/>
              <w:left w:val="single" w:sz="8" w:space="0" w:color="E0E0E0"/>
              <w:bottom w:val="nil"/>
              <w:right w:val="nil"/>
            </w:tcBorders>
            <w:shd w:val="clear" w:color="auto" w:fill="FFFFFF"/>
          </w:tcPr>
          <w:p w14:paraId="4916607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.37130</w:t>
            </w:r>
          </w:p>
        </w:tc>
      </w:tr>
      <w:tr w:rsidR="00275955" w:rsidRPr="00275955" w14:paraId="6210012B" w14:textId="77777777" w:rsidTr="00A267CF">
        <w:trPr>
          <w:cantSplit/>
        </w:trPr>
        <w:tc>
          <w:tcPr>
            <w:tcW w:w="1134" w:type="dxa"/>
            <w:vMerge w:val="restart"/>
            <w:tcBorders>
              <w:top w:val="single" w:sz="8" w:space="0" w:color="AEAEAE"/>
              <w:left w:val="nil"/>
              <w:bottom w:val="nil"/>
              <w:right w:val="nil"/>
            </w:tcBorders>
            <w:shd w:val="clear" w:color="auto" w:fill="E0E0E0"/>
          </w:tcPr>
          <w:p w14:paraId="23CD1544"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Trustworthiness</w:t>
            </w:r>
          </w:p>
        </w:tc>
        <w:tc>
          <w:tcPr>
            <w:tcW w:w="2694" w:type="dxa"/>
            <w:tcBorders>
              <w:top w:val="single" w:sz="8" w:space="0" w:color="AEAEAE"/>
              <w:left w:val="nil"/>
              <w:bottom w:val="single" w:sz="8" w:space="0" w:color="AEAEAE"/>
              <w:right w:val="nil"/>
            </w:tcBorders>
            <w:shd w:val="clear" w:color="auto" w:fill="E0E0E0"/>
          </w:tcPr>
          <w:p w14:paraId="0DB58AE0"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089D7D8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1.927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CE683A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.166</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525694E8"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.401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5E9B7B4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DD5E57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.689</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1D1757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.04808</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B94A25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.12000</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50248EF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-.18814</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258E604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.28430</w:t>
            </w:r>
          </w:p>
        </w:tc>
      </w:tr>
      <w:tr w:rsidR="00275955" w:rsidRPr="00275955" w14:paraId="52AC6A10" w14:textId="77777777" w:rsidTr="00A267CF">
        <w:trPr>
          <w:cantSplit/>
        </w:trPr>
        <w:tc>
          <w:tcPr>
            <w:tcW w:w="1134" w:type="dxa"/>
            <w:vMerge/>
            <w:tcBorders>
              <w:top w:val="single" w:sz="8" w:space="0" w:color="AEAEAE"/>
              <w:left w:val="nil"/>
              <w:bottom w:val="nil"/>
              <w:right w:val="nil"/>
            </w:tcBorders>
            <w:shd w:val="clear" w:color="auto" w:fill="E0E0E0"/>
          </w:tcPr>
          <w:p w14:paraId="1B09C11D"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nil"/>
              <w:right w:val="nil"/>
            </w:tcBorders>
            <w:shd w:val="clear" w:color="auto" w:fill="E0E0E0"/>
          </w:tcPr>
          <w:p w14:paraId="60423DFD"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nil"/>
              <w:right w:val="single" w:sz="8" w:space="0" w:color="E0E0E0"/>
            </w:tcBorders>
            <w:shd w:val="clear" w:color="auto" w:fill="FFFFFF"/>
            <w:vAlign w:val="center"/>
          </w:tcPr>
          <w:p w14:paraId="6851058C"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nil"/>
              <w:right w:val="single" w:sz="8" w:space="0" w:color="E0E0E0"/>
            </w:tcBorders>
            <w:shd w:val="clear" w:color="auto" w:fill="FFFFFF"/>
            <w:vAlign w:val="center"/>
          </w:tcPr>
          <w:p w14:paraId="074EC89E"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nil"/>
              <w:right w:val="single" w:sz="8" w:space="0" w:color="E0E0E0"/>
            </w:tcBorders>
            <w:shd w:val="clear" w:color="auto" w:fill="FFFFFF"/>
          </w:tcPr>
          <w:p w14:paraId="7473196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.396</w:t>
            </w:r>
          </w:p>
        </w:tc>
        <w:tc>
          <w:tcPr>
            <w:tcW w:w="851" w:type="dxa"/>
            <w:gridSpan w:val="2"/>
            <w:tcBorders>
              <w:top w:val="single" w:sz="8" w:space="0" w:color="AEAEAE"/>
              <w:left w:val="single" w:sz="8" w:space="0" w:color="E0E0E0"/>
              <w:bottom w:val="nil"/>
              <w:right w:val="single" w:sz="8" w:space="0" w:color="E0E0E0"/>
            </w:tcBorders>
            <w:shd w:val="clear" w:color="auto" w:fill="FFFFFF"/>
          </w:tcPr>
          <w:p w14:paraId="7EA38E7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245.663</w:t>
            </w:r>
          </w:p>
        </w:tc>
        <w:tc>
          <w:tcPr>
            <w:tcW w:w="567" w:type="dxa"/>
            <w:gridSpan w:val="2"/>
            <w:tcBorders>
              <w:top w:val="single" w:sz="8" w:space="0" w:color="AEAEAE"/>
              <w:left w:val="single" w:sz="8" w:space="0" w:color="E0E0E0"/>
              <w:bottom w:val="nil"/>
              <w:right w:val="single" w:sz="8" w:space="0" w:color="E0E0E0"/>
            </w:tcBorders>
            <w:shd w:val="clear" w:color="auto" w:fill="FFFFFF"/>
          </w:tcPr>
          <w:p w14:paraId="639D4EA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.693</w:t>
            </w:r>
          </w:p>
        </w:tc>
        <w:tc>
          <w:tcPr>
            <w:tcW w:w="850" w:type="dxa"/>
            <w:gridSpan w:val="2"/>
            <w:tcBorders>
              <w:top w:val="single" w:sz="8" w:space="0" w:color="AEAEAE"/>
              <w:left w:val="single" w:sz="8" w:space="0" w:color="E0E0E0"/>
              <w:bottom w:val="nil"/>
              <w:right w:val="single" w:sz="8" w:space="0" w:color="E0E0E0"/>
            </w:tcBorders>
            <w:shd w:val="clear" w:color="auto" w:fill="FFFFFF"/>
          </w:tcPr>
          <w:p w14:paraId="24DF84BC"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.04808</w:t>
            </w:r>
          </w:p>
        </w:tc>
        <w:tc>
          <w:tcPr>
            <w:tcW w:w="737" w:type="dxa"/>
            <w:gridSpan w:val="2"/>
            <w:tcBorders>
              <w:top w:val="single" w:sz="8" w:space="0" w:color="AEAEAE"/>
              <w:left w:val="single" w:sz="8" w:space="0" w:color="E0E0E0"/>
              <w:bottom w:val="nil"/>
              <w:right w:val="single" w:sz="8" w:space="0" w:color="E0E0E0"/>
            </w:tcBorders>
            <w:shd w:val="clear" w:color="auto" w:fill="FFFFFF"/>
          </w:tcPr>
          <w:p w14:paraId="2DF3E3E2"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.12145</w:t>
            </w:r>
          </w:p>
        </w:tc>
        <w:tc>
          <w:tcPr>
            <w:tcW w:w="822" w:type="dxa"/>
            <w:gridSpan w:val="2"/>
            <w:tcBorders>
              <w:top w:val="single" w:sz="8" w:space="0" w:color="AEAEAE"/>
              <w:left w:val="single" w:sz="8" w:space="0" w:color="E0E0E0"/>
              <w:bottom w:val="nil"/>
              <w:right w:val="single" w:sz="8" w:space="0" w:color="E0E0E0"/>
            </w:tcBorders>
            <w:shd w:val="clear" w:color="auto" w:fill="FFFFFF"/>
          </w:tcPr>
          <w:p w14:paraId="007A28CD"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-.19114</w:t>
            </w:r>
          </w:p>
        </w:tc>
        <w:tc>
          <w:tcPr>
            <w:tcW w:w="709" w:type="dxa"/>
            <w:gridSpan w:val="2"/>
            <w:tcBorders>
              <w:top w:val="single" w:sz="8" w:space="0" w:color="AEAEAE"/>
              <w:left w:val="single" w:sz="8" w:space="0" w:color="E0E0E0"/>
              <w:bottom w:val="nil"/>
              <w:right w:val="nil"/>
            </w:tcBorders>
            <w:shd w:val="clear" w:color="auto" w:fill="FFFFFF"/>
          </w:tcPr>
          <w:p w14:paraId="697BEFD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.28730</w:t>
            </w:r>
          </w:p>
        </w:tc>
      </w:tr>
      <w:tr w:rsidR="00275955" w:rsidRPr="00275955" w14:paraId="71F0BF36" w14:textId="77777777" w:rsidTr="00A267CF">
        <w:trPr>
          <w:cantSplit/>
        </w:trPr>
        <w:tc>
          <w:tcPr>
            <w:tcW w:w="1134" w:type="dxa"/>
            <w:vMerge w:val="restart"/>
            <w:tcBorders>
              <w:top w:val="single" w:sz="8" w:space="0" w:color="AEAEAE"/>
              <w:left w:val="nil"/>
              <w:bottom w:val="single" w:sz="8" w:space="0" w:color="152935"/>
              <w:right w:val="nil"/>
            </w:tcBorders>
            <w:shd w:val="clear" w:color="auto" w:fill="E0E0E0"/>
          </w:tcPr>
          <w:p w14:paraId="3B6DC925"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Expertise</w:t>
            </w:r>
          </w:p>
        </w:tc>
        <w:tc>
          <w:tcPr>
            <w:tcW w:w="2694" w:type="dxa"/>
            <w:tcBorders>
              <w:top w:val="single" w:sz="8" w:space="0" w:color="AEAEAE"/>
              <w:left w:val="nil"/>
              <w:bottom w:val="single" w:sz="8" w:space="0" w:color="AEAEAE"/>
              <w:right w:val="nil"/>
            </w:tcBorders>
            <w:shd w:val="clear" w:color="auto" w:fill="E0E0E0"/>
          </w:tcPr>
          <w:p w14:paraId="7DCA6867"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assumed</w:t>
            </w:r>
          </w:p>
        </w:tc>
        <w:tc>
          <w:tcPr>
            <w:tcW w:w="708" w:type="dxa"/>
            <w:gridSpan w:val="2"/>
            <w:tcBorders>
              <w:top w:val="single" w:sz="8" w:space="0" w:color="AEAEAE"/>
              <w:left w:val="nil"/>
              <w:bottom w:val="single" w:sz="8" w:space="0" w:color="AEAEAE"/>
              <w:right w:val="single" w:sz="8" w:space="0" w:color="E0E0E0"/>
            </w:tcBorders>
            <w:shd w:val="clear" w:color="auto" w:fill="FFFFFF"/>
          </w:tcPr>
          <w:p w14:paraId="5914410F"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.185</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10D03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.667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tcPr>
          <w:p w14:paraId="151099D0"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.204</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38E96D2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277</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E0D013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.838</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3F3FCC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.03374</w:t>
            </w:r>
          </w:p>
        </w:tc>
        <w:tc>
          <w:tcPr>
            <w:tcW w:w="73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357D37"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.16528</w:t>
            </w:r>
          </w:p>
        </w:tc>
        <w:tc>
          <w:tcPr>
            <w:tcW w:w="82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9118ACA"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-.29164</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510618C3"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.35911</w:t>
            </w:r>
          </w:p>
        </w:tc>
      </w:tr>
      <w:tr w:rsidR="00275955" w:rsidRPr="00275955" w14:paraId="1A91AD27" w14:textId="77777777" w:rsidTr="00A267CF">
        <w:trPr>
          <w:cantSplit/>
        </w:trPr>
        <w:tc>
          <w:tcPr>
            <w:tcW w:w="1134" w:type="dxa"/>
            <w:vMerge/>
            <w:tcBorders>
              <w:top w:val="single" w:sz="8" w:space="0" w:color="AEAEAE"/>
              <w:left w:val="nil"/>
              <w:bottom w:val="single" w:sz="8" w:space="0" w:color="152935"/>
              <w:right w:val="nil"/>
            </w:tcBorders>
            <w:shd w:val="clear" w:color="auto" w:fill="E0E0E0"/>
          </w:tcPr>
          <w:p w14:paraId="3BE47AAC" w14:textId="77777777" w:rsidR="00275955" w:rsidRPr="00275955" w:rsidRDefault="00275955" w:rsidP="00275955">
            <w:pPr>
              <w:autoSpaceDE w:val="0"/>
              <w:autoSpaceDN w:val="0"/>
              <w:adjustRightInd w:val="0"/>
              <w:spacing w:after="0" w:line="240" w:lineRule="auto"/>
              <w:rPr>
                <w:rFonts w:ascii="Arial" w:hAnsi="Arial" w:cs="Arial"/>
                <w:color w:val="010205"/>
                <w:sz w:val="18"/>
                <w:szCs w:val="18"/>
              </w:rPr>
            </w:pPr>
          </w:p>
        </w:tc>
        <w:tc>
          <w:tcPr>
            <w:tcW w:w="2694" w:type="dxa"/>
            <w:tcBorders>
              <w:top w:val="single" w:sz="8" w:space="0" w:color="AEAEAE"/>
              <w:left w:val="nil"/>
              <w:bottom w:val="single" w:sz="8" w:space="0" w:color="152935"/>
              <w:right w:val="nil"/>
            </w:tcBorders>
            <w:shd w:val="clear" w:color="auto" w:fill="E0E0E0"/>
          </w:tcPr>
          <w:p w14:paraId="4742DC4B" w14:textId="77777777" w:rsidR="00275955" w:rsidRPr="00275955" w:rsidRDefault="00275955" w:rsidP="00275955">
            <w:pPr>
              <w:autoSpaceDE w:val="0"/>
              <w:autoSpaceDN w:val="0"/>
              <w:adjustRightInd w:val="0"/>
              <w:spacing w:after="0" w:line="320" w:lineRule="atLeast"/>
              <w:ind w:left="60" w:right="60"/>
              <w:rPr>
                <w:rFonts w:ascii="Arial" w:hAnsi="Arial" w:cs="Arial"/>
                <w:color w:val="264A60"/>
                <w:sz w:val="18"/>
                <w:szCs w:val="18"/>
              </w:rPr>
            </w:pPr>
            <w:r w:rsidRPr="00275955">
              <w:rPr>
                <w:rFonts w:ascii="Arial" w:hAnsi="Arial" w:cs="Arial"/>
                <w:color w:val="264A60"/>
                <w:sz w:val="18"/>
                <w:szCs w:val="18"/>
              </w:rPr>
              <w:t>Equal variances not assumed</w:t>
            </w:r>
          </w:p>
        </w:tc>
        <w:tc>
          <w:tcPr>
            <w:tcW w:w="708" w:type="dxa"/>
            <w:gridSpan w:val="2"/>
            <w:tcBorders>
              <w:top w:val="single" w:sz="8" w:space="0" w:color="AEAEAE"/>
              <w:left w:val="nil"/>
              <w:bottom w:val="single" w:sz="8" w:space="0" w:color="152935"/>
              <w:right w:val="single" w:sz="8" w:space="0" w:color="E0E0E0"/>
            </w:tcBorders>
            <w:shd w:val="clear" w:color="auto" w:fill="FFFFFF"/>
            <w:vAlign w:val="center"/>
          </w:tcPr>
          <w:p w14:paraId="6B0A11D8"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56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C5B7B2F" w14:textId="77777777" w:rsidR="00275955" w:rsidRPr="00275955" w:rsidRDefault="00275955" w:rsidP="00275955">
            <w:pPr>
              <w:autoSpaceDE w:val="0"/>
              <w:autoSpaceDN w:val="0"/>
              <w:adjustRightInd w:val="0"/>
              <w:spacing w:after="0" w:line="240" w:lineRule="auto"/>
              <w:rPr>
                <w:rFonts w:ascii="Times New Roman" w:hAnsi="Times New Roman" w:cs="Times New Roman"/>
                <w:sz w:val="24"/>
                <w:szCs w:val="24"/>
              </w:rPr>
            </w:pPr>
          </w:p>
        </w:tc>
        <w:tc>
          <w:tcPr>
            <w:tcW w:w="709" w:type="dxa"/>
            <w:gridSpan w:val="2"/>
            <w:tcBorders>
              <w:top w:val="single" w:sz="8" w:space="0" w:color="AEAEAE"/>
              <w:left w:val="single" w:sz="8" w:space="0" w:color="E0E0E0"/>
              <w:bottom w:val="single" w:sz="8" w:space="0" w:color="152935"/>
              <w:right w:val="single" w:sz="8" w:space="0" w:color="E0E0E0"/>
            </w:tcBorders>
            <w:shd w:val="clear" w:color="auto" w:fill="FFFFFF"/>
          </w:tcPr>
          <w:p w14:paraId="5C91B3A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.204</w:t>
            </w:r>
          </w:p>
        </w:tc>
        <w:tc>
          <w:tcPr>
            <w:tcW w:w="851" w:type="dxa"/>
            <w:gridSpan w:val="2"/>
            <w:tcBorders>
              <w:top w:val="single" w:sz="8" w:space="0" w:color="AEAEAE"/>
              <w:left w:val="single" w:sz="8" w:space="0" w:color="E0E0E0"/>
              <w:bottom w:val="single" w:sz="8" w:space="0" w:color="152935"/>
              <w:right w:val="single" w:sz="8" w:space="0" w:color="E0E0E0"/>
            </w:tcBorders>
            <w:shd w:val="clear" w:color="auto" w:fill="FFFFFF"/>
          </w:tcPr>
          <w:p w14:paraId="5CA712EB"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256.264</w:t>
            </w:r>
          </w:p>
        </w:tc>
        <w:tc>
          <w:tcPr>
            <w:tcW w:w="567" w:type="dxa"/>
            <w:gridSpan w:val="2"/>
            <w:tcBorders>
              <w:top w:val="single" w:sz="8" w:space="0" w:color="AEAEAE"/>
              <w:left w:val="single" w:sz="8" w:space="0" w:color="E0E0E0"/>
              <w:bottom w:val="single" w:sz="8" w:space="0" w:color="152935"/>
              <w:right w:val="single" w:sz="8" w:space="0" w:color="E0E0E0"/>
            </w:tcBorders>
            <w:shd w:val="clear" w:color="auto" w:fill="FFFFFF"/>
          </w:tcPr>
          <w:p w14:paraId="108DB31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.839</w:t>
            </w:r>
          </w:p>
        </w:tc>
        <w:tc>
          <w:tcPr>
            <w:tcW w:w="8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71D2F09"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.03374</w:t>
            </w:r>
          </w:p>
        </w:tc>
        <w:tc>
          <w:tcPr>
            <w:tcW w:w="737" w:type="dxa"/>
            <w:gridSpan w:val="2"/>
            <w:tcBorders>
              <w:top w:val="single" w:sz="8" w:space="0" w:color="AEAEAE"/>
              <w:left w:val="single" w:sz="8" w:space="0" w:color="E0E0E0"/>
              <w:bottom w:val="single" w:sz="8" w:space="0" w:color="152935"/>
              <w:right w:val="single" w:sz="8" w:space="0" w:color="E0E0E0"/>
            </w:tcBorders>
            <w:shd w:val="clear" w:color="auto" w:fill="FFFFFF"/>
          </w:tcPr>
          <w:p w14:paraId="25A23B65"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.16564</w:t>
            </w:r>
          </w:p>
        </w:tc>
        <w:tc>
          <w:tcPr>
            <w:tcW w:w="822" w:type="dxa"/>
            <w:gridSpan w:val="2"/>
            <w:tcBorders>
              <w:top w:val="single" w:sz="8" w:space="0" w:color="AEAEAE"/>
              <w:left w:val="single" w:sz="8" w:space="0" w:color="E0E0E0"/>
              <w:bottom w:val="single" w:sz="8" w:space="0" w:color="152935"/>
              <w:right w:val="single" w:sz="8" w:space="0" w:color="E0E0E0"/>
            </w:tcBorders>
            <w:shd w:val="clear" w:color="auto" w:fill="FFFFFF"/>
          </w:tcPr>
          <w:p w14:paraId="5BCD6456"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-.29245</w:t>
            </w:r>
          </w:p>
        </w:tc>
        <w:tc>
          <w:tcPr>
            <w:tcW w:w="709" w:type="dxa"/>
            <w:gridSpan w:val="2"/>
            <w:tcBorders>
              <w:top w:val="single" w:sz="8" w:space="0" w:color="AEAEAE"/>
              <w:left w:val="single" w:sz="8" w:space="0" w:color="E0E0E0"/>
              <w:bottom w:val="single" w:sz="8" w:space="0" w:color="152935"/>
              <w:right w:val="nil"/>
            </w:tcBorders>
            <w:shd w:val="clear" w:color="auto" w:fill="FFFFFF"/>
          </w:tcPr>
          <w:p w14:paraId="718F1E7E" w14:textId="77777777" w:rsidR="00275955" w:rsidRPr="00275955" w:rsidRDefault="00275955" w:rsidP="00275955">
            <w:pPr>
              <w:autoSpaceDE w:val="0"/>
              <w:autoSpaceDN w:val="0"/>
              <w:adjustRightInd w:val="0"/>
              <w:spacing w:after="0" w:line="320" w:lineRule="atLeast"/>
              <w:ind w:left="60" w:right="60"/>
              <w:jc w:val="right"/>
              <w:rPr>
                <w:rFonts w:ascii="Arial" w:hAnsi="Arial" w:cs="Arial"/>
                <w:color w:val="010205"/>
                <w:sz w:val="18"/>
                <w:szCs w:val="18"/>
              </w:rPr>
            </w:pPr>
            <w:r w:rsidRPr="00275955">
              <w:rPr>
                <w:rFonts w:ascii="Arial" w:hAnsi="Arial" w:cs="Arial"/>
                <w:color w:val="010205"/>
                <w:sz w:val="18"/>
                <w:szCs w:val="18"/>
              </w:rPr>
              <w:t>.35992</w:t>
            </w:r>
          </w:p>
        </w:tc>
      </w:tr>
    </w:tbl>
    <w:p w14:paraId="61AC81DD" w14:textId="77777777" w:rsidR="00275955" w:rsidRPr="00275955" w:rsidRDefault="00275955" w:rsidP="00275955">
      <w:pPr>
        <w:autoSpaceDE w:val="0"/>
        <w:autoSpaceDN w:val="0"/>
        <w:adjustRightInd w:val="0"/>
        <w:spacing w:after="0" w:line="400" w:lineRule="atLeast"/>
        <w:rPr>
          <w:rFonts w:ascii="Times New Roman" w:hAnsi="Times New Roman" w:cs="Times New Roman"/>
          <w:sz w:val="24"/>
          <w:szCs w:val="24"/>
        </w:rPr>
      </w:pPr>
    </w:p>
    <w:p w14:paraId="0C2E05CE" w14:textId="77777777" w:rsidR="00275955" w:rsidRPr="00E7619D" w:rsidRDefault="00275955" w:rsidP="00E7619D"/>
    <w:p w14:paraId="6ED445FB" w14:textId="77777777" w:rsidR="008D0679" w:rsidRDefault="008D0679">
      <w:pPr>
        <w:spacing w:line="259" w:lineRule="auto"/>
        <w:rPr>
          <w:rFonts w:ascii="Cambria" w:eastAsia="Calibri" w:hAnsi="Cambria" w:cs="Adobe Devanagari"/>
        </w:rPr>
      </w:pPr>
      <w:r>
        <w:rPr>
          <w:rFonts w:ascii="Cambria" w:eastAsia="Calibri" w:hAnsi="Cambria" w:cs="Adobe Devanagari"/>
        </w:rPr>
        <w:br w:type="page"/>
      </w:r>
    </w:p>
    <w:p w14:paraId="667F110F" w14:textId="77777777" w:rsidR="000F7C34" w:rsidRDefault="000F7C34" w:rsidP="0006259C">
      <w:pPr>
        <w:pStyle w:val="Heading2"/>
        <w:rPr>
          <w:rFonts w:eastAsia="Calibri"/>
        </w:rPr>
        <w:sectPr w:rsidR="000F7C34" w:rsidSect="0056783F">
          <w:pgSz w:w="11906" w:h="16838"/>
          <w:pgMar w:top="1440" w:right="1440" w:bottom="1440" w:left="1440" w:header="709" w:footer="709" w:gutter="0"/>
          <w:cols w:space="708"/>
          <w:docGrid w:linePitch="360"/>
        </w:sectPr>
      </w:pPr>
    </w:p>
    <w:p w14:paraId="1213BE4F" w14:textId="08C4622B" w:rsidR="00DF264A" w:rsidRDefault="008D0679" w:rsidP="0006259C">
      <w:pPr>
        <w:pStyle w:val="Heading2"/>
        <w:rPr>
          <w:rFonts w:eastAsia="Calibri"/>
        </w:rPr>
      </w:pPr>
      <w:bookmarkStart w:id="134" w:name="_Toc115726289"/>
      <w:r>
        <w:rPr>
          <w:rFonts w:eastAsia="Calibri"/>
        </w:rPr>
        <w:t>Appendix 3.8</w:t>
      </w:r>
      <w:r w:rsidR="0006259C">
        <w:rPr>
          <w:rFonts w:eastAsia="Calibri"/>
        </w:rPr>
        <w:t>-</w:t>
      </w:r>
      <w:r w:rsidR="007E4214">
        <w:rPr>
          <w:rFonts w:eastAsia="Calibri"/>
        </w:rPr>
        <w:t xml:space="preserve"> Confirmatory </w:t>
      </w:r>
      <w:r w:rsidR="00100624">
        <w:rPr>
          <w:rFonts w:eastAsia="Calibri"/>
        </w:rPr>
        <w:t>factor analysis</w:t>
      </w:r>
      <w:bookmarkEnd w:id="134"/>
      <w:r w:rsidR="0006259C">
        <w:rPr>
          <w:rFonts w:eastAsia="Calibri"/>
        </w:rPr>
        <w:t xml:space="preserve"> </w:t>
      </w:r>
    </w:p>
    <w:p w14:paraId="58A7632E" w14:textId="2894C942" w:rsidR="00DF264A" w:rsidRDefault="00DF264A" w:rsidP="00DF264A"/>
    <w:p w14:paraId="7C29FAD2" w14:textId="77777777" w:rsidR="00DF264A" w:rsidRDefault="00DF264A" w:rsidP="00DF264A">
      <w:pPr>
        <w:spacing w:line="259" w:lineRule="auto"/>
        <w:rPr>
          <w:rFonts w:ascii="Cambria" w:hAnsi="Cambria"/>
          <w:color w:val="538135" w:themeColor="accent6" w:themeShade="BF"/>
          <w:sz w:val="24"/>
          <w:szCs w:val="24"/>
        </w:rPr>
      </w:pPr>
      <w:r>
        <w:rPr>
          <w:rFonts w:ascii="Cambria" w:hAnsi="Cambria"/>
          <w:color w:val="538135" w:themeColor="accent6" w:themeShade="BF"/>
          <w:sz w:val="24"/>
          <w:szCs w:val="24"/>
        </w:rPr>
        <w:t xml:space="preserve">Outer loading: </w:t>
      </w:r>
    </w:p>
    <w:tbl>
      <w:tblPr>
        <w:tblW w:w="0" w:type="auto"/>
        <w:tblCellMar>
          <w:left w:w="0" w:type="dxa"/>
          <w:right w:w="0" w:type="dxa"/>
        </w:tblCellMar>
        <w:tblLook w:val="04A0" w:firstRow="1" w:lastRow="0" w:firstColumn="1" w:lastColumn="0" w:noHBand="0" w:noVBand="1"/>
      </w:tblPr>
      <w:tblGrid>
        <w:gridCol w:w="1887"/>
        <w:gridCol w:w="626"/>
        <w:gridCol w:w="836"/>
        <w:gridCol w:w="752"/>
        <w:gridCol w:w="466"/>
        <w:gridCol w:w="663"/>
        <w:gridCol w:w="917"/>
        <w:gridCol w:w="1030"/>
        <w:gridCol w:w="1072"/>
        <w:gridCol w:w="762"/>
        <w:gridCol w:w="602"/>
        <w:gridCol w:w="506"/>
        <w:gridCol w:w="466"/>
        <w:gridCol w:w="466"/>
        <w:gridCol w:w="466"/>
        <w:gridCol w:w="709"/>
        <w:gridCol w:w="846"/>
      </w:tblGrid>
      <w:tr w:rsidR="00DF264A" w:rsidRPr="00EC4C93" w14:paraId="7E5E96A6" w14:textId="77777777" w:rsidTr="00A62C5B">
        <w:trPr>
          <w:trHeight w:val="345"/>
        </w:trPr>
        <w:tc>
          <w:tcPr>
            <w:tcW w:w="0" w:type="auto"/>
            <w:tcBorders>
              <w:top w:val="nil"/>
              <w:left w:val="nil"/>
              <w:bottom w:val="nil"/>
              <w:right w:val="nil"/>
            </w:tcBorders>
            <w:shd w:val="clear" w:color="auto" w:fill="auto"/>
            <w:hideMark/>
          </w:tcPr>
          <w:p w14:paraId="718854AE" w14:textId="77777777" w:rsidR="00DF264A" w:rsidRPr="00BF7732" w:rsidRDefault="00DF264A" w:rsidP="00A62C5B">
            <w:pPr>
              <w:spacing w:after="0" w:line="240" w:lineRule="auto"/>
              <w:rPr>
                <w:rFonts w:ascii="Calibri" w:eastAsia="Times New Roman" w:hAnsi="Calibri" w:cs="Calibri"/>
                <w:sz w:val="20"/>
                <w:szCs w:val="20"/>
                <w:u w:val="single"/>
                <w:lang w:eastAsia="en-GB"/>
              </w:rPr>
            </w:pPr>
          </w:p>
        </w:tc>
        <w:tc>
          <w:tcPr>
            <w:tcW w:w="0" w:type="auto"/>
            <w:tcBorders>
              <w:top w:val="nil"/>
              <w:left w:val="nil"/>
              <w:bottom w:val="nil"/>
              <w:right w:val="nil"/>
            </w:tcBorders>
            <w:shd w:val="clear" w:color="auto" w:fill="auto"/>
            <w:hideMark/>
          </w:tcPr>
          <w:p w14:paraId="162583EF" w14:textId="77777777" w:rsidR="00DF264A" w:rsidRPr="00BF7732" w:rsidRDefault="00DF264A" w:rsidP="00A62C5B">
            <w:pPr>
              <w:spacing w:after="0" w:line="240" w:lineRule="auto"/>
              <w:rPr>
                <w:rFonts w:ascii="Calibri" w:eastAsia="Times New Roman" w:hAnsi="Calibri" w:cs="Calibri"/>
                <w:sz w:val="20"/>
                <w:szCs w:val="20"/>
                <w:u w:val="single"/>
                <w:lang w:eastAsia="en-GB"/>
              </w:rPr>
            </w:pPr>
          </w:p>
        </w:tc>
        <w:tc>
          <w:tcPr>
            <w:tcW w:w="0" w:type="auto"/>
            <w:tcBorders>
              <w:top w:val="nil"/>
              <w:left w:val="nil"/>
              <w:bottom w:val="nil"/>
              <w:right w:val="nil"/>
            </w:tcBorders>
            <w:shd w:val="clear" w:color="auto" w:fill="auto"/>
            <w:hideMark/>
          </w:tcPr>
          <w:p w14:paraId="384330E1"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04B70567"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C56F5D7"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2F222681"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4C2BDDD5"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49EA0C58"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2E86F40"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1A00B794"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288F6DA0"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216D6A32"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D8FB62F"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0D4D27DB"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63FEBCEC"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EA284B3"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BC98E22"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r>
      <w:tr w:rsidR="00DF264A" w:rsidRPr="00EC4C93" w14:paraId="2D487312" w14:textId="77777777" w:rsidTr="00A62C5B">
        <w:trPr>
          <w:trHeight w:val="300"/>
        </w:trPr>
        <w:tc>
          <w:tcPr>
            <w:tcW w:w="0" w:type="auto"/>
            <w:tcBorders>
              <w:top w:val="nil"/>
              <w:left w:val="nil"/>
              <w:bottom w:val="nil"/>
              <w:right w:val="nil"/>
            </w:tcBorders>
            <w:shd w:val="clear" w:color="auto" w:fill="auto"/>
            <w:hideMark/>
          </w:tcPr>
          <w:p w14:paraId="0DC65884"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0D3E7D53"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15A8390"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875FDCE"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6196C783"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070DA35"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470197E"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4B8EC287"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EC98105"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53677DB3"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444E108C"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01DDA082"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2E633FF1"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3098DA8B"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7304D6BE"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1BAF2578"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hideMark/>
          </w:tcPr>
          <w:p w14:paraId="293D3C8B"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r>
      <w:tr w:rsidR="00DF264A" w:rsidRPr="00EC4C93" w14:paraId="71AEE2B2" w14:textId="77777777" w:rsidTr="00A62C5B">
        <w:trPr>
          <w:trHeight w:val="600"/>
        </w:trPr>
        <w:tc>
          <w:tcPr>
            <w:tcW w:w="0" w:type="auto"/>
            <w:tcBorders>
              <w:top w:val="nil"/>
              <w:left w:val="nil"/>
              <w:bottom w:val="nil"/>
              <w:right w:val="nil"/>
            </w:tcBorders>
            <w:shd w:val="clear" w:color="auto" w:fill="auto"/>
            <w:hideMark/>
          </w:tcPr>
          <w:p w14:paraId="4F733375" w14:textId="77777777" w:rsidR="00DF264A" w:rsidRPr="00BF7732" w:rsidRDefault="00DF264A" w:rsidP="00A62C5B">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555555"/>
            <w:hideMark/>
          </w:tcPr>
          <w:p w14:paraId="1189F902"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w:t>
            </w:r>
          </w:p>
        </w:tc>
        <w:tc>
          <w:tcPr>
            <w:tcW w:w="0" w:type="auto"/>
            <w:tcBorders>
              <w:top w:val="single" w:sz="4" w:space="0" w:color="auto"/>
              <w:left w:val="nil"/>
              <w:bottom w:val="single" w:sz="4" w:space="0" w:color="auto"/>
              <w:right w:val="single" w:sz="4" w:space="0" w:color="auto"/>
            </w:tcBorders>
            <w:shd w:val="clear" w:color="000000" w:fill="555555"/>
            <w:hideMark/>
          </w:tcPr>
          <w:p w14:paraId="75226B9C"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w:t>
            </w:r>
          </w:p>
        </w:tc>
        <w:tc>
          <w:tcPr>
            <w:tcW w:w="0" w:type="auto"/>
            <w:tcBorders>
              <w:top w:val="single" w:sz="4" w:space="0" w:color="auto"/>
              <w:left w:val="nil"/>
              <w:bottom w:val="single" w:sz="4" w:space="0" w:color="auto"/>
              <w:right w:val="single" w:sz="4" w:space="0" w:color="auto"/>
            </w:tcBorders>
            <w:shd w:val="clear" w:color="000000" w:fill="555555"/>
            <w:hideMark/>
          </w:tcPr>
          <w:p w14:paraId="44872E1E"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Purchase</w:t>
            </w:r>
          </w:p>
        </w:tc>
        <w:tc>
          <w:tcPr>
            <w:tcW w:w="0" w:type="auto"/>
            <w:tcBorders>
              <w:top w:val="single" w:sz="4" w:space="0" w:color="auto"/>
              <w:left w:val="nil"/>
              <w:bottom w:val="single" w:sz="4" w:space="0" w:color="auto"/>
              <w:right w:val="single" w:sz="4" w:space="0" w:color="auto"/>
            </w:tcBorders>
            <w:shd w:val="clear" w:color="000000" w:fill="555555"/>
            <w:hideMark/>
          </w:tcPr>
          <w:p w14:paraId="110104DA"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w:t>
            </w:r>
          </w:p>
        </w:tc>
        <w:tc>
          <w:tcPr>
            <w:tcW w:w="0" w:type="auto"/>
            <w:tcBorders>
              <w:top w:val="single" w:sz="4" w:space="0" w:color="auto"/>
              <w:left w:val="nil"/>
              <w:bottom w:val="single" w:sz="4" w:space="0" w:color="auto"/>
              <w:right w:val="single" w:sz="4" w:space="0" w:color="auto"/>
            </w:tcBorders>
            <w:shd w:val="clear" w:color="000000" w:fill="555555"/>
            <w:hideMark/>
          </w:tcPr>
          <w:p w14:paraId="6F23CB67"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attitude</w:t>
            </w:r>
          </w:p>
        </w:tc>
        <w:tc>
          <w:tcPr>
            <w:tcW w:w="0" w:type="auto"/>
            <w:tcBorders>
              <w:top w:val="single" w:sz="4" w:space="0" w:color="auto"/>
              <w:left w:val="nil"/>
              <w:bottom w:val="single" w:sz="4" w:space="0" w:color="auto"/>
              <w:right w:val="single" w:sz="4" w:space="0" w:color="auto"/>
            </w:tcBorders>
            <w:shd w:val="clear" w:color="000000" w:fill="555555"/>
            <w:hideMark/>
          </w:tcPr>
          <w:p w14:paraId="4B3F0EB3"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w:t>
            </w:r>
          </w:p>
        </w:tc>
        <w:tc>
          <w:tcPr>
            <w:tcW w:w="0" w:type="auto"/>
            <w:tcBorders>
              <w:top w:val="single" w:sz="4" w:space="0" w:color="auto"/>
              <w:left w:val="nil"/>
              <w:bottom w:val="single" w:sz="4" w:space="0" w:color="auto"/>
              <w:right w:val="single" w:sz="4" w:space="0" w:color="auto"/>
            </w:tcBorders>
            <w:shd w:val="clear" w:color="000000" w:fill="555555"/>
            <w:hideMark/>
          </w:tcPr>
          <w:p w14:paraId="4D23D29A"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engagement</w:t>
            </w:r>
          </w:p>
        </w:tc>
        <w:tc>
          <w:tcPr>
            <w:tcW w:w="0" w:type="auto"/>
            <w:tcBorders>
              <w:top w:val="single" w:sz="4" w:space="0" w:color="auto"/>
              <w:left w:val="nil"/>
              <w:bottom w:val="single" w:sz="4" w:space="0" w:color="auto"/>
              <w:right w:val="single" w:sz="4" w:space="0" w:color="auto"/>
            </w:tcBorders>
            <w:shd w:val="clear" w:color="000000" w:fill="555555"/>
            <w:hideMark/>
          </w:tcPr>
          <w:p w14:paraId="72533529"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engrossment</w:t>
            </w:r>
          </w:p>
        </w:tc>
        <w:tc>
          <w:tcPr>
            <w:tcW w:w="0" w:type="auto"/>
            <w:tcBorders>
              <w:top w:val="single" w:sz="4" w:space="0" w:color="auto"/>
              <w:left w:val="nil"/>
              <w:bottom w:val="single" w:sz="4" w:space="0" w:color="auto"/>
              <w:right w:val="single" w:sz="4" w:space="0" w:color="auto"/>
            </w:tcBorders>
            <w:shd w:val="clear" w:color="000000" w:fill="555555"/>
            <w:hideMark/>
          </w:tcPr>
          <w:p w14:paraId="7D2B5037"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w:t>
            </w:r>
          </w:p>
        </w:tc>
        <w:tc>
          <w:tcPr>
            <w:tcW w:w="0" w:type="auto"/>
            <w:tcBorders>
              <w:top w:val="single" w:sz="4" w:space="0" w:color="auto"/>
              <w:left w:val="nil"/>
              <w:bottom w:val="single" w:sz="4" w:space="0" w:color="auto"/>
              <w:right w:val="single" w:sz="4" w:space="0" w:color="auto"/>
            </w:tcBorders>
            <w:shd w:val="clear" w:color="000000" w:fill="555555"/>
            <w:hideMark/>
          </w:tcPr>
          <w:p w14:paraId="01B14499"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fluency</w:t>
            </w:r>
          </w:p>
        </w:tc>
        <w:tc>
          <w:tcPr>
            <w:tcW w:w="0" w:type="auto"/>
            <w:tcBorders>
              <w:top w:val="single" w:sz="4" w:space="0" w:color="auto"/>
              <w:left w:val="nil"/>
              <w:bottom w:val="single" w:sz="4" w:space="0" w:color="auto"/>
              <w:right w:val="single" w:sz="4" w:space="0" w:color="auto"/>
            </w:tcBorders>
            <w:shd w:val="clear" w:color="000000" w:fill="555555"/>
            <w:hideMark/>
          </w:tcPr>
          <w:p w14:paraId="08A14361"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image</w:t>
            </w:r>
          </w:p>
        </w:tc>
        <w:tc>
          <w:tcPr>
            <w:tcW w:w="0" w:type="auto"/>
            <w:tcBorders>
              <w:top w:val="single" w:sz="4" w:space="0" w:color="auto"/>
              <w:left w:val="nil"/>
              <w:bottom w:val="single" w:sz="4" w:space="0" w:color="auto"/>
              <w:right w:val="single" w:sz="4" w:space="0" w:color="auto"/>
            </w:tcBorders>
            <w:shd w:val="clear" w:color="000000" w:fill="555555"/>
            <w:hideMark/>
          </w:tcPr>
          <w:p w14:paraId="2DA290A5"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info</w:t>
            </w:r>
          </w:p>
        </w:tc>
        <w:tc>
          <w:tcPr>
            <w:tcW w:w="0" w:type="auto"/>
            <w:tcBorders>
              <w:top w:val="single" w:sz="4" w:space="0" w:color="auto"/>
              <w:left w:val="nil"/>
              <w:bottom w:val="single" w:sz="4" w:space="0" w:color="auto"/>
              <w:right w:val="single" w:sz="4" w:space="0" w:color="auto"/>
            </w:tcBorders>
            <w:shd w:val="clear" w:color="000000" w:fill="555555"/>
            <w:hideMark/>
          </w:tcPr>
          <w:p w14:paraId="5093E173"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w:t>
            </w:r>
          </w:p>
        </w:tc>
        <w:tc>
          <w:tcPr>
            <w:tcW w:w="0" w:type="auto"/>
            <w:tcBorders>
              <w:top w:val="single" w:sz="4" w:space="0" w:color="auto"/>
              <w:left w:val="nil"/>
              <w:bottom w:val="single" w:sz="4" w:space="0" w:color="auto"/>
              <w:right w:val="single" w:sz="4" w:space="0" w:color="auto"/>
            </w:tcBorders>
            <w:shd w:val="clear" w:color="000000" w:fill="555555"/>
            <w:hideMark/>
          </w:tcPr>
          <w:p w14:paraId="543CC95D"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w:t>
            </w:r>
          </w:p>
        </w:tc>
        <w:tc>
          <w:tcPr>
            <w:tcW w:w="0" w:type="auto"/>
            <w:tcBorders>
              <w:top w:val="single" w:sz="4" w:space="0" w:color="auto"/>
              <w:left w:val="nil"/>
              <w:bottom w:val="single" w:sz="4" w:space="0" w:color="auto"/>
              <w:right w:val="single" w:sz="4" w:space="0" w:color="auto"/>
            </w:tcBorders>
            <w:shd w:val="clear" w:color="000000" w:fill="555555"/>
            <w:hideMark/>
          </w:tcPr>
          <w:p w14:paraId="3B05C901"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w:t>
            </w:r>
          </w:p>
        </w:tc>
        <w:tc>
          <w:tcPr>
            <w:tcW w:w="0" w:type="auto"/>
            <w:tcBorders>
              <w:top w:val="single" w:sz="4" w:space="0" w:color="auto"/>
              <w:left w:val="nil"/>
              <w:bottom w:val="single" w:sz="4" w:space="0" w:color="auto"/>
              <w:right w:val="single" w:sz="4" w:space="0" w:color="auto"/>
            </w:tcBorders>
            <w:shd w:val="clear" w:color="000000" w:fill="555555"/>
            <w:hideMark/>
          </w:tcPr>
          <w:p w14:paraId="67FD0B7F" w14:textId="77777777" w:rsidR="00DF264A" w:rsidRPr="00BF7732" w:rsidRDefault="00DF264A" w:rsidP="00A62C5B">
            <w:pPr>
              <w:spacing w:after="0" w:line="240" w:lineRule="auto"/>
              <w:jc w:val="right"/>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projection</w:t>
            </w:r>
          </w:p>
        </w:tc>
      </w:tr>
      <w:tr w:rsidR="00DF264A" w:rsidRPr="00EC4C93" w14:paraId="00CB6FC3" w14:textId="77777777" w:rsidTr="00A62C5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555555"/>
            <w:hideMark/>
          </w:tcPr>
          <w:p w14:paraId="5D3BC58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Arousal_1</w:t>
            </w:r>
          </w:p>
        </w:tc>
        <w:tc>
          <w:tcPr>
            <w:tcW w:w="0" w:type="auto"/>
            <w:tcBorders>
              <w:top w:val="nil"/>
              <w:left w:val="nil"/>
              <w:bottom w:val="single" w:sz="4" w:space="0" w:color="auto"/>
              <w:right w:val="single" w:sz="4" w:space="0" w:color="auto"/>
            </w:tcBorders>
            <w:shd w:val="clear" w:color="auto" w:fill="auto"/>
            <w:hideMark/>
          </w:tcPr>
          <w:p w14:paraId="591546B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0.768</w:t>
            </w:r>
          </w:p>
        </w:tc>
        <w:tc>
          <w:tcPr>
            <w:tcW w:w="0" w:type="auto"/>
            <w:tcBorders>
              <w:top w:val="nil"/>
              <w:left w:val="nil"/>
              <w:bottom w:val="single" w:sz="4" w:space="0" w:color="auto"/>
              <w:right w:val="single" w:sz="4" w:space="0" w:color="auto"/>
            </w:tcBorders>
            <w:shd w:val="clear" w:color="auto" w:fill="auto"/>
            <w:hideMark/>
          </w:tcPr>
          <w:p w14:paraId="2047050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9854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E227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123B9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8494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33770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6A147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A114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9CF7A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D48F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974A3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07E0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48D0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69F9A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9C0D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CD207D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78B34F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Arousal_2</w:t>
            </w:r>
          </w:p>
        </w:tc>
        <w:tc>
          <w:tcPr>
            <w:tcW w:w="0" w:type="auto"/>
            <w:tcBorders>
              <w:top w:val="nil"/>
              <w:left w:val="nil"/>
              <w:bottom w:val="single" w:sz="4" w:space="0" w:color="auto"/>
              <w:right w:val="single" w:sz="4" w:space="0" w:color="auto"/>
            </w:tcBorders>
            <w:shd w:val="clear" w:color="auto" w:fill="auto"/>
            <w:hideMark/>
          </w:tcPr>
          <w:p w14:paraId="527C29F2"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0.756</w:t>
            </w:r>
          </w:p>
        </w:tc>
        <w:tc>
          <w:tcPr>
            <w:tcW w:w="0" w:type="auto"/>
            <w:tcBorders>
              <w:top w:val="nil"/>
              <w:left w:val="nil"/>
              <w:bottom w:val="single" w:sz="4" w:space="0" w:color="auto"/>
              <w:right w:val="single" w:sz="4" w:space="0" w:color="auto"/>
            </w:tcBorders>
            <w:shd w:val="clear" w:color="auto" w:fill="auto"/>
            <w:hideMark/>
          </w:tcPr>
          <w:p w14:paraId="006207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B5C0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A26C1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18585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02A44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641B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826E4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CE7E0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C4B3C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316A6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CACE9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64A8D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ACF6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6FC2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744D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C53C1DF"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08325A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Arousal_3</w:t>
            </w:r>
          </w:p>
        </w:tc>
        <w:tc>
          <w:tcPr>
            <w:tcW w:w="0" w:type="auto"/>
            <w:tcBorders>
              <w:top w:val="nil"/>
              <w:left w:val="nil"/>
              <w:bottom w:val="single" w:sz="4" w:space="0" w:color="auto"/>
              <w:right w:val="single" w:sz="4" w:space="0" w:color="auto"/>
            </w:tcBorders>
            <w:shd w:val="clear" w:color="auto" w:fill="auto"/>
            <w:hideMark/>
          </w:tcPr>
          <w:p w14:paraId="42488F7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0.722</w:t>
            </w:r>
          </w:p>
        </w:tc>
        <w:tc>
          <w:tcPr>
            <w:tcW w:w="0" w:type="auto"/>
            <w:tcBorders>
              <w:top w:val="nil"/>
              <w:left w:val="nil"/>
              <w:bottom w:val="single" w:sz="4" w:space="0" w:color="auto"/>
              <w:right w:val="single" w:sz="4" w:space="0" w:color="auto"/>
            </w:tcBorders>
            <w:shd w:val="clear" w:color="auto" w:fill="auto"/>
            <w:hideMark/>
          </w:tcPr>
          <w:p w14:paraId="74B4EEF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3FA4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0A9471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1A0F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C35E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1C65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686E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652C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6CD7A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99F4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58672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7A038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E653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192A9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84D7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4531837"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4416BA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Arousal_4</w:t>
            </w:r>
          </w:p>
        </w:tc>
        <w:tc>
          <w:tcPr>
            <w:tcW w:w="0" w:type="auto"/>
            <w:tcBorders>
              <w:top w:val="nil"/>
              <w:left w:val="nil"/>
              <w:bottom w:val="single" w:sz="4" w:space="0" w:color="auto"/>
              <w:right w:val="single" w:sz="4" w:space="0" w:color="auto"/>
            </w:tcBorders>
            <w:shd w:val="clear" w:color="auto" w:fill="auto"/>
            <w:hideMark/>
          </w:tcPr>
          <w:p w14:paraId="0CCC48E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0.723</w:t>
            </w:r>
          </w:p>
        </w:tc>
        <w:tc>
          <w:tcPr>
            <w:tcW w:w="0" w:type="auto"/>
            <w:tcBorders>
              <w:top w:val="nil"/>
              <w:left w:val="nil"/>
              <w:bottom w:val="single" w:sz="4" w:space="0" w:color="auto"/>
              <w:right w:val="single" w:sz="4" w:space="0" w:color="auto"/>
            </w:tcBorders>
            <w:shd w:val="clear" w:color="auto" w:fill="auto"/>
            <w:hideMark/>
          </w:tcPr>
          <w:p w14:paraId="141682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A45F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E886E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8C30C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37E22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EB3A3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2476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D245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B61D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68586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8272A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75BBA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ACABB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437DB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3ABC3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A779E2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2D4E39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Arousal_5</w:t>
            </w:r>
          </w:p>
        </w:tc>
        <w:tc>
          <w:tcPr>
            <w:tcW w:w="0" w:type="auto"/>
            <w:tcBorders>
              <w:top w:val="nil"/>
              <w:left w:val="nil"/>
              <w:bottom w:val="single" w:sz="4" w:space="0" w:color="auto"/>
              <w:right w:val="single" w:sz="4" w:space="0" w:color="auto"/>
            </w:tcBorders>
            <w:shd w:val="clear" w:color="auto" w:fill="auto"/>
            <w:hideMark/>
          </w:tcPr>
          <w:p w14:paraId="2C2C5AE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0.710</w:t>
            </w:r>
          </w:p>
        </w:tc>
        <w:tc>
          <w:tcPr>
            <w:tcW w:w="0" w:type="auto"/>
            <w:tcBorders>
              <w:top w:val="nil"/>
              <w:left w:val="nil"/>
              <w:bottom w:val="single" w:sz="4" w:space="0" w:color="auto"/>
              <w:right w:val="single" w:sz="4" w:space="0" w:color="auto"/>
            </w:tcBorders>
            <w:shd w:val="clear" w:color="auto" w:fill="auto"/>
            <w:hideMark/>
          </w:tcPr>
          <w:p w14:paraId="3CA7D5C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C07A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19E0C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D0691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5C5F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C61B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1F0E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8715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49147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A3363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63575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1A4E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3680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E79C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7701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A761A85"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9FA6CCB"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Arousal_6</w:t>
            </w:r>
          </w:p>
        </w:tc>
        <w:tc>
          <w:tcPr>
            <w:tcW w:w="0" w:type="auto"/>
            <w:tcBorders>
              <w:top w:val="nil"/>
              <w:left w:val="nil"/>
              <w:bottom w:val="single" w:sz="4" w:space="0" w:color="auto"/>
              <w:right w:val="single" w:sz="4" w:space="0" w:color="auto"/>
            </w:tcBorders>
            <w:shd w:val="clear" w:color="auto" w:fill="auto"/>
            <w:hideMark/>
          </w:tcPr>
          <w:p w14:paraId="172C9DE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0.804</w:t>
            </w:r>
          </w:p>
        </w:tc>
        <w:tc>
          <w:tcPr>
            <w:tcW w:w="0" w:type="auto"/>
            <w:tcBorders>
              <w:top w:val="nil"/>
              <w:left w:val="nil"/>
              <w:bottom w:val="single" w:sz="4" w:space="0" w:color="auto"/>
              <w:right w:val="single" w:sz="4" w:space="0" w:color="auto"/>
            </w:tcBorders>
            <w:shd w:val="clear" w:color="auto" w:fill="auto"/>
            <w:hideMark/>
          </w:tcPr>
          <w:p w14:paraId="25B2B8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5744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DFCA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57C5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4DB6E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6D8D2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CE2DC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BFD05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A85C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E976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628B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81BE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6977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23CB7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40FEA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1BE99DC"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FE42F97"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SCV_image_1</w:t>
            </w:r>
          </w:p>
        </w:tc>
        <w:tc>
          <w:tcPr>
            <w:tcW w:w="0" w:type="auto"/>
            <w:tcBorders>
              <w:top w:val="nil"/>
              <w:left w:val="nil"/>
              <w:bottom w:val="single" w:sz="4" w:space="0" w:color="auto"/>
              <w:right w:val="single" w:sz="4" w:space="0" w:color="auto"/>
            </w:tcBorders>
            <w:shd w:val="clear" w:color="auto" w:fill="auto"/>
            <w:hideMark/>
          </w:tcPr>
          <w:p w14:paraId="500294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056B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0171C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7742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38523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B76BE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B248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9B045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02623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7F6F7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E3EFA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0.874</w:t>
            </w:r>
          </w:p>
        </w:tc>
        <w:tc>
          <w:tcPr>
            <w:tcW w:w="0" w:type="auto"/>
            <w:tcBorders>
              <w:top w:val="nil"/>
              <w:left w:val="nil"/>
              <w:bottom w:val="single" w:sz="4" w:space="0" w:color="auto"/>
              <w:right w:val="single" w:sz="4" w:space="0" w:color="auto"/>
            </w:tcBorders>
            <w:shd w:val="clear" w:color="auto" w:fill="auto"/>
            <w:hideMark/>
          </w:tcPr>
          <w:p w14:paraId="7F6D35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982E4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34207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CDC0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63CD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13FCF1F"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821457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SCV_image_1</w:t>
            </w:r>
          </w:p>
        </w:tc>
        <w:tc>
          <w:tcPr>
            <w:tcW w:w="0" w:type="auto"/>
            <w:tcBorders>
              <w:top w:val="nil"/>
              <w:left w:val="nil"/>
              <w:bottom w:val="single" w:sz="4" w:space="0" w:color="auto"/>
              <w:right w:val="single" w:sz="4" w:space="0" w:color="auto"/>
            </w:tcBorders>
            <w:shd w:val="clear" w:color="auto" w:fill="auto"/>
            <w:hideMark/>
          </w:tcPr>
          <w:p w14:paraId="0F73D1F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498B8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7A7B6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DC211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0.746</w:t>
            </w:r>
          </w:p>
        </w:tc>
        <w:tc>
          <w:tcPr>
            <w:tcW w:w="0" w:type="auto"/>
            <w:tcBorders>
              <w:top w:val="nil"/>
              <w:left w:val="nil"/>
              <w:bottom w:val="single" w:sz="4" w:space="0" w:color="auto"/>
              <w:right w:val="single" w:sz="4" w:space="0" w:color="auto"/>
            </w:tcBorders>
            <w:shd w:val="clear" w:color="auto" w:fill="auto"/>
            <w:hideMark/>
          </w:tcPr>
          <w:p w14:paraId="45ED41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E63CB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B3DE8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6D5E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DBA6C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9B2B1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D0ED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3A8A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E2C78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0D3A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8133C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ABEA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F7D63B7"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7F98140"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SCV_image_2</w:t>
            </w:r>
          </w:p>
        </w:tc>
        <w:tc>
          <w:tcPr>
            <w:tcW w:w="0" w:type="auto"/>
            <w:tcBorders>
              <w:top w:val="nil"/>
              <w:left w:val="nil"/>
              <w:bottom w:val="single" w:sz="4" w:space="0" w:color="auto"/>
              <w:right w:val="single" w:sz="4" w:space="0" w:color="auto"/>
            </w:tcBorders>
            <w:shd w:val="clear" w:color="auto" w:fill="auto"/>
            <w:hideMark/>
          </w:tcPr>
          <w:p w14:paraId="09E035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6EF0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FCFE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AB259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CE0F2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2780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6CABE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0C15F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B4468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037F8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40B5C2"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0.909</w:t>
            </w:r>
          </w:p>
        </w:tc>
        <w:tc>
          <w:tcPr>
            <w:tcW w:w="0" w:type="auto"/>
            <w:tcBorders>
              <w:top w:val="nil"/>
              <w:left w:val="nil"/>
              <w:bottom w:val="single" w:sz="4" w:space="0" w:color="auto"/>
              <w:right w:val="single" w:sz="4" w:space="0" w:color="auto"/>
            </w:tcBorders>
            <w:shd w:val="clear" w:color="auto" w:fill="auto"/>
            <w:hideMark/>
          </w:tcPr>
          <w:p w14:paraId="3889D19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3A0F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71A1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4F88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2D936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9D04B6A"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8670FE9"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SCV_image_2</w:t>
            </w:r>
          </w:p>
        </w:tc>
        <w:tc>
          <w:tcPr>
            <w:tcW w:w="0" w:type="auto"/>
            <w:tcBorders>
              <w:top w:val="nil"/>
              <w:left w:val="nil"/>
              <w:bottom w:val="single" w:sz="4" w:space="0" w:color="auto"/>
              <w:right w:val="single" w:sz="4" w:space="0" w:color="auto"/>
            </w:tcBorders>
            <w:shd w:val="clear" w:color="auto" w:fill="auto"/>
            <w:hideMark/>
          </w:tcPr>
          <w:p w14:paraId="04DA52D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A892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09A3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CB8B0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0.710</w:t>
            </w:r>
          </w:p>
        </w:tc>
        <w:tc>
          <w:tcPr>
            <w:tcW w:w="0" w:type="auto"/>
            <w:tcBorders>
              <w:top w:val="nil"/>
              <w:left w:val="nil"/>
              <w:bottom w:val="single" w:sz="4" w:space="0" w:color="auto"/>
              <w:right w:val="single" w:sz="4" w:space="0" w:color="auto"/>
            </w:tcBorders>
            <w:shd w:val="clear" w:color="auto" w:fill="auto"/>
            <w:hideMark/>
          </w:tcPr>
          <w:p w14:paraId="23A190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35C7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392B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4F8B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A7ED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5395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A4A7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CB7D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8A28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3FC3B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43EC7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D378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1BE830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6EA03E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SCV_image_3</w:t>
            </w:r>
          </w:p>
        </w:tc>
        <w:tc>
          <w:tcPr>
            <w:tcW w:w="0" w:type="auto"/>
            <w:tcBorders>
              <w:top w:val="nil"/>
              <w:left w:val="nil"/>
              <w:bottom w:val="single" w:sz="4" w:space="0" w:color="auto"/>
              <w:right w:val="single" w:sz="4" w:space="0" w:color="auto"/>
            </w:tcBorders>
            <w:shd w:val="clear" w:color="auto" w:fill="auto"/>
            <w:hideMark/>
          </w:tcPr>
          <w:p w14:paraId="7AA4084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DDC2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7363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BE194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0.735</w:t>
            </w:r>
          </w:p>
        </w:tc>
        <w:tc>
          <w:tcPr>
            <w:tcW w:w="0" w:type="auto"/>
            <w:tcBorders>
              <w:top w:val="nil"/>
              <w:left w:val="nil"/>
              <w:bottom w:val="single" w:sz="4" w:space="0" w:color="auto"/>
              <w:right w:val="single" w:sz="4" w:space="0" w:color="auto"/>
            </w:tcBorders>
            <w:shd w:val="clear" w:color="auto" w:fill="auto"/>
            <w:hideMark/>
          </w:tcPr>
          <w:p w14:paraId="53DD4EA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1E3E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3F17B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7EB5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0BBB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253D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A2DE0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2BA9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1264D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B4A2E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D9E38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FAEF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5480C4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4B58A1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SCV_image_3</w:t>
            </w:r>
          </w:p>
        </w:tc>
        <w:tc>
          <w:tcPr>
            <w:tcW w:w="0" w:type="auto"/>
            <w:tcBorders>
              <w:top w:val="nil"/>
              <w:left w:val="nil"/>
              <w:bottom w:val="single" w:sz="4" w:space="0" w:color="auto"/>
              <w:right w:val="single" w:sz="4" w:space="0" w:color="auto"/>
            </w:tcBorders>
            <w:shd w:val="clear" w:color="auto" w:fill="auto"/>
            <w:hideMark/>
          </w:tcPr>
          <w:p w14:paraId="538094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C5AA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2080F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011E6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F96E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1D81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ED896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BBE8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DA86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60D9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74987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0.910</w:t>
            </w:r>
          </w:p>
        </w:tc>
        <w:tc>
          <w:tcPr>
            <w:tcW w:w="0" w:type="auto"/>
            <w:tcBorders>
              <w:top w:val="nil"/>
              <w:left w:val="nil"/>
              <w:bottom w:val="single" w:sz="4" w:space="0" w:color="auto"/>
              <w:right w:val="single" w:sz="4" w:space="0" w:color="auto"/>
            </w:tcBorders>
            <w:shd w:val="clear" w:color="auto" w:fill="auto"/>
            <w:hideMark/>
          </w:tcPr>
          <w:p w14:paraId="6B0958D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0A2A4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942F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F02E1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25700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39A3A9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80AAAE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SCV_image_4</w:t>
            </w:r>
          </w:p>
        </w:tc>
        <w:tc>
          <w:tcPr>
            <w:tcW w:w="0" w:type="auto"/>
            <w:tcBorders>
              <w:top w:val="nil"/>
              <w:left w:val="nil"/>
              <w:bottom w:val="single" w:sz="4" w:space="0" w:color="auto"/>
              <w:right w:val="single" w:sz="4" w:space="0" w:color="auto"/>
            </w:tcBorders>
            <w:shd w:val="clear" w:color="auto" w:fill="auto"/>
            <w:hideMark/>
          </w:tcPr>
          <w:p w14:paraId="1C4BF80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75F0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A358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8A5F3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7389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8079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B114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66D4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E2E81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EFB37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C4E40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0.908</w:t>
            </w:r>
          </w:p>
        </w:tc>
        <w:tc>
          <w:tcPr>
            <w:tcW w:w="0" w:type="auto"/>
            <w:tcBorders>
              <w:top w:val="nil"/>
              <w:left w:val="nil"/>
              <w:bottom w:val="single" w:sz="4" w:space="0" w:color="auto"/>
              <w:right w:val="single" w:sz="4" w:space="0" w:color="auto"/>
            </w:tcBorders>
            <w:shd w:val="clear" w:color="auto" w:fill="auto"/>
            <w:hideMark/>
          </w:tcPr>
          <w:p w14:paraId="766BB2E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BC59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D4E66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97A6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D4C5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10571EF"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EC690A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SCV_image_4</w:t>
            </w:r>
          </w:p>
        </w:tc>
        <w:tc>
          <w:tcPr>
            <w:tcW w:w="0" w:type="auto"/>
            <w:tcBorders>
              <w:top w:val="nil"/>
              <w:left w:val="nil"/>
              <w:bottom w:val="single" w:sz="4" w:space="0" w:color="auto"/>
              <w:right w:val="single" w:sz="4" w:space="0" w:color="auto"/>
            </w:tcBorders>
            <w:shd w:val="clear" w:color="auto" w:fill="auto"/>
            <w:hideMark/>
          </w:tcPr>
          <w:p w14:paraId="42A7438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D725E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D57D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4384F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0.700</w:t>
            </w:r>
          </w:p>
        </w:tc>
        <w:tc>
          <w:tcPr>
            <w:tcW w:w="0" w:type="auto"/>
            <w:tcBorders>
              <w:top w:val="nil"/>
              <w:left w:val="nil"/>
              <w:bottom w:val="single" w:sz="4" w:space="0" w:color="auto"/>
              <w:right w:val="single" w:sz="4" w:space="0" w:color="auto"/>
            </w:tcBorders>
            <w:shd w:val="clear" w:color="auto" w:fill="auto"/>
            <w:hideMark/>
          </w:tcPr>
          <w:p w14:paraId="1F5071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1CA5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0B30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5B6F7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CF863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5CB3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71B9B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EF76C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AC98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6113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2F1C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6C54F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8952FBD"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8F0B99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SCV_mental_fluency_2</w:t>
            </w:r>
          </w:p>
        </w:tc>
        <w:tc>
          <w:tcPr>
            <w:tcW w:w="0" w:type="auto"/>
            <w:tcBorders>
              <w:top w:val="nil"/>
              <w:left w:val="nil"/>
              <w:bottom w:val="single" w:sz="4" w:space="0" w:color="auto"/>
              <w:right w:val="single" w:sz="4" w:space="0" w:color="auto"/>
            </w:tcBorders>
            <w:shd w:val="clear" w:color="auto" w:fill="auto"/>
            <w:hideMark/>
          </w:tcPr>
          <w:p w14:paraId="060D83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F6A04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13BC7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5586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05A0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FC9BD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F444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EF0D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D5B7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DEE79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1.000</w:t>
            </w:r>
          </w:p>
        </w:tc>
        <w:tc>
          <w:tcPr>
            <w:tcW w:w="0" w:type="auto"/>
            <w:tcBorders>
              <w:top w:val="nil"/>
              <w:left w:val="nil"/>
              <w:bottom w:val="single" w:sz="4" w:space="0" w:color="auto"/>
              <w:right w:val="single" w:sz="4" w:space="0" w:color="auto"/>
            </w:tcBorders>
            <w:shd w:val="clear" w:color="auto" w:fill="auto"/>
            <w:hideMark/>
          </w:tcPr>
          <w:p w14:paraId="596789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401F2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B90C0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0F27D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78E9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91988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2DE4E0F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E551E1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SCV_mental_fluency_2</w:t>
            </w:r>
          </w:p>
        </w:tc>
        <w:tc>
          <w:tcPr>
            <w:tcW w:w="0" w:type="auto"/>
            <w:tcBorders>
              <w:top w:val="nil"/>
              <w:left w:val="nil"/>
              <w:bottom w:val="single" w:sz="4" w:space="0" w:color="auto"/>
              <w:right w:val="single" w:sz="4" w:space="0" w:color="auto"/>
            </w:tcBorders>
            <w:shd w:val="clear" w:color="auto" w:fill="auto"/>
            <w:hideMark/>
          </w:tcPr>
          <w:p w14:paraId="026FDC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786D2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FFBE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4286A2"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0.719</w:t>
            </w:r>
          </w:p>
        </w:tc>
        <w:tc>
          <w:tcPr>
            <w:tcW w:w="0" w:type="auto"/>
            <w:tcBorders>
              <w:top w:val="nil"/>
              <w:left w:val="nil"/>
              <w:bottom w:val="single" w:sz="4" w:space="0" w:color="auto"/>
              <w:right w:val="single" w:sz="4" w:space="0" w:color="auto"/>
            </w:tcBorders>
            <w:shd w:val="clear" w:color="auto" w:fill="auto"/>
            <w:hideMark/>
          </w:tcPr>
          <w:p w14:paraId="5733A6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8873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BBCD7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C5A07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A936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949EE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A104F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4789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73390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5EFA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BA66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EA69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4512FD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097831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SCV_self_projection_1</w:t>
            </w:r>
          </w:p>
        </w:tc>
        <w:tc>
          <w:tcPr>
            <w:tcW w:w="0" w:type="auto"/>
            <w:tcBorders>
              <w:top w:val="nil"/>
              <w:left w:val="nil"/>
              <w:bottom w:val="single" w:sz="4" w:space="0" w:color="auto"/>
              <w:right w:val="single" w:sz="4" w:space="0" w:color="auto"/>
            </w:tcBorders>
            <w:shd w:val="clear" w:color="auto" w:fill="auto"/>
            <w:hideMark/>
          </w:tcPr>
          <w:p w14:paraId="0F8D63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3689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343B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E007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85B6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B13A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2B21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9EB1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114E2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EFC7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C235E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99C2B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CEE4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2E764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7B8D8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F06B4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0.769</w:t>
            </w:r>
          </w:p>
        </w:tc>
      </w:tr>
      <w:tr w:rsidR="00DF264A" w:rsidRPr="00EC4C93" w14:paraId="109FCCED"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9A5B7F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SCV_self_projection_1</w:t>
            </w:r>
          </w:p>
        </w:tc>
        <w:tc>
          <w:tcPr>
            <w:tcW w:w="0" w:type="auto"/>
            <w:tcBorders>
              <w:top w:val="nil"/>
              <w:left w:val="nil"/>
              <w:bottom w:val="single" w:sz="4" w:space="0" w:color="auto"/>
              <w:right w:val="single" w:sz="4" w:space="0" w:color="auto"/>
            </w:tcBorders>
            <w:shd w:val="clear" w:color="auto" w:fill="auto"/>
            <w:hideMark/>
          </w:tcPr>
          <w:p w14:paraId="658EEBD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FAC6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98B22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F7703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0.673</w:t>
            </w:r>
          </w:p>
        </w:tc>
        <w:tc>
          <w:tcPr>
            <w:tcW w:w="0" w:type="auto"/>
            <w:tcBorders>
              <w:top w:val="nil"/>
              <w:left w:val="nil"/>
              <w:bottom w:val="single" w:sz="4" w:space="0" w:color="auto"/>
              <w:right w:val="single" w:sz="4" w:space="0" w:color="auto"/>
            </w:tcBorders>
            <w:shd w:val="clear" w:color="auto" w:fill="auto"/>
            <w:hideMark/>
          </w:tcPr>
          <w:p w14:paraId="3099A77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BAF2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062E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2E5F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242B9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0A94E2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27B8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E9AF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EF1A0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C5CD5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62694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6E96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8369AC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D854BA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SCV_self_projection_2</w:t>
            </w:r>
          </w:p>
        </w:tc>
        <w:tc>
          <w:tcPr>
            <w:tcW w:w="0" w:type="auto"/>
            <w:tcBorders>
              <w:top w:val="nil"/>
              <w:left w:val="nil"/>
              <w:bottom w:val="single" w:sz="4" w:space="0" w:color="auto"/>
              <w:right w:val="single" w:sz="4" w:space="0" w:color="auto"/>
            </w:tcBorders>
            <w:shd w:val="clear" w:color="auto" w:fill="auto"/>
            <w:hideMark/>
          </w:tcPr>
          <w:p w14:paraId="5DB34DC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BBD9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A27FF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14819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BC940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87113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ACCB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0C4C5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D8395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1D3CE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B6BA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12CE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8FEF5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DD6F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FC803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CF2E7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0.780</w:t>
            </w:r>
          </w:p>
        </w:tc>
      </w:tr>
      <w:tr w:rsidR="00DF264A" w:rsidRPr="00EC4C93" w14:paraId="6BD35B2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1DD387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SCV_self_projection_2</w:t>
            </w:r>
          </w:p>
        </w:tc>
        <w:tc>
          <w:tcPr>
            <w:tcW w:w="0" w:type="auto"/>
            <w:tcBorders>
              <w:top w:val="nil"/>
              <w:left w:val="nil"/>
              <w:bottom w:val="single" w:sz="4" w:space="0" w:color="auto"/>
              <w:right w:val="single" w:sz="4" w:space="0" w:color="auto"/>
            </w:tcBorders>
            <w:shd w:val="clear" w:color="auto" w:fill="auto"/>
            <w:hideMark/>
          </w:tcPr>
          <w:p w14:paraId="3ECCC5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C5E65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2243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962296"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0.734</w:t>
            </w:r>
          </w:p>
        </w:tc>
        <w:tc>
          <w:tcPr>
            <w:tcW w:w="0" w:type="auto"/>
            <w:tcBorders>
              <w:top w:val="nil"/>
              <w:left w:val="nil"/>
              <w:bottom w:val="single" w:sz="4" w:space="0" w:color="auto"/>
              <w:right w:val="single" w:sz="4" w:space="0" w:color="auto"/>
            </w:tcBorders>
            <w:shd w:val="clear" w:color="auto" w:fill="auto"/>
            <w:hideMark/>
          </w:tcPr>
          <w:p w14:paraId="6EB9B5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7E57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F921D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94EF3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6A988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E6F5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6A5C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604F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E8BA7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45DA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D912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A33FC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2FE7CC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65D285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SCV_self_projection_3</w:t>
            </w:r>
          </w:p>
        </w:tc>
        <w:tc>
          <w:tcPr>
            <w:tcW w:w="0" w:type="auto"/>
            <w:tcBorders>
              <w:top w:val="nil"/>
              <w:left w:val="nil"/>
              <w:bottom w:val="single" w:sz="4" w:space="0" w:color="auto"/>
              <w:right w:val="single" w:sz="4" w:space="0" w:color="auto"/>
            </w:tcBorders>
            <w:shd w:val="clear" w:color="auto" w:fill="auto"/>
            <w:hideMark/>
          </w:tcPr>
          <w:p w14:paraId="5EE2991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187D6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905F3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A0B52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52E85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A85AE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B314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1BA8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0F752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0F2D5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4B55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15082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E680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CC7D3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ECB4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CAB13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0.877</w:t>
            </w:r>
          </w:p>
        </w:tc>
      </w:tr>
      <w:tr w:rsidR="00DF264A" w:rsidRPr="00EC4C93" w14:paraId="64A72C5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804BAC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SCV_self_projection_3</w:t>
            </w:r>
          </w:p>
        </w:tc>
        <w:tc>
          <w:tcPr>
            <w:tcW w:w="0" w:type="auto"/>
            <w:tcBorders>
              <w:top w:val="nil"/>
              <w:left w:val="nil"/>
              <w:bottom w:val="single" w:sz="4" w:space="0" w:color="auto"/>
              <w:right w:val="single" w:sz="4" w:space="0" w:color="auto"/>
            </w:tcBorders>
            <w:shd w:val="clear" w:color="auto" w:fill="auto"/>
            <w:hideMark/>
          </w:tcPr>
          <w:p w14:paraId="387F17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ACB9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4B26B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18EDF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0.794</w:t>
            </w:r>
          </w:p>
        </w:tc>
        <w:tc>
          <w:tcPr>
            <w:tcW w:w="0" w:type="auto"/>
            <w:tcBorders>
              <w:top w:val="nil"/>
              <w:left w:val="nil"/>
              <w:bottom w:val="single" w:sz="4" w:space="0" w:color="auto"/>
              <w:right w:val="single" w:sz="4" w:space="0" w:color="auto"/>
            </w:tcBorders>
            <w:shd w:val="clear" w:color="auto" w:fill="auto"/>
            <w:hideMark/>
          </w:tcPr>
          <w:p w14:paraId="186DA1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E0433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8049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8C26B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B62CE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E5350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30B7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F873C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7EB48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E120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9A27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DB8C6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1831A2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C5C809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SCV_self_projection_4</w:t>
            </w:r>
          </w:p>
        </w:tc>
        <w:tc>
          <w:tcPr>
            <w:tcW w:w="0" w:type="auto"/>
            <w:tcBorders>
              <w:top w:val="nil"/>
              <w:left w:val="nil"/>
              <w:bottom w:val="single" w:sz="4" w:space="0" w:color="auto"/>
              <w:right w:val="single" w:sz="4" w:space="0" w:color="auto"/>
            </w:tcBorders>
            <w:shd w:val="clear" w:color="auto" w:fill="auto"/>
            <w:hideMark/>
          </w:tcPr>
          <w:p w14:paraId="03BDCDD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8D7D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2008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E4879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33A9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0D36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FD872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37EE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D657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E80C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3E93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A67BA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E22E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0F68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167A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56518A"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0.849</w:t>
            </w:r>
          </w:p>
        </w:tc>
      </w:tr>
      <w:tr w:rsidR="00DF264A" w:rsidRPr="00EC4C93" w14:paraId="3F3546CF"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D8E860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SCV_self_projection_4</w:t>
            </w:r>
          </w:p>
        </w:tc>
        <w:tc>
          <w:tcPr>
            <w:tcW w:w="0" w:type="auto"/>
            <w:tcBorders>
              <w:top w:val="nil"/>
              <w:left w:val="nil"/>
              <w:bottom w:val="single" w:sz="4" w:space="0" w:color="auto"/>
              <w:right w:val="single" w:sz="4" w:space="0" w:color="auto"/>
            </w:tcBorders>
            <w:shd w:val="clear" w:color="auto" w:fill="auto"/>
            <w:hideMark/>
          </w:tcPr>
          <w:p w14:paraId="4FB9C30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7B5AE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5C14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80147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0.768</w:t>
            </w:r>
          </w:p>
        </w:tc>
        <w:tc>
          <w:tcPr>
            <w:tcW w:w="0" w:type="auto"/>
            <w:tcBorders>
              <w:top w:val="nil"/>
              <w:left w:val="nil"/>
              <w:bottom w:val="single" w:sz="4" w:space="0" w:color="auto"/>
              <w:right w:val="single" w:sz="4" w:space="0" w:color="auto"/>
            </w:tcBorders>
            <w:shd w:val="clear" w:color="auto" w:fill="auto"/>
            <w:hideMark/>
          </w:tcPr>
          <w:p w14:paraId="7A9ED4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3AE6D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B6D5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32BB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58C9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32686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FDC715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F56CD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5CC07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5102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E6582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D1BC6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11E433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9EA3E0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SCV_self_projection_5</w:t>
            </w:r>
          </w:p>
        </w:tc>
        <w:tc>
          <w:tcPr>
            <w:tcW w:w="0" w:type="auto"/>
            <w:tcBorders>
              <w:top w:val="nil"/>
              <w:left w:val="nil"/>
              <w:bottom w:val="single" w:sz="4" w:space="0" w:color="auto"/>
              <w:right w:val="single" w:sz="4" w:space="0" w:color="auto"/>
            </w:tcBorders>
            <w:shd w:val="clear" w:color="auto" w:fill="auto"/>
            <w:hideMark/>
          </w:tcPr>
          <w:p w14:paraId="2A5B64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1EB1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95A3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C0CBD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0.782</w:t>
            </w:r>
          </w:p>
        </w:tc>
        <w:tc>
          <w:tcPr>
            <w:tcW w:w="0" w:type="auto"/>
            <w:tcBorders>
              <w:top w:val="nil"/>
              <w:left w:val="nil"/>
              <w:bottom w:val="single" w:sz="4" w:space="0" w:color="auto"/>
              <w:right w:val="single" w:sz="4" w:space="0" w:color="auto"/>
            </w:tcBorders>
            <w:shd w:val="clear" w:color="auto" w:fill="auto"/>
            <w:hideMark/>
          </w:tcPr>
          <w:p w14:paraId="2958FA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8A3E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7C02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75A07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997D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69A44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D125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9089B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00C2D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3EBDB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01F8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A9A4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DED13FE"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10505F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SCV_self_projection_5</w:t>
            </w:r>
          </w:p>
        </w:tc>
        <w:tc>
          <w:tcPr>
            <w:tcW w:w="0" w:type="auto"/>
            <w:tcBorders>
              <w:top w:val="nil"/>
              <w:left w:val="nil"/>
              <w:bottom w:val="single" w:sz="4" w:space="0" w:color="auto"/>
              <w:right w:val="single" w:sz="4" w:space="0" w:color="auto"/>
            </w:tcBorders>
            <w:shd w:val="clear" w:color="auto" w:fill="auto"/>
            <w:hideMark/>
          </w:tcPr>
          <w:p w14:paraId="08C3D4E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CAECB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E82A0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FA150E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AA235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1962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EDF3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9341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3A04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C484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256DC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F03A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0E06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21DF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7AB4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70800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0.878</w:t>
            </w:r>
          </w:p>
        </w:tc>
      </w:tr>
      <w:tr w:rsidR="00DF264A" w:rsidRPr="00EC4C93" w14:paraId="0E4A769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B24C3A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SCVengrossment_1</w:t>
            </w:r>
          </w:p>
        </w:tc>
        <w:tc>
          <w:tcPr>
            <w:tcW w:w="0" w:type="auto"/>
            <w:tcBorders>
              <w:top w:val="nil"/>
              <w:left w:val="nil"/>
              <w:bottom w:val="single" w:sz="4" w:space="0" w:color="auto"/>
              <w:right w:val="single" w:sz="4" w:space="0" w:color="auto"/>
            </w:tcBorders>
            <w:shd w:val="clear" w:color="auto" w:fill="auto"/>
            <w:hideMark/>
          </w:tcPr>
          <w:p w14:paraId="6C71AE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03FB1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8294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9123D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0.227</w:t>
            </w:r>
          </w:p>
        </w:tc>
        <w:tc>
          <w:tcPr>
            <w:tcW w:w="0" w:type="auto"/>
            <w:tcBorders>
              <w:top w:val="nil"/>
              <w:left w:val="nil"/>
              <w:bottom w:val="single" w:sz="4" w:space="0" w:color="auto"/>
              <w:right w:val="single" w:sz="4" w:space="0" w:color="auto"/>
            </w:tcBorders>
            <w:shd w:val="clear" w:color="auto" w:fill="auto"/>
            <w:hideMark/>
          </w:tcPr>
          <w:p w14:paraId="0D18379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19387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9888F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CC6F0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CC824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AF18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496C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D1BF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BDE77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662C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C550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AE85A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2DA5C9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9B462A9"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SCVengrossment_1</w:t>
            </w:r>
          </w:p>
        </w:tc>
        <w:tc>
          <w:tcPr>
            <w:tcW w:w="0" w:type="auto"/>
            <w:tcBorders>
              <w:top w:val="nil"/>
              <w:left w:val="nil"/>
              <w:bottom w:val="single" w:sz="4" w:space="0" w:color="auto"/>
              <w:right w:val="single" w:sz="4" w:space="0" w:color="auto"/>
            </w:tcBorders>
            <w:shd w:val="clear" w:color="auto" w:fill="auto"/>
            <w:hideMark/>
          </w:tcPr>
          <w:p w14:paraId="7839C5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4C9E1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59B2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15F9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F1E60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5AC6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83C7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850F30"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0.688</w:t>
            </w:r>
          </w:p>
        </w:tc>
        <w:tc>
          <w:tcPr>
            <w:tcW w:w="0" w:type="auto"/>
            <w:tcBorders>
              <w:top w:val="nil"/>
              <w:left w:val="nil"/>
              <w:bottom w:val="single" w:sz="4" w:space="0" w:color="auto"/>
              <w:right w:val="single" w:sz="4" w:space="0" w:color="auto"/>
            </w:tcBorders>
            <w:shd w:val="clear" w:color="auto" w:fill="auto"/>
            <w:hideMark/>
          </w:tcPr>
          <w:p w14:paraId="21A45F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EA10E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9648C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72C7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5284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A9106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E60D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9C78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F1207E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E1E44F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SCVengrossment_2</w:t>
            </w:r>
          </w:p>
        </w:tc>
        <w:tc>
          <w:tcPr>
            <w:tcW w:w="0" w:type="auto"/>
            <w:tcBorders>
              <w:top w:val="nil"/>
              <w:left w:val="nil"/>
              <w:bottom w:val="single" w:sz="4" w:space="0" w:color="auto"/>
              <w:right w:val="single" w:sz="4" w:space="0" w:color="auto"/>
            </w:tcBorders>
            <w:shd w:val="clear" w:color="auto" w:fill="auto"/>
            <w:hideMark/>
          </w:tcPr>
          <w:p w14:paraId="4A49E36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A6789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6CB7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C8C5B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0.458</w:t>
            </w:r>
          </w:p>
        </w:tc>
        <w:tc>
          <w:tcPr>
            <w:tcW w:w="0" w:type="auto"/>
            <w:tcBorders>
              <w:top w:val="nil"/>
              <w:left w:val="nil"/>
              <w:bottom w:val="single" w:sz="4" w:space="0" w:color="auto"/>
              <w:right w:val="single" w:sz="4" w:space="0" w:color="auto"/>
            </w:tcBorders>
            <w:shd w:val="clear" w:color="auto" w:fill="auto"/>
            <w:hideMark/>
          </w:tcPr>
          <w:p w14:paraId="62563FB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D66DC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3E24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FE33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1AEE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434C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CC22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66588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5F74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10F8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163A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D875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FC9E5B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1C5A9AB"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SCVengrossment_2</w:t>
            </w:r>
          </w:p>
        </w:tc>
        <w:tc>
          <w:tcPr>
            <w:tcW w:w="0" w:type="auto"/>
            <w:tcBorders>
              <w:top w:val="nil"/>
              <w:left w:val="nil"/>
              <w:bottom w:val="single" w:sz="4" w:space="0" w:color="auto"/>
              <w:right w:val="single" w:sz="4" w:space="0" w:color="auto"/>
            </w:tcBorders>
            <w:shd w:val="clear" w:color="auto" w:fill="auto"/>
            <w:hideMark/>
          </w:tcPr>
          <w:p w14:paraId="570AD7E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0A21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A858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5053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9A3AD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D0758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3A1F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E0E2D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0.810</w:t>
            </w:r>
          </w:p>
        </w:tc>
        <w:tc>
          <w:tcPr>
            <w:tcW w:w="0" w:type="auto"/>
            <w:tcBorders>
              <w:top w:val="nil"/>
              <w:left w:val="nil"/>
              <w:bottom w:val="single" w:sz="4" w:space="0" w:color="auto"/>
              <w:right w:val="single" w:sz="4" w:space="0" w:color="auto"/>
            </w:tcBorders>
            <w:shd w:val="clear" w:color="auto" w:fill="auto"/>
            <w:hideMark/>
          </w:tcPr>
          <w:p w14:paraId="336A2C2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B2C2E1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F1912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65A931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C967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95197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FE63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3E5E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2433442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F7E04A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SCVengrossment_3</w:t>
            </w:r>
          </w:p>
        </w:tc>
        <w:tc>
          <w:tcPr>
            <w:tcW w:w="0" w:type="auto"/>
            <w:tcBorders>
              <w:top w:val="nil"/>
              <w:left w:val="nil"/>
              <w:bottom w:val="single" w:sz="4" w:space="0" w:color="auto"/>
              <w:right w:val="single" w:sz="4" w:space="0" w:color="auto"/>
            </w:tcBorders>
            <w:shd w:val="clear" w:color="auto" w:fill="auto"/>
            <w:hideMark/>
          </w:tcPr>
          <w:p w14:paraId="00865C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90E98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5C49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8E978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0.431</w:t>
            </w:r>
          </w:p>
        </w:tc>
        <w:tc>
          <w:tcPr>
            <w:tcW w:w="0" w:type="auto"/>
            <w:tcBorders>
              <w:top w:val="nil"/>
              <w:left w:val="nil"/>
              <w:bottom w:val="single" w:sz="4" w:space="0" w:color="auto"/>
              <w:right w:val="single" w:sz="4" w:space="0" w:color="auto"/>
            </w:tcBorders>
            <w:shd w:val="clear" w:color="auto" w:fill="auto"/>
            <w:hideMark/>
          </w:tcPr>
          <w:p w14:paraId="5F58916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CFEBF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9B8B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46F0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78E3C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0C67B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8042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7859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BFCF5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718E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7010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3CBD3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680C8FD"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DC9E128"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SCVengrossment_3</w:t>
            </w:r>
          </w:p>
        </w:tc>
        <w:tc>
          <w:tcPr>
            <w:tcW w:w="0" w:type="auto"/>
            <w:tcBorders>
              <w:top w:val="nil"/>
              <w:left w:val="nil"/>
              <w:bottom w:val="single" w:sz="4" w:space="0" w:color="auto"/>
              <w:right w:val="single" w:sz="4" w:space="0" w:color="auto"/>
            </w:tcBorders>
            <w:shd w:val="clear" w:color="auto" w:fill="auto"/>
            <w:hideMark/>
          </w:tcPr>
          <w:p w14:paraId="24CFB1B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E0BE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F1522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E8CB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C47BB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FCBCC9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7488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B5143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0.881</w:t>
            </w:r>
          </w:p>
        </w:tc>
        <w:tc>
          <w:tcPr>
            <w:tcW w:w="0" w:type="auto"/>
            <w:tcBorders>
              <w:top w:val="nil"/>
              <w:left w:val="nil"/>
              <w:bottom w:val="single" w:sz="4" w:space="0" w:color="auto"/>
              <w:right w:val="single" w:sz="4" w:space="0" w:color="auto"/>
            </w:tcBorders>
            <w:shd w:val="clear" w:color="auto" w:fill="auto"/>
            <w:hideMark/>
          </w:tcPr>
          <w:p w14:paraId="22D50C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54E1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5CE23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5F409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3D5D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38313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C4FC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1D34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EF8C99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5AB644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SCVengrossment_4</w:t>
            </w:r>
          </w:p>
        </w:tc>
        <w:tc>
          <w:tcPr>
            <w:tcW w:w="0" w:type="auto"/>
            <w:tcBorders>
              <w:top w:val="nil"/>
              <w:left w:val="nil"/>
              <w:bottom w:val="single" w:sz="4" w:space="0" w:color="auto"/>
              <w:right w:val="single" w:sz="4" w:space="0" w:color="auto"/>
            </w:tcBorders>
            <w:shd w:val="clear" w:color="auto" w:fill="auto"/>
            <w:hideMark/>
          </w:tcPr>
          <w:p w14:paraId="1B3203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B789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2502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CD658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BD93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C17E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2677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C6982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0.863</w:t>
            </w:r>
          </w:p>
        </w:tc>
        <w:tc>
          <w:tcPr>
            <w:tcW w:w="0" w:type="auto"/>
            <w:tcBorders>
              <w:top w:val="nil"/>
              <w:left w:val="nil"/>
              <w:bottom w:val="single" w:sz="4" w:space="0" w:color="auto"/>
              <w:right w:val="single" w:sz="4" w:space="0" w:color="auto"/>
            </w:tcBorders>
            <w:shd w:val="clear" w:color="auto" w:fill="auto"/>
            <w:hideMark/>
          </w:tcPr>
          <w:p w14:paraId="70C8B2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6CA6B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44684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60AB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A0538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B1F9F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CFB6A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9FCF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40B6B77"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95A3717"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SCVengrossment_4</w:t>
            </w:r>
          </w:p>
        </w:tc>
        <w:tc>
          <w:tcPr>
            <w:tcW w:w="0" w:type="auto"/>
            <w:tcBorders>
              <w:top w:val="nil"/>
              <w:left w:val="nil"/>
              <w:bottom w:val="single" w:sz="4" w:space="0" w:color="auto"/>
              <w:right w:val="single" w:sz="4" w:space="0" w:color="auto"/>
            </w:tcBorders>
            <w:shd w:val="clear" w:color="auto" w:fill="auto"/>
            <w:hideMark/>
          </w:tcPr>
          <w:p w14:paraId="05003E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7629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1C096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A098F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0.478</w:t>
            </w:r>
          </w:p>
        </w:tc>
        <w:tc>
          <w:tcPr>
            <w:tcW w:w="0" w:type="auto"/>
            <w:tcBorders>
              <w:top w:val="nil"/>
              <w:left w:val="nil"/>
              <w:bottom w:val="single" w:sz="4" w:space="0" w:color="auto"/>
              <w:right w:val="single" w:sz="4" w:space="0" w:color="auto"/>
            </w:tcBorders>
            <w:shd w:val="clear" w:color="auto" w:fill="auto"/>
            <w:hideMark/>
          </w:tcPr>
          <w:p w14:paraId="1B18331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6BBA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E4DB0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B3A27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6D74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18130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9DB09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8C05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C8EE6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6EFBC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BEB0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78A9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4C0048E"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526978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attitude_1</w:t>
            </w:r>
          </w:p>
        </w:tc>
        <w:tc>
          <w:tcPr>
            <w:tcW w:w="0" w:type="auto"/>
            <w:tcBorders>
              <w:top w:val="nil"/>
              <w:left w:val="nil"/>
              <w:bottom w:val="single" w:sz="4" w:space="0" w:color="auto"/>
              <w:right w:val="single" w:sz="4" w:space="0" w:color="auto"/>
            </w:tcBorders>
            <w:shd w:val="clear" w:color="auto" w:fill="auto"/>
            <w:hideMark/>
          </w:tcPr>
          <w:p w14:paraId="548F49E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1381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518B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6189E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F3A1E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0.922</w:t>
            </w:r>
          </w:p>
        </w:tc>
        <w:tc>
          <w:tcPr>
            <w:tcW w:w="0" w:type="auto"/>
            <w:tcBorders>
              <w:top w:val="nil"/>
              <w:left w:val="nil"/>
              <w:bottom w:val="single" w:sz="4" w:space="0" w:color="auto"/>
              <w:right w:val="single" w:sz="4" w:space="0" w:color="auto"/>
            </w:tcBorders>
            <w:shd w:val="clear" w:color="auto" w:fill="auto"/>
            <w:hideMark/>
          </w:tcPr>
          <w:p w14:paraId="5B961B7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A87F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2468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C107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4474F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4917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27CF4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473A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98149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5B1E9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B1DEE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3F05E25"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57B7282"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attitude_2</w:t>
            </w:r>
          </w:p>
        </w:tc>
        <w:tc>
          <w:tcPr>
            <w:tcW w:w="0" w:type="auto"/>
            <w:tcBorders>
              <w:top w:val="nil"/>
              <w:left w:val="nil"/>
              <w:bottom w:val="single" w:sz="4" w:space="0" w:color="auto"/>
              <w:right w:val="single" w:sz="4" w:space="0" w:color="auto"/>
            </w:tcBorders>
            <w:shd w:val="clear" w:color="auto" w:fill="auto"/>
            <w:hideMark/>
          </w:tcPr>
          <w:p w14:paraId="7BE4C4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54976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41505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B2FD9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B7F66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0.954</w:t>
            </w:r>
          </w:p>
        </w:tc>
        <w:tc>
          <w:tcPr>
            <w:tcW w:w="0" w:type="auto"/>
            <w:tcBorders>
              <w:top w:val="nil"/>
              <w:left w:val="nil"/>
              <w:bottom w:val="single" w:sz="4" w:space="0" w:color="auto"/>
              <w:right w:val="single" w:sz="4" w:space="0" w:color="auto"/>
            </w:tcBorders>
            <w:shd w:val="clear" w:color="auto" w:fill="auto"/>
            <w:hideMark/>
          </w:tcPr>
          <w:p w14:paraId="6374B8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C823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08AB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988D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79B39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EC13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A3E0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E63F8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1F9D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E7E6D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90C5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CAC9502"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75897B7"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attitude_3</w:t>
            </w:r>
          </w:p>
        </w:tc>
        <w:tc>
          <w:tcPr>
            <w:tcW w:w="0" w:type="auto"/>
            <w:tcBorders>
              <w:top w:val="nil"/>
              <w:left w:val="nil"/>
              <w:bottom w:val="single" w:sz="4" w:space="0" w:color="auto"/>
              <w:right w:val="single" w:sz="4" w:space="0" w:color="auto"/>
            </w:tcBorders>
            <w:shd w:val="clear" w:color="auto" w:fill="auto"/>
            <w:hideMark/>
          </w:tcPr>
          <w:p w14:paraId="4CC1456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919A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D29F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3FF3F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7E007F"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0.933</w:t>
            </w:r>
          </w:p>
        </w:tc>
        <w:tc>
          <w:tcPr>
            <w:tcW w:w="0" w:type="auto"/>
            <w:tcBorders>
              <w:top w:val="nil"/>
              <w:left w:val="nil"/>
              <w:bottom w:val="single" w:sz="4" w:space="0" w:color="auto"/>
              <w:right w:val="single" w:sz="4" w:space="0" w:color="auto"/>
            </w:tcBorders>
            <w:shd w:val="clear" w:color="auto" w:fill="auto"/>
            <w:hideMark/>
          </w:tcPr>
          <w:p w14:paraId="08E5FE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6DB3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93CC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0893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17069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6534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90D58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5C9B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B4F0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801F3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3B3D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24CE6A0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3DD513B"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attitude_4</w:t>
            </w:r>
          </w:p>
        </w:tc>
        <w:tc>
          <w:tcPr>
            <w:tcW w:w="0" w:type="auto"/>
            <w:tcBorders>
              <w:top w:val="nil"/>
              <w:left w:val="nil"/>
              <w:bottom w:val="single" w:sz="4" w:space="0" w:color="auto"/>
              <w:right w:val="single" w:sz="4" w:space="0" w:color="auto"/>
            </w:tcBorders>
            <w:shd w:val="clear" w:color="auto" w:fill="auto"/>
            <w:hideMark/>
          </w:tcPr>
          <w:p w14:paraId="4C8226A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1226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6053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7399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DB692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0.913</w:t>
            </w:r>
          </w:p>
        </w:tc>
        <w:tc>
          <w:tcPr>
            <w:tcW w:w="0" w:type="auto"/>
            <w:tcBorders>
              <w:top w:val="nil"/>
              <w:left w:val="nil"/>
              <w:bottom w:val="single" w:sz="4" w:space="0" w:color="auto"/>
              <w:right w:val="single" w:sz="4" w:space="0" w:color="auto"/>
            </w:tcBorders>
            <w:shd w:val="clear" w:color="auto" w:fill="auto"/>
            <w:hideMark/>
          </w:tcPr>
          <w:p w14:paraId="465EA9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92EE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CFEA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6567C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4C222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C7F82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88E2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703B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B9468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D2793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7FF45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7749D6C"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DC66B02"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behaviour_intent_1</w:t>
            </w:r>
          </w:p>
        </w:tc>
        <w:tc>
          <w:tcPr>
            <w:tcW w:w="0" w:type="auto"/>
            <w:tcBorders>
              <w:top w:val="nil"/>
              <w:left w:val="nil"/>
              <w:bottom w:val="single" w:sz="4" w:space="0" w:color="auto"/>
              <w:right w:val="single" w:sz="4" w:space="0" w:color="auto"/>
            </w:tcBorders>
            <w:shd w:val="clear" w:color="auto" w:fill="auto"/>
            <w:hideMark/>
          </w:tcPr>
          <w:p w14:paraId="6003F0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24922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0.937</w:t>
            </w:r>
          </w:p>
        </w:tc>
        <w:tc>
          <w:tcPr>
            <w:tcW w:w="0" w:type="auto"/>
            <w:tcBorders>
              <w:top w:val="nil"/>
              <w:left w:val="nil"/>
              <w:bottom w:val="single" w:sz="4" w:space="0" w:color="auto"/>
              <w:right w:val="single" w:sz="4" w:space="0" w:color="auto"/>
            </w:tcBorders>
            <w:shd w:val="clear" w:color="auto" w:fill="auto"/>
            <w:hideMark/>
          </w:tcPr>
          <w:p w14:paraId="20074A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CD0DC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97A3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6E154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326BC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5D933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E5DB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1470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31C3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14BF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03CC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D2922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3DC9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5693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26CF0A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FC7FAEC"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behaviour_intent_2</w:t>
            </w:r>
          </w:p>
        </w:tc>
        <w:tc>
          <w:tcPr>
            <w:tcW w:w="0" w:type="auto"/>
            <w:tcBorders>
              <w:top w:val="nil"/>
              <w:left w:val="nil"/>
              <w:bottom w:val="single" w:sz="4" w:space="0" w:color="auto"/>
              <w:right w:val="single" w:sz="4" w:space="0" w:color="auto"/>
            </w:tcBorders>
            <w:shd w:val="clear" w:color="auto" w:fill="auto"/>
            <w:hideMark/>
          </w:tcPr>
          <w:p w14:paraId="55F1FC8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71F494"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0.935</w:t>
            </w:r>
          </w:p>
        </w:tc>
        <w:tc>
          <w:tcPr>
            <w:tcW w:w="0" w:type="auto"/>
            <w:tcBorders>
              <w:top w:val="nil"/>
              <w:left w:val="nil"/>
              <w:bottom w:val="single" w:sz="4" w:space="0" w:color="auto"/>
              <w:right w:val="single" w:sz="4" w:space="0" w:color="auto"/>
            </w:tcBorders>
            <w:shd w:val="clear" w:color="auto" w:fill="auto"/>
            <w:hideMark/>
          </w:tcPr>
          <w:p w14:paraId="11C09F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ACC03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F55E2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DF4C6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81CCB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97CA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4DA1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284E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6142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3029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B0C9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31197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AAABA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87A2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CB44B0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858FDD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behaviour_intent_3</w:t>
            </w:r>
          </w:p>
        </w:tc>
        <w:tc>
          <w:tcPr>
            <w:tcW w:w="0" w:type="auto"/>
            <w:tcBorders>
              <w:top w:val="nil"/>
              <w:left w:val="nil"/>
              <w:bottom w:val="single" w:sz="4" w:space="0" w:color="auto"/>
              <w:right w:val="single" w:sz="4" w:space="0" w:color="auto"/>
            </w:tcBorders>
            <w:shd w:val="clear" w:color="auto" w:fill="auto"/>
            <w:hideMark/>
          </w:tcPr>
          <w:p w14:paraId="490F5D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737E2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0.906</w:t>
            </w:r>
          </w:p>
        </w:tc>
        <w:tc>
          <w:tcPr>
            <w:tcW w:w="0" w:type="auto"/>
            <w:tcBorders>
              <w:top w:val="nil"/>
              <w:left w:val="nil"/>
              <w:bottom w:val="single" w:sz="4" w:space="0" w:color="auto"/>
              <w:right w:val="single" w:sz="4" w:space="0" w:color="auto"/>
            </w:tcBorders>
            <w:shd w:val="clear" w:color="auto" w:fill="auto"/>
            <w:hideMark/>
          </w:tcPr>
          <w:p w14:paraId="02BC1B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7D9C0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D781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90DF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D5E0B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1A453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DE111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419A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E2847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01A7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7BDA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696E4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B88B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1BF8DE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45AD79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BAF69D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behaviour_intent_4</w:t>
            </w:r>
          </w:p>
        </w:tc>
        <w:tc>
          <w:tcPr>
            <w:tcW w:w="0" w:type="auto"/>
            <w:tcBorders>
              <w:top w:val="nil"/>
              <w:left w:val="nil"/>
              <w:bottom w:val="single" w:sz="4" w:space="0" w:color="auto"/>
              <w:right w:val="single" w:sz="4" w:space="0" w:color="auto"/>
            </w:tcBorders>
            <w:shd w:val="clear" w:color="auto" w:fill="auto"/>
            <w:hideMark/>
          </w:tcPr>
          <w:p w14:paraId="237D3C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7650E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0.890</w:t>
            </w:r>
          </w:p>
        </w:tc>
        <w:tc>
          <w:tcPr>
            <w:tcW w:w="0" w:type="auto"/>
            <w:tcBorders>
              <w:top w:val="nil"/>
              <w:left w:val="nil"/>
              <w:bottom w:val="single" w:sz="4" w:space="0" w:color="auto"/>
              <w:right w:val="single" w:sz="4" w:space="0" w:color="auto"/>
            </w:tcBorders>
            <w:shd w:val="clear" w:color="auto" w:fill="auto"/>
            <w:hideMark/>
          </w:tcPr>
          <w:p w14:paraId="5409DF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9DD30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AC69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4D5B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CEE0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7A6A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4BD0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7C4D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B69E6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E7293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24D00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4CE3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BB9D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862C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344354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C0D18F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behaviour_intent_5</w:t>
            </w:r>
          </w:p>
        </w:tc>
        <w:tc>
          <w:tcPr>
            <w:tcW w:w="0" w:type="auto"/>
            <w:tcBorders>
              <w:top w:val="nil"/>
              <w:left w:val="nil"/>
              <w:bottom w:val="single" w:sz="4" w:space="0" w:color="auto"/>
              <w:right w:val="single" w:sz="4" w:space="0" w:color="auto"/>
            </w:tcBorders>
            <w:shd w:val="clear" w:color="auto" w:fill="auto"/>
            <w:hideMark/>
          </w:tcPr>
          <w:p w14:paraId="3D8296A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DACBA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0.733</w:t>
            </w:r>
          </w:p>
        </w:tc>
        <w:tc>
          <w:tcPr>
            <w:tcW w:w="0" w:type="auto"/>
            <w:tcBorders>
              <w:top w:val="nil"/>
              <w:left w:val="nil"/>
              <w:bottom w:val="single" w:sz="4" w:space="0" w:color="auto"/>
              <w:right w:val="single" w:sz="4" w:space="0" w:color="auto"/>
            </w:tcBorders>
            <w:shd w:val="clear" w:color="auto" w:fill="auto"/>
            <w:hideMark/>
          </w:tcPr>
          <w:p w14:paraId="45C4967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CD65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C11B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4B857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4BB6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9383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3B390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07DA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5AE3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C802B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1BFF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2176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DBFC4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68E5C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572918D"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ABB9AF0"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behaviour_intent_6</w:t>
            </w:r>
          </w:p>
        </w:tc>
        <w:tc>
          <w:tcPr>
            <w:tcW w:w="0" w:type="auto"/>
            <w:tcBorders>
              <w:top w:val="nil"/>
              <w:left w:val="nil"/>
              <w:bottom w:val="single" w:sz="4" w:space="0" w:color="auto"/>
              <w:right w:val="single" w:sz="4" w:space="0" w:color="auto"/>
            </w:tcBorders>
            <w:shd w:val="clear" w:color="auto" w:fill="auto"/>
            <w:hideMark/>
          </w:tcPr>
          <w:p w14:paraId="4A33B5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D98BB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0.918</w:t>
            </w:r>
          </w:p>
        </w:tc>
        <w:tc>
          <w:tcPr>
            <w:tcW w:w="0" w:type="auto"/>
            <w:tcBorders>
              <w:top w:val="nil"/>
              <w:left w:val="nil"/>
              <w:bottom w:val="single" w:sz="4" w:space="0" w:color="auto"/>
              <w:right w:val="single" w:sz="4" w:space="0" w:color="auto"/>
            </w:tcBorders>
            <w:shd w:val="clear" w:color="auto" w:fill="auto"/>
            <w:hideMark/>
          </w:tcPr>
          <w:p w14:paraId="00D1DF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73FF7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1BF6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C1384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98653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66F4B9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B33A1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4C86F9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6D57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CF62E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1291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5F54E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4923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F6AD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7A2448C"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746D32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coff_purce_intent_1</w:t>
            </w:r>
          </w:p>
        </w:tc>
        <w:tc>
          <w:tcPr>
            <w:tcW w:w="0" w:type="auto"/>
            <w:tcBorders>
              <w:top w:val="nil"/>
              <w:left w:val="nil"/>
              <w:bottom w:val="single" w:sz="4" w:space="0" w:color="auto"/>
              <w:right w:val="single" w:sz="4" w:space="0" w:color="auto"/>
            </w:tcBorders>
            <w:shd w:val="clear" w:color="auto" w:fill="auto"/>
            <w:hideMark/>
          </w:tcPr>
          <w:p w14:paraId="031F154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7FE84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FFFC4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0.929</w:t>
            </w:r>
          </w:p>
        </w:tc>
        <w:tc>
          <w:tcPr>
            <w:tcW w:w="0" w:type="auto"/>
            <w:tcBorders>
              <w:top w:val="nil"/>
              <w:left w:val="nil"/>
              <w:bottom w:val="single" w:sz="4" w:space="0" w:color="auto"/>
              <w:right w:val="single" w:sz="4" w:space="0" w:color="auto"/>
            </w:tcBorders>
            <w:shd w:val="clear" w:color="auto" w:fill="auto"/>
            <w:hideMark/>
          </w:tcPr>
          <w:p w14:paraId="327E685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75BA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726CB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C265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CE0C9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C5091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9FA9F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BA9B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F248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E6B3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9176C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863E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086F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7E0CB9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72C8076"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coff_purce_intent_2</w:t>
            </w:r>
          </w:p>
        </w:tc>
        <w:tc>
          <w:tcPr>
            <w:tcW w:w="0" w:type="auto"/>
            <w:tcBorders>
              <w:top w:val="nil"/>
              <w:left w:val="nil"/>
              <w:bottom w:val="single" w:sz="4" w:space="0" w:color="auto"/>
              <w:right w:val="single" w:sz="4" w:space="0" w:color="auto"/>
            </w:tcBorders>
            <w:shd w:val="clear" w:color="auto" w:fill="auto"/>
            <w:hideMark/>
          </w:tcPr>
          <w:p w14:paraId="5148DA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0388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9648CA"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0.936</w:t>
            </w:r>
          </w:p>
        </w:tc>
        <w:tc>
          <w:tcPr>
            <w:tcW w:w="0" w:type="auto"/>
            <w:tcBorders>
              <w:top w:val="nil"/>
              <w:left w:val="nil"/>
              <w:bottom w:val="single" w:sz="4" w:space="0" w:color="auto"/>
              <w:right w:val="single" w:sz="4" w:space="0" w:color="auto"/>
            </w:tcBorders>
            <w:shd w:val="clear" w:color="auto" w:fill="auto"/>
            <w:hideMark/>
          </w:tcPr>
          <w:p w14:paraId="4573636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B8F6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0DF148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22F4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F895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996F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56D71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866EB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512D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5ADA3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71A3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A7CD6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8058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C851A6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5EE9ED2"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coff_purce_intent_3</w:t>
            </w:r>
          </w:p>
        </w:tc>
        <w:tc>
          <w:tcPr>
            <w:tcW w:w="0" w:type="auto"/>
            <w:tcBorders>
              <w:top w:val="nil"/>
              <w:left w:val="nil"/>
              <w:bottom w:val="single" w:sz="4" w:space="0" w:color="auto"/>
              <w:right w:val="single" w:sz="4" w:space="0" w:color="auto"/>
            </w:tcBorders>
            <w:shd w:val="clear" w:color="auto" w:fill="auto"/>
            <w:hideMark/>
          </w:tcPr>
          <w:p w14:paraId="7E4F9E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F8647A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76D91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0.866</w:t>
            </w:r>
          </w:p>
        </w:tc>
        <w:tc>
          <w:tcPr>
            <w:tcW w:w="0" w:type="auto"/>
            <w:tcBorders>
              <w:top w:val="nil"/>
              <w:left w:val="nil"/>
              <w:bottom w:val="single" w:sz="4" w:space="0" w:color="auto"/>
              <w:right w:val="single" w:sz="4" w:space="0" w:color="auto"/>
            </w:tcBorders>
            <w:shd w:val="clear" w:color="auto" w:fill="auto"/>
            <w:hideMark/>
          </w:tcPr>
          <w:p w14:paraId="0373D7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0DB31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9D2B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9B217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05FF37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C0C64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8A22D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6639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ACC6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368B8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92C93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03D94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7AA12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487EF55"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952B4F6"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coff_purce_intent_4</w:t>
            </w:r>
          </w:p>
        </w:tc>
        <w:tc>
          <w:tcPr>
            <w:tcW w:w="0" w:type="auto"/>
            <w:tcBorders>
              <w:top w:val="nil"/>
              <w:left w:val="nil"/>
              <w:bottom w:val="single" w:sz="4" w:space="0" w:color="auto"/>
              <w:right w:val="single" w:sz="4" w:space="0" w:color="auto"/>
            </w:tcBorders>
            <w:shd w:val="clear" w:color="auto" w:fill="auto"/>
            <w:hideMark/>
          </w:tcPr>
          <w:p w14:paraId="04F52F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2F6E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B88CC0"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0.753</w:t>
            </w:r>
          </w:p>
        </w:tc>
        <w:tc>
          <w:tcPr>
            <w:tcW w:w="0" w:type="auto"/>
            <w:tcBorders>
              <w:top w:val="nil"/>
              <w:left w:val="nil"/>
              <w:bottom w:val="single" w:sz="4" w:space="0" w:color="auto"/>
              <w:right w:val="single" w:sz="4" w:space="0" w:color="auto"/>
            </w:tcBorders>
            <w:shd w:val="clear" w:color="auto" w:fill="auto"/>
            <w:hideMark/>
          </w:tcPr>
          <w:p w14:paraId="55FC62C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66AC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EE279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72EA6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987E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46C1C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8456D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0554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7DC74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53F4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C63B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EE91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43A1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BA84075"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DF5730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coff_purce_intent_5</w:t>
            </w:r>
          </w:p>
        </w:tc>
        <w:tc>
          <w:tcPr>
            <w:tcW w:w="0" w:type="auto"/>
            <w:tcBorders>
              <w:top w:val="nil"/>
              <w:left w:val="nil"/>
              <w:bottom w:val="single" w:sz="4" w:space="0" w:color="auto"/>
              <w:right w:val="single" w:sz="4" w:space="0" w:color="auto"/>
            </w:tcBorders>
            <w:shd w:val="clear" w:color="auto" w:fill="auto"/>
            <w:hideMark/>
          </w:tcPr>
          <w:p w14:paraId="6C49F98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F790A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754F60"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0.719</w:t>
            </w:r>
          </w:p>
        </w:tc>
        <w:tc>
          <w:tcPr>
            <w:tcW w:w="0" w:type="auto"/>
            <w:tcBorders>
              <w:top w:val="nil"/>
              <w:left w:val="nil"/>
              <w:bottom w:val="single" w:sz="4" w:space="0" w:color="auto"/>
              <w:right w:val="single" w:sz="4" w:space="0" w:color="auto"/>
            </w:tcBorders>
            <w:shd w:val="clear" w:color="auto" w:fill="auto"/>
            <w:hideMark/>
          </w:tcPr>
          <w:p w14:paraId="5F7307B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FAE7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9D1B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328CF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562A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A4BE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3A957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8437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63DAB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CB86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05605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4D9C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73419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A7B2F81"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0BD930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coff_purce_intent_6</w:t>
            </w:r>
          </w:p>
        </w:tc>
        <w:tc>
          <w:tcPr>
            <w:tcW w:w="0" w:type="auto"/>
            <w:tcBorders>
              <w:top w:val="nil"/>
              <w:left w:val="nil"/>
              <w:bottom w:val="single" w:sz="4" w:space="0" w:color="auto"/>
              <w:right w:val="single" w:sz="4" w:space="0" w:color="auto"/>
            </w:tcBorders>
            <w:shd w:val="clear" w:color="auto" w:fill="auto"/>
            <w:hideMark/>
          </w:tcPr>
          <w:p w14:paraId="23BF76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1F9A4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6E3DF4"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0.894</w:t>
            </w:r>
          </w:p>
        </w:tc>
        <w:tc>
          <w:tcPr>
            <w:tcW w:w="0" w:type="auto"/>
            <w:tcBorders>
              <w:top w:val="nil"/>
              <w:left w:val="nil"/>
              <w:bottom w:val="single" w:sz="4" w:space="0" w:color="auto"/>
              <w:right w:val="single" w:sz="4" w:space="0" w:color="auto"/>
            </w:tcBorders>
            <w:shd w:val="clear" w:color="auto" w:fill="auto"/>
            <w:hideMark/>
          </w:tcPr>
          <w:p w14:paraId="164BA1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76A68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E0BBA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8AD6B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5D2D4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9E2E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7BB7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4CF4C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56D6F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81EB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2C781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0898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C2AD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F4CEEB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2DA479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dominance_1</w:t>
            </w:r>
          </w:p>
        </w:tc>
        <w:tc>
          <w:tcPr>
            <w:tcW w:w="0" w:type="auto"/>
            <w:tcBorders>
              <w:top w:val="nil"/>
              <w:left w:val="nil"/>
              <w:bottom w:val="single" w:sz="4" w:space="0" w:color="auto"/>
              <w:right w:val="single" w:sz="4" w:space="0" w:color="auto"/>
            </w:tcBorders>
            <w:shd w:val="clear" w:color="auto" w:fill="auto"/>
            <w:hideMark/>
          </w:tcPr>
          <w:p w14:paraId="4AFA7D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BAB4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ADE4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15D4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919E4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70FF0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0.732</w:t>
            </w:r>
          </w:p>
        </w:tc>
        <w:tc>
          <w:tcPr>
            <w:tcW w:w="0" w:type="auto"/>
            <w:tcBorders>
              <w:top w:val="nil"/>
              <w:left w:val="nil"/>
              <w:bottom w:val="single" w:sz="4" w:space="0" w:color="auto"/>
              <w:right w:val="single" w:sz="4" w:space="0" w:color="auto"/>
            </w:tcBorders>
            <w:shd w:val="clear" w:color="auto" w:fill="auto"/>
            <w:hideMark/>
          </w:tcPr>
          <w:p w14:paraId="07F485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B4ACD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058AC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DA80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73FDE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DFC88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1BCA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453D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5013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003DD4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928F58E"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56EE156"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dominance_2</w:t>
            </w:r>
          </w:p>
        </w:tc>
        <w:tc>
          <w:tcPr>
            <w:tcW w:w="0" w:type="auto"/>
            <w:tcBorders>
              <w:top w:val="nil"/>
              <w:left w:val="nil"/>
              <w:bottom w:val="single" w:sz="4" w:space="0" w:color="auto"/>
              <w:right w:val="single" w:sz="4" w:space="0" w:color="auto"/>
            </w:tcBorders>
            <w:shd w:val="clear" w:color="auto" w:fill="auto"/>
            <w:hideMark/>
          </w:tcPr>
          <w:p w14:paraId="59C7679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DD493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14FBD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20A3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3DA0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4AD88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0.600</w:t>
            </w:r>
          </w:p>
        </w:tc>
        <w:tc>
          <w:tcPr>
            <w:tcW w:w="0" w:type="auto"/>
            <w:tcBorders>
              <w:top w:val="nil"/>
              <w:left w:val="nil"/>
              <w:bottom w:val="single" w:sz="4" w:space="0" w:color="auto"/>
              <w:right w:val="single" w:sz="4" w:space="0" w:color="auto"/>
            </w:tcBorders>
            <w:shd w:val="clear" w:color="auto" w:fill="auto"/>
            <w:hideMark/>
          </w:tcPr>
          <w:p w14:paraId="6B629E2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59D4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314B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25D3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22763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1E80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463A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4AB7B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76E13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ABC1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07698267"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360F27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dominance_3</w:t>
            </w:r>
          </w:p>
        </w:tc>
        <w:tc>
          <w:tcPr>
            <w:tcW w:w="0" w:type="auto"/>
            <w:tcBorders>
              <w:top w:val="nil"/>
              <w:left w:val="nil"/>
              <w:bottom w:val="single" w:sz="4" w:space="0" w:color="auto"/>
              <w:right w:val="single" w:sz="4" w:space="0" w:color="auto"/>
            </w:tcBorders>
            <w:shd w:val="clear" w:color="auto" w:fill="auto"/>
            <w:hideMark/>
          </w:tcPr>
          <w:p w14:paraId="3942D40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CD536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068D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80D8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FF9B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08920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0.587</w:t>
            </w:r>
          </w:p>
        </w:tc>
        <w:tc>
          <w:tcPr>
            <w:tcW w:w="0" w:type="auto"/>
            <w:tcBorders>
              <w:top w:val="nil"/>
              <w:left w:val="nil"/>
              <w:bottom w:val="single" w:sz="4" w:space="0" w:color="auto"/>
              <w:right w:val="single" w:sz="4" w:space="0" w:color="auto"/>
            </w:tcBorders>
            <w:shd w:val="clear" w:color="auto" w:fill="auto"/>
            <w:hideMark/>
          </w:tcPr>
          <w:p w14:paraId="1ED754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D3E4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ECABA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815C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3CAC9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92C5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B01A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EA91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E9A1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D70F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B33C007"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5BC559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dominance_4</w:t>
            </w:r>
          </w:p>
        </w:tc>
        <w:tc>
          <w:tcPr>
            <w:tcW w:w="0" w:type="auto"/>
            <w:tcBorders>
              <w:top w:val="nil"/>
              <w:left w:val="nil"/>
              <w:bottom w:val="single" w:sz="4" w:space="0" w:color="auto"/>
              <w:right w:val="single" w:sz="4" w:space="0" w:color="auto"/>
            </w:tcBorders>
            <w:shd w:val="clear" w:color="auto" w:fill="auto"/>
            <w:hideMark/>
          </w:tcPr>
          <w:p w14:paraId="552DBB6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7B6E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4570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F117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2917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6F332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0.380</w:t>
            </w:r>
          </w:p>
        </w:tc>
        <w:tc>
          <w:tcPr>
            <w:tcW w:w="0" w:type="auto"/>
            <w:tcBorders>
              <w:top w:val="nil"/>
              <w:left w:val="nil"/>
              <w:bottom w:val="single" w:sz="4" w:space="0" w:color="auto"/>
              <w:right w:val="single" w:sz="4" w:space="0" w:color="auto"/>
            </w:tcBorders>
            <w:shd w:val="clear" w:color="auto" w:fill="auto"/>
            <w:hideMark/>
          </w:tcPr>
          <w:p w14:paraId="1A09F4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EDE9F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367B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9349EB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B931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BE8A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D9EBC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380E1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812A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37EA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209710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B5A8EB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dominance_5</w:t>
            </w:r>
          </w:p>
        </w:tc>
        <w:tc>
          <w:tcPr>
            <w:tcW w:w="0" w:type="auto"/>
            <w:tcBorders>
              <w:top w:val="nil"/>
              <w:left w:val="nil"/>
              <w:bottom w:val="single" w:sz="4" w:space="0" w:color="auto"/>
              <w:right w:val="single" w:sz="4" w:space="0" w:color="auto"/>
            </w:tcBorders>
            <w:shd w:val="clear" w:color="auto" w:fill="auto"/>
            <w:hideMark/>
          </w:tcPr>
          <w:p w14:paraId="4C21782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0AD4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820B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FDBA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D95F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29B72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0.108</w:t>
            </w:r>
          </w:p>
        </w:tc>
        <w:tc>
          <w:tcPr>
            <w:tcW w:w="0" w:type="auto"/>
            <w:tcBorders>
              <w:top w:val="nil"/>
              <w:left w:val="nil"/>
              <w:bottom w:val="single" w:sz="4" w:space="0" w:color="auto"/>
              <w:right w:val="single" w:sz="4" w:space="0" w:color="auto"/>
            </w:tcBorders>
            <w:shd w:val="clear" w:color="auto" w:fill="auto"/>
            <w:hideMark/>
          </w:tcPr>
          <w:p w14:paraId="1D645D7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6343B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129FC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D05F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F92B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F630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A8B17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AC65B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C5F3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25967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4835A8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F40E1D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dominance_6</w:t>
            </w:r>
          </w:p>
        </w:tc>
        <w:tc>
          <w:tcPr>
            <w:tcW w:w="0" w:type="auto"/>
            <w:tcBorders>
              <w:top w:val="nil"/>
              <w:left w:val="nil"/>
              <w:bottom w:val="single" w:sz="4" w:space="0" w:color="auto"/>
              <w:right w:val="single" w:sz="4" w:space="0" w:color="auto"/>
            </w:tcBorders>
            <w:shd w:val="clear" w:color="auto" w:fill="auto"/>
            <w:hideMark/>
          </w:tcPr>
          <w:p w14:paraId="772400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31D01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0898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C2314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E8C56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EA2BE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0.808</w:t>
            </w:r>
          </w:p>
        </w:tc>
        <w:tc>
          <w:tcPr>
            <w:tcW w:w="0" w:type="auto"/>
            <w:tcBorders>
              <w:top w:val="nil"/>
              <w:left w:val="nil"/>
              <w:bottom w:val="single" w:sz="4" w:space="0" w:color="auto"/>
              <w:right w:val="single" w:sz="4" w:space="0" w:color="auto"/>
            </w:tcBorders>
            <w:shd w:val="clear" w:color="auto" w:fill="auto"/>
            <w:hideMark/>
          </w:tcPr>
          <w:p w14:paraId="57A41A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A081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958B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250C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685C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A321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37C48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7A35B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6BFAB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7D35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D11806E"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E3559E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engagement_1</w:t>
            </w:r>
          </w:p>
        </w:tc>
        <w:tc>
          <w:tcPr>
            <w:tcW w:w="0" w:type="auto"/>
            <w:tcBorders>
              <w:top w:val="nil"/>
              <w:left w:val="nil"/>
              <w:bottom w:val="single" w:sz="4" w:space="0" w:color="auto"/>
              <w:right w:val="single" w:sz="4" w:space="0" w:color="auto"/>
            </w:tcBorders>
            <w:shd w:val="clear" w:color="auto" w:fill="auto"/>
            <w:hideMark/>
          </w:tcPr>
          <w:p w14:paraId="4FC6600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5F1B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BA5B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6235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9ED2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04C35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C7871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0.500</w:t>
            </w:r>
          </w:p>
        </w:tc>
        <w:tc>
          <w:tcPr>
            <w:tcW w:w="0" w:type="auto"/>
            <w:tcBorders>
              <w:top w:val="nil"/>
              <w:left w:val="nil"/>
              <w:bottom w:val="single" w:sz="4" w:space="0" w:color="auto"/>
              <w:right w:val="single" w:sz="4" w:space="0" w:color="auto"/>
            </w:tcBorders>
            <w:shd w:val="clear" w:color="auto" w:fill="auto"/>
            <w:hideMark/>
          </w:tcPr>
          <w:p w14:paraId="3F95B7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BCBDC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C9899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AFF0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ACE9F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990C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931D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ECD7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167E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376292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378C65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engagement_2</w:t>
            </w:r>
          </w:p>
        </w:tc>
        <w:tc>
          <w:tcPr>
            <w:tcW w:w="0" w:type="auto"/>
            <w:tcBorders>
              <w:top w:val="nil"/>
              <w:left w:val="nil"/>
              <w:bottom w:val="single" w:sz="4" w:space="0" w:color="auto"/>
              <w:right w:val="single" w:sz="4" w:space="0" w:color="auto"/>
            </w:tcBorders>
            <w:shd w:val="clear" w:color="auto" w:fill="auto"/>
            <w:hideMark/>
          </w:tcPr>
          <w:p w14:paraId="2B5EC5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D68E5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2006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B308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4E58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1B1AD6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553436"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0.743</w:t>
            </w:r>
          </w:p>
        </w:tc>
        <w:tc>
          <w:tcPr>
            <w:tcW w:w="0" w:type="auto"/>
            <w:tcBorders>
              <w:top w:val="nil"/>
              <w:left w:val="nil"/>
              <w:bottom w:val="single" w:sz="4" w:space="0" w:color="auto"/>
              <w:right w:val="single" w:sz="4" w:space="0" w:color="auto"/>
            </w:tcBorders>
            <w:shd w:val="clear" w:color="auto" w:fill="auto"/>
            <w:hideMark/>
          </w:tcPr>
          <w:p w14:paraId="67C0CA8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260E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0F622B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9E114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09D2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D755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0A5A1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302C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1DACA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87AE07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714F7B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engagement_3</w:t>
            </w:r>
          </w:p>
        </w:tc>
        <w:tc>
          <w:tcPr>
            <w:tcW w:w="0" w:type="auto"/>
            <w:tcBorders>
              <w:top w:val="nil"/>
              <w:left w:val="nil"/>
              <w:bottom w:val="single" w:sz="4" w:space="0" w:color="auto"/>
              <w:right w:val="single" w:sz="4" w:space="0" w:color="auto"/>
            </w:tcBorders>
            <w:shd w:val="clear" w:color="auto" w:fill="auto"/>
            <w:hideMark/>
          </w:tcPr>
          <w:p w14:paraId="5A6FCC5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FF33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276AF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39D2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5A96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569F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211C0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0.892</w:t>
            </w:r>
          </w:p>
        </w:tc>
        <w:tc>
          <w:tcPr>
            <w:tcW w:w="0" w:type="auto"/>
            <w:tcBorders>
              <w:top w:val="nil"/>
              <w:left w:val="nil"/>
              <w:bottom w:val="single" w:sz="4" w:space="0" w:color="auto"/>
              <w:right w:val="single" w:sz="4" w:space="0" w:color="auto"/>
            </w:tcBorders>
            <w:shd w:val="clear" w:color="auto" w:fill="auto"/>
            <w:hideMark/>
          </w:tcPr>
          <w:p w14:paraId="543E067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8C25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97F5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B5DC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CAA6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716EE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B8EB0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1DB0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0A195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538532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D022878"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engagement_4</w:t>
            </w:r>
          </w:p>
        </w:tc>
        <w:tc>
          <w:tcPr>
            <w:tcW w:w="0" w:type="auto"/>
            <w:tcBorders>
              <w:top w:val="nil"/>
              <w:left w:val="nil"/>
              <w:bottom w:val="single" w:sz="4" w:space="0" w:color="auto"/>
              <w:right w:val="single" w:sz="4" w:space="0" w:color="auto"/>
            </w:tcBorders>
            <w:shd w:val="clear" w:color="auto" w:fill="auto"/>
            <w:hideMark/>
          </w:tcPr>
          <w:p w14:paraId="16D76B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3EE4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E1CBB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500C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FBB9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1995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83F4D0"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0.877</w:t>
            </w:r>
          </w:p>
        </w:tc>
        <w:tc>
          <w:tcPr>
            <w:tcW w:w="0" w:type="auto"/>
            <w:tcBorders>
              <w:top w:val="nil"/>
              <w:left w:val="nil"/>
              <w:bottom w:val="single" w:sz="4" w:space="0" w:color="auto"/>
              <w:right w:val="single" w:sz="4" w:space="0" w:color="auto"/>
            </w:tcBorders>
            <w:shd w:val="clear" w:color="auto" w:fill="auto"/>
            <w:hideMark/>
          </w:tcPr>
          <w:p w14:paraId="3753BC4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6B05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BED6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2BF5B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7E0DC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E349D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954A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487E5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24BB7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F4B579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CDA6B8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expertise_1</w:t>
            </w:r>
          </w:p>
        </w:tc>
        <w:tc>
          <w:tcPr>
            <w:tcW w:w="0" w:type="auto"/>
            <w:tcBorders>
              <w:top w:val="nil"/>
              <w:left w:val="nil"/>
              <w:bottom w:val="single" w:sz="4" w:space="0" w:color="auto"/>
              <w:right w:val="single" w:sz="4" w:space="0" w:color="auto"/>
            </w:tcBorders>
            <w:shd w:val="clear" w:color="auto" w:fill="auto"/>
            <w:hideMark/>
          </w:tcPr>
          <w:p w14:paraId="325C507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88D6E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AA242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03AC9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562C4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EDBD9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8F383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6CD1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BD53A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0.885</w:t>
            </w:r>
          </w:p>
        </w:tc>
        <w:tc>
          <w:tcPr>
            <w:tcW w:w="0" w:type="auto"/>
            <w:tcBorders>
              <w:top w:val="nil"/>
              <w:left w:val="nil"/>
              <w:bottom w:val="single" w:sz="4" w:space="0" w:color="auto"/>
              <w:right w:val="single" w:sz="4" w:space="0" w:color="auto"/>
            </w:tcBorders>
            <w:shd w:val="clear" w:color="auto" w:fill="auto"/>
            <w:hideMark/>
          </w:tcPr>
          <w:p w14:paraId="353FD5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F394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8C14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0AA2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177E1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B4CDE7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F0073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24BE1E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86B7AA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expertise_2</w:t>
            </w:r>
          </w:p>
        </w:tc>
        <w:tc>
          <w:tcPr>
            <w:tcW w:w="0" w:type="auto"/>
            <w:tcBorders>
              <w:top w:val="nil"/>
              <w:left w:val="nil"/>
              <w:bottom w:val="single" w:sz="4" w:space="0" w:color="auto"/>
              <w:right w:val="single" w:sz="4" w:space="0" w:color="auto"/>
            </w:tcBorders>
            <w:shd w:val="clear" w:color="auto" w:fill="auto"/>
            <w:hideMark/>
          </w:tcPr>
          <w:p w14:paraId="7E4DCA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6E2FD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2E848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A004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DC055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C6C70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CF51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675DA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81091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0.936</w:t>
            </w:r>
          </w:p>
        </w:tc>
        <w:tc>
          <w:tcPr>
            <w:tcW w:w="0" w:type="auto"/>
            <w:tcBorders>
              <w:top w:val="nil"/>
              <w:left w:val="nil"/>
              <w:bottom w:val="single" w:sz="4" w:space="0" w:color="auto"/>
              <w:right w:val="single" w:sz="4" w:space="0" w:color="auto"/>
            </w:tcBorders>
            <w:shd w:val="clear" w:color="auto" w:fill="auto"/>
            <w:hideMark/>
          </w:tcPr>
          <w:p w14:paraId="17478C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F74A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EA47C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CFCAD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A6AE5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7B3D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03DD4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4EC595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44253181"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expertise_3</w:t>
            </w:r>
          </w:p>
        </w:tc>
        <w:tc>
          <w:tcPr>
            <w:tcW w:w="0" w:type="auto"/>
            <w:tcBorders>
              <w:top w:val="nil"/>
              <w:left w:val="nil"/>
              <w:bottom w:val="single" w:sz="4" w:space="0" w:color="auto"/>
              <w:right w:val="single" w:sz="4" w:space="0" w:color="auto"/>
            </w:tcBorders>
            <w:shd w:val="clear" w:color="auto" w:fill="auto"/>
            <w:hideMark/>
          </w:tcPr>
          <w:p w14:paraId="61E907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D605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9DD5D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2096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34FC5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C0B8C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7D35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75C5F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37AA7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0.913</w:t>
            </w:r>
          </w:p>
        </w:tc>
        <w:tc>
          <w:tcPr>
            <w:tcW w:w="0" w:type="auto"/>
            <w:tcBorders>
              <w:top w:val="nil"/>
              <w:left w:val="nil"/>
              <w:bottom w:val="single" w:sz="4" w:space="0" w:color="auto"/>
              <w:right w:val="single" w:sz="4" w:space="0" w:color="auto"/>
            </w:tcBorders>
            <w:shd w:val="clear" w:color="auto" w:fill="auto"/>
            <w:hideMark/>
          </w:tcPr>
          <w:p w14:paraId="43941B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E2ABA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DF91D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E9AD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A7940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E620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7191A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1C5365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A2BB9D0"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expertise_4</w:t>
            </w:r>
          </w:p>
        </w:tc>
        <w:tc>
          <w:tcPr>
            <w:tcW w:w="0" w:type="auto"/>
            <w:tcBorders>
              <w:top w:val="nil"/>
              <w:left w:val="nil"/>
              <w:bottom w:val="single" w:sz="4" w:space="0" w:color="auto"/>
              <w:right w:val="single" w:sz="4" w:space="0" w:color="auto"/>
            </w:tcBorders>
            <w:shd w:val="clear" w:color="auto" w:fill="auto"/>
            <w:hideMark/>
          </w:tcPr>
          <w:p w14:paraId="5A8459A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6FFD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4FEF2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967C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263EA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3EA6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806CB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BD76D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9BB8E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0.914</w:t>
            </w:r>
          </w:p>
        </w:tc>
        <w:tc>
          <w:tcPr>
            <w:tcW w:w="0" w:type="auto"/>
            <w:tcBorders>
              <w:top w:val="nil"/>
              <w:left w:val="nil"/>
              <w:bottom w:val="single" w:sz="4" w:space="0" w:color="auto"/>
              <w:right w:val="single" w:sz="4" w:space="0" w:color="auto"/>
            </w:tcBorders>
            <w:shd w:val="clear" w:color="auto" w:fill="auto"/>
            <w:hideMark/>
          </w:tcPr>
          <w:p w14:paraId="0B1113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1AFFA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BCE2E8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DC368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25B7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0E174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9FD54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E3AA1C3"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5C2A0F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expertise_5</w:t>
            </w:r>
          </w:p>
        </w:tc>
        <w:tc>
          <w:tcPr>
            <w:tcW w:w="0" w:type="auto"/>
            <w:tcBorders>
              <w:top w:val="nil"/>
              <w:left w:val="nil"/>
              <w:bottom w:val="single" w:sz="4" w:space="0" w:color="auto"/>
              <w:right w:val="single" w:sz="4" w:space="0" w:color="auto"/>
            </w:tcBorders>
            <w:shd w:val="clear" w:color="auto" w:fill="auto"/>
            <w:hideMark/>
          </w:tcPr>
          <w:p w14:paraId="26A6ED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F77D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90B8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F709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286B1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A197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31147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EB6D9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D797C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0.917</w:t>
            </w:r>
          </w:p>
        </w:tc>
        <w:tc>
          <w:tcPr>
            <w:tcW w:w="0" w:type="auto"/>
            <w:tcBorders>
              <w:top w:val="nil"/>
              <w:left w:val="nil"/>
              <w:bottom w:val="single" w:sz="4" w:space="0" w:color="auto"/>
              <w:right w:val="single" w:sz="4" w:space="0" w:color="auto"/>
            </w:tcBorders>
            <w:shd w:val="clear" w:color="auto" w:fill="auto"/>
            <w:hideMark/>
          </w:tcPr>
          <w:p w14:paraId="3EE5FB3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E4467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707E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B984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24A18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5615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767A3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7A5A2B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A5C8842"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info_1</w:t>
            </w:r>
          </w:p>
        </w:tc>
        <w:tc>
          <w:tcPr>
            <w:tcW w:w="0" w:type="auto"/>
            <w:tcBorders>
              <w:top w:val="nil"/>
              <w:left w:val="nil"/>
              <w:bottom w:val="single" w:sz="4" w:space="0" w:color="auto"/>
              <w:right w:val="single" w:sz="4" w:space="0" w:color="auto"/>
            </w:tcBorders>
            <w:shd w:val="clear" w:color="auto" w:fill="auto"/>
            <w:hideMark/>
          </w:tcPr>
          <w:p w14:paraId="7AE444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2BDF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22F6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4713F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1D5B52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92C1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10780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D9AFB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35B2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014DE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1568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677B82"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0.792</w:t>
            </w:r>
          </w:p>
        </w:tc>
        <w:tc>
          <w:tcPr>
            <w:tcW w:w="0" w:type="auto"/>
            <w:tcBorders>
              <w:top w:val="nil"/>
              <w:left w:val="nil"/>
              <w:bottom w:val="single" w:sz="4" w:space="0" w:color="auto"/>
              <w:right w:val="single" w:sz="4" w:space="0" w:color="auto"/>
            </w:tcBorders>
            <w:shd w:val="clear" w:color="auto" w:fill="auto"/>
            <w:hideMark/>
          </w:tcPr>
          <w:p w14:paraId="2FF9E63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02C5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58AAB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9AE7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25D123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86046FB"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info_2</w:t>
            </w:r>
          </w:p>
        </w:tc>
        <w:tc>
          <w:tcPr>
            <w:tcW w:w="0" w:type="auto"/>
            <w:tcBorders>
              <w:top w:val="nil"/>
              <w:left w:val="nil"/>
              <w:bottom w:val="single" w:sz="4" w:space="0" w:color="auto"/>
              <w:right w:val="single" w:sz="4" w:space="0" w:color="auto"/>
            </w:tcBorders>
            <w:shd w:val="clear" w:color="auto" w:fill="auto"/>
            <w:hideMark/>
          </w:tcPr>
          <w:p w14:paraId="508FF8B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45E6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B595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341CA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F0F4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E61FF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64AE7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8577A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4CF2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EDC9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631CA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4F1D71"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0.745</w:t>
            </w:r>
          </w:p>
        </w:tc>
        <w:tc>
          <w:tcPr>
            <w:tcW w:w="0" w:type="auto"/>
            <w:tcBorders>
              <w:top w:val="nil"/>
              <w:left w:val="nil"/>
              <w:bottom w:val="single" w:sz="4" w:space="0" w:color="auto"/>
              <w:right w:val="single" w:sz="4" w:space="0" w:color="auto"/>
            </w:tcBorders>
            <w:shd w:val="clear" w:color="auto" w:fill="auto"/>
            <w:hideMark/>
          </w:tcPr>
          <w:p w14:paraId="08294B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48D43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02D7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23F43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5A0504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79083D9"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info_3</w:t>
            </w:r>
          </w:p>
        </w:tc>
        <w:tc>
          <w:tcPr>
            <w:tcW w:w="0" w:type="auto"/>
            <w:tcBorders>
              <w:top w:val="nil"/>
              <w:left w:val="nil"/>
              <w:bottom w:val="single" w:sz="4" w:space="0" w:color="auto"/>
              <w:right w:val="single" w:sz="4" w:space="0" w:color="auto"/>
            </w:tcBorders>
            <w:shd w:val="clear" w:color="auto" w:fill="auto"/>
            <w:hideMark/>
          </w:tcPr>
          <w:p w14:paraId="5E1EFAB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84307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45239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73658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0B71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1B37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3F10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64AA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E88A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07CD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5F07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B6B1A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0.891</w:t>
            </w:r>
          </w:p>
        </w:tc>
        <w:tc>
          <w:tcPr>
            <w:tcW w:w="0" w:type="auto"/>
            <w:tcBorders>
              <w:top w:val="nil"/>
              <w:left w:val="nil"/>
              <w:bottom w:val="single" w:sz="4" w:space="0" w:color="auto"/>
              <w:right w:val="single" w:sz="4" w:space="0" w:color="auto"/>
            </w:tcBorders>
            <w:shd w:val="clear" w:color="auto" w:fill="auto"/>
            <w:hideMark/>
          </w:tcPr>
          <w:p w14:paraId="78CAEF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63F6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ECA4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E678D3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2D98BDD"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023414C7"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invlv_1</w:t>
            </w:r>
          </w:p>
        </w:tc>
        <w:tc>
          <w:tcPr>
            <w:tcW w:w="0" w:type="auto"/>
            <w:tcBorders>
              <w:top w:val="nil"/>
              <w:left w:val="nil"/>
              <w:bottom w:val="single" w:sz="4" w:space="0" w:color="auto"/>
              <w:right w:val="single" w:sz="4" w:space="0" w:color="auto"/>
            </w:tcBorders>
            <w:shd w:val="clear" w:color="auto" w:fill="auto"/>
            <w:hideMark/>
          </w:tcPr>
          <w:p w14:paraId="230DC2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DD296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8B4F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7D98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3F78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FAD2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58EC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852BE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F198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82BB6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5CBCE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C6E8B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DB952A"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0.825</w:t>
            </w:r>
          </w:p>
        </w:tc>
        <w:tc>
          <w:tcPr>
            <w:tcW w:w="0" w:type="auto"/>
            <w:tcBorders>
              <w:top w:val="nil"/>
              <w:left w:val="nil"/>
              <w:bottom w:val="single" w:sz="4" w:space="0" w:color="auto"/>
              <w:right w:val="single" w:sz="4" w:space="0" w:color="auto"/>
            </w:tcBorders>
            <w:shd w:val="clear" w:color="auto" w:fill="auto"/>
            <w:hideMark/>
          </w:tcPr>
          <w:p w14:paraId="1BF66B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91DDD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F8DA4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63A5998"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ED7631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invlv_10</w:t>
            </w:r>
          </w:p>
        </w:tc>
        <w:tc>
          <w:tcPr>
            <w:tcW w:w="0" w:type="auto"/>
            <w:tcBorders>
              <w:top w:val="nil"/>
              <w:left w:val="nil"/>
              <w:bottom w:val="single" w:sz="4" w:space="0" w:color="auto"/>
              <w:right w:val="single" w:sz="4" w:space="0" w:color="auto"/>
            </w:tcBorders>
            <w:shd w:val="clear" w:color="auto" w:fill="auto"/>
            <w:hideMark/>
          </w:tcPr>
          <w:p w14:paraId="68025AD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63443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3BE91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69D0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68F59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A341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06788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4C038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303C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88B25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2DDB6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47535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55F92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0.816</w:t>
            </w:r>
          </w:p>
        </w:tc>
        <w:tc>
          <w:tcPr>
            <w:tcW w:w="0" w:type="auto"/>
            <w:tcBorders>
              <w:top w:val="nil"/>
              <w:left w:val="nil"/>
              <w:bottom w:val="single" w:sz="4" w:space="0" w:color="auto"/>
              <w:right w:val="single" w:sz="4" w:space="0" w:color="auto"/>
            </w:tcBorders>
            <w:shd w:val="clear" w:color="auto" w:fill="auto"/>
            <w:hideMark/>
          </w:tcPr>
          <w:p w14:paraId="2A44AD2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B2A1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FA0F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2522226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78BDBD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invlv_2</w:t>
            </w:r>
          </w:p>
        </w:tc>
        <w:tc>
          <w:tcPr>
            <w:tcW w:w="0" w:type="auto"/>
            <w:tcBorders>
              <w:top w:val="nil"/>
              <w:left w:val="nil"/>
              <w:bottom w:val="single" w:sz="4" w:space="0" w:color="auto"/>
              <w:right w:val="single" w:sz="4" w:space="0" w:color="auto"/>
            </w:tcBorders>
            <w:shd w:val="clear" w:color="auto" w:fill="auto"/>
            <w:hideMark/>
          </w:tcPr>
          <w:p w14:paraId="4B7D5C6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34E0B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2C1AE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11C6C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044BA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D689A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6B928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E1FE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F1D39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4FC3D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18E37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DB87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5DDAA9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0.863</w:t>
            </w:r>
          </w:p>
        </w:tc>
        <w:tc>
          <w:tcPr>
            <w:tcW w:w="0" w:type="auto"/>
            <w:tcBorders>
              <w:top w:val="nil"/>
              <w:left w:val="nil"/>
              <w:bottom w:val="single" w:sz="4" w:space="0" w:color="auto"/>
              <w:right w:val="single" w:sz="4" w:space="0" w:color="auto"/>
            </w:tcBorders>
            <w:shd w:val="clear" w:color="auto" w:fill="auto"/>
            <w:hideMark/>
          </w:tcPr>
          <w:p w14:paraId="23E6CD4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85F10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211EF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2AB451D1"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98F282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invlv_3</w:t>
            </w:r>
          </w:p>
        </w:tc>
        <w:tc>
          <w:tcPr>
            <w:tcW w:w="0" w:type="auto"/>
            <w:tcBorders>
              <w:top w:val="nil"/>
              <w:left w:val="nil"/>
              <w:bottom w:val="single" w:sz="4" w:space="0" w:color="auto"/>
              <w:right w:val="single" w:sz="4" w:space="0" w:color="auto"/>
            </w:tcBorders>
            <w:shd w:val="clear" w:color="auto" w:fill="auto"/>
            <w:hideMark/>
          </w:tcPr>
          <w:p w14:paraId="7405473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8A3F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BBC3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94E76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139F0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C87BE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4614C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97D14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43CF4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74C6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FF468B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E626C6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E68F08"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0.779</w:t>
            </w:r>
          </w:p>
        </w:tc>
        <w:tc>
          <w:tcPr>
            <w:tcW w:w="0" w:type="auto"/>
            <w:tcBorders>
              <w:top w:val="nil"/>
              <w:left w:val="nil"/>
              <w:bottom w:val="single" w:sz="4" w:space="0" w:color="auto"/>
              <w:right w:val="single" w:sz="4" w:space="0" w:color="auto"/>
            </w:tcBorders>
            <w:shd w:val="clear" w:color="auto" w:fill="auto"/>
            <w:hideMark/>
          </w:tcPr>
          <w:p w14:paraId="4809DC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D4CD1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1278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62B8711"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2B37EFD"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invlv_4</w:t>
            </w:r>
          </w:p>
        </w:tc>
        <w:tc>
          <w:tcPr>
            <w:tcW w:w="0" w:type="auto"/>
            <w:tcBorders>
              <w:top w:val="nil"/>
              <w:left w:val="nil"/>
              <w:bottom w:val="single" w:sz="4" w:space="0" w:color="auto"/>
              <w:right w:val="single" w:sz="4" w:space="0" w:color="auto"/>
            </w:tcBorders>
            <w:shd w:val="clear" w:color="auto" w:fill="auto"/>
            <w:hideMark/>
          </w:tcPr>
          <w:p w14:paraId="1B1B955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3DE86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E0891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9C97BC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9E6A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56DFE4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BFD40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354D1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DBF2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8FBB55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67C5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203B4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8E350E"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0.854</w:t>
            </w:r>
          </w:p>
        </w:tc>
        <w:tc>
          <w:tcPr>
            <w:tcW w:w="0" w:type="auto"/>
            <w:tcBorders>
              <w:top w:val="nil"/>
              <w:left w:val="nil"/>
              <w:bottom w:val="single" w:sz="4" w:space="0" w:color="auto"/>
              <w:right w:val="single" w:sz="4" w:space="0" w:color="auto"/>
            </w:tcBorders>
            <w:shd w:val="clear" w:color="auto" w:fill="auto"/>
            <w:hideMark/>
          </w:tcPr>
          <w:p w14:paraId="3C9651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DBC89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04D9F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FB602F2"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EE96E0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invlv_5</w:t>
            </w:r>
          </w:p>
        </w:tc>
        <w:tc>
          <w:tcPr>
            <w:tcW w:w="0" w:type="auto"/>
            <w:tcBorders>
              <w:top w:val="nil"/>
              <w:left w:val="nil"/>
              <w:bottom w:val="single" w:sz="4" w:space="0" w:color="auto"/>
              <w:right w:val="single" w:sz="4" w:space="0" w:color="auto"/>
            </w:tcBorders>
            <w:shd w:val="clear" w:color="auto" w:fill="auto"/>
            <w:hideMark/>
          </w:tcPr>
          <w:p w14:paraId="3C2E7D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89B1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6708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2C0883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36117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484B7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883C0D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88C8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79ED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87B77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096C68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4AB82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888AB6"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0.843</w:t>
            </w:r>
          </w:p>
        </w:tc>
        <w:tc>
          <w:tcPr>
            <w:tcW w:w="0" w:type="auto"/>
            <w:tcBorders>
              <w:top w:val="nil"/>
              <w:left w:val="nil"/>
              <w:bottom w:val="single" w:sz="4" w:space="0" w:color="auto"/>
              <w:right w:val="single" w:sz="4" w:space="0" w:color="auto"/>
            </w:tcBorders>
            <w:shd w:val="clear" w:color="auto" w:fill="auto"/>
            <w:hideMark/>
          </w:tcPr>
          <w:p w14:paraId="653E45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0F696D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064C9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CEFD67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49BC49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invlv_6</w:t>
            </w:r>
          </w:p>
        </w:tc>
        <w:tc>
          <w:tcPr>
            <w:tcW w:w="0" w:type="auto"/>
            <w:tcBorders>
              <w:top w:val="nil"/>
              <w:left w:val="nil"/>
              <w:bottom w:val="single" w:sz="4" w:space="0" w:color="auto"/>
              <w:right w:val="single" w:sz="4" w:space="0" w:color="auto"/>
            </w:tcBorders>
            <w:shd w:val="clear" w:color="auto" w:fill="auto"/>
            <w:hideMark/>
          </w:tcPr>
          <w:p w14:paraId="06D0F9E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0F8C6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8A067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26BBC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FF86A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DCC28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20830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4E606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D636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E64A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0CCAB4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6D31B4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CB63B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0.794</w:t>
            </w:r>
          </w:p>
        </w:tc>
        <w:tc>
          <w:tcPr>
            <w:tcW w:w="0" w:type="auto"/>
            <w:tcBorders>
              <w:top w:val="nil"/>
              <w:left w:val="nil"/>
              <w:bottom w:val="single" w:sz="4" w:space="0" w:color="auto"/>
              <w:right w:val="single" w:sz="4" w:space="0" w:color="auto"/>
            </w:tcBorders>
            <w:shd w:val="clear" w:color="auto" w:fill="auto"/>
            <w:hideMark/>
          </w:tcPr>
          <w:p w14:paraId="24BE32C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AF1C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F04E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FE3CC30"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803697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invlv_7</w:t>
            </w:r>
          </w:p>
        </w:tc>
        <w:tc>
          <w:tcPr>
            <w:tcW w:w="0" w:type="auto"/>
            <w:tcBorders>
              <w:top w:val="nil"/>
              <w:left w:val="nil"/>
              <w:bottom w:val="single" w:sz="4" w:space="0" w:color="auto"/>
              <w:right w:val="single" w:sz="4" w:space="0" w:color="auto"/>
            </w:tcBorders>
            <w:shd w:val="clear" w:color="auto" w:fill="auto"/>
            <w:hideMark/>
          </w:tcPr>
          <w:p w14:paraId="55F2237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487F2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41CD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6686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45172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A38A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0501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20235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EF9D5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17E39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6CE6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DC644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FF0707"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0.785</w:t>
            </w:r>
          </w:p>
        </w:tc>
        <w:tc>
          <w:tcPr>
            <w:tcW w:w="0" w:type="auto"/>
            <w:tcBorders>
              <w:top w:val="nil"/>
              <w:left w:val="nil"/>
              <w:bottom w:val="single" w:sz="4" w:space="0" w:color="auto"/>
              <w:right w:val="single" w:sz="4" w:space="0" w:color="auto"/>
            </w:tcBorders>
            <w:shd w:val="clear" w:color="auto" w:fill="auto"/>
            <w:hideMark/>
          </w:tcPr>
          <w:p w14:paraId="65BD633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9446B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C69BF7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338D29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11D4CF8"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invlv_8</w:t>
            </w:r>
          </w:p>
        </w:tc>
        <w:tc>
          <w:tcPr>
            <w:tcW w:w="0" w:type="auto"/>
            <w:tcBorders>
              <w:top w:val="nil"/>
              <w:left w:val="nil"/>
              <w:bottom w:val="single" w:sz="4" w:space="0" w:color="auto"/>
              <w:right w:val="single" w:sz="4" w:space="0" w:color="auto"/>
            </w:tcBorders>
            <w:shd w:val="clear" w:color="auto" w:fill="auto"/>
            <w:hideMark/>
          </w:tcPr>
          <w:p w14:paraId="2C1E7F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109D5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71E1C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EEBBA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A29A6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0AA1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4E993D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DA3E3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9239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A4471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476E2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59CE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5A63A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0.809</w:t>
            </w:r>
          </w:p>
        </w:tc>
        <w:tc>
          <w:tcPr>
            <w:tcW w:w="0" w:type="auto"/>
            <w:tcBorders>
              <w:top w:val="nil"/>
              <w:left w:val="nil"/>
              <w:bottom w:val="single" w:sz="4" w:space="0" w:color="auto"/>
              <w:right w:val="single" w:sz="4" w:space="0" w:color="auto"/>
            </w:tcBorders>
            <w:shd w:val="clear" w:color="auto" w:fill="auto"/>
            <w:hideMark/>
          </w:tcPr>
          <w:p w14:paraId="68AE60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A6BC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B9160B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CFE52B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15F36025"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invlv_9</w:t>
            </w:r>
          </w:p>
        </w:tc>
        <w:tc>
          <w:tcPr>
            <w:tcW w:w="0" w:type="auto"/>
            <w:tcBorders>
              <w:top w:val="nil"/>
              <w:left w:val="nil"/>
              <w:bottom w:val="single" w:sz="4" w:space="0" w:color="auto"/>
              <w:right w:val="single" w:sz="4" w:space="0" w:color="auto"/>
            </w:tcBorders>
            <w:shd w:val="clear" w:color="auto" w:fill="auto"/>
            <w:hideMark/>
          </w:tcPr>
          <w:p w14:paraId="34BC1FE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0204D5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44B2F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9280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6509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248E5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75CAB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4EE3F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13A7D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41ADEA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DCE7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6A5B3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DEAF793"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0.785</w:t>
            </w:r>
          </w:p>
        </w:tc>
        <w:tc>
          <w:tcPr>
            <w:tcW w:w="0" w:type="auto"/>
            <w:tcBorders>
              <w:top w:val="nil"/>
              <w:left w:val="nil"/>
              <w:bottom w:val="single" w:sz="4" w:space="0" w:color="auto"/>
              <w:right w:val="single" w:sz="4" w:space="0" w:color="auto"/>
            </w:tcBorders>
            <w:shd w:val="clear" w:color="auto" w:fill="auto"/>
            <w:hideMark/>
          </w:tcPr>
          <w:p w14:paraId="2A2882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F1C34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27E1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4941191"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3B89983"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norm_1</w:t>
            </w:r>
          </w:p>
        </w:tc>
        <w:tc>
          <w:tcPr>
            <w:tcW w:w="0" w:type="auto"/>
            <w:tcBorders>
              <w:top w:val="nil"/>
              <w:left w:val="nil"/>
              <w:bottom w:val="single" w:sz="4" w:space="0" w:color="auto"/>
              <w:right w:val="single" w:sz="4" w:space="0" w:color="auto"/>
            </w:tcBorders>
            <w:shd w:val="clear" w:color="auto" w:fill="auto"/>
            <w:hideMark/>
          </w:tcPr>
          <w:p w14:paraId="3BE61EA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3345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7ED407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3CF04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E3D2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195AC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BD74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1C703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20A25E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5DF28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12E016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F9B16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1696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9C6CE9"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0.787</w:t>
            </w:r>
          </w:p>
        </w:tc>
        <w:tc>
          <w:tcPr>
            <w:tcW w:w="0" w:type="auto"/>
            <w:tcBorders>
              <w:top w:val="nil"/>
              <w:left w:val="nil"/>
              <w:bottom w:val="single" w:sz="4" w:space="0" w:color="auto"/>
              <w:right w:val="single" w:sz="4" w:space="0" w:color="auto"/>
            </w:tcBorders>
            <w:shd w:val="clear" w:color="auto" w:fill="auto"/>
            <w:hideMark/>
          </w:tcPr>
          <w:p w14:paraId="370AEDC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94FC7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4CFDF06"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F72CB54"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norm_2</w:t>
            </w:r>
          </w:p>
        </w:tc>
        <w:tc>
          <w:tcPr>
            <w:tcW w:w="0" w:type="auto"/>
            <w:tcBorders>
              <w:top w:val="nil"/>
              <w:left w:val="nil"/>
              <w:bottom w:val="single" w:sz="4" w:space="0" w:color="auto"/>
              <w:right w:val="single" w:sz="4" w:space="0" w:color="auto"/>
            </w:tcBorders>
            <w:shd w:val="clear" w:color="auto" w:fill="auto"/>
            <w:hideMark/>
          </w:tcPr>
          <w:p w14:paraId="71EF45A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5121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A760DA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F7E6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551A0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D5226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951C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7775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D2282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5BFF8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5665B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D3CA1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1FD2E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DB6936"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0.761</w:t>
            </w:r>
          </w:p>
        </w:tc>
        <w:tc>
          <w:tcPr>
            <w:tcW w:w="0" w:type="auto"/>
            <w:tcBorders>
              <w:top w:val="nil"/>
              <w:left w:val="nil"/>
              <w:bottom w:val="single" w:sz="4" w:space="0" w:color="auto"/>
              <w:right w:val="single" w:sz="4" w:space="0" w:color="auto"/>
            </w:tcBorders>
            <w:shd w:val="clear" w:color="auto" w:fill="auto"/>
            <w:hideMark/>
          </w:tcPr>
          <w:p w14:paraId="645FE5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F82C7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6EA44B64"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5ABCFAE"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norm_3</w:t>
            </w:r>
          </w:p>
        </w:tc>
        <w:tc>
          <w:tcPr>
            <w:tcW w:w="0" w:type="auto"/>
            <w:tcBorders>
              <w:top w:val="nil"/>
              <w:left w:val="nil"/>
              <w:bottom w:val="single" w:sz="4" w:space="0" w:color="auto"/>
              <w:right w:val="single" w:sz="4" w:space="0" w:color="auto"/>
            </w:tcBorders>
            <w:shd w:val="clear" w:color="auto" w:fill="auto"/>
            <w:hideMark/>
          </w:tcPr>
          <w:p w14:paraId="5B4B32A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E2446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966C4D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69A202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D167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8988E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570CE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2967F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2A1DC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9F494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7CC2A2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E79D47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D898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A6C787B"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0.828</w:t>
            </w:r>
          </w:p>
        </w:tc>
        <w:tc>
          <w:tcPr>
            <w:tcW w:w="0" w:type="auto"/>
            <w:tcBorders>
              <w:top w:val="nil"/>
              <w:left w:val="nil"/>
              <w:bottom w:val="single" w:sz="4" w:space="0" w:color="auto"/>
              <w:right w:val="single" w:sz="4" w:space="0" w:color="auto"/>
            </w:tcBorders>
            <w:shd w:val="clear" w:color="auto" w:fill="auto"/>
            <w:hideMark/>
          </w:tcPr>
          <w:p w14:paraId="7E56AA4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DCF23F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46A95432"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2FED3B28"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norm_4</w:t>
            </w:r>
          </w:p>
        </w:tc>
        <w:tc>
          <w:tcPr>
            <w:tcW w:w="0" w:type="auto"/>
            <w:tcBorders>
              <w:top w:val="nil"/>
              <w:left w:val="nil"/>
              <w:bottom w:val="single" w:sz="4" w:space="0" w:color="auto"/>
              <w:right w:val="single" w:sz="4" w:space="0" w:color="auto"/>
            </w:tcBorders>
            <w:shd w:val="clear" w:color="auto" w:fill="auto"/>
            <w:hideMark/>
          </w:tcPr>
          <w:p w14:paraId="3B0342E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72960F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78E80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6A0C4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6652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691D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A0274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30ED1D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93F34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E9A98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19F87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5CAA5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FFFBAA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0A8537C"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0.792</w:t>
            </w:r>
          </w:p>
        </w:tc>
        <w:tc>
          <w:tcPr>
            <w:tcW w:w="0" w:type="auto"/>
            <w:tcBorders>
              <w:top w:val="nil"/>
              <w:left w:val="nil"/>
              <w:bottom w:val="single" w:sz="4" w:space="0" w:color="auto"/>
              <w:right w:val="single" w:sz="4" w:space="0" w:color="auto"/>
            </w:tcBorders>
            <w:shd w:val="clear" w:color="auto" w:fill="auto"/>
            <w:hideMark/>
          </w:tcPr>
          <w:p w14:paraId="0497AC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9BF303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22C136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90FCE10"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norm_5</w:t>
            </w:r>
          </w:p>
        </w:tc>
        <w:tc>
          <w:tcPr>
            <w:tcW w:w="0" w:type="auto"/>
            <w:tcBorders>
              <w:top w:val="nil"/>
              <w:left w:val="nil"/>
              <w:bottom w:val="single" w:sz="4" w:space="0" w:color="auto"/>
              <w:right w:val="single" w:sz="4" w:space="0" w:color="auto"/>
            </w:tcBorders>
            <w:shd w:val="clear" w:color="auto" w:fill="auto"/>
            <w:hideMark/>
          </w:tcPr>
          <w:p w14:paraId="1E613C1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4B170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BE09E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F8ED7E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5FCC15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91B79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3DE4D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A81E29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3DF129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FD8691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439F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93B477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23181B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04A0906"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0.832</w:t>
            </w:r>
          </w:p>
        </w:tc>
        <w:tc>
          <w:tcPr>
            <w:tcW w:w="0" w:type="auto"/>
            <w:tcBorders>
              <w:top w:val="nil"/>
              <w:left w:val="nil"/>
              <w:bottom w:val="single" w:sz="4" w:space="0" w:color="auto"/>
              <w:right w:val="single" w:sz="4" w:space="0" w:color="auto"/>
            </w:tcBorders>
            <w:shd w:val="clear" w:color="auto" w:fill="auto"/>
            <w:hideMark/>
          </w:tcPr>
          <w:p w14:paraId="3348DF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C0A2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38E2BACE"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5FF1BF4B"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pleasure_1</w:t>
            </w:r>
          </w:p>
        </w:tc>
        <w:tc>
          <w:tcPr>
            <w:tcW w:w="0" w:type="auto"/>
            <w:tcBorders>
              <w:top w:val="nil"/>
              <w:left w:val="nil"/>
              <w:bottom w:val="single" w:sz="4" w:space="0" w:color="auto"/>
              <w:right w:val="single" w:sz="4" w:space="0" w:color="auto"/>
            </w:tcBorders>
            <w:shd w:val="clear" w:color="auto" w:fill="auto"/>
            <w:hideMark/>
          </w:tcPr>
          <w:p w14:paraId="58448E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25CBF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A0ECFF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54D45F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083068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D9D458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81FF0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216A1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EEBC5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BBDE8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5485C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9C3D7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EEDDD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DC1524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C7D5697"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0.879</w:t>
            </w:r>
          </w:p>
        </w:tc>
        <w:tc>
          <w:tcPr>
            <w:tcW w:w="0" w:type="auto"/>
            <w:tcBorders>
              <w:top w:val="nil"/>
              <w:left w:val="nil"/>
              <w:bottom w:val="single" w:sz="4" w:space="0" w:color="auto"/>
              <w:right w:val="single" w:sz="4" w:space="0" w:color="auto"/>
            </w:tcBorders>
            <w:shd w:val="clear" w:color="auto" w:fill="auto"/>
            <w:hideMark/>
          </w:tcPr>
          <w:p w14:paraId="3F6FA39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5572CC89"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D255576"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pleasure_2</w:t>
            </w:r>
          </w:p>
        </w:tc>
        <w:tc>
          <w:tcPr>
            <w:tcW w:w="0" w:type="auto"/>
            <w:tcBorders>
              <w:top w:val="nil"/>
              <w:left w:val="nil"/>
              <w:bottom w:val="single" w:sz="4" w:space="0" w:color="auto"/>
              <w:right w:val="single" w:sz="4" w:space="0" w:color="auto"/>
            </w:tcBorders>
            <w:shd w:val="clear" w:color="auto" w:fill="auto"/>
            <w:hideMark/>
          </w:tcPr>
          <w:p w14:paraId="4C4C8DE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FEC781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C8B5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7F7D9D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A6D661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1F2A81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5287B5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D10766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9BE17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24FF4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461FBFF"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0D17C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755818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6573B9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B96BD8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0.889</w:t>
            </w:r>
          </w:p>
        </w:tc>
        <w:tc>
          <w:tcPr>
            <w:tcW w:w="0" w:type="auto"/>
            <w:tcBorders>
              <w:top w:val="nil"/>
              <w:left w:val="nil"/>
              <w:bottom w:val="single" w:sz="4" w:space="0" w:color="auto"/>
              <w:right w:val="single" w:sz="4" w:space="0" w:color="auto"/>
            </w:tcBorders>
            <w:shd w:val="clear" w:color="auto" w:fill="auto"/>
            <w:hideMark/>
          </w:tcPr>
          <w:p w14:paraId="50F155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7C5F4C6C"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301D894C"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pleasure_3</w:t>
            </w:r>
          </w:p>
        </w:tc>
        <w:tc>
          <w:tcPr>
            <w:tcW w:w="0" w:type="auto"/>
            <w:tcBorders>
              <w:top w:val="nil"/>
              <w:left w:val="nil"/>
              <w:bottom w:val="single" w:sz="4" w:space="0" w:color="auto"/>
              <w:right w:val="single" w:sz="4" w:space="0" w:color="auto"/>
            </w:tcBorders>
            <w:shd w:val="clear" w:color="auto" w:fill="auto"/>
            <w:hideMark/>
          </w:tcPr>
          <w:p w14:paraId="7829072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904DF4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F76F5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177BC7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986FDB9"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C074D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44FB67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11718C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1EF47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49484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0BCEEFD"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B2926C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4C20D2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37EFE4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9EE190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0.866</w:t>
            </w:r>
          </w:p>
        </w:tc>
        <w:tc>
          <w:tcPr>
            <w:tcW w:w="0" w:type="auto"/>
            <w:tcBorders>
              <w:top w:val="nil"/>
              <w:left w:val="nil"/>
              <w:bottom w:val="single" w:sz="4" w:space="0" w:color="auto"/>
              <w:right w:val="single" w:sz="4" w:space="0" w:color="auto"/>
            </w:tcBorders>
            <w:shd w:val="clear" w:color="auto" w:fill="auto"/>
            <w:hideMark/>
          </w:tcPr>
          <w:p w14:paraId="2E43DC1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7C8590B"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6F03C4EA"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pleasure_4</w:t>
            </w:r>
          </w:p>
        </w:tc>
        <w:tc>
          <w:tcPr>
            <w:tcW w:w="0" w:type="auto"/>
            <w:tcBorders>
              <w:top w:val="nil"/>
              <w:left w:val="nil"/>
              <w:bottom w:val="single" w:sz="4" w:space="0" w:color="auto"/>
              <w:right w:val="single" w:sz="4" w:space="0" w:color="auto"/>
            </w:tcBorders>
            <w:shd w:val="clear" w:color="auto" w:fill="auto"/>
            <w:hideMark/>
          </w:tcPr>
          <w:p w14:paraId="7EA6449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BA2FB66"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6935318"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CE78DC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A3788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F8CC0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5BAC39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8ED208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051A1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AC65EF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735DA3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01112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BFCB0BB"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814D76A"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98E37D"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0.813</w:t>
            </w:r>
          </w:p>
        </w:tc>
        <w:tc>
          <w:tcPr>
            <w:tcW w:w="0" w:type="auto"/>
            <w:tcBorders>
              <w:top w:val="nil"/>
              <w:left w:val="nil"/>
              <w:bottom w:val="single" w:sz="4" w:space="0" w:color="auto"/>
              <w:right w:val="single" w:sz="4" w:space="0" w:color="auto"/>
            </w:tcBorders>
            <w:shd w:val="clear" w:color="auto" w:fill="auto"/>
            <w:hideMark/>
          </w:tcPr>
          <w:p w14:paraId="2E5BEE0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r w:rsidR="00DF264A" w:rsidRPr="00EC4C93" w14:paraId="1D1423F1" w14:textId="77777777" w:rsidTr="00A62C5B">
        <w:trPr>
          <w:trHeight w:val="300"/>
        </w:trPr>
        <w:tc>
          <w:tcPr>
            <w:tcW w:w="0" w:type="auto"/>
            <w:tcBorders>
              <w:top w:val="nil"/>
              <w:left w:val="single" w:sz="4" w:space="0" w:color="auto"/>
              <w:bottom w:val="single" w:sz="4" w:space="0" w:color="auto"/>
              <w:right w:val="single" w:sz="4" w:space="0" w:color="auto"/>
            </w:tcBorders>
            <w:shd w:val="clear" w:color="000000" w:fill="555555"/>
            <w:hideMark/>
          </w:tcPr>
          <w:p w14:paraId="7C0CB92F" w14:textId="77777777" w:rsidR="00DF264A" w:rsidRPr="00BF7732" w:rsidRDefault="00DF264A" w:rsidP="00A62C5B">
            <w:pPr>
              <w:spacing w:after="0" w:line="240" w:lineRule="auto"/>
              <w:rPr>
                <w:rFonts w:ascii="Calibri" w:eastAsia="Times New Roman" w:hAnsi="Calibri" w:cs="Calibri"/>
                <w:color w:val="FFFFFF" w:themeColor="background1"/>
                <w:sz w:val="20"/>
                <w:szCs w:val="20"/>
                <w:lang w:eastAsia="en-GB"/>
              </w:rPr>
            </w:pPr>
            <w:r w:rsidRPr="00BF7732">
              <w:rPr>
                <w:rFonts w:ascii="Calibri" w:eastAsia="Times New Roman" w:hAnsi="Calibri" w:cs="Calibri"/>
                <w:color w:val="FFFFFF" w:themeColor="background1"/>
                <w:sz w:val="20"/>
                <w:szCs w:val="20"/>
                <w:lang w:eastAsia="en-GB"/>
              </w:rPr>
              <w:t>pleasure_5</w:t>
            </w:r>
          </w:p>
        </w:tc>
        <w:tc>
          <w:tcPr>
            <w:tcW w:w="0" w:type="auto"/>
            <w:tcBorders>
              <w:top w:val="nil"/>
              <w:left w:val="nil"/>
              <w:bottom w:val="single" w:sz="4" w:space="0" w:color="auto"/>
              <w:right w:val="single" w:sz="4" w:space="0" w:color="auto"/>
            </w:tcBorders>
            <w:shd w:val="clear" w:color="auto" w:fill="auto"/>
            <w:hideMark/>
          </w:tcPr>
          <w:p w14:paraId="0F29372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B35055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C19D8D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6A02625"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8E406E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EEA6F6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2C01922"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E91040C"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C54F9E7"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303FFF1"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7E7F1E"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EDF6F13"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CB5093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82E55C0"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49C5C05" w14:textId="77777777" w:rsidR="00DF264A" w:rsidRPr="00BF7732" w:rsidRDefault="00DF264A" w:rsidP="00A62C5B">
            <w:pPr>
              <w:spacing w:after="0" w:line="240" w:lineRule="auto"/>
              <w:jc w:val="right"/>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0.835</w:t>
            </w:r>
          </w:p>
        </w:tc>
        <w:tc>
          <w:tcPr>
            <w:tcW w:w="0" w:type="auto"/>
            <w:tcBorders>
              <w:top w:val="nil"/>
              <w:left w:val="nil"/>
              <w:bottom w:val="single" w:sz="4" w:space="0" w:color="auto"/>
              <w:right w:val="single" w:sz="4" w:space="0" w:color="auto"/>
            </w:tcBorders>
            <w:shd w:val="clear" w:color="auto" w:fill="auto"/>
            <w:hideMark/>
          </w:tcPr>
          <w:p w14:paraId="2D8331A4" w14:textId="77777777" w:rsidR="00DF264A" w:rsidRPr="00BF7732" w:rsidRDefault="00DF264A" w:rsidP="00A62C5B">
            <w:pPr>
              <w:spacing w:after="0" w:line="240" w:lineRule="auto"/>
              <w:rPr>
                <w:rFonts w:ascii="Calibri" w:eastAsia="Times New Roman" w:hAnsi="Calibri" w:cs="Calibri"/>
                <w:sz w:val="20"/>
                <w:szCs w:val="20"/>
                <w:lang w:eastAsia="en-GB"/>
              </w:rPr>
            </w:pPr>
            <w:r w:rsidRPr="00BF7732">
              <w:rPr>
                <w:rFonts w:ascii="Calibri" w:eastAsia="Times New Roman" w:hAnsi="Calibri" w:cs="Calibri"/>
                <w:sz w:val="20"/>
                <w:szCs w:val="20"/>
                <w:lang w:eastAsia="en-GB"/>
              </w:rPr>
              <w:t> </w:t>
            </w:r>
          </w:p>
        </w:tc>
      </w:tr>
    </w:tbl>
    <w:p w14:paraId="28B39358" w14:textId="77777777" w:rsidR="00DF264A" w:rsidRDefault="00DF264A" w:rsidP="00DF264A">
      <w:pPr>
        <w:spacing w:line="259" w:lineRule="auto"/>
        <w:rPr>
          <w:rFonts w:ascii="Cambria" w:hAnsi="Cambria"/>
          <w:color w:val="538135" w:themeColor="accent6" w:themeShade="BF"/>
          <w:sz w:val="24"/>
          <w:szCs w:val="24"/>
        </w:rPr>
        <w:sectPr w:rsidR="00DF264A" w:rsidSect="00497042">
          <w:pgSz w:w="16838" w:h="11906" w:orient="landscape"/>
          <w:pgMar w:top="1440" w:right="1440" w:bottom="1440" w:left="1440" w:header="709" w:footer="709" w:gutter="0"/>
          <w:cols w:space="708"/>
          <w:docGrid w:linePitch="360"/>
        </w:sectPr>
      </w:pPr>
    </w:p>
    <w:p w14:paraId="6EF9B1E1" w14:textId="77777777" w:rsidR="00DF264A" w:rsidRDefault="00DF264A" w:rsidP="00DF264A"/>
    <w:p w14:paraId="70B739FD" w14:textId="60DEA687" w:rsidR="0006259C" w:rsidRDefault="0006259C" w:rsidP="00DF264A">
      <w:r>
        <w:t xml:space="preserve">Cross loading </w:t>
      </w:r>
    </w:p>
    <w:tbl>
      <w:tblPr>
        <w:tblW w:w="0" w:type="auto"/>
        <w:tblCellMar>
          <w:left w:w="0" w:type="dxa"/>
          <w:right w:w="0" w:type="dxa"/>
        </w:tblCellMar>
        <w:tblLook w:val="04A0" w:firstRow="1" w:lastRow="0" w:firstColumn="1" w:lastColumn="0" w:noHBand="0" w:noVBand="1"/>
      </w:tblPr>
      <w:tblGrid>
        <w:gridCol w:w="1887"/>
        <w:gridCol w:w="626"/>
        <w:gridCol w:w="836"/>
        <w:gridCol w:w="752"/>
        <w:gridCol w:w="528"/>
        <w:gridCol w:w="663"/>
        <w:gridCol w:w="917"/>
        <w:gridCol w:w="1030"/>
        <w:gridCol w:w="1072"/>
        <w:gridCol w:w="762"/>
        <w:gridCol w:w="602"/>
        <w:gridCol w:w="528"/>
        <w:gridCol w:w="528"/>
        <w:gridCol w:w="528"/>
        <w:gridCol w:w="528"/>
        <w:gridCol w:w="709"/>
        <w:gridCol w:w="846"/>
      </w:tblGrid>
      <w:tr w:rsidR="00943D0A" w:rsidRPr="00144673" w14:paraId="4C10DCDD" w14:textId="77777777" w:rsidTr="00924C29">
        <w:trPr>
          <w:trHeight w:val="300"/>
        </w:trPr>
        <w:tc>
          <w:tcPr>
            <w:tcW w:w="0" w:type="auto"/>
            <w:tcBorders>
              <w:top w:val="nil"/>
              <w:left w:val="nil"/>
              <w:bottom w:val="nil"/>
              <w:right w:val="nil"/>
            </w:tcBorders>
            <w:shd w:val="clear" w:color="auto" w:fill="auto"/>
            <w:noWrap/>
            <w:hideMark/>
          </w:tcPr>
          <w:p w14:paraId="70A58F4E"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1A77A843"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7B7ECECE"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4AD0A51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4159CE00"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2D40B8C2"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26FCAD6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469490AC"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4C7EEAEE"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3C077B23"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060BBCEB"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0B5B36A0"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454B54E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7604949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28C4E53B"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249ADED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hideMark/>
          </w:tcPr>
          <w:p w14:paraId="64632F0C"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r>
      <w:tr w:rsidR="00144673" w:rsidRPr="00943D0A" w14:paraId="0CC6878D" w14:textId="77777777" w:rsidTr="00924C29">
        <w:trPr>
          <w:trHeight w:val="300"/>
        </w:trPr>
        <w:tc>
          <w:tcPr>
            <w:tcW w:w="0" w:type="auto"/>
            <w:tcBorders>
              <w:top w:val="nil"/>
              <w:left w:val="nil"/>
              <w:bottom w:val="nil"/>
              <w:right w:val="nil"/>
            </w:tcBorders>
            <w:shd w:val="clear" w:color="auto" w:fill="auto"/>
            <w:noWrap/>
            <w:hideMark/>
          </w:tcPr>
          <w:p w14:paraId="3DF5EDA4" w14:textId="77777777" w:rsidR="00144673" w:rsidRPr="00144673" w:rsidRDefault="00144673" w:rsidP="00943D0A">
            <w:pPr>
              <w:spacing w:after="0" w:line="240" w:lineRule="auto"/>
              <w:rPr>
                <w:rFonts w:ascii="Times New Roman" w:eastAsia="Times New Roman" w:hAnsi="Times New Roman" w:cs="Times New Roman"/>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555555"/>
            <w:noWrap/>
            <w:hideMark/>
          </w:tcPr>
          <w:p w14:paraId="1EAA80E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w:t>
            </w:r>
          </w:p>
        </w:tc>
        <w:tc>
          <w:tcPr>
            <w:tcW w:w="0" w:type="auto"/>
            <w:tcBorders>
              <w:top w:val="single" w:sz="4" w:space="0" w:color="auto"/>
              <w:left w:val="nil"/>
              <w:bottom w:val="single" w:sz="4" w:space="0" w:color="auto"/>
              <w:right w:val="single" w:sz="4" w:space="0" w:color="auto"/>
            </w:tcBorders>
            <w:shd w:val="clear" w:color="000000" w:fill="555555"/>
            <w:noWrap/>
            <w:hideMark/>
          </w:tcPr>
          <w:p w14:paraId="0E1ED21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w:t>
            </w:r>
          </w:p>
        </w:tc>
        <w:tc>
          <w:tcPr>
            <w:tcW w:w="0" w:type="auto"/>
            <w:tcBorders>
              <w:top w:val="single" w:sz="4" w:space="0" w:color="auto"/>
              <w:left w:val="nil"/>
              <w:bottom w:val="single" w:sz="4" w:space="0" w:color="auto"/>
              <w:right w:val="single" w:sz="4" w:space="0" w:color="auto"/>
            </w:tcBorders>
            <w:shd w:val="clear" w:color="000000" w:fill="555555"/>
            <w:noWrap/>
            <w:hideMark/>
          </w:tcPr>
          <w:p w14:paraId="4F6F79F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Purchase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02A744B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w:t>
            </w:r>
          </w:p>
        </w:tc>
        <w:tc>
          <w:tcPr>
            <w:tcW w:w="0" w:type="auto"/>
            <w:tcBorders>
              <w:top w:val="single" w:sz="4" w:space="0" w:color="auto"/>
              <w:left w:val="nil"/>
              <w:bottom w:val="single" w:sz="4" w:space="0" w:color="auto"/>
              <w:right w:val="single" w:sz="4" w:space="0" w:color="auto"/>
            </w:tcBorders>
            <w:shd w:val="clear" w:color="000000" w:fill="555555"/>
            <w:noWrap/>
            <w:hideMark/>
          </w:tcPr>
          <w:p w14:paraId="6602D7B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attitude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161BA2F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3D48A44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engagement</w:t>
            </w:r>
          </w:p>
        </w:tc>
        <w:tc>
          <w:tcPr>
            <w:tcW w:w="0" w:type="auto"/>
            <w:tcBorders>
              <w:top w:val="single" w:sz="4" w:space="0" w:color="auto"/>
              <w:left w:val="nil"/>
              <w:bottom w:val="single" w:sz="4" w:space="0" w:color="auto"/>
              <w:right w:val="single" w:sz="4" w:space="0" w:color="auto"/>
            </w:tcBorders>
            <w:shd w:val="clear" w:color="000000" w:fill="555555"/>
            <w:noWrap/>
            <w:hideMark/>
          </w:tcPr>
          <w:p w14:paraId="26D2B52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engrossment</w:t>
            </w:r>
          </w:p>
        </w:tc>
        <w:tc>
          <w:tcPr>
            <w:tcW w:w="0" w:type="auto"/>
            <w:tcBorders>
              <w:top w:val="single" w:sz="4" w:space="0" w:color="auto"/>
              <w:left w:val="nil"/>
              <w:bottom w:val="single" w:sz="4" w:space="0" w:color="auto"/>
              <w:right w:val="single" w:sz="4" w:space="0" w:color="auto"/>
            </w:tcBorders>
            <w:shd w:val="clear" w:color="000000" w:fill="555555"/>
            <w:noWrap/>
            <w:hideMark/>
          </w:tcPr>
          <w:p w14:paraId="7C7D251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680591F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fluency</w:t>
            </w:r>
          </w:p>
        </w:tc>
        <w:tc>
          <w:tcPr>
            <w:tcW w:w="0" w:type="auto"/>
            <w:tcBorders>
              <w:top w:val="single" w:sz="4" w:space="0" w:color="auto"/>
              <w:left w:val="nil"/>
              <w:bottom w:val="single" w:sz="4" w:space="0" w:color="auto"/>
              <w:right w:val="single" w:sz="4" w:space="0" w:color="auto"/>
            </w:tcBorders>
            <w:shd w:val="clear" w:color="000000" w:fill="555555"/>
            <w:noWrap/>
            <w:hideMark/>
          </w:tcPr>
          <w:p w14:paraId="38BE89A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image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00B29C7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info</w:t>
            </w:r>
          </w:p>
        </w:tc>
        <w:tc>
          <w:tcPr>
            <w:tcW w:w="0" w:type="auto"/>
            <w:tcBorders>
              <w:top w:val="single" w:sz="4" w:space="0" w:color="auto"/>
              <w:left w:val="nil"/>
              <w:bottom w:val="single" w:sz="4" w:space="0" w:color="auto"/>
              <w:right w:val="single" w:sz="4" w:space="0" w:color="auto"/>
            </w:tcBorders>
            <w:shd w:val="clear" w:color="000000" w:fill="555555"/>
            <w:noWrap/>
            <w:hideMark/>
          </w:tcPr>
          <w:p w14:paraId="5F2A275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w:t>
            </w:r>
          </w:p>
        </w:tc>
        <w:tc>
          <w:tcPr>
            <w:tcW w:w="0" w:type="auto"/>
            <w:tcBorders>
              <w:top w:val="single" w:sz="4" w:space="0" w:color="auto"/>
              <w:left w:val="nil"/>
              <w:bottom w:val="single" w:sz="4" w:space="0" w:color="auto"/>
              <w:right w:val="single" w:sz="4" w:space="0" w:color="auto"/>
            </w:tcBorders>
            <w:shd w:val="clear" w:color="000000" w:fill="555555"/>
            <w:noWrap/>
            <w:hideMark/>
          </w:tcPr>
          <w:p w14:paraId="6F3372A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w:t>
            </w:r>
          </w:p>
        </w:tc>
        <w:tc>
          <w:tcPr>
            <w:tcW w:w="0" w:type="auto"/>
            <w:tcBorders>
              <w:top w:val="single" w:sz="4" w:space="0" w:color="auto"/>
              <w:left w:val="nil"/>
              <w:bottom w:val="single" w:sz="4" w:space="0" w:color="auto"/>
              <w:right w:val="single" w:sz="4" w:space="0" w:color="auto"/>
            </w:tcBorders>
            <w:shd w:val="clear" w:color="000000" w:fill="555555"/>
            <w:noWrap/>
            <w:hideMark/>
          </w:tcPr>
          <w:p w14:paraId="23C2F56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w:t>
            </w:r>
          </w:p>
        </w:tc>
        <w:tc>
          <w:tcPr>
            <w:tcW w:w="0" w:type="auto"/>
            <w:tcBorders>
              <w:top w:val="single" w:sz="4" w:space="0" w:color="auto"/>
              <w:left w:val="nil"/>
              <w:bottom w:val="single" w:sz="4" w:space="0" w:color="auto"/>
              <w:right w:val="single" w:sz="4" w:space="0" w:color="auto"/>
            </w:tcBorders>
            <w:shd w:val="clear" w:color="000000" w:fill="555555"/>
            <w:noWrap/>
            <w:hideMark/>
          </w:tcPr>
          <w:p w14:paraId="094DE7E9"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projection</w:t>
            </w:r>
          </w:p>
        </w:tc>
      </w:tr>
      <w:tr w:rsidR="00943D0A" w:rsidRPr="00144673" w14:paraId="555B8A82" w14:textId="77777777" w:rsidTr="00924C2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555555"/>
            <w:noWrap/>
            <w:hideMark/>
          </w:tcPr>
          <w:p w14:paraId="374ADEA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Arousal_1</w:t>
            </w:r>
          </w:p>
        </w:tc>
        <w:tc>
          <w:tcPr>
            <w:tcW w:w="0" w:type="auto"/>
            <w:tcBorders>
              <w:top w:val="nil"/>
              <w:left w:val="nil"/>
              <w:bottom w:val="single" w:sz="4" w:space="0" w:color="auto"/>
              <w:right w:val="single" w:sz="4" w:space="0" w:color="auto"/>
            </w:tcBorders>
            <w:shd w:val="clear" w:color="auto" w:fill="auto"/>
            <w:noWrap/>
            <w:hideMark/>
          </w:tcPr>
          <w:p w14:paraId="4E4C698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0.768</w:t>
            </w:r>
          </w:p>
        </w:tc>
        <w:tc>
          <w:tcPr>
            <w:tcW w:w="0" w:type="auto"/>
            <w:tcBorders>
              <w:top w:val="nil"/>
              <w:left w:val="nil"/>
              <w:bottom w:val="single" w:sz="4" w:space="0" w:color="auto"/>
              <w:right w:val="single" w:sz="4" w:space="0" w:color="auto"/>
            </w:tcBorders>
            <w:shd w:val="clear" w:color="auto" w:fill="auto"/>
            <w:noWrap/>
            <w:hideMark/>
          </w:tcPr>
          <w:p w14:paraId="64788C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0.167</w:t>
            </w:r>
          </w:p>
        </w:tc>
        <w:tc>
          <w:tcPr>
            <w:tcW w:w="0" w:type="auto"/>
            <w:tcBorders>
              <w:top w:val="nil"/>
              <w:left w:val="nil"/>
              <w:bottom w:val="single" w:sz="4" w:space="0" w:color="auto"/>
              <w:right w:val="single" w:sz="4" w:space="0" w:color="auto"/>
            </w:tcBorders>
            <w:shd w:val="clear" w:color="auto" w:fill="auto"/>
            <w:noWrap/>
            <w:hideMark/>
          </w:tcPr>
          <w:p w14:paraId="7FC40F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1F8A2D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0.373</w:t>
            </w:r>
          </w:p>
        </w:tc>
        <w:tc>
          <w:tcPr>
            <w:tcW w:w="0" w:type="auto"/>
            <w:tcBorders>
              <w:top w:val="nil"/>
              <w:left w:val="nil"/>
              <w:bottom w:val="single" w:sz="4" w:space="0" w:color="auto"/>
              <w:right w:val="single" w:sz="4" w:space="0" w:color="auto"/>
            </w:tcBorders>
            <w:shd w:val="clear" w:color="auto" w:fill="auto"/>
            <w:noWrap/>
            <w:hideMark/>
          </w:tcPr>
          <w:p w14:paraId="1306D91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0.339</w:t>
            </w:r>
          </w:p>
        </w:tc>
        <w:tc>
          <w:tcPr>
            <w:tcW w:w="0" w:type="auto"/>
            <w:tcBorders>
              <w:top w:val="nil"/>
              <w:left w:val="nil"/>
              <w:bottom w:val="single" w:sz="4" w:space="0" w:color="auto"/>
              <w:right w:val="single" w:sz="4" w:space="0" w:color="auto"/>
            </w:tcBorders>
            <w:shd w:val="clear" w:color="auto" w:fill="auto"/>
            <w:noWrap/>
            <w:hideMark/>
          </w:tcPr>
          <w:p w14:paraId="08C3AE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0.291</w:t>
            </w:r>
          </w:p>
        </w:tc>
        <w:tc>
          <w:tcPr>
            <w:tcW w:w="0" w:type="auto"/>
            <w:tcBorders>
              <w:top w:val="nil"/>
              <w:left w:val="nil"/>
              <w:bottom w:val="single" w:sz="4" w:space="0" w:color="auto"/>
              <w:right w:val="single" w:sz="4" w:space="0" w:color="auto"/>
            </w:tcBorders>
            <w:shd w:val="clear" w:color="auto" w:fill="auto"/>
            <w:noWrap/>
            <w:hideMark/>
          </w:tcPr>
          <w:p w14:paraId="5607B9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0.383</w:t>
            </w:r>
          </w:p>
        </w:tc>
        <w:tc>
          <w:tcPr>
            <w:tcW w:w="0" w:type="auto"/>
            <w:tcBorders>
              <w:top w:val="nil"/>
              <w:left w:val="nil"/>
              <w:bottom w:val="single" w:sz="4" w:space="0" w:color="auto"/>
              <w:right w:val="single" w:sz="4" w:space="0" w:color="auto"/>
            </w:tcBorders>
            <w:shd w:val="clear" w:color="auto" w:fill="auto"/>
            <w:noWrap/>
            <w:hideMark/>
          </w:tcPr>
          <w:p w14:paraId="01533B0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0.133</w:t>
            </w:r>
          </w:p>
        </w:tc>
        <w:tc>
          <w:tcPr>
            <w:tcW w:w="0" w:type="auto"/>
            <w:tcBorders>
              <w:top w:val="nil"/>
              <w:left w:val="nil"/>
              <w:bottom w:val="single" w:sz="4" w:space="0" w:color="auto"/>
              <w:right w:val="single" w:sz="4" w:space="0" w:color="auto"/>
            </w:tcBorders>
            <w:shd w:val="clear" w:color="auto" w:fill="auto"/>
            <w:noWrap/>
            <w:hideMark/>
          </w:tcPr>
          <w:p w14:paraId="710C7F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0.197</w:t>
            </w:r>
          </w:p>
        </w:tc>
        <w:tc>
          <w:tcPr>
            <w:tcW w:w="0" w:type="auto"/>
            <w:tcBorders>
              <w:top w:val="nil"/>
              <w:left w:val="nil"/>
              <w:bottom w:val="single" w:sz="4" w:space="0" w:color="auto"/>
              <w:right w:val="single" w:sz="4" w:space="0" w:color="auto"/>
            </w:tcBorders>
            <w:shd w:val="clear" w:color="auto" w:fill="auto"/>
            <w:noWrap/>
            <w:hideMark/>
          </w:tcPr>
          <w:p w14:paraId="078F59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c>
          <w:tcPr>
            <w:tcW w:w="0" w:type="auto"/>
            <w:tcBorders>
              <w:top w:val="nil"/>
              <w:left w:val="nil"/>
              <w:bottom w:val="single" w:sz="4" w:space="0" w:color="auto"/>
              <w:right w:val="single" w:sz="4" w:space="0" w:color="auto"/>
            </w:tcBorders>
            <w:shd w:val="clear" w:color="auto" w:fill="auto"/>
            <w:noWrap/>
            <w:hideMark/>
          </w:tcPr>
          <w:p w14:paraId="21591A7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0.335</w:t>
            </w:r>
          </w:p>
        </w:tc>
        <w:tc>
          <w:tcPr>
            <w:tcW w:w="0" w:type="auto"/>
            <w:tcBorders>
              <w:top w:val="nil"/>
              <w:left w:val="nil"/>
              <w:bottom w:val="single" w:sz="4" w:space="0" w:color="auto"/>
              <w:right w:val="single" w:sz="4" w:space="0" w:color="auto"/>
            </w:tcBorders>
            <w:shd w:val="clear" w:color="auto" w:fill="auto"/>
            <w:noWrap/>
            <w:hideMark/>
          </w:tcPr>
          <w:p w14:paraId="725975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0.248</w:t>
            </w:r>
          </w:p>
        </w:tc>
        <w:tc>
          <w:tcPr>
            <w:tcW w:w="0" w:type="auto"/>
            <w:tcBorders>
              <w:top w:val="nil"/>
              <w:left w:val="nil"/>
              <w:bottom w:val="single" w:sz="4" w:space="0" w:color="auto"/>
              <w:right w:val="single" w:sz="4" w:space="0" w:color="auto"/>
            </w:tcBorders>
            <w:shd w:val="clear" w:color="auto" w:fill="auto"/>
            <w:noWrap/>
            <w:hideMark/>
          </w:tcPr>
          <w:p w14:paraId="6CF84FB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0.457</w:t>
            </w:r>
          </w:p>
        </w:tc>
        <w:tc>
          <w:tcPr>
            <w:tcW w:w="0" w:type="auto"/>
            <w:tcBorders>
              <w:top w:val="nil"/>
              <w:left w:val="nil"/>
              <w:bottom w:val="single" w:sz="4" w:space="0" w:color="auto"/>
              <w:right w:val="single" w:sz="4" w:space="0" w:color="auto"/>
            </w:tcBorders>
            <w:shd w:val="clear" w:color="auto" w:fill="auto"/>
            <w:noWrap/>
            <w:hideMark/>
          </w:tcPr>
          <w:p w14:paraId="0D17251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0.253</w:t>
            </w:r>
          </w:p>
        </w:tc>
        <w:tc>
          <w:tcPr>
            <w:tcW w:w="0" w:type="auto"/>
            <w:tcBorders>
              <w:top w:val="nil"/>
              <w:left w:val="nil"/>
              <w:bottom w:val="single" w:sz="4" w:space="0" w:color="auto"/>
              <w:right w:val="single" w:sz="4" w:space="0" w:color="auto"/>
            </w:tcBorders>
            <w:shd w:val="clear" w:color="auto" w:fill="auto"/>
            <w:noWrap/>
            <w:hideMark/>
          </w:tcPr>
          <w:p w14:paraId="4BF645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0.479</w:t>
            </w:r>
          </w:p>
        </w:tc>
        <w:tc>
          <w:tcPr>
            <w:tcW w:w="0" w:type="auto"/>
            <w:tcBorders>
              <w:top w:val="nil"/>
              <w:left w:val="nil"/>
              <w:bottom w:val="single" w:sz="4" w:space="0" w:color="auto"/>
              <w:right w:val="single" w:sz="4" w:space="0" w:color="auto"/>
            </w:tcBorders>
            <w:shd w:val="clear" w:color="auto" w:fill="auto"/>
            <w:noWrap/>
            <w:hideMark/>
          </w:tcPr>
          <w:p w14:paraId="41C2484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r>
      <w:tr w:rsidR="00943D0A" w:rsidRPr="00144673" w14:paraId="3FE070AD"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3DD7857"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Arousal_2</w:t>
            </w:r>
          </w:p>
        </w:tc>
        <w:tc>
          <w:tcPr>
            <w:tcW w:w="0" w:type="auto"/>
            <w:tcBorders>
              <w:top w:val="nil"/>
              <w:left w:val="nil"/>
              <w:bottom w:val="single" w:sz="4" w:space="0" w:color="auto"/>
              <w:right w:val="single" w:sz="4" w:space="0" w:color="auto"/>
            </w:tcBorders>
            <w:shd w:val="clear" w:color="auto" w:fill="auto"/>
            <w:noWrap/>
            <w:hideMark/>
          </w:tcPr>
          <w:p w14:paraId="525E76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0.756</w:t>
            </w:r>
          </w:p>
        </w:tc>
        <w:tc>
          <w:tcPr>
            <w:tcW w:w="0" w:type="auto"/>
            <w:tcBorders>
              <w:top w:val="nil"/>
              <w:left w:val="nil"/>
              <w:bottom w:val="single" w:sz="4" w:space="0" w:color="auto"/>
              <w:right w:val="single" w:sz="4" w:space="0" w:color="auto"/>
            </w:tcBorders>
            <w:shd w:val="clear" w:color="auto" w:fill="auto"/>
            <w:noWrap/>
            <w:hideMark/>
          </w:tcPr>
          <w:p w14:paraId="0CFA9E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0.125</w:t>
            </w:r>
          </w:p>
        </w:tc>
        <w:tc>
          <w:tcPr>
            <w:tcW w:w="0" w:type="auto"/>
            <w:tcBorders>
              <w:top w:val="nil"/>
              <w:left w:val="nil"/>
              <w:bottom w:val="single" w:sz="4" w:space="0" w:color="auto"/>
              <w:right w:val="single" w:sz="4" w:space="0" w:color="auto"/>
            </w:tcBorders>
            <w:shd w:val="clear" w:color="auto" w:fill="auto"/>
            <w:noWrap/>
            <w:hideMark/>
          </w:tcPr>
          <w:p w14:paraId="059A2A6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0.384</w:t>
            </w:r>
          </w:p>
        </w:tc>
        <w:tc>
          <w:tcPr>
            <w:tcW w:w="0" w:type="auto"/>
            <w:tcBorders>
              <w:top w:val="nil"/>
              <w:left w:val="nil"/>
              <w:bottom w:val="single" w:sz="4" w:space="0" w:color="auto"/>
              <w:right w:val="single" w:sz="4" w:space="0" w:color="auto"/>
            </w:tcBorders>
            <w:shd w:val="clear" w:color="auto" w:fill="auto"/>
            <w:noWrap/>
            <w:hideMark/>
          </w:tcPr>
          <w:p w14:paraId="0658A7D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122C1D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0.382</w:t>
            </w:r>
          </w:p>
        </w:tc>
        <w:tc>
          <w:tcPr>
            <w:tcW w:w="0" w:type="auto"/>
            <w:tcBorders>
              <w:top w:val="nil"/>
              <w:left w:val="nil"/>
              <w:bottom w:val="single" w:sz="4" w:space="0" w:color="auto"/>
              <w:right w:val="single" w:sz="4" w:space="0" w:color="auto"/>
            </w:tcBorders>
            <w:shd w:val="clear" w:color="auto" w:fill="auto"/>
            <w:noWrap/>
            <w:hideMark/>
          </w:tcPr>
          <w:p w14:paraId="41673B8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0.184</w:t>
            </w:r>
          </w:p>
        </w:tc>
        <w:tc>
          <w:tcPr>
            <w:tcW w:w="0" w:type="auto"/>
            <w:tcBorders>
              <w:top w:val="nil"/>
              <w:left w:val="nil"/>
              <w:bottom w:val="single" w:sz="4" w:space="0" w:color="auto"/>
              <w:right w:val="single" w:sz="4" w:space="0" w:color="auto"/>
            </w:tcBorders>
            <w:shd w:val="clear" w:color="auto" w:fill="auto"/>
            <w:noWrap/>
            <w:hideMark/>
          </w:tcPr>
          <w:p w14:paraId="3063AC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0.345</w:t>
            </w:r>
          </w:p>
        </w:tc>
        <w:tc>
          <w:tcPr>
            <w:tcW w:w="0" w:type="auto"/>
            <w:tcBorders>
              <w:top w:val="nil"/>
              <w:left w:val="nil"/>
              <w:bottom w:val="single" w:sz="4" w:space="0" w:color="auto"/>
              <w:right w:val="single" w:sz="4" w:space="0" w:color="auto"/>
            </w:tcBorders>
            <w:shd w:val="clear" w:color="auto" w:fill="auto"/>
            <w:noWrap/>
            <w:hideMark/>
          </w:tcPr>
          <w:p w14:paraId="7ADD40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0.211</w:t>
            </w:r>
          </w:p>
        </w:tc>
        <w:tc>
          <w:tcPr>
            <w:tcW w:w="0" w:type="auto"/>
            <w:tcBorders>
              <w:top w:val="nil"/>
              <w:left w:val="nil"/>
              <w:bottom w:val="single" w:sz="4" w:space="0" w:color="auto"/>
              <w:right w:val="single" w:sz="4" w:space="0" w:color="auto"/>
            </w:tcBorders>
            <w:shd w:val="clear" w:color="auto" w:fill="auto"/>
            <w:noWrap/>
            <w:hideMark/>
          </w:tcPr>
          <w:p w14:paraId="150724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0.271</w:t>
            </w:r>
          </w:p>
        </w:tc>
        <w:tc>
          <w:tcPr>
            <w:tcW w:w="0" w:type="auto"/>
            <w:tcBorders>
              <w:top w:val="nil"/>
              <w:left w:val="nil"/>
              <w:bottom w:val="single" w:sz="4" w:space="0" w:color="auto"/>
              <w:right w:val="single" w:sz="4" w:space="0" w:color="auto"/>
            </w:tcBorders>
            <w:shd w:val="clear" w:color="auto" w:fill="auto"/>
            <w:noWrap/>
            <w:hideMark/>
          </w:tcPr>
          <w:p w14:paraId="4DFF2C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0.393</w:t>
            </w:r>
          </w:p>
        </w:tc>
        <w:tc>
          <w:tcPr>
            <w:tcW w:w="0" w:type="auto"/>
            <w:tcBorders>
              <w:top w:val="nil"/>
              <w:left w:val="nil"/>
              <w:bottom w:val="single" w:sz="4" w:space="0" w:color="auto"/>
              <w:right w:val="single" w:sz="4" w:space="0" w:color="auto"/>
            </w:tcBorders>
            <w:shd w:val="clear" w:color="auto" w:fill="auto"/>
            <w:noWrap/>
            <w:hideMark/>
          </w:tcPr>
          <w:p w14:paraId="516DC2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0.363</w:t>
            </w:r>
          </w:p>
        </w:tc>
        <w:tc>
          <w:tcPr>
            <w:tcW w:w="0" w:type="auto"/>
            <w:tcBorders>
              <w:top w:val="nil"/>
              <w:left w:val="nil"/>
              <w:bottom w:val="single" w:sz="4" w:space="0" w:color="auto"/>
              <w:right w:val="single" w:sz="4" w:space="0" w:color="auto"/>
            </w:tcBorders>
            <w:shd w:val="clear" w:color="auto" w:fill="auto"/>
            <w:noWrap/>
            <w:hideMark/>
          </w:tcPr>
          <w:p w14:paraId="7ABB16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7657AD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0.477</w:t>
            </w:r>
          </w:p>
        </w:tc>
        <w:tc>
          <w:tcPr>
            <w:tcW w:w="0" w:type="auto"/>
            <w:tcBorders>
              <w:top w:val="nil"/>
              <w:left w:val="nil"/>
              <w:bottom w:val="single" w:sz="4" w:space="0" w:color="auto"/>
              <w:right w:val="single" w:sz="4" w:space="0" w:color="auto"/>
            </w:tcBorders>
            <w:shd w:val="clear" w:color="auto" w:fill="auto"/>
            <w:noWrap/>
            <w:hideMark/>
          </w:tcPr>
          <w:p w14:paraId="1C9DB0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688E2E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31AC73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0.428</w:t>
            </w:r>
          </w:p>
        </w:tc>
      </w:tr>
      <w:tr w:rsidR="00943D0A" w:rsidRPr="00144673" w14:paraId="3811C61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04F68F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Arousal_3</w:t>
            </w:r>
          </w:p>
        </w:tc>
        <w:tc>
          <w:tcPr>
            <w:tcW w:w="0" w:type="auto"/>
            <w:tcBorders>
              <w:top w:val="nil"/>
              <w:left w:val="nil"/>
              <w:bottom w:val="single" w:sz="4" w:space="0" w:color="auto"/>
              <w:right w:val="single" w:sz="4" w:space="0" w:color="auto"/>
            </w:tcBorders>
            <w:shd w:val="clear" w:color="auto" w:fill="auto"/>
            <w:noWrap/>
            <w:hideMark/>
          </w:tcPr>
          <w:p w14:paraId="217B074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0.722</w:t>
            </w:r>
          </w:p>
        </w:tc>
        <w:tc>
          <w:tcPr>
            <w:tcW w:w="0" w:type="auto"/>
            <w:tcBorders>
              <w:top w:val="nil"/>
              <w:left w:val="nil"/>
              <w:bottom w:val="single" w:sz="4" w:space="0" w:color="auto"/>
              <w:right w:val="single" w:sz="4" w:space="0" w:color="auto"/>
            </w:tcBorders>
            <w:shd w:val="clear" w:color="auto" w:fill="auto"/>
            <w:noWrap/>
            <w:hideMark/>
          </w:tcPr>
          <w:p w14:paraId="07D2FB1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0.218</w:t>
            </w:r>
          </w:p>
        </w:tc>
        <w:tc>
          <w:tcPr>
            <w:tcW w:w="0" w:type="auto"/>
            <w:tcBorders>
              <w:top w:val="nil"/>
              <w:left w:val="nil"/>
              <w:bottom w:val="single" w:sz="4" w:space="0" w:color="auto"/>
              <w:right w:val="single" w:sz="4" w:space="0" w:color="auto"/>
            </w:tcBorders>
            <w:shd w:val="clear" w:color="auto" w:fill="auto"/>
            <w:noWrap/>
            <w:hideMark/>
          </w:tcPr>
          <w:p w14:paraId="43F6B7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0.348</w:t>
            </w:r>
          </w:p>
        </w:tc>
        <w:tc>
          <w:tcPr>
            <w:tcW w:w="0" w:type="auto"/>
            <w:tcBorders>
              <w:top w:val="nil"/>
              <w:left w:val="nil"/>
              <w:bottom w:val="single" w:sz="4" w:space="0" w:color="auto"/>
              <w:right w:val="single" w:sz="4" w:space="0" w:color="auto"/>
            </w:tcBorders>
            <w:shd w:val="clear" w:color="auto" w:fill="auto"/>
            <w:noWrap/>
            <w:hideMark/>
          </w:tcPr>
          <w:p w14:paraId="6AFB0F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0.374</w:t>
            </w:r>
          </w:p>
        </w:tc>
        <w:tc>
          <w:tcPr>
            <w:tcW w:w="0" w:type="auto"/>
            <w:tcBorders>
              <w:top w:val="nil"/>
              <w:left w:val="nil"/>
              <w:bottom w:val="single" w:sz="4" w:space="0" w:color="auto"/>
              <w:right w:val="single" w:sz="4" w:space="0" w:color="auto"/>
            </w:tcBorders>
            <w:shd w:val="clear" w:color="auto" w:fill="auto"/>
            <w:noWrap/>
            <w:hideMark/>
          </w:tcPr>
          <w:p w14:paraId="3C9C42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0.368</w:t>
            </w:r>
          </w:p>
        </w:tc>
        <w:tc>
          <w:tcPr>
            <w:tcW w:w="0" w:type="auto"/>
            <w:tcBorders>
              <w:top w:val="nil"/>
              <w:left w:val="nil"/>
              <w:bottom w:val="single" w:sz="4" w:space="0" w:color="auto"/>
              <w:right w:val="single" w:sz="4" w:space="0" w:color="auto"/>
            </w:tcBorders>
            <w:shd w:val="clear" w:color="auto" w:fill="auto"/>
            <w:noWrap/>
            <w:hideMark/>
          </w:tcPr>
          <w:p w14:paraId="519F433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0.275</w:t>
            </w:r>
          </w:p>
        </w:tc>
        <w:tc>
          <w:tcPr>
            <w:tcW w:w="0" w:type="auto"/>
            <w:tcBorders>
              <w:top w:val="nil"/>
              <w:left w:val="nil"/>
              <w:bottom w:val="single" w:sz="4" w:space="0" w:color="auto"/>
              <w:right w:val="single" w:sz="4" w:space="0" w:color="auto"/>
            </w:tcBorders>
            <w:shd w:val="clear" w:color="auto" w:fill="auto"/>
            <w:noWrap/>
            <w:hideMark/>
          </w:tcPr>
          <w:p w14:paraId="65E37CC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0.359</w:t>
            </w:r>
          </w:p>
        </w:tc>
        <w:tc>
          <w:tcPr>
            <w:tcW w:w="0" w:type="auto"/>
            <w:tcBorders>
              <w:top w:val="nil"/>
              <w:left w:val="nil"/>
              <w:bottom w:val="single" w:sz="4" w:space="0" w:color="auto"/>
              <w:right w:val="single" w:sz="4" w:space="0" w:color="auto"/>
            </w:tcBorders>
            <w:shd w:val="clear" w:color="auto" w:fill="auto"/>
            <w:noWrap/>
            <w:hideMark/>
          </w:tcPr>
          <w:p w14:paraId="63370DF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0.128</w:t>
            </w:r>
          </w:p>
        </w:tc>
        <w:tc>
          <w:tcPr>
            <w:tcW w:w="0" w:type="auto"/>
            <w:tcBorders>
              <w:top w:val="nil"/>
              <w:left w:val="nil"/>
              <w:bottom w:val="single" w:sz="4" w:space="0" w:color="auto"/>
              <w:right w:val="single" w:sz="4" w:space="0" w:color="auto"/>
            </w:tcBorders>
            <w:shd w:val="clear" w:color="auto" w:fill="auto"/>
            <w:noWrap/>
            <w:hideMark/>
          </w:tcPr>
          <w:p w14:paraId="5220ED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0.188</w:t>
            </w:r>
          </w:p>
        </w:tc>
        <w:tc>
          <w:tcPr>
            <w:tcW w:w="0" w:type="auto"/>
            <w:tcBorders>
              <w:top w:val="nil"/>
              <w:left w:val="nil"/>
              <w:bottom w:val="single" w:sz="4" w:space="0" w:color="auto"/>
              <w:right w:val="single" w:sz="4" w:space="0" w:color="auto"/>
            </w:tcBorders>
            <w:shd w:val="clear" w:color="auto" w:fill="auto"/>
            <w:noWrap/>
            <w:hideMark/>
          </w:tcPr>
          <w:p w14:paraId="545040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0.264</w:t>
            </w:r>
          </w:p>
        </w:tc>
        <w:tc>
          <w:tcPr>
            <w:tcW w:w="0" w:type="auto"/>
            <w:tcBorders>
              <w:top w:val="nil"/>
              <w:left w:val="nil"/>
              <w:bottom w:val="single" w:sz="4" w:space="0" w:color="auto"/>
              <w:right w:val="single" w:sz="4" w:space="0" w:color="auto"/>
            </w:tcBorders>
            <w:shd w:val="clear" w:color="auto" w:fill="auto"/>
            <w:noWrap/>
            <w:hideMark/>
          </w:tcPr>
          <w:p w14:paraId="25BE6C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0.351</w:t>
            </w:r>
          </w:p>
        </w:tc>
        <w:tc>
          <w:tcPr>
            <w:tcW w:w="0" w:type="auto"/>
            <w:tcBorders>
              <w:top w:val="nil"/>
              <w:left w:val="nil"/>
              <w:bottom w:val="single" w:sz="4" w:space="0" w:color="auto"/>
              <w:right w:val="single" w:sz="4" w:space="0" w:color="auto"/>
            </w:tcBorders>
            <w:shd w:val="clear" w:color="auto" w:fill="auto"/>
            <w:noWrap/>
            <w:hideMark/>
          </w:tcPr>
          <w:p w14:paraId="155A6D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4920E7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0.466</w:t>
            </w:r>
          </w:p>
        </w:tc>
        <w:tc>
          <w:tcPr>
            <w:tcW w:w="0" w:type="auto"/>
            <w:tcBorders>
              <w:top w:val="nil"/>
              <w:left w:val="nil"/>
              <w:bottom w:val="single" w:sz="4" w:space="0" w:color="auto"/>
              <w:right w:val="single" w:sz="4" w:space="0" w:color="auto"/>
            </w:tcBorders>
            <w:shd w:val="clear" w:color="auto" w:fill="auto"/>
            <w:noWrap/>
            <w:hideMark/>
          </w:tcPr>
          <w:p w14:paraId="0E54D4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0.215</w:t>
            </w:r>
          </w:p>
        </w:tc>
        <w:tc>
          <w:tcPr>
            <w:tcW w:w="0" w:type="auto"/>
            <w:tcBorders>
              <w:top w:val="nil"/>
              <w:left w:val="nil"/>
              <w:bottom w:val="single" w:sz="4" w:space="0" w:color="auto"/>
              <w:right w:val="single" w:sz="4" w:space="0" w:color="auto"/>
            </w:tcBorders>
            <w:shd w:val="clear" w:color="auto" w:fill="auto"/>
            <w:noWrap/>
            <w:hideMark/>
          </w:tcPr>
          <w:p w14:paraId="676BE0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0.455</w:t>
            </w:r>
          </w:p>
        </w:tc>
        <w:tc>
          <w:tcPr>
            <w:tcW w:w="0" w:type="auto"/>
            <w:tcBorders>
              <w:top w:val="nil"/>
              <w:left w:val="nil"/>
              <w:bottom w:val="single" w:sz="4" w:space="0" w:color="auto"/>
              <w:right w:val="single" w:sz="4" w:space="0" w:color="auto"/>
            </w:tcBorders>
            <w:shd w:val="clear" w:color="auto" w:fill="auto"/>
            <w:noWrap/>
            <w:hideMark/>
          </w:tcPr>
          <w:p w14:paraId="307FF61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r>
      <w:tr w:rsidR="00943D0A" w:rsidRPr="00144673" w14:paraId="44ECF11D"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CE987D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Arousal_4</w:t>
            </w:r>
          </w:p>
        </w:tc>
        <w:tc>
          <w:tcPr>
            <w:tcW w:w="0" w:type="auto"/>
            <w:tcBorders>
              <w:top w:val="nil"/>
              <w:left w:val="nil"/>
              <w:bottom w:val="single" w:sz="4" w:space="0" w:color="auto"/>
              <w:right w:val="single" w:sz="4" w:space="0" w:color="auto"/>
            </w:tcBorders>
            <w:shd w:val="clear" w:color="auto" w:fill="auto"/>
            <w:noWrap/>
            <w:hideMark/>
          </w:tcPr>
          <w:p w14:paraId="460C5B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0.723</w:t>
            </w:r>
          </w:p>
        </w:tc>
        <w:tc>
          <w:tcPr>
            <w:tcW w:w="0" w:type="auto"/>
            <w:tcBorders>
              <w:top w:val="nil"/>
              <w:left w:val="nil"/>
              <w:bottom w:val="single" w:sz="4" w:space="0" w:color="auto"/>
              <w:right w:val="single" w:sz="4" w:space="0" w:color="auto"/>
            </w:tcBorders>
            <w:shd w:val="clear" w:color="auto" w:fill="auto"/>
            <w:noWrap/>
            <w:hideMark/>
          </w:tcPr>
          <w:p w14:paraId="632CAE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0.134</w:t>
            </w:r>
          </w:p>
        </w:tc>
        <w:tc>
          <w:tcPr>
            <w:tcW w:w="0" w:type="auto"/>
            <w:tcBorders>
              <w:top w:val="nil"/>
              <w:left w:val="nil"/>
              <w:bottom w:val="single" w:sz="4" w:space="0" w:color="auto"/>
              <w:right w:val="single" w:sz="4" w:space="0" w:color="auto"/>
            </w:tcBorders>
            <w:shd w:val="clear" w:color="auto" w:fill="auto"/>
            <w:noWrap/>
            <w:hideMark/>
          </w:tcPr>
          <w:p w14:paraId="443D00A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0.356</w:t>
            </w:r>
          </w:p>
        </w:tc>
        <w:tc>
          <w:tcPr>
            <w:tcW w:w="0" w:type="auto"/>
            <w:tcBorders>
              <w:top w:val="nil"/>
              <w:left w:val="nil"/>
              <w:bottom w:val="single" w:sz="4" w:space="0" w:color="auto"/>
              <w:right w:val="single" w:sz="4" w:space="0" w:color="auto"/>
            </w:tcBorders>
            <w:shd w:val="clear" w:color="auto" w:fill="auto"/>
            <w:noWrap/>
            <w:hideMark/>
          </w:tcPr>
          <w:p w14:paraId="734E81C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0.320</w:t>
            </w:r>
          </w:p>
        </w:tc>
        <w:tc>
          <w:tcPr>
            <w:tcW w:w="0" w:type="auto"/>
            <w:tcBorders>
              <w:top w:val="nil"/>
              <w:left w:val="nil"/>
              <w:bottom w:val="single" w:sz="4" w:space="0" w:color="auto"/>
              <w:right w:val="single" w:sz="4" w:space="0" w:color="auto"/>
            </w:tcBorders>
            <w:shd w:val="clear" w:color="auto" w:fill="auto"/>
            <w:noWrap/>
            <w:hideMark/>
          </w:tcPr>
          <w:p w14:paraId="25D650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29D5F7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0.194</w:t>
            </w:r>
          </w:p>
        </w:tc>
        <w:tc>
          <w:tcPr>
            <w:tcW w:w="0" w:type="auto"/>
            <w:tcBorders>
              <w:top w:val="nil"/>
              <w:left w:val="nil"/>
              <w:bottom w:val="single" w:sz="4" w:space="0" w:color="auto"/>
              <w:right w:val="single" w:sz="4" w:space="0" w:color="auto"/>
            </w:tcBorders>
            <w:shd w:val="clear" w:color="auto" w:fill="auto"/>
            <w:noWrap/>
            <w:hideMark/>
          </w:tcPr>
          <w:p w14:paraId="107CED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0.332</w:t>
            </w:r>
          </w:p>
        </w:tc>
        <w:tc>
          <w:tcPr>
            <w:tcW w:w="0" w:type="auto"/>
            <w:tcBorders>
              <w:top w:val="nil"/>
              <w:left w:val="nil"/>
              <w:bottom w:val="single" w:sz="4" w:space="0" w:color="auto"/>
              <w:right w:val="single" w:sz="4" w:space="0" w:color="auto"/>
            </w:tcBorders>
            <w:shd w:val="clear" w:color="auto" w:fill="auto"/>
            <w:noWrap/>
            <w:hideMark/>
          </w:tcPr>
          <w:p w14:paraId="23B358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0.187</w:t>
            </w:r>
          </w:p>
        </w:tc>
        <w:tc>
          <w:tcPr>
            <w:tcW w:w="0" w:type="auto"/>
            <w:tcBorders>
              <w:top w:val="nil"/>
              <w:left w:val="nil"/>
              <w:bottom w:val="single" w:sz="4" w:space="0" w:color="auto"/>
              <w:right w:val="single" w:sz="4" w:space="0" w:color="auto"/>
            </w:tcBorders>
            <w:shd w:val="clear" w:color="auto" w:fill="auto"/>
            <w:noWrap/>
            <w:hideMark/>
          </w:tcPr>
          <w:p w14:paraId="324B8C0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0.298</w:t>
            </w:r>
          </w:p>
        </w:tc>
        <w:tc>
          <w:tcPr>
            <w:tcW w:w="0" w:type="auto"/>
            <w:tcBorders>
              <w:top w:val="nil"/>
              <w:left w:val="nil"/>
              <w:bottom w:val="single" w:sz="4" w:space="0" w:color="auto"/>
              <w:right w:val="single" w:sz="4" w:space="0" w:color="auto"/>
            </w:tcBorders>
            <w:shd w:val="clear" w:color="auto" w:fill="auto"/>
            <w:noWrap/>
            <w:hideMark/>
          </w:tcPr>
          <w:p w14:paraId="174780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2D176D1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0.209</w:t>
            </w:r>
          </w:p>
        </w:tc>
        <w:tc>
          <w:tcPr>
            <w:tcW w:w="0" w:type="auto"/>
            <w:tcBorders>
              <w:top w:val="nil"/>
              <w:left w:val="nil"/>
              <w:bottom w:val="single" w:sz="4" w:space="0" w:color="auto"/>
              <w:right w:val="single" w:sz="4" w:space="0" w:color="auto"/>
            </w:tcBorders>
            <w:shd w:val="clear" w:color="auto" w:fill="auto"/>
            <w:noWrap/>
            <w:hideMark/>
          </w:tcPr>
          <w:p w14:paraId="76C0860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0.163</w:t>
            </w:r>
          </w:p>
        </w:tc>
        <w:tc>
          <w:tcPr>
            <w:tcW w:w="0" w:type="auto"/>
            <w:tcBorders>
              <w:top w:val="nil"/>
              <w:left w:val="nil"/>
              <w:bottom w:val="single" w:sz="4" w:space="0" w:color="auto"/>
              <w:right w:val="single" w:sz="4" w:space="0" w:color="auto"/>
            </w:tcBorders>
            <w:shd w:val="clear" w:color="auto" w:fill="auto"/>
            <w:noWrap/>
            <w:hideMark/>
          </w:tcPr>
          <w:p w14:paraId="52E2E5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0.397</w:t>
            </w:r>
          </w:p>
        </w:tc>
        <w:tc>
          <w:tcPr>
            <w:tcW w:w="0" w:type="auto"/>
            <w:tcBorders>
              <w:top w:val="nil"/>
              <w:left w:val="nil"/>
              <w:bottom w:val="single" w:sz="4" w:space="0" w:color="auto"/>
              <w:right w:val="single" w:sz="4" w:space="0" w:color="auto"/>
            </w:tcBorders>
            <w:shd w:val="clear" w:color="auto" w:fill="auto"/>
            <w:noWrap/>
            <w:hideMark/>
          </w:tcPr>
          <w:p w14:paraId="657B19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0.290</w:t>
            </w:r>
          </w:p>
        </w:tc>
        <w:tc>
          <w:tcPr>
            <w:tcW w:w="0" w:type="auto"/>
            <w:tcBorders>
              <w:top w:val="nil"/>
              <w:left w:val="nil"/>
              <w:bottom w:val="single" w:sz="4" w:space="0" w:color="auto"/>
              <w:right w:val="single" w:sz="4" w:space="0" w:color="auto"/>
            </w:tcBorders>
            <w:shd w:val="clear" w:color="auto" w:fill="auto"/>
            <w:noWrap/>
            <w:hideMark/>
          </w:tcPr>
          <w:p w14:paraId="3EA0E4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0.297</w:t>
            </w:r>
          </w:p>
        </w:tc>
        <w:tc>
          <w:tcPr>
            <w:tcW w:w="0" w:type="auto"/>
            <w:tcBorders>
              <w:top w:val="nil"/>
              <w:left w:val="nil"/>
              <w:bottom w:val="single" w:sz="4" w:space="0" w:color="auto"/>
              <w:right w:val="single" w:sz="4" w:space="0" w:color="auto"/>
            </w:tcBorders>
            <w:shd w:val="clear" w:color="auto" w:fill="auto"/>
            <w:noWrap/>
            <w:hideMark/>
          </w:tcPr>
          <w:p w14:paraId="3D5A1B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0.322</w:t>
            </w:r>
          </w:p>
        </w:tc>
      </w:tr>
      <w:tr w:rsidR="00943D0A" w:rsidRPr="00144673" w14:paraId="0A5DB30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0EAC5F8"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Arousal_5</w:t>
            </w:r>
          </w:p>
        </w:tc>
        <w:tc>
          <w:tcPr>
            <w:tcW w:w="0" w:type="auto"/>
            <w:tcBorders>
              <w:top w:val="nil"/>
              <w:left w:val="nil"/>
              <w:bottom w:val="single" w:sz="4" w:space="0" w:color="auto"/>
              <w:right w:val="single" w:sz="4" w:space="0" w:color="auto"/>
            </w:tcBorders>
            <w:shd w:val="clear" w:color="auto" w:fill="auto"/>
            <w:noWrap/>
            <w:hideMark/>
          </w:tcPr>
          <w:p w14:paraId="59B98C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0.710</w:t>
            </w:r>
          </w:p>
        </w:tc>
        <w:tc>
          <w:tcPr>
            <w:tcW w:w="0" w:type="auto"/>
            <w:tcBorders>
              <w:top w:val="nil"/>
              <w:left w:val="nil"/>
              <w:bottom w:val="single" w:sz="4" w:space="0" w:color="auto"/>
              <w:right w:val="single" w:sz="4" w:space="0" w:color="auto"/>
            </w:tcBorders>
            <w:shd w:val="clear" w:color="auto" w:fill="auto"/>
            <w:noWrap/>
            <w:hideMark/>
          </w:tcPr>
          <w:p w14:paraId="3E4315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0.149</w:t>
            </w:r>
          </w:p>
        </w:tc>
        <w:tc>
          <w:tcPr>
            <w:tcW w:w="0" w:type="auto"/>
            <w:tcBorders>
              <w:top w:val="nil"/>
              <w:left w:val="nil"/>
              <w:bottom w:val="single" w:sz="4" w:space="0" w:color="auto"/>
              <w:right w:val="single" w:sz="4" w:space="0" w:color="auto"/>
            </w:tcBorders>
            <w:shd w:val="clear" w:color="auto" w:fill="auto"/>
            <w:noWrap/>
            <w:hideMark/>
          </w:tcPr>
          <w:p w14:paraId="2EA18A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0.300</w:t>
            </w:r>
          </w:p>
        </w:tc>
        <w:tc>
          <w:tcPr>
            <w:tcW w:w="0" w:type="auto"/>
            <w:tcBorders>
              <w:top w:val="nil"/>
              <w:left w:val="nil"/>
              <w:bottom w:val="single" w:sz="4" w:space="0" w:color="auto"/>
              <w:right w:val="single" w:sz="4" w:space="0" w:color="auto"/>
            </w:tcBorders>
            <w:shd w:val="clear" w:color="auto" w:fill="auto"/>
            <w:noWrap/>
            <w:hideMark/>
          </w:tcPr>
          <w:p w14:paraId="0644348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0.295</w:t>
            </w:r>
          </w:p>
        </w:tc>
        <w:tc>
          <w:tcPr>
            <w:tcW w:w="0" w:type="auto"/>
            <w:tcBorders>
              <w:top w:val="nil"/>
              <w:left w:val="nil"/>
              <w:bottom w:val="single" w:sz="4" w:space="0" w:color="auto"/>
              <w:right w:val="single" w:sz="4" w:space="0" w:color="auto"/>
            </w:tcBorders>
            <w:shd w:val="clear" w:color="auto" w:fill="auto"/>
            <w:noWrap/>
            <w:hideMark/>
          </w:tcPr>
          <w:p w14:paraId="01A0A0A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0.216</w:t>
            </w:r>
          </w:p>
        </w:tc>
        <w:tc>
          <w:tcPr>
            <w:tcW w:w="0" w:type="auto"/>
            <w:tcBorders>
              <w:top w:val="nil"/>
              <w:left w:val="nil"/>
              <w:bottom w:val="single" w:sz="4" w:space="0" w:color="auto"/>
              <w:right w:val="single" w:sz="4" w:space="0" w:color="auto"/>
            </w:tcBorders>
            <w:shd w:val="clear" w:color="auto" w:fill="auto"/>
            <w:noWrap/>
            <w:hideMark/>
          </w:tcPr>
          <w:p w14:paraId="0A3FC63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0.222</w:t>
            </w:r>
          </w:p>
        </w:tc>
        <w:tc>
          <w:tcPr>
            <w:tcW w:w="0" w:type="auto"/>
            <w:tcBorders>
              <w:top w:val="nil"/>
              <w:left w:val="nil"/>
              <w:bottom w:val="single" w:sz="4" w:space="0" w:color="auto"/>
              <w:right w:val="single" w:sz="4" w:space="0" w:color="auto"/>
            </w:tcBorders>
            <w:shd w:val="clear" w:color="auto" w:fill="auto"/>
            <w:noWrap/>
            <w:hideMark/>
          </w:tcPr>
          <w:p w14:paraId="4BA3F18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0.350</w:t>
            </w:r>
          </w:p>
        </w:tc>
        <w:tc>
          <w:tcPr>
            <w:tcW w:w="0" w:type="auto"/>
            <w:tcBorders>
              <w:top w:val="nil"/>
              <w:left w:val="nil"/>
              <w:bottom w:val="single" w:sz="4" w:space="0" w:color="auto"/>
              <w:right w:val="single" w:sz="4" w:space="0" w:color="auto"/>
            </w:tcBorders>
            <w:shd w:val="clear" w:color="auto" w:fill="auto"/>
            <w:noWrap/>
            <w:hideMark/>
          </w:tcPr>
          <w:p w14:paraId="6B75298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08C64C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0.228</w:t>
            </w:r>
          </w:p>
        </w:tc>
        <w:tc>
          <w:tcPr>
            <w:tcW w:w="0" w:type="auto"/>
            <w:tcBorders>
              <w:top w:val="nil"/>
              <w:left w:val="nil"/>
              <w:bottom w:val="single" w:sz="4" w:space="0" w:color="auto"/>
              <w:right w:val="single" w:sz="4" w:space="0" w:color="auto"/>
            </w:tcBorders>
            <w:shd w:val="clear" w:color="auto" w:fill="auto"/>
            <w:noWrap/>
            <w:hideMark/>
          </w:tcPr>
          <w:p w14:paraId="3A7470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0.228</w:t>
            </w:r>
          </w:p>
        </w:tc>
        <w:tc>
          <w:tcPr>
            <w:tcW w:w="0" w:type="auto"/>
            <w:tcBorders>
              <w:top w:val="nil"/>
              <w:left w:val="nil"/>
              <w:bottom w:val="single" w:sz="4" w:space="0" w:color="auto"/>
              <w:right w:val="single" w:sz="4" w:space="0" w:color="auto"/>
            </w:tcBorders>
            <w:shd w:val="clear" w:color="auto" w:fill="auto"/>
            <w:noWrap/>
            <w:hideMark/>
          </w:tcPr>
          <w:p w14:paraId="1FFB9BF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0.182</w:t>
            </w:r>
          </w:p>
        </w:tc>
        <w:tc>
          <w:tcPr>
            <w:tcW w:w="0" w:type="auto"/>
            <w:tcBorders>
              <w:top w:val="nil"/>
              <w:left w:val="nil"/>
              <w:bottom w:val="single" w:sz="4" w:space="0" w:color="auto"/>
              <w:right w:val="single" w:sz="4" w:space="0" w:color="auto"/>
            </w:tcBorders>
            <w:shd w:val="clear" w:color="auto" w:fill="auto"/>
            <w:noWrap/>
            <w:hideMark/>
          </w:tcPr>
          <w:p w14:paraId="129ADBC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0.194</w:t>
            </w:r>
          </w:p>
        </w:tc>
        <w:tc>
          <w:tcPr>
            <w:tcW w:w="0" w:type="auto"/>
            <w:tcBorders>
              <w:top w:val="nil"/>
              <w:left w:val="nil"/>
              <w:bottom w:val="single" w:sz="4" w:space="0" w:color="auto"/>
              <w:right w:val="single" w:sz="4" w:space="0" w:color="auto"/>
            </w:tcBorders>
            <w:shd w:val="clear" w:color="auto" w:fill="auto"/>
            <w:noWrap/>
            <w:hideMark/>
          </w:tcPr>
          <w:p w14:paraId="59EEFA1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0.372</w:t>
            </w:r>
          </w:p>
        </w:tc>
        <w:tc>
          <w:tcPr>
            <w:tcW w:w="0" w:type="auto"/>
            <w:tcBorders>
              <w:top w:val="nil"/>
              <w:left w:val="nil"/>
              <w:bottom w:val="single" w:sz="4" w:space="0" w:color="auto"/>
              <w:right w:val="single" w:sz="4" w:space="0" w:color="auto"/>
            </w:tcBorders>
            <w:shd w:val="clear" w:color="auto" w:fill="auto"/>
            <w:noWrap/>
            <w:hideMark/>
          </w:tcPr>
          <w:p w14:paraId="3FFE6F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0.317</w:t>
            </w:r>
          </w:p>
        </w:tc>
        <w:tc>
          <w:tcPr>
            <w:tcW w:w="0" w:type="auto"/>
            <w:tcBorders>
              <w:top w:val="nil"/>
              <w:left w:val="nil"/>
              <w:bottom w:val="single" w:sz="4" w:space="0" w:color="auto"/>
              <w:right w:val="single" w:sz="4" w:space="0" w:color="auto"/>
            </w:tcBorders>
            <w:shd w:val="clear" w:color="auto" w:fill="auto"/>
            <w:noWrap/>
            <w:hideMark/>
          </w:tcPr>
          <w:p w14:paraId="1F036FD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0.265</w:t>
            </w:r>
          </w:p>
        </w:tc>
        <w:tc>
          <w:tcPr>
            <w:tcW w:w="0" w:type="auto"/>
            <w:tcBorders>
              <w:top w:val="nil"/>
              <w:left w:val="nil"/>
              <w:bottom w:val="single" w:sz="4" w:space="0" w:color="auto"/>
              <w:right w:val="single" w:sz="4" w:space="0" w:color="auto"/>
            </w:tcBorders>
            <w:shd w:val="clear" w:color="auto" w:fill="auto"/>
            <w:noWrap/>
            <w:hideMark/>
          </w:tcPr>
          <w:p w14:paraId="61E788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0.300</w:t>
            </w:r>
          </w:p>
        </w:tc>
      </w:tr>
      <w:tr w:rsidR="00943D0A" w:rsidRPr="00144673" w14:paraId="334F126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7A9DC0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Arousal_6</w:t>
            </w:r>
          </w:p>
        </w:tc>
        <w:tc>
          <w:tcPr>
            <w:tcW w:w="0" w:type="auto"/>
            <w:tcBorders>
              <w:top w:val="nil"/>
              <w:left w:val="nil"/>
              <w:bottom w:val="single" w:sz="4" w:space="0" w:color="auto"/>
              <w:right w:val="single" w:sz="4" w:space="0" w:color="auto"/>
            </w:tcBorders>
            <w:shd w:val="clear" w:color="auto" w:fill="auto"/>
            <w:noWrap/>
            <w:hideMark/>
          </w:tcPr>
          <w:p w14:paraId="5A69B84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0.804</w:t>
            </w:r>
          </w:p>
        </w:tc>
        <w:tc>
          <w:tcPr>
            <w:tcW w:w="0" w:type="auto"/>
            <w:tcBorders>
              <w:top w:val="nil"/>
              <w:left w:val="nil"/>
              <w:bottom w:val="single" w:sz="4" w:space="0" w:color="auto"/>
              <w:right w:val="single" w:sz="4" w:space="0" w:color="auto"/>
            </w:tcBorders>
            <w:shd w:val="clear" w:color="auto" w:fill="auto"/>
            <w:noWrap/>
            <w:hideMark/>
          </w:tcPr>
          <w:p w14:paraId="24CF52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0.193</w:t>
            </w:r>
          </w:p>
        </w:tc>
        <w:tc>
          <w:tcPr>
            <w:tcW w:w="0" w:type="auto"/>
            <w:tcBorders>
              <w:top w:val="nil"/>
              <w:left w:val="nil"/>
              <w:bottom w:val="single" w:sz="4" w:space="0" w:color="auto"/>
              <w:right w:val="single" w:sz="4" w:space="0" w:color="auto"/>
            </w:tcBorders>
            <w:shd w:val="clear" w:color="auto" w:fill="auto"/>
            <w:noWrap/>
            <w:hideMark/>
          </w:tcPr>
          <w:p w14:paraId="4090BF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0.410</w:t>
            </w:r>
          </w:p>
        </w:tc>
        <w:tc>
          <w:tcPr>
            <w:tcW w:w="0" w:type="auto"/>
            <w:tcBorders>
              <w:top w:val="nil"/>
              <w:left w:val="nil"/>
              <w:bottom w:val="single" w:sz="4" w:space="0" w:color="auto"/>
              <w:right w:val="single" w:sz="4" w:space="0" w:color="auto"/>
            </w:tcBorders>
            <w:shd w:val="clear" w:color="auto" w:fill="auto"/>
            <w:noWrap/>
            <w:hideMark/>
          </w:tcPr>
          <w:p w14:paraId="0C0E5C1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0.445</w:t>
            </w:r>
          </w:p>
        </w:tc>
        <w:tc>
          <w:tcPr>
            <w:tcW w:w="0" w:type="auto"/>
            <w:tcBorders>
              <w:top w:val="nil"/>
              <w:left w:val="nil"/>
              <w:bottom w:val="single" w:sz="4" w:space="0" w:color="auto"/>
              <w:right w:val="single" w:sz="4" w:space="0" w:color="auto"/>
            </w:tcBorders>
            <w:shd w:val="clear" w:color="auto" w:fill="auto"/>
            <w:noWrap/>
            <w:hideMark/>
          </w:tcPr>
          <w:p w14:paraId="1DF00E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0.372</w:t>
            </w:r>
          </w:p>
        </w:tc>
        <w:tc>
          <w:tcPr>
            <w:tcW w:w="0" w:type="auto"/>
            <w:tcBorders>
              <w:top w:val="nil"/>
              <w:left w:val="nil"/>
              <w:bottom w:val="single" w:sz="4" w:space="0" w:color="auto"/>
              <w:right w:val="single" w:sz="4" w:space="0" w:color="auto"/>
            </w:tcBorders>
            <w:shd w:val="clear" w:color="auto" w:fill="auto"/>
            <w:noWrap/>
            <w:hideMark/>
          </w:tcPr>
          <w:p w14:paraId="1D66B2F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0.233</w:t>
            </w:r>
          </w:p>
        </w:tc>
        <w:tc>
          <w:tcPr>
            <w:tcW w:w="0" w:type="auto"/>
            <w:tcBorders>
              <w:top w:val="nil"/>
              <w:left w:val="nil"/>
              <w:bottom w:val="single" w:sz="4" w:space="0" w:color="auto"/>
              <w:right w:val="single" w:sz="4" w:space="0" w:color="auto"/>
            </w:tcBorders>
            <w:shd w:val="clear" w:color="auto" w:fill="auto"/>
            <w:noWrap/>
            <w:hideMark/>
          </w:tcPr>
          <w:p w14:paraId="07ED2E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0.418</w:t>
            </w:r>
          </w:p>
        </w:tc>
        <w:tc>
          <w:tcPr>
            <w:tcW w:w="0" w:type="auto"/>
            <w:tcBorders>
              <w:top w:val="nil"/>
              <w:left w:val="nil"/>
              <w:bottom w:val="single" w:sz="4" w:space="0" w:color="auto"/>
              <w:right w:val="single" w:sz="4" w:space="0" w:color="auto"/>
            </w:tcBorders>
            <w:shd w:val="clear" w:color="auto" w:fill="auto"/>
            <w:noWrap/>
            <w:hideMark/>
          </w:tcPr>
          <w:p w14:paraId="31157D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0.225</w:t>
            </w:r>
          </w:p>
        </w:tc>
        <w:tc>
          <w:tcPr>
            <w:tcW w:w="0" w:type="auto"/>
            <w:tcBorders>
              <w:top w:val="nil"/>
              <w:left w:val="nil"/>
              <w:bottom w:val="single" w:sz="4" w:space="0" w:color="auto"/>
              <w:right w:val="single" w:sz="4" w:space="0" w:color="auto"/>
            </w:tcBorders>
            <w:shd w:val="clear" w:color="auto" w:fill="auto"/>
            <w:noWrap/>
            <w:hideMark/>
          </w:tcPr>
          <w:p w14:paraId="208E1F3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0.286</w:t>
            </w:r>
          </w:p>
        </w:tc>
        <w:tc>
          <w:tcPr>
            <w:tcW w:w="0" w:type="auto"/>
            <w:tcBorders>
              <w:top w:val="nil"/>
              <w:left w:val="nil"/>
              <w:bottom w:val="single" w:sz="4" w:space="0" w:color="auto"/>
              <w:right w:val="single" w:sz="4" w:space="0" w:color="auto"/>
            </w:tcBorders>
            <w:shd w:val="clear" w:color="auto" w:fill="auto"/>
            <w:noWrap/>
            <w:hideMark/>
          </w:tcPr>
          <w:p w14:paraId="075104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0.332</w:t>
            </w:r>
          </w:p>
        </w:tc>
        <w:tc>
          <w:tcPr>
            <w:tcW w:w="0" w:type="auto"/>
            <w:tcBorders>
              <w:top w:val="nil"/>
              <w:left w:val="nil"/>
              <w:bottom w:val="single" w:sz="4" w:space="0" w:color="auto"/>
              <w:right w:val="single" w:sz="4" w:space="0" w:color="auto"/>
            </w:tcBorders>
            <w:shd w:val="clear" w:color="auto" w:fill="auto"/>
            <w:noWrap/>
            <w:hideMark/>
          </w:tcPr>
          <w:p w14:paraId="4A2A96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0.364</w:t>
            </w:r>
          </w:p>
        </w:tc>
        <w:tc>
          <w:tcPr>
            <w:tcW w:w="0" w:type="auto"/>
            <w:tcBorders>
              <w:top w:val="nil"/>
              <w:left w:val="nil"/>
              <w:bottom w:val="single" w:sz="4" w:space="0" w:color="auto"/>
              <w:right w:val="single" w:sz="4" w:space="0" w:color="auto"/>
            </w:tcBorders>
            <w:shd w:val="clear" w:color="auto" w:fill="auto"/>
            <w:noWrap/>
            <w:hideMark/>
          </w:tcPr>
          <w:p w14:paraId="5EEC31F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0.299</w:t>
            </w:r>
          </w:p>
        </w:tc>
        <w:tc>
          <w:tcPr>
            <w:tcW w:w="0" w:type="auto"/>
            <w:tcBorders>
              <w:top w:val="nil"/>
              <w:left w:val="nil"/>
              <w:bottom w:val="single" w:sz="4" w:space="0" w:color="auto"/>
              <w:right w:val="single" w:sz="4" w:space="0" w:color="auto"/>
            </w:tcBorders>
            <w:shd w:val="clear" w:color="auto" w:fill="auto"/>
            <w:noWrap/>
            <w:hideMark/>
          </w:tcPr>
          <w:p w14:paraId="2646FD2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0.507</w:t>
            </w:r>
          </w:p>
        </w:tc>
        <w:tc>
          <w:tcPr>
            <w:tcW w:w="0" w:type="auto"/>
            <w:tcBorders>
              <w:top w:val="nil"/>
              <w:left w:val="nil"/>
              <w:bottom w:val="single" w:sz="4" w:space="0" w:color="auto"/>
              <w:right w:val="single" w:sz="4" w:space="0" w:color="auto"/>
            </w:tcBorders>
            <w:shd w:val="clear" w:color="auto" w:fill="auto"/>
            <w:noWrap/>
            <w:hideMark/>
          </w:tcPr>
          <w:p w14:paraId="0C6B4C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0.348</w:t>
            </w:r>
          </w:p>
        </w:tc>
        <w:tc>
          <w:tcPr>
            <w:tcW w:w="0" w:type="auto"/>
            <w:tcBorders>
              <w:top w:val="nil"/>
              <w:left w:val="nil"/>
              <w:bottom w:val="single" w:sz="4" w:space="0" w:color="auto"/>
              <w:right w:val="single" w:sz="4" w:space="0" w:color="auto"/>
            </w:tcBorders>
            <w:shd w:val="clear" w:color="auto" w:fill="auto"/>
            <w:noWrap/>
            <w:hideMark/>
          </w:tcPr>
          <w:p w14:paraId="0B5A7B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0.484</w:t>
            </w:r>
          </w:p>
        </w:tc>
        <w:tc>
          <w:tcPr>
            <w:tcW w:w="0" w:type="auto"/>
            <w:tcBorders>
              <w:top w:val="nil"/>
              <w:left w:val="nil"/>
              <w:bottom w:val="single" w:sz="4" w:space="0" w:color="auto"/>
              <w:right w:val="single" w:sz="4" w:space="0" w:color="auto"/>
            </w:tcBorders>
            <w:shd w:val="clear" w:color="auto" w:fill="auto"/>
            <w:noWrap/>
            <w:hideMark/>
          </w:tcPr>
          <w:p w14:paraId="293D64C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0.395</w:t>
            </w:r>
          </w:p>
        </w:tc>
      </w:tr>
      <w:tr w:rsidR="00943D0A" w:rsidRPr="00144673" w14:paraId="2E663D3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B81245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SCV_image_1</w:t>
            </w:r>
          </w:p>
        </w:tc>
        <w:tc>
          <w:tcPr>
            <w:tcW w:w="0" w:type="auto"/>
            <w:tcBorders>
              <w:top w:val="nil"/>
              <w:left w:val="nil"/>
              <w:bottom w:val="single" w:sz="4" w:space="0" w:color="auto"/>
              <w:right w:val="single" w:sz="4" w:space="0" w:color="auto"/>
            </w:tcBorders>
            <w:shd w:val="clear" w:color="auto" w:fill="auto"/>
            <w:noWrap/>
            <w:hideMark/>
          </w:tcPr>
          <w:p w14:paraId="245D4A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29FFB8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0.226</w:t>
            </w:r>
          </w:p>
        </w:tc>
        <w:tc>
          <w:tcPr>
            <w:tcW w:w="0" w:type="auto"/>
            <w:tcBorders>
              <w:top w:val="nil"/>
              <w:left w:val="nil"/>
              <w:bottom w:val="single" w:sz="4" w:space="0" w:color="auto"/>
              <w:right w:val="single" w:sz="4" w:space="0" w:color="auto"/>
            </w:tcBorders>
            <w:shd w:val="clear" w:color="auto" w:fill="auto"/>
            <w:noWrap/>
            <w:hideMark/>
          </w:tcPr>
          <w:p w14:paraId="5264B2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0.522</w:t>
            </w:r>
          </w:p>
        </w:tc>
        <w:tc>
          <w:tcPr>
            <w:tcW w:w="0" w:type="auto"/>
            <w:tcBorders>
              <w:top w:val="nil"/>
              <w:left w:val="nil"/>
              <w:bottom w:val="single" w:sz="4" w:space="0" w:color="auto"/>
              <w:right w:val="single" w:sz="4" w:space="0" w:color="auto"/>
            </w:tcBorders>
            <w:shd w:val="clear" w:color="auto" w:fill="auto"/>
            <w:noWrap/>
            <w:hideMark/>
          </w:tcPr>
          <w:p w14:paraId="7C25C65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0.746</w:t>
            </w:r>
          </w:p>
        </w:tc>
        <w:tc>
          <w:tcPr>
            <w:tcW w:w="0" w:type="auto"/>
            <w:tcBorders>
              <w:top w:val="nil"/>
              <w:left w:val="nil"/>
              <w:bottom w:val="single" w:sz="4" w:space="0" w:color="auto"/>
              <w:right w:val="single" w:sz="4" w:space="0" w:color="auto"/>
            </w:tcBorders>
            <w:shd w:val="clear" w:color="auto" w:fill="auto"/>
            <w:noWrap/>
            <w:hideMark/>
          </w:tcPr>
          <w:p w14:paraId="503701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c>
          <w:tcPr>
            <w:tcW w:w="0" w:type="auto"/>
            <w:tcBorders>
              <w:top w:val="nil"/>
              <w:left w:val="nil"/>
              <w:bottom w:val="single" w:sz="4" w:space="0" w:color="auto"/>
              <w:right w:val="single" w:sz="4" w:space="0" w:color="auto"/>
            </w:tcBorders>
            <w:shd w:val="clear" w:color="auto" w:fill="auto"/>
            <w:noWrap/>
            <w:hideMark/>
          </w:tcPr>
          <w:p w14:paraId="694061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0.305</w:t>
            </w:r>
          </w:p>
        </w:tc>
        <w:tc>
          <w:tcPr>
            <w:tcW w:w="0" w:type="auto"/>
            <w:tcBorders>
              <w:top w:val="nil"/>
              <w:left w:val="nil"/>
              <w:bottom w:val="single" w:sz="4" w:space="0" w:color="auto"/>
              <w:right w:val="single" w:sz="4" w:space="0" w:color="auto"/>
            </w:tcBorders>
            <w:shd w:val="clear" w:color="auto" w:fill="auto"/>
            <w:noWrap/>
            <w:hideMark/>
          </w:tcPr>
          <w:p w14:paraId="65DD4D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0.440</w:t>
            </w:r>
          </w:p>
        </w:tc>
        <w:tc>
          <w:tcPr>
            <w:tcW w:w="0" w:type="auto"/>
            <w:tcBorders>
              <w:top w:val="nil"/>
              <w:left w:val="nil"/>
              <w:bottom w:val="single" w:sz="4" w:space="0" w:color="auto"/>
              <w:right w:val="single" w:sz="4" w:space="0" w:color="auto"/>
            </w:tcBorders>
            <w:shd w:val="clear" w:color="auto" w:fill="auto"/>
            <w:noWrap/>
            <w:hideMark/>
          </w:tcPr>
          <w:p w14:paraId="75EB34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5B556E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0.337</w:t>
            </w:r>
          </w:p>
        </w:tc>
        <w:tc>
          <w:tcPr>
            <w:tcW w:w="0" w:type="auto"/>
            <w:tcBorders>
              <w:top w:val="nil"/>
              <w:left w:val="nil"/>
              <w:bottom w:val="single" w:sz="4" w:space="0" w:color="auto"/>
              <w:right w:val="single" w:sz="4" w:space="0" w:color="auto"/>
            </w:tcBorders>
            <w:shd w:val="clear" w:color="auto" w:fill="auto"/>
            <w:noWrap/>
            <w:hideMark/>
          </w:tcPr>
          <w:p w14:paraId="77751A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0.439</w:t>
            </w:r>
          </w:p>
        </w:tc>
        <w:tc>
          <w:tcPr>
            <w:tcW w:w="0" w:type="auto"/>
            <w:tcBorders>
              <w:top w:val="nil"/>
              <w:left w:val="nil"/>
              <w:bottom w:val="single" w:sz="4" w:space="0" w:color="auto"/>
              <w:right w:val="single" w:sz="4" w:space="0" w:color="auto"/>
            </w:tcBorders>
            <w:shd w:val="clear" w:color="auto" w:fill="auto"/>
            <w:noWrap/>
            <w:hideMark/>
          </w:tcPr>
          <w:p w14:paraId="62893F6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0.874</w:t>
            </w:r>
          </w:p>
        </w:tc>
        <w:tc>
          <w:tcPr>
            <w:tcW w:w="0" w:type="auto"/>
            <w:tcBorders>
              <w:top w:val="nil"/>
              <w:left w:val="nil"/>
              <w:bottom w:val="single" w:sz="4" w:space="0" w:color="auto"/>
              <w:right w:val="single" w:sz="4" w:space="0" w:color="auto"/>
            </w:tcBorders>
            <w:shd w:val="clear" w:color="auto" w:fill="auto"/>
            <w:noWrap/>
            <w:hideMark/>
          </w:tcPr>
          <w:p w14:paraId="465185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407FD1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0.593</w:t>
            </w:r>
          </w:p>
        </w:tc>
        <w:tc>
          <w:tcPr>
            <w:tcW w:w="0" w:type="auto"/>
            <w:tcBorders>
              <w:top w:val="nil"/>
              <w:left w:val="nil"/>
              <w:bottom w:val="single" w:sz="4" w:space="0" w:color="auto"/>
              <w:right w:val="single" w:sz="4" w:space="0" w:color="auto"/>
            </w:tcBorders>
            <w:shd w:val="clear" w:color="auto" w:fill="auto"/>
            <w:noWrap/>
            <w:hideMark/>
          </w:tcPr>
          <w:p w14:paraId="028C19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0.220</w:t>
            </w:r>
          </w:p>
        </w:tc>
        <w:tc>
          <w:tcPr>
            <w:tcW w:w="0" w:type="auto"/>
            <w:tcBorders>
              <w:top w:val="nil"/>
              <w:left w:val="nil"/>
              <w:bottom w:val="single" w:sz="4" w:space="0" w:color="auto"/>
              <w:right w:val="single" w:sz="4" w:space="0" w:color="auto"/>
            </w:tcBorders>
            <w:shd w:val="clear" w:color="auto" w:fill="auto"/>
            <w:noWrap/>
            <w:hideMark/>
          </w:tcPr>
          <w:p w14:paraId="53C8E5F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0.561</w:t>
            </w:r>
          </w:p>
        </w:tc>
        <w:tc>
          <w:tcPr>
            <w:tcW w:w="0" w:type="auto"/>
            <w:tcBorders>
              <w:top w:val="nil"/>
              <w:left w:val="nil"/>
              <w:bottom w:val="single" w:sz="4" w:space="0" w:color="auto"/>
              <w:right w:val="single" w:sz="4" w:space="0" w:color="auto"/>
            </w:tcBorders>
            <w:shd w:val="clear" w:color="auto" w:fill="auto"/>
            <w:noWrap/>
            <w:hideMark/>
          </w:tcPr>
          <w:p w14:paraId="5D29F9E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0.516</w:t>
            </w:r>
          </w:p>
        </w:tc>
      </w:tr>
      <w:tr w:rsidR="00943D0A" w:rsidRPr="00144673" w14:paraId="0F8491F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3461B7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SCV_image_1</w:t>
            </w:r>
          </w:p>
        </w:tc>
        <w:tc>
          <w:tcPr>
            <w:tcW w:w="0" w:type="auto"/>
            <w:tcBorders>
              <w:top w:val="nil"/>
              <w:left w:val="nil"/>
              <w:bottom w:val="single" w:sz="4" w:space="0" w:color="auto"/>
              <w:right w:val="single" w:sz="4" w:space="0" w:color="auto"/>
            </w:tcBorders>
            <w:shd w:val="clear" w:color="auto" w:fill="auto"/>
            <w:noWrap/>
            <w:hideMark/>
          </w:tcPr>
          <w:p w14:paraId="5398E4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2B7A19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0.226</w:t>
            </w:r>
          </w:p>
        </w:tc>
        <w:tc>
          <w:tcPr>
            <w:tcW w:w="0" w:type="auto"/>
            <w:tcBorders>
              <w:top w:val="nil"/>
              <w:left w:val="nil"/>
              <w:bottom w:val="single" w:sz="4" w:space="0" w:color="auto"/>
              <w:right w:val="single" w:sz="4" w:space="0" w:color="auto"/>
            </w:tcBorders>
            <w:shd w:val="clear" w:color="auto" w:fill="auto"/>
            <w:noWrap/>
            <w:hideMark/>
          </w:tcPr>
          <w:p w14:paraId="063D05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0.522</w:t>
            </w:r>
          </w:p>
        </w:tc>
        <w:tc>
          <w:tcPr>
            <w:tcW w:w="0" w:type="auto"/>
            <w:tcBorders>
              <w:top w:val="nil"/>
              <w:left w:val="nil"/>
              <w:bottom w:val="single" w:sz="4" w:space="0" w:color="auto"/>
              <w:right w:val="single" w:sz="4" w:space="0" w:color="auto"/>
            </w:tcBorders>
            <w:shd w:val="clear" w:color="auto" w:fill="auto"/>
            <w:noWrap/>
            <w:hideMark/>
          </w:tcPr>
          <w:p w14:paraId="6E1716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0.746</w:t>
            </w:r>
          </w:p>
        </w:tc>
        <w:tc>
          <w:tcPr>
            <w:tcW w:w="0" w:type="auto"/>
            <w:tcBorders>
              <w:top w:val="nil"/>
              <w:left w:val="nil"/>
              <w:bottom w:val="single" w:sz="4" w:space="0" w:color="auto"/>
              <w:right w:val="single" w:sz="4" w:space="0" w:color="auto"/>
            </w:tcBorders>
            <w:shd w:val="clear" w:color="auto" w:fill="auto"/>
            <w:noWrap/>
            <w:hideMark/>
          </w:tcPr>
          <w:p w14:paraId="06C7FCB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c>
          <w:tcPr>
            <w:tcW w:w="0" w:type="auto"/>
            <w:tcBorders>
              <w:top w:val="nil"/>
              <w:left w:val="nil"/>
              <w:bottom w:val="single" w:sz="4" w:space="0" w:color="auto"/>
              <w:right w:val="single" w:sz="4" w:space="0" w:color="auto"/>
            </w:tcBorders>
            <w:shd w:val="clear" w:color="auto" w:fill="auto"/>
            <w:noWrap/>
            <w:hideMark/>
          </w:tcPr>
          <w:p w14:paraId="4136602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0.305</w:t>
            </w:r>
          </w:p>
        </w:tc>
        <w:tc>
          <w:tcPr>
            <w:tcW w:w="0" w:type="auto"/>
            <w:tcBorders>
              <w:top w:val="nil"/>
              <w:left w:val="nil"/>
              <w:bottom w:val="single" w:sz="4" w:space="0" w:color="auto"/>
              <w:right w:val="single" w:sz="4" w:space="0" w:color="auto"/>
            </w:tcBorders>
            <w:shd w:val="clear" w:color="auto" w:fill="auto"/>
            <w:noWrap/>
            <w:hideMark/>
          </w:tcPr>
          <w:p w14:paraId="5E12AA8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0.440</w:t>
            </w:r>
          </w:p>
        </w:tc>
        <w:tc>
          <w:tcPr>
            <w:tcW w:w="0" w:type="auto"/>
            <w:tcBorders>
              <w:top w:val="nil"/>
              <w:left w:val="nil"/>
              <w:bottom w:val="single" w:sz="4" w:space="0" w:color="auto"/>
              <w:right w:val="single" w:sz="4" w:space="0" w:color="auto"/>
            </w:tcBorders>
            <w:shd w:val="clear" w:color="auto" w:fill="auto"/>
            <w:noWrap/>
            <w:hideMark/>
          </w:tcPr>
          <w:p w14:paraId="0D25D7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7FD7F22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0.337</w:t>
            </w:r>
          </w:p>
        </w:tc>
        <w:tc>
          <w:tcPr>
            <w:tcW w:w="0" w:type="auto"/>
            <w:tcBorders>
              <w:top w:val="nil"/>
              <w:left w:val="nil"/>
              <w:bottom w:val="single" w:sz="4" w:space="0" w:color="auto"/>
              <w:right w:val="single" w:sz="4" w:space="0" w:color="auto"/>
            </w:tcBorders>
            <w:shd w:val="clear" w:color="auto" w:fill="auto"/>
            <w:noWrap/>
            <w:hideMark/>
          </w:tcPr>
          <w:p w14:paraId="1A72E3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0.439</w:t>
            </w:r>
          </w:p>
        </w:tc>
        <w:tc>
          <w:tcPr>
            <w:tcW w:w="0" w:type="auto"/>
            <w:tcBorders>
              <w:top w:val="nil"/>
              <w:left w:val="nil"/>
              <w:bottom w:val="single" w:sz="4" w:space="0" w:color="auto"/>
              <w:right w:val="single" w:sz="4" w:space="0" w:color="auto"/>
            </w:tcBorders>
            <w:shd w:val="clear" w:color="auto" w:fill="auto"/>
            <w:noWrap/>
            <w:hideMark/>
          </w:tcPr>
          <w:p w14:paraId="448695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0.874</w:t>
            </w:r>
          </w:p>
        </w:tc>
        <w:tc>
          <w:tcPr>
            <w:tcW w:w="0" w:type="auto"/>
            <w:tcBorders>
              <w:top w:val="nil"/>
              <w:left w:val="nil"/>
              <w:bottom w:val="single" w:sz="4" w:space="0" w:color="auto"/>
              <w:right w:val="single" w:sz="4" w:space="0" w:color="auto"/>
            </w:tcBorders>
            <w:shd w:val="clear" w:color="auto" w:fill="auto"/>
            <w:noWrap/>
            <w:hideMark/>
          </w:tcPr>
          <w:p w14:paraId="7A2526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7E4BB73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0.593</w:t>
            </w:r>
          </w:p>
        </w:tc>
        <w:tc>
          <w:tcPr>
            <w:tcW w:w="0" w:type="auto"/>
            <w:tcBorders>
              <w:top w:val="nil"/>
              <w:left w:val="nil"/>
              <w:bottom w:val="single" w:sz="4" w:space="0" w:color="auto"/>
              <w:right w:val="single" w:sz="4" w:space="0" w:color="auto"/>
            </w:tcBorders>
            <w:shd w:val="clear" w:color="auto" w:fill="auto"/>
            <w:noWrap/>
            <w:hideMark/>
          </w:tcPr>
          <w:p w14:paraId="39C0866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0.220</w:t>
            </w:r>
          </w:p>
        </w:tc>
        <w:tc>
          <w:tcPr>
            <w:tcW w:w="0" w:type="auto"/>
            <w:tcBorders>
              <w:top w:val="nil"/>
              <w:left w:val="nil"/>
              <w:bottom w:val="single" w:sz="4" w:space="0" w:color="auto"/>
              <w:right w:val="single" w:sz="4" w:space="0" w:color="auto"/>
            </w:tcBorders>
            <w:shd w:val="clear" w:color="auto" w:fill="auto"/>
            <w:noWrap/>
            <w:hideMark/>
          </w:tcPr>
          <w:p w14:paraId="29F0298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0.561</w:t>
            </w:r>
          </w:p>
        </w:tc>
        <w:tc>
          <w:tcPr>
            <w:tcW w:w="0" w:type="auto"/>
            <w:tcBorders>
              <w:top w:val="nil"/>
              <w:left w:val="nil"/>
              <w:bottom w:val="single" w:sz="4" w:space="0" w:color="auto"/>
              <w:right w:val="single" w:sz="4" w:space="0" w:color="auto"/>
            </w:tcBorders>
            <w:shd w:val="clear" w:color="auto" w:fill="auto"/>
            <w:noWrap/>
            <w:hideMark/>
          </w:tcPr>
          <w:p w14:paraId="7D7513C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0.516</w:t>
            </w:r>
          </w:p>
        </w:tc>
      </w:tr>
      <w:tr w:rsidR="00943D0A" w:rsidRPr="00144673" w14:paraId="4FCF1AB1"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BDF532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SCV_image_2</w:t>
            </w:r>
          </w:p>
        </w:tc>
        <w:tc>
          <w:tcPr>
            <w:tcW w:w="0" w:type="auto"/>
            <w:tcBorders>
              <w:top w:val="nil"/>
              <w:left w:val="nil"/>
              <w:bottom w:val="single" w:sz="4" w:space="0" w:color="auto"/>
              <w:right w:val="single" w:sz="4" w:space="0" w:color="auto"/>
            </w:tcBorders>
            <w:shd w:val="clear" w:color="auto" w:fill="auto"/>
            <w:noWrap/>
            <w:hideMark/>
          </w:tcPr>
          <w:p w14:paraId="71866E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0.401</w:t>
            </w:r>
          </w:p>
        </w:tc>
        <w:tc>
          <w:tcPr>
            <w:tcW w:w="0" w:type="auto"/>
            <w:tcBorders>
              <w:top w:val="nil"/>
              <w:left w:val="nil"/>
              <w:bottom w:val="single" w:sz="4" w:space="0" w:color="auto"/>
              <w:right w:val="single" w:sz="4" w:space="0" w:color="auto"/>
            </w:tcBorders>
            <w:shd w:val="clear" w:color="auto" w:fill="auto"/>
            <w:noWrap/>
            <w:hideMark/>
          </w:tcPr>
          <w:p w14:paraId="4D3E12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6147B5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0.493</w:t>
            </w:r>
          </w:p>
        </w:tc>
        <w:tc>
          <w:tcPr>
            <w:tcW w:w="0" w:type="auto"/>
            <w:tcBorders>
              <w:top w:val="nil"/>
              <w:left w:val="nil"/>
              <w:bottom w:val="single" w:sz="4" w:space="0" w:color="auto"/>
              <w:right w:val="single" w:sz="4" w:space="0" w:color="auto"/>
            </w:tcBorders>
            <w:shd w:val="clear" w:color="auto" w:fill="auto"/>
            <w:noWrap/>
            <w:hideMark/>
          </w:tcPr>
          <w:p w14:paraId="170D800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0.710</w:t>
            </w:r>
          </w:p>
        </w:tc>
        <w:tc>
          <w:tcPr>
            <w:tcW w:w="0" w:type="auto"/>
            <w:tcBorders>
              <w:top w:val="nil"/>
              <w:left w:val="nil"/>
              <w:bottom w:val="single" w:sz="4" w:space="0" w:color="auto"/>
              <w:right w:val="single" w:sz="4" w:space="0" w:color="auto"/>
            </w:tcBorders>
            <w:shd w:val="clear" w:color="auto" w:fill="auto"/>
            <w:noWrap/>
            <w:hideMark/>
          </w:tcPr>
          <w:p w14:paraId="7BF451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0.435</w:t>
            </w:r>
          </w:p>
        </w:tc>
        <w:tc>
          <w:tcPr>
            <w:tcW w:w="0" w:type="auto"/>
            <w:tcBorders>
              <w:top w:val="nil"/>
              <w:left w:val="nil"/>
              <w:bottom w:val="single" w:sz="4" w:space="0" w:color="auto"/>
              <w:right w:val="single" w:sz="4" w:space="0" w:color="auto"/>
            </w:tcBorders>
            <w:shd w:val="clear" w:color="auto" w:fill="auto"/>
            <w:noWrap/>
            <w:hideMark/>
          </w:tcPr>
          <w:p w14:paraId="66DFAD8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0.272</w:t>
            </w:r>
          </w:p>
        </w:tc>
        <w:tc>
          <w:tcPr>
            <w:tcW w:w="0" w:type="auto"/>
            <w:tcBorders>
              <w:top w:val="nil"/>
              <w:left w:val="nil"/>
              <w:bottom w:val="single" w:sz="4" w:space="0" w:color="auto"/>
              <w:right w:val="single" w:sz="4" w:space="0" w:color="auto"/>
            </w:tcBorders>
            <w:shd w:val="clear" w:color="auto" w:fill="auto"/>
            <w:noWrap/>
            <w:hideMark/>
          </w:tcPr>
          <w:p w14:paraId="2E10AA2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505C3DA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0.185</w:t>
            </w:r>
          </w:p>
        </w:tc>
        <w:tc>
          <w:tcPr>
            <w:tcW w:w="0" w:type="auto"/>
            <w:tcBorders>
              <w:top w:val="nil"/>
              <w:left w:val="nil"/>
              <w:bottom w:val="single" w:sz="4" w:space="0" w:color="auto"/>
              <w:right w:val="single" w:sz="4" w:space="0" w:color="auto"/>
            </w:tcBorders>
            <w:shd w:val="clear" w:color="auto" w:fill="auto"/>
            <w:noWrap/>
            <w:hideMark/>
          </w:tcPr>
          <w:p w14:paraId="7DB740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7A2539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0.392</w:t>
            </w:r>
          </w:p>
        </w:tc>
        <w:tc>
          <w:tcPr>
            <w:tcW w:w="0" w:type="auto"/>
            <w:tcBorders>
              <w:top w:val="nil"/>
              <w:left w:val="nil"/>
              <w:bottom w:val="single" w:sz="4" w:space="0" w:color="auto"/>
              <w:right w:val="single" w:sz="4" w:space="0" w:color="auto"/>
            </w:tcBorders>
            <w:shd w:val="clear" w:color="auto" w:fill="auto"/>
            <w:noWrap/>
            <w:hideMark/>
          </w:tcPr>
          <w:p w14:paraId="0123EC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0.909</w:t>
            </w:r>
          </w:p>
        </w:tc>
        <w:tc>
          <w:tcPr>
            <w:tcW w:w="0" w:type="auto"/>
            <w:tcBorders>
              <w:top w:val="nil"/>
              <w:left w:val="nil"/>
              <w:bottom w:val="single" w:sz="4" w:space="0" w:color="auto"/>
              <w:right w:val="single" w:sz="4" w:space="0" w:color="auto"/>
            </w:tcBorders>
            <w:shd w:val="clear" w:color="auto" w:fill="auto"/>
            <w:noWrap/>
            <w:hideMark/>
          </w:tcPr>
          <w:p w14:paraId="5A39E3E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79E8378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0.564</w:t>
            </w:r>
          </w:p>
        </w:tc>
        <w:tc>
          <w:tcPr>
            <w:tcW w:w="0" w:type="auto"/>
            <w:tcBorders>
              <w:top w:val="nil"/>
              <w:left w:val="nil"/>
              <w:bottom w:val="single" w:sz="4" w:space="0" w:color="auto"/>
              <w:right w:val="single" w:sz="4" w:space="0" w:color="auto"/>
            </w:tcBorders>
            <w:shd w:val="clear" w:color="auto" w:fill="auto"/>
            <w:noWrap/>
            <w:hideMark/>
          </w:tcPr>
          <w:p w14:paraId="5CA841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0.213</w:t>
            </w:r>
          </w:p>
        </w:tc>
        <w:tc>
          <w:tcPr>
            <w:tcW w:w="0" w:type="auto"/>
            <w:tcBorders>
              <w:top w:val="nil"/>
              <w:left w:val="nil"/>
              <w:bottom w:val="single" w:sz="4" w:space="0" w:color="auto"/>
              <w:right w:val="single" w:sz="4" w:space="0" w:color="auto"/>
            </w:tcBorders>
            <w:shd w:val="clear" w:color="auto" w:fill="auto"/>
            <w:noWrap/>
            <w:hideMark/>
          </w:tcPr>
          <w:p w14:paraId="3DF1B2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0.499</w:t>
            </w:r>
          </w:p>
        </w:tc>
        <w:tc>
          <w:tcPr>
            <w:tcW w:w="0" w:type="auto"/>
            <w:tcBorders>
              <w:top w:val="nil"/>
              <w:left w:val="nil"/>
              <w:bottom w:val="single" w:sz="4" w:space="0" w:color="auto"/>
              <w:right w:val="single" w:sz="4" w:space="0" w:color="auto"/>
            </w:tcBorders>
            <w:shd w:val="clear" w:color="auto" w:fill="auto"/>
            <w:noWrap/>
            <w:hideMark/>
          </w:tcPr>
          <w:p w14:paraId="7C687E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r>
      <w:tr w:rsidR="00943D0A" w:rsidRPr="00144673" w14:paraId="0B65906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73FCC4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SCV_image_2</w:t>
            </w:r>
          </w:p>
        </w:tc>
        <w:tc>
          <w:tcPr>
            <w:tcW w:w="0" w:type="auto"/>
            <w:tcBorders>
              <w:top w:val="nil"/>
              <w:left w:val="nil"/>
              <w:bottom w:val="single" w:sz="4" w:space="0" w:color="auto"/>
              <w:right w:val="single" w:sz="4" w:space="0" w:color="auto"/>
            </w:tcBorders>
            <w:shd w:val="clear" w:color="auto" w:fill="auto"/>
            <w:noWrap/>
            <w:hideMark/>
          </w:tcPr>
          <w:p w14:paraId="458D4A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0.401</w:t>
            </w:r>
          </w:p>
        </w:tc>
        <w:tc>
          <w:tcPr>
            <w:tcW w:w="0" w:type="auto"/>
            <w:tcBorders>
              <w:top w:val="nil"/>
              <w:left w:val="nil"/>
              <w:bottom w:val="single" w:sz="4" w:space="0" w:color="auto"/>
              <w:right w:val="single" w:sz="4" w:space="0" w:color="auto"/>
            </w:tcBorders>
            <w:shd w:val="clear" w:color="auto" w:fill="auto"/>
            <w:noWrap/>
            <w:hideMark/>
          </w:tcPr>
          <w:p w14:paraId="587CDB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490406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0.493</w:t>
            </w:r>
          </w:p>
        </w:tc>
        <w:tc>
          <w:tcPr>
            <w:tcW w:w="0" w:type="auto"/>
            <w:tcBorders>
              <w:top w:val="nil"/>
              <w:left w:val="nil"/>
              <w:bottom w:val="single" w:sz="4" w:space="0" w:color="auto"/>
              <w:right w:val="single" w:sz="4" w:space="0" w:color="auto"/>
            </w:tcBorders>
            <w:shd w:val="clear" w:color="auto" w:fill="auto"/>
            <w:noWrap/>
            <w:hideMark/>
          </w:tcPr>
          <w:p w14:paraId="3A79BB4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0.710</w:t>
            </w:r>
          </w:p>
        </w:tc>
        <w:tc>
          <w:tcPr>
            <w:tcW w:w="0" w:type="auto"/>
            <w:tcBorders>
              <w:top w:val="nil"/>
              <w:left w:val="nil"/>
              <w:bottom w:val="single" w:sz="4" w:space="0" w:color="auto"/>
              <w:right w:val="single" w:sz="4" w:space="0" w:color="auto"/>
            </w:tcBorders>
            <w:shd w:val="clear" w:color="auto" w:fill="auto"/>
            <w:noWrap/>
            <w:hideMark/>
          </w:tcPr>
          <w:p w14:paraId="6B138D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0.435</w:t>
            </w:r>
          </w:p>
        </w:tc>
        <w:tc>
          <w:tcPr>
            <w:tcW w:w="0" w:type="auto"/>
            <w:tcBorders>
              <w:top w:val="nil"/>
              <w:left w:val="nil"/>
              <w:bottom w:val="single" w:sz="4" w:space="0" w:color="auto"/>
              <w:right w:val="single" w:sz="4" w:space="0" w:color="auto"/>
            </w:tcBorders>
            <w:shd w:val="clear" w:color="auto" w:fill="auto"/>
            <w:noWrap/>
            <w:hideMark/>
          </w:tcPr>
          <w:p w14:paraId="682D41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0.272</w:t>
            </w:r>
          </w:p>
        </w:tc>
        <w:tc>
          <w:tcPr>
            <w:tcW w:w="0" w:type="auto"/>
            <w:tcBorders>
              <w:top w:val="nil"/>
              <w:left w:val="nil"/>
              <w:bottom w:val="single" w:sz="4" w:space="0" w:color="auto"/>
              <w:right w:val="single" w:sz="4" w:space="0" w:color="auto"/>
            </w:tcBorders>
            <w:shd w:val="clear" w:color="auto" w:fill="auto"/>
            <w:noWrap/>
            <w:hideMark/>
          </w:tcPr>
          <w:p w14:paraId="2B3ED66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24B528B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0.185</w:t>
            </w:r>
          </w:p>
        </w:tc>
        <w:tc>
          <w:tcPr>
            <w:tcW w:w="0" w:type="auto"/>
            <w:tcBorders>
              <w:top w:val="nil"/>
              <w:left w:val="nil"/>
              <w:bottom w:val="single" w:sz="4" w:space="0" w:color="auto"/>
              <w:right w:val="single" w:sz="4" w:space="0" w:color="auto"/>
            </w:tcBorders>
            <w:shd w:val="clear" w:color="auto" w:fill="auto"/>
            <w:noWrap/>
            <w:hideMark/>
          </w:tcPr>
          <w:p w14:paraId="54E76D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4D4FD9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0.392</w:t>
            </w:r>
          </w:p>
        </w:tc>
        <w:tc>
          <w:tcPr>
            <w:tcW w:w="0" w:type="auto"/>
            <w:tcBorders>
              <w:top w:val="nil"/>
              <w:left w:val="nil"/>
              <w:bottom w:val="single" w:sz="4" w:space="0" w:color="auto"/>
              <w:right w:val="single" w:sz="4" w:space="0" w:color="auto"/>
            </w:tcBorders>
            <w:shd w:val="clear" w:color="auto" w:fill="auto"/>
            <w:noWrap/>
            <w:hideMark/>
          </w:tcPr>
          <w:p w14:paraId="0B512F2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0.909</w:t>
            </w:r>
          </w:p>
        </w:tc>
        <w:tc>
          <w:tcPr>
            <w:tcW w:w="0" w:type="auto"/>
            <w:tcBorders>
              <w:top w:val="nil"/>
              <w:left w:val="nil"/>
              <w:bottom w:val="single" w:sz="4" w:space="0" w:color="auto"/>
              <w:right w:val="single" w:sz="4" w:space="0" w:color="auto"/>
            </w:tcBorders>
            <w:shd w:val="clear" w:color="auto" w:fill="auto"/>
            <w:noWrap/>
            <w:hideMark/>
          </w:tcPr>
          <w:p w14:paraId="448BAC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3D52C0B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0.564</w:t>
            </w:r>
          </w:p>
        </w:tc>
        <w:tc>
          <w:tcPr>
            <w:tcW w:w="0" w:type="auto"/>
            <w:tcBorders>
              <w:top w:val="nil"/>
              <w:left w:val="nil"/>
              <w:bottom w:val="single" w:sz="4" w:space="0" w:color="auto"/>
              <w:right w:val="single" w:sz="4" w:space="0" w:color="auto"/>
            </w:tcBorders>
            <w:shd w:val="clear" w:color="auto" w:fill="auto"/>
            <w:noWrap/>
            <w:hideMark/>
          </w:tcPr>
          <w:p w14:paraId="2AB6F2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0.213</w:t>
            </w:r>
          </w:p>
        </w:tc>
        <w:tc>
          <w:tcPr>
            <w:tcW w:w="0" w:type="auto"/>
            <w:tcBorders>
              <w:top w:val="nil"/>
              <w:left w:val="nil"/>
              <w:bottom w:val="single" w:sz="4" w:space="0" w:color="auto"/>
              <w:right w:val="single" w:sz="4" w:space="0" w:color="auto"/>
            </w:tcBorders>
            <w:shd w:val="clear" w:color="auto" w:fill="auto"/>
            <w:noWrap/>
            <w:hideMark/>
          </w:tcPr>
          <w:p w14:paraId="477C85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0.499</w:t>
            </w:r>
          </w:p>
        </w:tc>
        <w:tc>
          <w:tcPr>
            <w:tcW w:w="0" w:type="auto"/>
            <w:tcBorders>
              <w:top w:val="nil"/>
              <w:left w:val="nil"/>
              <w:bottom w:val="single" w:sz="4" w:space="0" w:color="auto"/>
              <w:right w:val="single" w:sz="4" w:space="0" w:color="auto"/>
            </w:tcBorders>
            <w:shd w:val="clear" w:color="auto" w:fill="auto"/>
            <w:noWrap/>
            <w:hideMark/>
          </w:tcPr>
          <w:p w14:paraId="0F24A1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r>
      <w:tr w:rsidR="00943D0A" w:rsidRPr="00144673" w14:paraId="44984D7E"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26201A2"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SCV_image_3</w:t>
            </w:r>
          </w:p>
        </w:tc>
        <w:tc>
          <w:tcPr>
            <w:tcW w:w="0" w:type="auto"/>
            <w:tcBorders>
              <w:top w:val="nil"/>
              <w:left w:val="nil"/>
              <w:bottom w:val="single" w:sz="4" w:space="0" w:color="auto"/>
              <w:right w:val="single" w:sz="4" w:space="0" w:color="auto"/>
            </w:tcBorders>
            <w:shd w:val="clear" w:color="auto" w:fill="auto"/>
            <w:noWrap/>
            <w:hideMark/>
          </w:tcPr>
          <w:p w14:paraId="14E576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0.356</w:t>
            </w:r>
          </w:p>
        </w:tc>
        <w:tc>
          <w:tcPr>
            <w:tcW w:w="0" w:type="auto"/>
            <w:tcBorders>
              <w:top w:val="nil"/>
              <w:left w:val="nil"/>
              <w:bottom w:val="single" w:sz="4" w:space="0" w:color="auto"/>
              <w:right w:val="single" w:sz="4" w:space="0" w:color="auto"/>
            </w:tcBorders>
            <w:shd w:val="clear" w:color="auto" w:fill="auto"/>
            <w:noWrap/>
            <w:hideMark/>
          </w:tcPr>
          <w:p w14:paraId="41FFCD6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0.153</w:t>
            </w:r>
          </w:p>
        </w:tc>
        <w:tc>
          <w:tcPr>
            <w:tcW w:w="0" w:type="auto"/>
            <w:tcBorders>
              <w:top w:val="nil"/>
              <w:left w:val="nil"/>
              <w:bottom w:val="single" w:sz="4" w:space="0" w:color="auto"/>
              <w:right w:val="single" w:sz="4" w:space="0" w:color="auto"/>
            </w:tcBorders>
            <w:shd w:val="clear" w:color="auto" w:fill="auto"/>
            <w:noWrap/>
            <w:hideMark/>
          </w:tcPr>
          <w:p w14:paraId="0D7734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311FE4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0.735</w:t>
            </w:r>
          </w:p>
        </w:tc>
        <w:tc>
          <w:tcPr>
            <w:tcW w:w="0" w:type="auto"/>
            <w:tcBorders>
              <w:top w:val="nil"/>
              <w:left w:val="nil"/>
              <w:bottom w:val="single" w:sz="4" w:space="0" w:color="auto"/>
              <w:right w:val="single" w:sz="4" w:space="0" w:color="auto"/>
            </w:tcBorders>
            <w:shd w:val="clear" w:color="auto" w:fill="auto"/>
            <w:noWrap/>
            <w:hideMark/>
          </w:tcPr>
          <w:p w14:paraId="2F915F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0.479</w:t>
            </w:r>
          </w:p>
        </w:tc>
        <w:tc>
          <w:tcPr>
            <w:tcW w:w="0" w:type="auto"/>
            <w:tcBorders>
              <w:top w:val="nil"/>
              <w:left w:val="nil"/>
              <w:bottom w:val="single" w:sz="4" w:space="0" w:color="auto"/>
              <w:right w:val="single" w:sz="4" w:space="0" w:color="auto"/>
            </w:tcBorders>
            <w:shd w:val="clear" w:color="auto" w:fill="auto"/>
            <w:noWrap/>
            <w:hideMark/>
          </w:tcPr>
          <w:p w14:paraId="771436D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0.350</w:t>
            </w:r>
          </w:p>
        </w:tc>
        <w:tc>
          <w:tcPr>
            <w:tcW w:w="0" w:type="auto"/>
            <w:tcBorders>
              <w:top w:val="nil"/>
              <w:left w:val="nil"/>
              <w:bottom w:val="single" w:sz="4" w:space="0" w:color="auto"/>
              <w:right w:val="single" w:sz="4" w:space="0" w:color="auto"/>
            </w:tcBorders>
            <w:shd w:val="clear" w:color="auto" w:fill="auto"/>
            <w:noWrap/>
            <w:hideMark/>
          </w:tcPr>
          <w:p w14:paraId="5D890F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6E2C43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0.182</w:t>
            </w:r>
          </w:p>
        </w:tc>
        <w:tc>
          <w:tcPr>
            <w:tcW w:w="0" w:type="auto"/>
            <w:tcBorders>
              <w:top w:val="nil"/>
              <w:left w:val="nil"/>
              <w:bottom w:val="single" w:sz="4" w:space="0" w:color="auto"/>
              <w:right w:val="single" w:sz="4" w:space="0" w:color="auto"/>
            </w:tcBorders>
            <w:shd w:val="clear" w:color="auto" w:fill="auto"/>
            <w:noWrap/>
            <w:hideMark/>
          </w:tcPr>
          <w:p w14:paraId="3321DC0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3502885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3D35CB0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0.910</w:t>
            </w:r>
          </w:p>
        </w:tc>
        <w:tc>
          <w:tcPr>
            <w:tcW w:w="0" w:type="auto"/>
            <w:tcBorders>
              <w:top w:val="nil"/>
              <w:left w:val="nil"/>
              <w:bottom w:val="single" w:sz="4" w:space="0" w:color="auto"/>
              <w:right w:val="single" w:sz="4" w:space="0" w:color="auto"/>
            </w:tcBorders>
            <w:shd w:val="clear" w:color="auto" w:fill="auto"/>
            <w:noWrap/>
            <w:hideMark/>
          </w:tcPr>
          <w:p w14:paraId="53BB69D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57D85F2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0.552</w:t>
            </w:r>
          </w:p>
        </w:tc>
        <w:tc>
          <w:tcPr>
            <w:tcW w:w="0" w:type="auto"/>
            <w:tcBorders>
              <w:top w:val="nil"/>
              <w:left w:val="nil"/>
              <w:bottom w:val="single" w:sz="4" w:space="0" w:color="auto"/>
              <w:right w:val="single" w:sz="4" w:space="0" w:color="auto"/>
            </w:tcBorders>
            <w:shd w:val="clear" w:color="auto" w:fill="auto"/>
            <w:noWrap/>
            <w:hideMark/>
          </w:tcPr>
          <w:p w14:paraId="22C84E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0.240</w:t>
            </w:r>
          </w:p>
        </w:tc>
        <w:tc>
          <w:tcPr>
            <w:tcW w:w="0" w:type="auto"/>
            <w:tcBorders>
              <w:top w:val="nil"/>
              <w:left w:val="nil"/>
              <w:bottom w:val="single" w:sz="4" w:space="0" w:color="auto"/>
              <w:right w:val="single" w:sz="4" w:space="0" w:color="auto"/>
            </w:tcBorders>
            <w:shd w:val="clear" w:color="auto" w:fill="auto"/>
            <w:noWrap/>
            <w:hideMark/>
          </w:tcPr>
          <w:p w14:paraId="796A7A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0.511</w:t>
            </w:r>
          </w:p>
        </w:tc>
        <w:tc>
          <w:tcPr>
            <w:tcW w:w="0" w:type="auto"/>
            <w:tcBorders>
              <w:top w:val="nil"/>
              <w:left w:val="nil"/>
              <w:bottom w:val="single" w:sz="4" w:space="0" w:color="auto"/>
              <w:right w:val="single" w:sz="4" w:space="0" w:color="auto"/>
            </w:tcBorders>
            <w:shd w:val="clear" w:color="auto" w:fill="auto"/>
            <w:noWrap/>
            <w:hideMark/>
          </w:tcPr>
          <w:p w14:paraId="04DD9B3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0.493</w:t>
            </w:r>
          </w:p>
        </w:tc>
      </w:tr>
      <w:tr w:rsidR="00943D0A" w:rsidRPr="00144673" w14:paraId="4D3DA66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1E1C3A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SCV_image_3</w:t>
            </w:r>
          </w:p>
        </w:tc>
        <w:tc>
          <w:tcPr>
            <w:tcW w:w="0" w:type="auto"/>
            <w:tcBorders>
              <w:top w:val="nil"/>
              <w:left w:val="nil"/>
              <w:bottom w:val="single" w:sz="4" w:space="0" w:color="auto"/>
              <w:right w:val="single" w:sz="4" w:space="0" w:color="auto"/>
            </w:tcBorders>
            <w:shd w:val="clear" w:color="auto" w:fill="auto"/>
            <w:noWrap/>
            <w:hideMark/>
          </w:tcPr>
          <w:p w14:paraId="6D1C82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0.356</w:t>
            </w:r>
          </w:p>
        </w:tc>
        <w:tc>
          <w:tcPr>
            <w:tcW w:w="0" w:type="auto"/>
            <w:tcBorders>
              <w:top w:val="nil"/>
              <w:left w:val="nil"/>
              <w:bottom w:val="single" w:sz="4" w:space="0" w:color="auto"/>
              <w:right w:val="single" w:sz="4" w:space="0" w:color="auto"/>
            </w:tcBorders>
            <w:shd w:val="clear" w:color="auto" w:fill="auto"/>
            <w:noWrap/>
            <w:hideMark/>
          </w:tcPr>
          <w:p w14:paraId="79CF69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0.153</w:t>
            </w:r>
          </w:p>
        </w:tc>
        <w:tc>
          <w:tcPr>
            <w:tcW w:w="0" w:type="auto"/>
            <w:tcBorders>
              <w:top w:val="nil"/>
              <w:left w:val="nil"/>
              <w:bottom w:val="single" w:sz="4" w:space="0" w:color="auto"/>
              <w:right w:val="single" w:sz="4" w:space="0" w:color="auto"/>
            </w:tcBorders>
            <w:shd w:val="clear" w:color="auto" w:fill="auto"/>
            <w:noWrap/>
            <w:hideMark/>
          </w:tcPr>
          <w:p w14:paraId="2502639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67B2C6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0.735</w:t>
            </w:r>
          </w:p>
        </w:tc>
        <w:tc>
          <w:tcPr>
            <w:tcW w:w="0" w:type="auto"/>
            <w:tcBorders>
              <w:top w:val="nil"/>
              <w:left w:val="nil"/>
              <w:bottom w:val="single" w:sz="4" w:space="0" w:color="auto"/>
              <w:right w:val="single" w:sz="4" w:space="0" w:color="auto"/>
            </w:tcBorders>
            <w:shd w:val="clear" w:color="auto" w:fill="auto"/>
            <w:noWrap/>
            <w:hideMark/>
          </w:tcPr>
          <w:p w14:paraId="5083B2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0.479</w:t>
            </w:r>
          </w:p>
        </w:tc>
        <w:tc>
          <w:tcPr>
            <w:tcW w:w="0" w:type="auto"/>
            <w:tcBorders>
              <w:top w:val="nil"/>
              <w:left w:val="nil"/>
              <w:bottom w:val="single" w:sz="4" w:space="0" w:color="auto"/>
              <w:right w:val="single" w:sz="4" w:space="0" w:color="auto"/>
            </w:tcBorders>
            <w:shd w:val="clear" w:color="auto" w:fill="auto"/>
            <w:noWrap/>
            <w:hideMark/>
          </w:tcPr>
          <w:p w14:paraId="675824E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0.350</w:t>
            </w:r>
          </w:p>
        </w:tc>
        <w:tc>
          <w:tcPr>
            <w:tcW w:w="0" w:type="auto"/>
            <w:tcBorders>
              <w:top w:val="nil"/>
              <w:left w:val="nil"/>
              <w:bottom w:val="single" w:sz="4" w:space="0" w:color="auto"/>
              <w:right w:val="single" w:sz="4" w:space="0" w:color="auto"/>
            </w:tcBorders>
            <w:shd w:val="clear" w:color="auto" w:fill="auto"/>
            <w:noWrap/>
            <w:hideMark/>
          </w:tcPr>
          <w:p w14:paraId="3B8D35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33549D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0.182</w:t>
            </w:r>
          </w:p>
        </w:tc>
        <w:tc>
          <w:tcPr>
            <w:tcW w:w="0" w:type="auto"/>
            <w:tcBorders>
              <w:top w:val="nil"/>
              <w:left w:val="nil"/>
              <w:bottom w:val="single" w:sz="4" w:space="0" w:color="auto"/>
              <w:right w:val="single" w:sz="4" w:space="0" w:color="auto"/>
            </w:tcBorders>
            <w:shd w:val="clear" w:color="auto" w:fill="auto"/>
            <w:noWrap/>
            <w:hideMark/>
          </w:tcPr>
          <w:p w14:paraId="50330C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516462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132256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0.910</w:t>
            </w:r>
          </w:p>
        </w:tc>
        <w:tc>
          <w:tcPr>
            <w:tcW w:w="0" w:type="auto"/>
            <w:tcBorders>
              <w:top w:val="nil"/>
              <w:left w:val="nil"/>
              <w:bottom w:val="single" w:sz="4" w:space="0" w:color="auto"/>
              <w:right w:val="single" w:sz="4" w:space="0" w:color="auto"/>
            </w:tcBorders>
            <w:shd w:val="clear" w:color="auto" w:fill="auto"/>
            <w:noWrap/>
            <w:hideMark/>
          </w:tcPr>
          <w:p w14:paraId="2756D2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48CF6CA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0.552</w:t>
            </w:r>
          </w:p>
        </w:tc>
        <w:tc>
          <w:tcPr>
            <w:tcW w:w="0" w:type="auto"/>
            <w:tcBorders>
              <w:top w:val="nil"/>
              <w:left w:val="nil"/>
              <w:bottom w:val="single" w:sz="4" w:space="0" w:color="auto"/>
              <w:right w:val="single" w:sz="4" w:space="0" w:color="auto"/>
            </w:tcBorders>
            <w:shd w:val="clear" w:color="auto" w:fill="auto"/>
            <w:noWrap/>
            <w:hideMark/>
          </w:tcPr>
          <w:p w14:paraId="58882CD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0.240</w:t>
            </w:r>
          </w:p>
        </w:tc>
        <w:tc>
          <w:tcPr>
            <w:tcW w:w="0" w:type="auto"/>
            <w:tcBorders>
              <w:top w:val="nil"/>
              <w:left w:val="nil"/>
              <w:bottom w:val="single" w:sz="4" w:space="0" w:color="auto"/>
              <w:right w:val="single" w:sz="4" w:space="0" w:color="auto"/>
            </w:tcBorders>
            <w:shd w:val="clear" w:color="auto" w:fill="auto"/>
            <w:noWrap/>
            <w:hideMark/>
          </w:tcPr>
          <w:p w14:paraId="7B2D1C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0.511</w:t>
            </w:r>
          </w:p>
        </w:tc>
        <w:tc>
          <w:tcPr>
            <w:tcW w:w="0" w:type="auto"/>
            <w:tcBorders>
              <w:top w:val="nil"/>
              <w:left w:val="nil"/>
              <w:bottom w:val="single" w:sz="4" w:space="0" w:color="auto"/>
              <w:right w:val="single" w:sz="4" w:space="0" w:color="auto"/>
            </w:tcBorders>
            <w:shd w:val="clear" w:color="auto" w:fill="auto"/>
            <w:noWrap/>
            <w:hideMark/>
          </w:tcPr>
          <w:p w14:paraId="0CB315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0.493</w:t>
            </w:r>
          </w:p>
        </w:tc>
      </w:tr>
      <w:tr w:rsidR="00943D0A" w:rsidRPr="00144673" w14:paraId="1B45967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1262924"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SCV_image_4</w:t>
            </w:r>
          </w:p>
        </w:tc>
        <w:tc>
          <w:tcPr>
            <w:tcW w:w="0" w:type="auto"/>
            <w:tcBorders>
              <w:top w:val="nil"/>
              <w:left w:val="nil"/>
              <w:bottom w:val="single" w:sz="4" w:space="0" w:color="auto"/>
              <w:right w:val="single" w:sz="4" w:space="0" w:color="auto"/>
            </w:tcBorders>
            <w:shd w:val="clear" w:color="auto" w:fill="auto"/>
            <w:noWrap/>
            <w:hideMark/>
          </w:tcPr>
          <w:p w14:paraId="400534D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0.345</w:t>
            </w:r>
          </w:p>
        </w:tc>
        <w:tc>
          <w:tcPr>
            <w:tcW w:w="0" w:type="auto"/>
            <w:tcBorders>
              <w:top w:val="nil"/>
              <w:left w:val="nil"/>
              <w:bottom w:val="single" w:sz="4" w:space="0" w:color="auto"/>
              <w:right w:val="single" w:sz="4" w:space="0" w:color="auto"/>
            </w:tcBorders>
            <w:shd w:val="clear" w:color="auto" w:fill="auto"/>
            <w:noWrap/>
            <w:hideMark/>
          </w:tcPr>
          <w:p w14:paraId="22C962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0.208</w:t>
            </w:r>
          </w:p>
        </w:tc>
        <w:tc>
          <w:tcPr>
            <w:tcW w:w="0" w:type="auto"/>
            <w:tcBorders>
              <w:top w:val="nil"/>
              <w:left w:val="nil"/>
              <w:bottom w:val="single" w:sz="4" w:space="0" w:color="auto"/>
              <w:right w:val="single" w:sz="4" w:space="0" w:color="auto"/>
            </w:tcBorders>
            <w:shd w:val="clear" w:color="auto" w:fill="auto"/>
            <w:noWrap/>
            <w:hideMark/>
          </w:tcPr>
          <w:p w14:paraId="22E0BA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0.441</w:t>
            </w:r>
          </w:p>
        </w:tc>
        <w:tc>
          <w:tcPr>
            <w:tcW w:w="0" w:type="auto"/>
            <w:tcBorders>
              <w:top w:val="nil"/>
              <w:left w:val="nil"/>
              <w:bottom w:val="single" w:sz="4" w:space="0" w:color="auto"/>
              <w:right w:val="single" w:sz="4" w:space="0" w:color="auto"/>
            </w:tcBorders>
            <w:shd w:val="clear" w:color="auto" w:fill="auto"/>
            <w:noWrap/>
            <w:hideMark/>
          </w:tcPr>
          <w:p w14:paraId="226655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0.700</w:t>
            </w:r>
          </w:p>
        </w:tc>
        <w:tc>
          <w:tcPr>
            <w:tcW w:w="0" w:type="auto"/>
            <w:tcBorders>
              <w:top w:val="nil"/>
              <w:left w:val="nil"/>
              <w:bottom w:val="single" w:sz="4" w:space="0" w:color="auto"/>
              <w:right w:val="single" w:sz="4" w:space="0" w:color="auto"/>
            </w:tcBorders>
            <w:shd w:val="clear" w:color="auto" w:fill="auto"/>
            <w:noWrap/>
            <w:hideMark/>
          </w:tcPr>
          <w:p w14:paraId="4AD84F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0.425</w:t>
            </w:r>
          </w:p>
        </w:tc>
        <w:tc>
          <w:tcPr>
            <w:tcW w:w="0" w:type="auto"/>
            <w:tcBorders>
              <w:top w:val="nil"/>
              <w:left w:val="nil"/>
              <w:bottom w:val="single" w:sz="4" w:space="0" w:color="auto"/>
              <w:right w:val="single" w:sz="4" w:space="0" w:color="auto"/>
            </w:tcBorders>
            <w:shd w:val="clear" w:color="auto" w:fill="auto"/>
            <w:noWrap/>
            <w:hideMark/>
          </w:tcPr>
          <w:p w14:paraId="677FDA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0.362</w:t>
            </w:r>
          </w:p>
        </w:tc>
        <w:tc>
          <w:tcPr>
            <w:tcW w:w="0" w:type="auto"/>
            <w:tcBorders>
              <w:top w:val="nil"/>
              <w:left w:val="nil"/>
              <w:bottom w:val="single" w:sz="4" w:space="0" w:color="auto"/>
              <w:right w:val="single" w:sz="4" w:space="0" w:color="auto"/>
            </w:tcBorders>
            <w:shd w:val="clear" w:color="auto" w:fill="auto"/>
            <w:noWrap/>
            <w:hideMark/>
          </w:tcPr>
          <w:p w14:paraId="2EEB1D1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0CC84D4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0.189</w:t>
            </w:r>
          </w:p>
        </w:tc>
        <w:tc>
          <w:tcPr>
            <w:tcW w:w="0" w:type="auto"/>
            <w:tcBorders>
              <w:top w:val="nil"/>
              <w:left w:val="nil"/>
              <w:bottom w:val="single" w:sz="4" w:space="0" w:color="auto"/>
              <w:right w:val="single" w:sz="4" w:space="0" w:color="auto"/>
            </w:tcBorders>
            <w:shd w:val="clear" w:color="auto" w:fill="auto"/>
            <w:noWrap/>
            <w:hideMark/>
          </w:tcPr>
          <w:p w14:paraId="7B4A81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0.324</w:t>
            </w:r>
          </w:p>
        </w:tc>
        <w:tc>
          <w:tcPr>
            <w:tcW w:w="0" w:type="auto"/>
            <w:tcBorders>
              <w:top w:val="nil"/>
              <w:left w:val="nil"/>
              <w:bottom w:val="single" w:sz="4" w:space="0" w:color="auto"/>
              <w:right w:val="single" w:sz="4" w:space="0" w:color="auto"/>
            </w:tcBorders>
            <w:shd w:val="clear" w:color="auto" w:fill="auto"/>
            <w:noWrap/>
            <w:hideMark/>
          </w:tcPr>
          <w:p w14:paraId="7457E9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c>
          <w:tcPr>
            <w:tcW w:w="0" w:type="auto"/>
            <w:tcBorders>
              <w:top w:val="nil"/>
              <w:left w:val="nil"/>
              <w:bottom w:val="single" w:sz="4" w:space="0" w:color="auto"/>
              <w:right w:val="single" w:sz="4" w:space="0" w:color="auto"/>
            </w:tcBorders>
            <w:shd w:val="clear" w:color="auto" w:fill="auto"/>
            <w:noWrap/>
            <w:hideMark/>
          </w:tcPr>
          <w:p w14:paraId="6BB3AA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0.908</w:t>
            </w:r>
          </w:p>
        </w:tc>
        <w:tc>
          <w:tcPr>
            <w:tcW w:w="0" w:type="auto"/>
            <w:tcBorders>
              <w:top w:val="nil"/>
              <w:left w:val="nil"/>
              <w:bottom w:val="single" w:sz="4" w:space="0" w:color="auto"/>
              <w:right w:val="single" w:sz="4" w:space="0" w:color="auto"/>
            </w:tcBorders>
            <w:shd w:val="clear" w:color="auto" w:fill="auto"/>
            <w:noWrap/>
            <w:hideMark/>
          </w:tcPr>
          <w:p w14:paraId="66A50F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0.257</w:t>
            </w:r>
          </w:p>
        </w:tc>
        <w:tc>
          <w:tcPr>
            <w:tcW w:w="0" w:type="auto"/>
            <w:tcBorders>
              <w:top w:val="nil"/>
              <w:left w:val="nil"/>
              <w:bottom w:val="single" w:sz="4" w:space="0" w:color="auto"/>
              <w:right w:val="single" w:sz="4" w:space="0" w:color="auto"/>
            </w:tcBorders>
            <w:shd w:val="clear" w:color="auto" w:fill="auto"/>
            <w:noWrap/>
            <w:hideMark/>
          </w:tcPr>
          <w:p w14:paraId="6540DF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0.527</w:t>
            </w:r>
          </w:p>
        </w:tc>
        <w:tc>
          <w:tcPr>
            <w:tcW w:w="0" w:type="auto"/>
            <w:tcBorders>
              <w:top w:val="nil"/>
              <w:left w:val="nil"/>
              <w:bottom w:val="single" w:sz="4" w:space="0" w:color="auto"/>
              <w:right w:val="single" w:sz="4" w:space="0" w:color="auto"/>
            </w:tcBorders>
            <w:shd w:val="clear" w:color="auto" w:fill="auto"/>
            <w:noWrap/>
            <w:hideMark/>
          </w:tcPr>
          <w:p w14:paraId="04C1FB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20D99E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579C1E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0.438</w:t>
            </w:r>
          </w:p>
        </w:tc>
      </w:tr>
      <w:tr w:rsidR="00943D0A" w:rsidRPr="00144673" w14:paraId="312F4E0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7A98A4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SCV_image_4</w:t>
            </w:r>
          </w:p>
        </w:tc>
        <w:tc>
          <w:tcPr>
            <w:tcW w:w="0" w:type="auto"/>
            <w:tcBorders>
              <w:top w:val="nil"/>
              <w:left w:val="nil"/>
              <w:bottom w:val="single" w:sz="4" w:space="0" w:color="auto"/>
              <w:right w:val="single" w:sz="4" w:space="0" w:color="auto"/>
            </w:tcBorders>
            <w:shd w:val="clear" w:color="auto" w:fill="auto"/>
            <w:noWrap/>
            <w:hideMark/>
          </w:tcPr>
          <w:p w14:paraId="1E2996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0.345</w:t>
            </w:r>
          </w:p>
        </w:tc>
        <w:tc>
          <w:tcPr>
            <w:tcW w:w="0" w:type="auto"/>
            <w:tcBorders>
              <w:top w:val="nil"/>
              <w:left w:val="nil"/>
              <w:bottom w:val="single" w:sz="4" w:space="0" w:color="auto"/>
              <w:right w:val="single" w:sz="4" w:space="0" w:color="auto"/>
            </w:tcBorders>
            <w:shd w:val="clear" w:color="auto" w:fill="auto"/>
            <w:noWrap/>
            <w:hideMark/>
          </w:tcPr>
          <w:p w14:paraId="3C7565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0.208</w:t>
            </w:r>
          </w:p>
        </w:tc>
        <w:tc>
          <w:tcPr>
            <w:tcW w:w="0" w:type="auto"/>
            <w:tcBorders>
              <w:top w:val="nil"/>
              <w:left w:val="nil"/>
              <w:bottom w:val="single" w:sz="4" w:space="0" w:color="auto"/>
              <w:right w:val="single" w:sz="4" w:space="0" w:color="auto"/>
            </w:tcBorders>
            <w:shd w:val="clear" w:color="auto" w:fill="auto"/>
            <w:noWrap/>
            <w:hideMark/>
          </w:tcPr>
          <w:p w14:paraId="7EC764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0.441</w:t>
            </w:r>
          </w:p>
        </w:tc>
        <w:tc>
          <w:tcPr>
            <w:tcW w:w="0" w:type="auto"/>
            <w:tcBorders>
              <w:top w:val="nil"/>
              <w:left w:val="nil"/>
              <w:bottom w:val="single" w:sz="4" w:space="0" w:color="auto"/>
              <w:right w:val="single" w:sz="4" w:space="0" w:color="auto"/>
            </w:tcBorders>
            <w:shd w:val="clear" w:color="auto" w:fill="auto"/>
            <w:noWrap/>
            <w:hideMark/>
          </w:tcPr>
          <w:p w14:paraId="42613B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0.700</w:t>
            </w:r>
          </w:p>
        </w:tc>
        <w:tc>
          <w:tcPr>
            <w:tcW w:w="0" w:type="auto"/>
            <w:tcBorders>
              <w:top w:val="nil"/>
              <w:left w:val="nil"/>
              <w:bottom w:val="single" w:sz="4" w:space="0" w:color="auto"/>
              <w:right w:val="single" w:sz="4" w:space="0" w:color="auto"/>
            </w:tcBorders>
            <w:shd w:val="clear" w:color="auto" w:fill="auto"/>
            <w:noWrap/>
            <w:hideMark/>
          </w:tcPr>
          <w:p w14:paraId="2736FB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0.425</w:t>
            </w:r>
          </w:p>
        </w:tc>
        <w:tc>
          <w:tcPr>
            <w:tcW w:w="0" w:type="auto"/>
            <w:tcBorders>
              <w:top w:val="nil"/>
              <w:left w:val="nil"/>
              <w:bottom w:val="single" w:sz="4" w:space="0" w:color="auto"/>
              <w:right w:val="single" w:sz="4" w:space="0" w:color="auto"/>
            </w:tcBorders>
            <w:shd w:val="clear" w:color="auto" w:fill="auto"/>
            <w:noWrap/>
            <w:hideMark/>
          </w:tcPr>
          <w:p w14:paraId="034CBF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0.362</w:t>
            </w:r>
          </w:p>
        </w:tc>
        <w:tc>
          <w:tcPr>
            <w:tcW w:w="0" w:type="auto"/>
            <w:tcBorders>
              <w:top w:val="nil"/>
              <w:left w:val="nil"/>
              <w:bottom w:val="single" w:sz="4" w:space="0" w:color="auto"/>
              <w:right w:val="single" w:sz="4" w:space="0" w:color="auto"/>
            </w:tcBorders>
            <w:shd w:val="clear" w:color="auto" w:fill="auto"/>
            <w:noWrap/>
            <w:hideMark/>
          </w:tcPr>
          <w:p w14:paraId="324C6FC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396856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0.189</w:t>
            </w:r>
          </w:p>
        </w:tc>
        <w:tc>
          <w:tcPr>
            <w:tcW w:w="0" w:type="auto"/>
            <w:tcBorders>
              <w:top w:val="nil"/>
              <w:left w:val="nil"/>
              <w:bottom w:val="single" w:sz="4" w:space="0" w:color="auto"/>
              <w:right w:val="single" w:sz="4" w:space="0" w:color="auto"/>
            </w:tcBorders>
            <w:shd w:val="clear" w:color="auto" w:fill="auto"/>
            <w:noWrap/>
            <w:hideMark/>
          </w:tcPr>
          <w:p w14:paraId="72CA27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0.324</w:t>
            </w:r>
          </w:p>
        </w:tc>
        <w:tc>
          <w:tcPr>
            <w:tcW w:w="0" w:type="auto"/>
            <w:tcBorders>
              <w:top w:val="nil"/>
              <w:left w:val="nil"/>
              <w:bottom w:val="single" w:sz="4" w:space="0" w:color="auto"/>
              <w:right w:val="single" w:sz="4" w:space="0" w:color="auto"/>
            </w:tcBorders>
            <w:shd w:val="clear" w:color="auto" w:fill="auto"/>
            <w:noWrap/>
            <w:hideMark/>
          </w:tcPr>
          <w:p w14:paraId="504C58F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c>
          <w:tcPr>
            <w:tcW w:w="0" w:type="auto"/>
            <w:tcBorders>
              <w:top w:val="nil"/>
              <w:left w:val="nil"/>
              <w:bottom w:val="single" w:sz="4" w:space="0" w:color="auto"/>
              <w:right w:val="single" w:sz="4" w:space="0" w:color="auto"/>
            </w:tcBorders>
            <w:shd w:val="clear" w:color="auto" w:fill="auto"/>
            <w:noWrap/>
            <w:hideMark/>
          </w:tcPr>
          <w:p w14:paraId="1BFE8B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0.908</w:t>
            </w:r>
          </w:p>
        </w:tc>
        <w:tc>
          <w:tcPr>
            <w:tcW w:w="0" w:type="auto"/>
            <w:tcBorders>
              <w:top w:val="nil"/>
              <w:left w:val="nil"/>
              <w:bottom w:val="single" w:sz="4" w:space="0" w:color="auto"/>
              <w:right w:val="single" w:sz="4" w:space="0" w:color="auto"/>
            </w:tcBorders>
            <w:shd w:val="clear" w:color="auto" w:fill="auto"/>
            <w:noWrap/>
            <w:hideMark/>
          </w:tcPr>
          <w:p w14:paraId="0F3499F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0.257</w:t>
            </w:r>
          </w:p>
        </w:tc>
        <w:tc>
          <w:tcPr>
            <w:tcW w:w="0" w:type="auto"/>
            <w:tcBorders>
              <w:top w:val="nil"/>
              <w:left w:val="nil"/>
              <w:bottom w:val="single" w:sz="4" w:space="0" w:color="auto"/>
              <w:right w:val="single" w:sz="4" w:space="0" w:color="auto"/>
            </w:tcBorders>
            <w:shd w:val="clear" w:color="auto" w:fill="auto"/>
            <w:noWrap/>
            <w:hideMark/>
          </w:tcPr>
          <w:p w14:paraId="700381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0.527</w:t>
            </w:r>
          </w:p>
        </w:tc>
        <w:tc>
          <w:tcPr>
            <w:tcW w:w="0" w:type="auto"/>
            <w:tcBorders>
              <w:top w:val="nil"/>
              <w:left w:val="nil"/>
              <w:bottom w:val="single" w:sz="4" w:space="0" w:color="auto"/>
              <w:right w:val="single" w:sz="4" w:space="0" w:color="auto"/>
            </w:tcBorders>
            <w:shd w:val="clear" w:color="auto" w:fill="auto"/>
            <w:noWrap/>
            <w:hideMark/>
          </w:tcPr>
          <w:p w14:paraId="5182835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16F65E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0489AFF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0.438</w:t>
            </w:r>
          </w:p>
        </w:tc>
      </w:tr>
      <w:tr w:rsidR="00943D0A" w:rsidRPr="00144673" w14:paraId="142AECA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ED0183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SCV_mental_fluency_2</w:t>
            </w:r>
          </w:p>
        </w:tc>
        <w:tc>
          <w:tcPr>
            <w:tcW w:w="0" w:type="auto"/>
            <w:tcBorders>
              <w:top w:val="nil"/>
              <w:left w:val="nil"/>
              <w:bottom w:val="single" w:sz="4" w:space="0" w:color="auto"/>
              <w:right w:val="single" w:sz="4" w:space="0" w:color="auto"/>
            </w:tcBorders>
            <w:shd w:val="clear" w:color="auto" w:fill="auto"/>
            <w:noWrap/>
            <w:hideMark/>
          </w:tcPr>
          <w:p w14:paraId="103EA58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4E608C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0.252</w:t>
            </w:r>
          </w:p>
        </w:tc>
        <w:tc>
          <w:tcPr>
            <w:tcW w:w="0" w:type="auto"/>
            <w:tcBorders>
              <w:top w:val="nil"/>
              <w:left w:val="nil"/>
              <w:bottom w:val="single" w:sz="4" w:space="0" w:color="auto"/>
              <w:right w:val="single" w:sz="4" w:space="0" w:color="auto"/>
            </w:tcBorders>
            <w:shd w:val="clear" w:color="auto" w:fill="auto"/>
            <w:noWrap/>
            <w:hideMark/>
          </w:tcPr>
          <w:p w14:paraId="68EF52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0.474</w:t>
            </w:r>
          </w:p>
        </w:tc>
        <w:tc>
          <w:tcPr>
            <w:tcW w:w="0" w:type="auto"/>
            <w:tcBorders>
              <w:top w:val="nil"/>
              <w:left w:val="nil"/>
              <w:bottom w:val="single" w:sz="4" w:space="0" w:color="auto"/>
              <w:right w:val="single" w:sz="4" w:space="0" w:color="auto"/>
            </w:tcBorders>
            <w:shd w:val="clear" w:color="auto" w:fill="auto"/>
            <w:noWrap/>
            <w:hideMark/>
          </w:tcPr>
          <w:p w14:paraId="404846E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0.719</w:t>
            </w:r>
          </w:p>
        </w:tc>
        <w:tc>
          <w:tcPr>
            <w:tcW w:w="0" w:type="auto"/>
            <w:tcBorders>
              <w:top w:val="nil"/>
              <w:left w:val="nil"/>
              <w:bottom w:val="single" w:sz="4" w:space="0" w:color="auto"/>
              <w:right w:val="single" w:sz="4" w:space="0" w:color="auto"/>
            </w:tcBorders>
            <w:shd w:val="clear" w:color="auto" w:fill="auto"/>
            <w:noWrap/>
            <w:hideMark/>
          </w:tcPr>
          <w:p w14:paraId="2FD41FB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0.491</w:t>
            </w:r>
          </w:p>
        </w:tc>
        <w:tc>
          <w:tcPr>
            <w:tcW w:w="0" w:type="auto"/>
            <w:tcBorders>
              <w:top w:val="nil"/>
              <w:left w:val="nil"/>
              <w:bottom w:val="single" w:sz="4" w:space="0" w:color="auto"/>
              <w:right w:val="single" w:sz="4" w:space="0" w:color="auto"/>
            </w:tcBorders>
            <w:shd w:val="clear" w:color="auto" w:fill="auto"/>
            <w:noWrap/>
            <w:hideMark/>
          </w:tcPr>
          <w:p w14:paraId="77D1CA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0.314</w:t>
            </w:r>
          </w:p>
        </w:tc>
        <w:tc>
          <w:tcPr>
            <w:tcW w:w="0" w:type="auto"/>
            <w:tcBorders>
              <w:top w:val="nil"/>
              <w:left w:val="nil"/>
              <w:bottom w:val="single" w:sz="4" w:space="0" w:color="auto"/>
              <w:right w:val="single" w:sz="4" w:space="0" w:color="auto"/>
            </w:tcBorders>
            <w:shd w:val="clear" w:color="auto" w:fill="auto"/>
            <w:noWrap/>
            <w:hideMark/>
          </w:tcPr>
          <w:p w14:paraId="4663EF2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0.455</w:t>
            </w:r>
          </w:p>
        </w:tc>
        <w:tc>
          <w:tcPr>
            <w:tcW w:w="0" w:type="auto"/>
            <w:tcBorders>
              <w:top w:val="nil"/>
              <w:left w:val="nil"/>
              <w:bottom w:val="single" w:sz="4" w:space="0" w:color="auto"/>
              <w:right w:val="single" w:sz="4" w:space="0" w:color="auto"/>
            </w:tcBorders>
            <w:shd w:val="clear" w:color="auto" w:fill="auto"/>
            <w:noWrap/>
            <w:hideMark/>
          </w:tcPr>
          <w:p w14:paraId="02DB40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304B2B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0.328</w:t>
            </w:r>
          </w:p>
        </w:tc>
        <w:tc>
          <w:tcPr>
            <w:tcW w:w="0" w:type="auto"/>
            <w:tcBorders>
              <w:top w:val="nil"/>
              <w:left w:val="nil"/>
              <w:bottom w:val="single" w:sz="4" w:space="0" w:color="auto"/>
              <w:right w:val="single" w:sz="4" w:space="0" w:color="auto"/>
            </w:tcBorders>
            <w:shd w:val="clear" w:color="auto" w:fill="auto"/>
            <w:noWrap/>
            <w:hideMark/>
          </w:tcPr>
          <w:p w14:paraId="4ED333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1.000</w:t>
            </w:r>
          </w:p>
        </w:tc>
        <w:tc>
          <w:tcPr>
            <w:tcW w:w="0" w:type="auto"/>
            <w:tcBorders>
              <w:top w:val="nil"/>
              <w:left w:val="nil"/>
              <w:bottom w:val="single" w:sz="4" w:space="0" w:color="auto"/>
              <w:right w:val="single" w:sz="4" w:space="0" w:color="auto"/>
            </w:tcBorders>
            <w:shd w:val="clear" w:color="auto" w:fill="auto"/>
            <w:noWrap/>
            <w:hideMark/>
          </w:tcPr>
          <w:p w14:paraId="1771F7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0.448</w:t>
            </w:r>
          </w:p>
        </w:tc>
        <w:tc>
          <w:tcPr>
            <w:tcW w:w="0" w:type="auto"/>
            <w:tcBorders>
              <w:top w:val="nil"/>
              <w:left w:val="nil"/>
              <w:bottom w:val="single" w:sz="4" w:space="0" w:color="auto"/>
              <w:right w:val="single" w:sz="4" w:space="0" w:color="auto"/>
            </w:tcBorders>
            <w:shd w:val="clear" w:color="auto" w:fill="auto"/>
            <w:noWrap/>
            <w:hideMark/>
          </w:tcPr>
          <w:p w14:paraId="0A2BBF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0.326</w:t>
            </w:r>
          </w:p>
        </w:tc>
        <w:tc>
          <w:tcPr>
            <w:tcW w:w="0" w:type="auto"/>
            <w:tcBorders>
              <w:top w:val="nil"/>
              <w:left w:val="nil"/>
              <w:bottom w:val="single" w:sz="4" w:space="0" w:color="auto"/>
              <w:right w:val="single" w:sz="4" w:space="0" w:color="auto"/>
            </w:tcBorders>
            <w:shd w:val="clear" w:color="auto" w:fill="auto"/>
            <w:noWrap/>
            <w:hideMark/>
          </w:tcPr>
          <w:p w14:paraId="4B61FA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08C1567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0.359</w:t>
            </w:r>
          </w:p>
        </w:tc>
        <w:tc>
          <w:tcPr>
            <w:tcW w:w="0" w:type="auto"/>
            <w:tcBorders>
              <w:top w:val="nil"/>
              <w:left w:val="nil"/>
              <w:bottom w:val="single" w:sz="4" w:space="0" w:color="auto"/>
              <w:right w:val="single" w:sz="4" w:space="0" w:color="auto"/>
            </w:tcBorders>
            <w:shd w:val="clear" w:color="auto" w:fill="auto"/>
            <w:noWrap/>
            <w:hideMark/>
          </w:tcPr>
          <w:p w14:paraId="7C1E624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0.553</w:t>
            </w:r>
          </w:p>
        </w:tc>
        <w:tc>
          <w:tcPr>
            <w:tcW w:w="0" w:type="auto"/>
            <w:tcBorders>
              <w:top w:val="nil"/>
              <w:left w:val="nil"/>
              <w:bottom w:val="single" w:sz="4" w:space="0" w:color="auto"/>
              <w:right w:val="single" w:sz="4" w:space="0" w:color="auto"/>
            </w:tcBorders>
            <w:shd w:val="clear" w:color="auto" w:fill="auto"/>
            <w:noWrap/>
            <w:hideMark/>
          </w:tcPr>
          <w:p w14:paraId="34AE0CB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0.696</w:t>
            </w:r>
          </w:p>
        </w:tc>
      </w:tr>
      <w:tr w:rsidR="00943D0A" w:rsidRPr="00144673" w14:paraId="45CCBFF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DC5752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SCV_mental_fluency_2</w:t>
            </w:r>
          </w:p>
        </w:tc>
        <w:tc>
          <w:tcPr>
            <w:tcW w:w="0" w:type="auto"/>
            <w:tcBorders>
              <w:top w:val="nil"/>
              <w:left w:val="nil"/>
              <w:bottom w:val="single" w:sz="4" w:space="0" w:color="auto"/>
              <w:right w:val="single" w:sz="4" w:space="0" w:color="auto"/>
            </w:tcBorders>
            <w:shd w:val="clear" w:color="auto" w:fill="auto"/>
            <w:noWrap/>
            <w:hideMark/>
          </w:tcPr>
          <w:p w14:paraId="2B2CDC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731F40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0.252</w:t>
            </w:r>
          </w:p>
        </w:tc>
        <w:tc>
          <w:tcPr>
            <w:tcW w:w="0" w:type="auto"/>
            <w:tcBorders>
              <w:top w:val="nil"/>
              <w:left w:val="nil"/>
              <w:bottom w:val="single" w:sz="4" w:space="0" w:color="auto"/>
              <w:right w:val="single" w:sz="4" w:space="0" w:color="auto"/>
            </w:tcBorders>
            <w:shd w:val="clear" w:color="auto" w:fill="auto"/>
            <w:noWrap/>
            <w:hideMark/>
          </w:tcPr>
          <w:p w14:paraId="10F45FB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0.474</w:t>
            </w:r>
          </w:p>
        </w:tc>
        <w:tc>
          <w:tcPr>
            <w:tcW w:w="0" w:type="auto"/>
            <w:tcBorders>
              <w:top w:val="nil"/>
              <w:left w:val="nil"/>
              <w:bottom w:val="single" w:sz="4" w:space="0" w:color="auto"/>
              <w:right w:val="single" w:sz="4" w:space="0" w:color="auto"/>
            </w:tcBorders>
            <w:shd w:val="clear" w:color="auto" w:fill="auto"/>
            <w:noWrap/>
            <w:hideMark/>
          </w:tcPr>
          <w:p w14:paraId="0A07B6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0.719</w:t>
            </w:r>
          </w:p>
        </w:tc>
        <w:tc>
          <w:tcPr>
            <w:tcW w:w="0" w:type="auto"/>
            <w:tcBorders>
              <w:top w:val="nil"/>
              <w:left w:val="nil"/>
              <w:bottom w:val="single" w:sz="4" w:space="0" w:color="auto"/>
              <w:right w:val="single" w:sz="4" w:space="0" w:color="auto"/>
            </w:tcBorders>
            <w:shd w:val="clear" w:color="auto" w:fill="auto"/>
            <w:noWrap/>
            <w:hideMark/>
          </w:tcPr>
          <w:p w14:paraId="64E4FB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0.491</w:t>
            </w:r>
          </w:p>
        </w:tc>
        <w:tc>
          <w:tcPr>
            <w:tcW w:w="0" w:type="auto"/>
            <w:tcBorders>
              <w:top w:val="nil"/>
              <w:left w:val="nil"/>
              <w:bottom w:val="single" w:sz="4" w:space="0" w:color="auto"/>
              <w:right w:val="single" w:sz="4" w:space="0" w:color="auto"/>
            </w:tcBorders>
            <w:shd w:val="clear" w:color="auto" w:fill="auto"/>
            <w:noWrap/>
            <w:hideMark/>
          </w:tcPr>
          <w:p w14:paraId="3F8B49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0.314</w:t>
            </w:r>
          </w:p>
        </w:tc>
        <w:tc>
          <w:tcPr>
            <w:tcW w:w="0" w:type="auto"/>
            <w:tcBorders>
              <w:top w:val="nil"/>
              <w:left w:val="nil"/>
              <w:bottom w:val="single" w:sz="4" w:space="0" w:color="auto"/>
              <w:right w:val="single" w:sz="4" w:space="0" w:color="auto"/>
            </w:tcBorders>
            <w:shd w:val="clear" w:color="auto" w:fill="auto"/>
            <w:noWrap/>
            <w:hideMark/>
          </w:tcPr>
          <w:p w14:paraId="5D98D1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0.455</w:t>
            </w:r>
          </w:p>
        </w:tc>
        <w:tc>
          <w:tcPr>
            <w:tcW w:w="0" w:type="auto"/>
            <w:tcBorders>
              <w:top w:val="nil"/>
              <w:left w:val="nil"/>
              <w:bottom w:val="single" w:sz="4" w:space="0" w:color="auto"/>
              <w:right w:val="single" w:sz="4" w:space="0" w:color="auto"/>
            </w:tcBorders>
            <w:shd w:val="clear" w:color="auto" w:fill="auto"/>
            <w:noWrap/>
            <w:hideMark/>
          </w:tcPr>
          <w:p w14:paraId="4AAF75B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4842DD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0.328</w:t>
            </w:r>
          </w:p>
        </w:tc>
        <w:tc>
          <w:tcPr>
            <w:tcW w:w="0" w:type="auto"/>
            <w:tcBorders>
              <w:top w:val="nil"/>
              <w:left w:val="nil"/>
              <w:bottom w:val="single" w:sz="4" w:space="0" w:color="auto"/>
              <w:right w:val="single" w:sz="4" w:space="0" w:color="auto"/>
            </w:tcBorders>
            <w:shd w:val="clear" w:color="auto" w:fill="auto"/>
            <w:noWrap/>
            <w:hideMark/>
          </w:tcPr>
          <w:p w14:paraId="48371A1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1.000</w:t>
            </w:r>
          </w:p>
        </w:tc>
        <w:tc>
          <w:tcPr>
            <w:tcW w:w="0" w:type="auto"/>
            <w:tcBorders>
              <w:top w:val="nil"/>
              <w:left w:val="nil"/>
              <w:bottom w:val="single" w:sz="4" w:space="0" w:color="auto"/>
              <w:right w:val="single" w:sz="4" w:space="0" w:color="auto"/>
            </w:tcBorders>
            <w:shd w:val="clear" w:color="auto" w:fill="auto"/>
            <w:noWrap/>
            <w:hideMark/>
          </w:tcPr>
          <w:p w14:paraId="04F0A1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0.448</w:t>
            </w:r>
          </w:p>
        </w:tc>
        <w:tc>
          <w:tcPr>
            <w:tcW w:w="0" w:type="auto"/>
            <w:tcBorders>
              <w:top w:val="nil"/>
              <w:left w:val="nil"/>
              <w:bottom w:val="single" w:sz="4" w:space="0" w:color="auto"/>
              <w:right w:val="single" w:sz="4" w:space="0" w:color="auto"/>
            </w:tcBorders>
            <w:shd w:val="clear" w:color="auto" w:fill="auto"/>
            <w:noWrap/>
            <w:hideMark/>
          </w:tcPr>
          <w:p w14:paraId="1E7067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0.326</w:t>
            </w:r>
          </w:p>
        </w:tc>
        <w:tc>
          <w:tcPr>
            <w:tcW w:w="0" w:type="auto"/>
            <w:tcBorders>
              <w:top w:val="nil"/>
              <w:left w:val="nil"/>
              <w:bottom w:val="single" w:sz="4" w:space="0" w:color="auto"/>
              <w:right w:val="single" w:sz="4" w:space="0" w:color="auto"/>
            </w:tcBorders>
            <w:shd w:val="clear" w:color="auto" w:fill="auto"/>
            <w:noWrap/>
            <w:hideMark/>
          </w:tcPr>
          <w:p w14:paraId="593A60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2F8204E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0.359</w:t>
            </w:r>
          </w:p>
        </w:tc>
        <w:tc>
          <w:tcPr>
            <w:tcW w:w="0" w:type="auto"/>
            <w:tcBorders>
              <w:top w:val="nil"/>
              <w:left w:val="nil"/>
              <w:bottom w:val="single" w:sz="4" w:space="0" w:color="auto"/>
              <w:right w:val="single" w:sz="4" w:space="0" w:color="auto"/>
            </w:tcBorders>
            <w:shd w:val="clear" w:color="auto" w:fill="auto"/>
            <w:noWrap/>
            <w:hideMark/>
          </w:tcPr>
          <w:p w14:paraId="2A037D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0.553</w:t>
            </w:r>
          </w:p>
        </w:tc>
        <w:tc>
          <w:tcPr>
            <w:tcW w:w="0" w:type="auto"/>
            <w:tcBorders>
              <w:top w:val="nil"/>
              <w:left w:val="nil"/>
              <w:bottom w:val="single" w:sz="4" w:space="0" w:color="auto"/>
              <w:right w:val="single" w:sz="4" w:space="0" w:color="auto"/>
            </w:tcBorders>
            <w:shd w:val="clear" w:color="auto" w:fill="auto"/>
            <w:noWrap/>
            <w:hideMark/>
          </w:tcPr>
          <w:p w14:paraId="62E6A8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0.696</w:t>
            </w:r>
          </w:p>
        </w:tc>
      </w:tr>
      <w:tr w:rsidR="00943D0A" w:rsidRPr="00144673" w14:paraId="2B20085C"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AED7FF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SCV_self_projection_1</w:t>
            </w:r>
          </w:p>
        </w:tc>
        <w:tc>
          <w:tcPr>
            <w:tcW w:w="0" w:type="auto"/>
            <w:tcBorders>
              <w:top w:val="nil"/>
              <w:left w:val="nil"/>
              <w:bottom w:val="single" w:sz="4" w:space="0" w:color="auto"/>
              <w:right w:val="single" w:sz="4" w:space="0" w:color="auto"/>
            </w:tcBorders>
            <w:shd w:val="clear" w:color="auto" w:fill="auto"/>
            <w:noWrap/>
            <w:hideMark/>
          </w:tcPr>
          <w:p w14:paraId="6452C54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5667F9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0.172</w:t>
            </w:r>
          </w:p>
        </w:tc>
        <w:tc>
          <w:tcPr>
            <w:tcW w:w="0" w:type="auto"/>
            <w:tcBorders>
              <w:top w:val="nil"/>
              <w:left w:val="nil"/>
              <w:bottom w:val="single" w:sz="4" w:space="0" w:color="auto"/>
              <w:right w:val="single" w:sz="4" w:space="0" w:color="auto"/>
            </w:tcBorders>
            <w:shd w:val="clear" w:color="auto" w:fill="auto"/>
            <w:noWrap/>
            <w:hideMark/>
          </w:tcPr>
          <w:p w14:paraId="6DC899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43C87E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0.673</w:t>
            </w:r>
          </w:p>
        </w:tc>
        <w:tc>
          <w:tcPr>
            <w:tcW w:w="0" w:type="auto"/>
            <w:tcBorders>
              <w:top w:val="nil"/>
              <w:left w:val="nil"/>
              <w:bottom w:val="single" w:sz="4" w:space="0" w:color="auto"/>
              <w:right w:val="single" w:sz="4" w:space="0" w:color="auto"/>
            </w:tcBorders>
            <w:shd w:val="clear" w:color="auto" w:fill="auto"/>
            <w:noWrap/>
            <w:hideMark/>
          </w:tcPr>
          <w:p w14:paraId="7D990F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0.276</w:t>
            </w:r>
          </w:p>
        </w:tc>
        <w:tc>
          <w:tcPr>
            <w:tcW w:w="0" w:type="auto"/>
            <w:tcBorders>
              <w:top w:val="nil"/>
              <w:left w:val="nil"/>
              <w:bottom w:val="single" w:sz="4" w:space="0" w:color="auto"/>
              <w:right w:val="single" w:sz="4" w:space="0" w:color="auto"/>
            </w:tcBorders>
            <w:shd w:val="clear" w:color="auto" w:fill="auto"/>
            <w:noWrap/>
            <w:hideMark/>
          </w:tcPr>
          <w:p w14:paraId="73E4D90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0.237</w:t>
            </w:r>
          </w:p>
        </w:tc>
        <w:tc>
          <w:tcPr>
            <w:tcW w:w="0" w:type="auto"/>
            <w:tcBorders>
              <w:top w:val="nil"/>
              <w:left w:val="nil"/>
              <w:bottom w:val="single" w:sz="4" w:space="0" w:color="auto"/>
              <w:right w:val="single" w:sz="4" w:space="0" w:color="auto"/>
            </w:tcBorders>
            <w:shd w:val="clear" w:color="auto" w:fill="auto"/>
            <w:noWrap/>
            <w:hideMark/>
          </w:tcPr>
          <w:p w14:paraId="2D67663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0.442</w:t>
            </w:r>
          </w:p>
        </w:tc>
        <w:tc>
          <w:tcPr>
            <w:tcW w:w="0" w:type="auto"/>
            <w:tcBorders>
              <w:top w:val="nil"/>
              <w:left w:val="nil"/>
              <w:bottom w:val="single" w:sz="4" w:space="0" w:color="auto"/>
              <w:right w:val="single" w:sz="4" w:space="0" w:color="auto"/>
            </w:tcBorders>
            <w:shd w:val="clear" w:color="auto" w:fill="auto"/>
            <w:noWrap/>
            <w:hideMark/>
          </w:tcPr>
          <w:p w14:paraId="72C9497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2F14FD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0.275</w:t>
            </w:r>
          </w:p>
        </w:tc>
        <w:tc>
          <w:tcPr>
            <w:tcW w:w="0" w:type="auto"/>
            <w:tcBorders>
              <w:top w:val="nil"/>
              <w:left w:val="nil"/>
              <w:bottom w:val="single" w:sz="4" w:space="0" w:color="auto"/>
              <w:right w:val="single" w:sz="4" w:space="0" w:color="auto"/>
            </w:tcBorders>
            <w:shd w:val="clear" w:color="auto" w:fill="auto"/>
            <w:noWrap/>
            <w:hideMark/>
          </w:tcPr>
          <w:p w14:paraId="534A2C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0.476</w:t>
            </w:r>
          </w:p>
        </w:tc>
        <w:tc>
          <w:tcPr>
            <w:tcW w:w="0" w:type="auto"/>
            <w:tcBorders>
              <w:top w:val="nil"/>
              <w:left w:val="nil"/>
              <w:bottom w:val="single" w:sz="4" w:space="0" w:color="auto"/>
              <w:right w:val="single" w:sz="4" w:space="0" w:color="auto"/>
            </w:tcBorders>
            <w:shd w:val="clear" w:color="auto" w:fill="auto"/>
            <w:noWrap/>
            <w:hideMark/>
          </w:tcPr>
          <w:p w14:paraId="5FA7E8F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0.333</w:t>
            </w:r>
          </w:p>
        </w:tc>
        <w:tc>
          <w:tcPr>
            <w:tcW w:w="0" w:type="auto"/>
            <w:tcBorders>
              <w:top w:val="nil"/>
              <w:left w:val="nil"/>
              <w:bottom w:val="single" w:sz="4" w:space="0" w:color="auto"/>
              <w:right w:val="single" w:sz="4" w:space="0" w:color="auto"/>
            </w:tcBorders>
            <w:shd w:val="clear" w:color="auto" w:fill="auto"/>
            <w:noWrap/>
            <w:hideMark/>
          </w:tcPr>
          <w:p w14:paraId="47A0F4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0.281</w:t>
            </w:r>
          </w:p>
        </w:tc>
        <w:tc>
          <w:tcPr>
            <w:tcW w:w="0" w:type="auto"/>
            <w:tcBorders>
              <w:top w:val="nil"/>
              <w:left w:val="nil"/>
              <w:bottom w:val="single" w:sz="4" w:space="0" w:color="auto"/>
              <w:right w:val="single" w:sz="4" w:space="0" w:color="auto"/>
            </w:tcBorders>
            <w:shd w:val="clear" w:color="auto" w:fill="auto"/>
            <w:noWrap/>
            <w:hideMark/>
          </w:tcPr>
          <w:p w14:paraId="04D338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0.391</w:t>
            </w:r>
          </w:p>
        </w:tc>
        <w:tc>
          <w:tcPr>
            <w:tcW w:w="0" w:type="auto"/>
            <w:tcBorders>
              <w:top w:val="nil"/>
              <w:left w:val="nil"/>
              <w:bottom w:val="single" w:sz="4" w:space="0" w:color="auto"/>
              <w:right w:val="single" w:sz="4" w:space="0" w:color="auto"/>
            </w:tcBorders>
            <w:shd w:val="clear" w:color="auto" w:fill="auto"/>
            <w:noWrap/>
            <w:hideMark/>
          </w:tcPr>
          <w:p w14:paraId="362352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0.372</w:t>
            </w:r>
          </w:p>
        </w:tc>
        <w:tc>
          <w:tcPr>
            <w:tcW w:w="0" w:type="auto"/>
            <w:tcBorders>
              <w:top w:val="nil"/>
              <w:left w:val="nil"/>
              <w:bottom w:val="single" w:sz="4" w:space="0" w:color="auto"/>
              <w:right w:val="single" w:sz="4" w:space="0" w:color="auto"/>
            </w:tcBorders>
            <w:shd w:val="clear" w:color="auto" w:fill="auto"/>
            <w:noWrap/>
            <w:hideMark/>
          </w:tcPr>
          <w:p w14:paraId="040E22D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0.329</w:t>
            </w:r>
          </w:p>
        </w:tc>
        <w:tc>
          <w:tcPr>
            <w:tcW w:w="0" w:type="auto"/>
            <w:tcBorders>
              <w:top w:val="nil"/>
              <w:left w:val="nil"/>
              <w:bottom w:val="single" w:sz="4" w:space="0" w:color="auto"/>
              <w:right w:val="single" w:sz="4" w:space="0" w:color="auto"/>
            </w:tcBorders>
            <w:shd w:val="clear" w:color="auto" w:fill="auto"/>
            <w:noWrap/>
            <w:hideMark/>
          </w:tcPr>
          <w:p w14:paraId="2D5B85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0.769</w:t>
            </w:r>
          </w:p>
        </w:tc>
      </w:tr>
      <w:tr w:rsidR="00943D0A" w:rsidRPr="00144673" w14:paraId="1722F81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6ED6E7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SCV_self_projection_1</w:t>
            </w:r>
          </w:p>
        </w:tc>
        <w:tc>
          <w:tcPr>
            <w:tcW w:w="0" w:type="auto"/>
            <w:tcBorders>
              <w:top w:val="nil"/>
              <w:left w:val="nil"/>
              <w:bottom w:val="single" w:sz="4" w:space="0" w:color="auto"/>
              <w:right w:val="single" w:sz="4" w:space="0" w:color="auto"/>
            </w:tcBorders>
            <w:shd w:val="clear" w:color="auto" w:fill="auto"/>
            <w:noWrap/>
            <w:hideMark/>
          </w:tcPr>
          <w:p w14:paraId="5DB48C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7285857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0.172</w:t>
            </w:r>
          </w:p>
        </w:tc>
        <w:tc>
          <w:tcPr>
            <w:tcW w:w="0" w:type="auto"/>
            <w:tcBorders>
              <w:top w:val="nil"/>
              <w:left w:val="nil"/>
              <w:bottom w:val="single" w:sz="4" w:space="0" w:color="auto"/>
              <w:right w:val="single" w:sz="4" w:space="0" w:color="auto"/>
            </w:tcBorders>
            <w:shd w:val="clear" w:color="auto" w:fill="auto"/>
            <w:noWrap/>
            <w:hideMark/>
          </w:tcPr>
          <w:p w14:paraId="075DFE0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3BE7E7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0.673</w:t>
            </w:r>
          </w:p>
        </w:tc>
        <w:tc>
          <w:tcPr>
            <w:tcW w:w="0" w:type="auto"/>
            <w:tcBorders>
              <w:top w:val="nil"/>
              <w:left w:val="nil"/>
              <w:bottom w:val="single" w:sz="4" w:space="0" w:color="auto"/>
              <w:right w:val="single" w:sz="4" w:space="0" w:color="auto"/>
            </w:tcBorders>
            <w:shd w:val="clear" w:color="auto" w:fill="auto"/>
            <w:noWrap/>
            <w:hideMark/>
          </w:tcPr>
          <w:p w14:paraId="4AB0B9F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0.276</w:t>
            </w:r>
          </w:p>
        </w:tc>
        <w:tc>
          <w:tcPr>
            <w:tcW w:w="0" w:type="auto"/>
            <w:tcBorders>
              <w:top w:val="nil"/>
              <w:left w:val="nil"/>
              <w:bottom w:val="single" w:sz="4" w:space="0" w:color="auto"/>
              <w:right w:val="single" w:sz="4" w:space="0" w:color="auto"/>
            </w:tcBorders>
            <w:shd w:val="clear" w:color="auto" w:fill="auto"/>
            <w:noWrap/>
            <w:hideMark/>
          </w:tcPr>
          <w:p w14:paraId="78DAD6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0.237</w:t>
            </w:r>
          </w:p>
        </w:tc>
        <w:tc>
          <w:tcPr>
            <w:tcW w:w="0" w:type="auto"/>
            <w:tcBorders>
              <w:top w:val="nil"/>
              <w:left w:val="nil"/>
              <w:bottom w:val="single" w:sz="4" w:space="0" w:color="auto"/>
              <w:right w:val="single" w:sz="4" w:space="0" w:color="auto"/>
            </w:tcBorders>
            <w:shd w:val="clear" w:color="auto" w:fill="auto"/>
            <w:noWrap/>
            <w:hideMark/>
          </w:tcPr>
          <w:p w14:paraId="7E62E4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0.442</w:t>
            </w:r>
          </w:p>
        </w:tc>
        <w:tc>
          <w:tcPr>
            <w:tcW w:w="0" w:type="auto"/>
            <w:tcBorders>
              <w:top w:val="nil"/>
              <w:left w:val="nil"/>
              <w:bottom w:val="single" w:sz="4" w:space="0" w:color="auto"/>
              <w:right w:val="single" w:sz="4" w:space="0" w:color="auto"/>
            </w:tcBorders>
            <w:shd w:val="clear" w:color="auto" w:fill="auto"/>
            <w:noWrap/>
            <w:hideMark/>
          </w:tcPr>
          <w:p w14:paraId="32E22F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2A3965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0.275</w:t>
            </w:r>
          </w:p>
        </w:tc>
        <w:tc>
          <w:tcPr>
            <w:tcW w:w="0" w:type="auto"/>
            <w:tcBorders>
              <w:top w:val="nil"/>
              <w:left w:val="nil"/>
              <w:bottom w:val="single" w:sz="4" w:space="0" w:color="auto"/>
              <w:right w:val="single" w:sz="4" w:space="0" w:color="auto"/>
            </w:tcBorders>
            <w:shd w:val="clear" w:color="auto" w:fill="auto"/>
            <w:noWrap/>
            <w:hideMark/>
          </w:tcPr>
          <w:p w14:paraId="77075FD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0.476</w:t>
            </w:r>
          </w:p>
        </w:tc>
        <w:tc>
          <w:tcPr>
            <w:tcW w:w="0" w:type="auto"/>
            <w:tcBorders>
              <w:top w:val="nil"/>
              <w:left w:val="nil"/>
              <w:bottom w:val="single" w:sz="4" w:space="0" w:color="auto"/>
              <w:right w:val="single" w:sz="4" w:space="0" w:color="auto"/>
            </w:tcBorders>
            <w:shd w:val="clear" w:color="auto" w:fill="auto"/>
            <w:noWrap/>
            <w:hideMark/>
          </w:tcPr>
          <w:p w14:paraId="70F42D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0.333</w:t>
            </w:r>
          </w:p>
        </w:tc>
        <w:tc>
          <w:tcPr>
            <w:tcW w:w="0" w:type="auto"/>
            <w:tcBorders>
              <w:top w:val="nil"/>
              <w:left w:val="nil"/>
              <w:bottom w:val="single" w:sz="4" w:space="0" w:color="auto"/>
              <w:right w:val="single" w:sz="4" w:space="0" w:color="auto"/>
            </w:tcBorders>
            <w:shd w:val="clear" w:color="auto" w:fill="auto"/>
            <w:noWrap/>
            <w:hideMark/>
          </w:tcPr>
          <w:p w14:paraId="6272CC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0.281</w:t>
            </w:r>
          </w:p>
        </w:tc>
        <w:tc>
          <w:tcPr>
            <w:tcW w:w="0" w:type="auto"/>
            <w:tcBorders>
              <w:top w:val="nil"/>
              <w:left w:val="nil"/>
              <w:bottom w:val="single" w:sz="4" w:space="0" w:color="auto"/>
              <w:right w:val="single" w:sz="4" w:space="0" w:color="auto"/>
            </w:tcBorders>
            <w:shd w:val="clear" w:color="auto" w:fill="auto"/>
            <w:noWrap/>
            <w:hideMark/>
          </w:tcPr>
          <w:p w14:paraId="692BBC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0.391</w:t>
            </w:r>
          </w:p>
        </w:tc>
        <w:tc>
          <w:tcPr>
            <w:tcW w:w="0" w:type="auto"/>
            <w:tcBorders>
              <w:top w:val="nil"/>
              <w:left w:val="nil"/>
              <w:bottom w:val="single" w:sz="4" w:space="0" w:color="auto"/>
              <w:right w:val="single" w:sz="4" w:space="0" w:color="auto"/>
            </w:tcBorders>
            <w:shd w:val="clear" w:color="auto" w:fill="auto"/>
            <w:noWrap/>
            <w:hideMark/>
          </w:tcPr>
          <w:p w14:paraId="4DE645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0.372</w:t>
            </w:r>
          </w:p>
        </w:tc>
        <w:tc>
          <w:tcPr>
            <w:tcW w:w="0" w:type="auto"/>
            <w:tcBorders>
              <w:top w:val="nil"/>
              <w:left w:val="nil"/>
              <w:bottom w:val="single" w:sz="4" w:space="0" w:color="auto"/>
              <w:right w:val="single" w:sz="4" w:space="0" w:color="auto"/>
            </w:tcBorders>
            <w:shd w:val="clear" w:color="auto" w:fill="auto"/>
            <w:noWrap/>
            <w:hideMark/>
          </w:tcPr>
          <w:p w14:paraId="15F3FAF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0.329</w:t>
            </w:r>
          </w:p>
        </w:tc>
        <w:tc>
          <w:tcPr>
            <w:tcW w:w="0" w:type="auto"/>
            <w:tcBorders>
              <w:top w:val="nil"/>
              <w:left w:val="nil"/>
              <w:bottom w:val="single" w:sz="4" w:space="0" w:color="auto"/>
              <w:right w:val="single" w:sz="4" w:space="0" w:color="auto"/>
            </w:tcBorders>
            <w:shd w:val="clear" w:color="auto" w:fill="auto"/>
            <w:noWrap/>
            <w:hideMark/>
          </w:tcPr>
          <w:p w14:paraId="4BEE7C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0.769</w:t>
            </w:r>
          </w:p>
        </w:tc>
      </w:tr>
      <w:tr w:rsidR="00943D0A" w:rsidRPr="00144673" w14:paraId="689D621F"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393DEE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SCV_self_projection_2</w:t>
            </w:r>
          </w:p>
        </w:tc>
        <w:tc>
          <w:tcPr>
            <w:tcW w:w="0" w:type="auto"/>
            <w:tcBorders>
              <w:top w:val="nil"/>
              <w:left w:val="nil"/>
              <w:bottom w:val="single" w:sz="4" w:space="0" w:color="auto"/>
              <w:right w:val="single" w:sz="4" w:space="0" w:color="auto"/>
            </w:tcBorders>
            <w:shd w:val="clear" w:color="auto" w:fill="auto"/>
            <w:noWrap/>
            <w:hideMark/>
          </w:tcPr>
          <w:p w14:paraId="4ADAE9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0.361</w:t>
            </w:r>
          </w:p>
        </w:tc>
        <w:tc>
          <w:tcPr>
            <w:tcW w:w="0" w:type="auto"/>
            <w:tcBorders>
              <w:top w:val="nil"/>
              <w:left w:val="nil"/>
              <w:bottom w:val="single" w:sz="4" w:space="0" w:color="auto"/>
              <w:right w:val="single" w:sz="4" w:space="0" w:color="auto"/>
            </w:tcBorders>
            <w:shd w:val="clear" w:color="auto" w:fill="auto"/>
            <w:noWrap/>
            <w:hideMark/>
          </w:tcPr>
          <w:p w14:paraId="4B4C46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0.232</w:t>
            </w:r>
          </w:p>
        </w:tc>
        <w:tc>
          <w:tcPr>
            <w:tcW w:w="0" w:type="auto"/>
            <w:tcBorders>
              <w:top w:val="nil"/>
              <w:left w:val="nil"/>
              <w:bottom w:val="single" w:sz="4" w:space="0" w:color="auto"/>
              <w:right w:val="single" w:sz="4" w:space="0" w:color="auto"/>
            </w:tcBorders>
            <w:shd w:val="clear" w:color="auto" w:fill="auto"/>
            <w:noWrap/>
            <w:hideMark/>
          </w:tcPr>
          <w:p w14:paraId="483EE7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0.566</w:t>
            </w:r>
          </w:p>
        </w:tc>
        <w:tc>
          <w:tcPr>
            <w:tcW w:w="0" w:type="auto"/>
            <w:tcBorders>
              <w:top w:val="nil"/>
              <w:left w:val="nil"/>
              <w:bottom w:val="single" w:sz="4" w:space="0" w:color="auto"/>
              <w:right w:val="single" w:sz="4" w:space="0" w:color="auto"/>
            </w:tcBorders>
            <w:shd w:val="clear" w:color="auto" w:fill="auto"/>
            <w:noWrap/>
            <w:hideMark/>
          </w:tcPr>
          <w:p w14:paraId="3051941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0.734</w:t>
            </w:r>
          </w:p>
        </w:tc>
        <w:tc>
          <w:tcPr>
            <w:tcW w:w="0" w:type="auto"/>
            <w:tcBorders>
              <w:top w:val="nil"/>
              <w:left w:val="nil"/>
              <w:bottom w:val="single" w:sz="4" w:space="0" w:color="auto"/>
              <w:right w:val="single" w:sz="4" w:space="0" w:color="auto"/>
            </w:tcBorders>
            <w:shd w:val="clear" w:color="auto" w:fill="auto"/>
            <w:noWrap/>
            <w:hideMark/>
          </w:tcPr>
          <w:p w14:paraId="44AA7CB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0.445</w:t>
            </w:r>
          </w:p>
        </w:tc>
        <w:tc>
          <w:tcPr>
            <w:tcW w:w="0" w:type="auto"/>
            <w:tcBorders>
              <w:top w:val="nil"/>
              <w:left w:val="nil"/>
              <w:bottom w:val="single" w:sz="4" w:space="0" w:color="auto"/>
              <w:right w:val="single" w:sz="4" w:space="0" w:color="auto"/>
            </w:tcBorders>
            <w:shd w:val="clear" w:color="auto" w:fill="auto"/>
            <w:noWrap/>
            <w:hideMark/>
          </w:tcPr>
          <w:p w14:paraId="5B801E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c>
          <w:tcPr>
            <w:tcW w:w="0" w:type="auto"/>
            <w:tcBorders>
              <w:top w:val="nil"/>
              <w:left w:val="nil"/>
              <w:bottom w:val="single" w:sz="4" w:space="0" w:color="auto"/>
              <w:right w:val="single" w:sz="4" w:space="0" w:color="auto"/>
            </w:tcBorders>
            <w:shd w:val="clear" w:color="auto" w:fill="auto"/>
            <w:noWrap/>
            <w:hideMark/>
          </w:tcPr>
          <w:p w14:paraId="5D19254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28B90D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5E48FF5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0.391</w:t>
            </w:r>
          </w:p>
        </w:tc>
        <w:tc>
          <w:tcPr>
            <w:tcW w:w="0" w:type="auto"/>
            <w:tcBorders>
              <w:top w:val="nil"/>
              <w:left w:val="nil"/>
              <w:bottom w:val="single" w:sz="4" w:space="0" w:color="auto"/>
              <w:right w:val="single" w:sz="4" w:space="0" w:color="auto"/>
            </w:tcBorders>
            <w:shd w:val="clear" w:color="auto" w:fill="auto"/>
            <w:noWrap/>
            <w:hideMark/>
          </w:tcPr>
          <w:p w14:paraId="317853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0.542</w:t>
            </w:r>
          </w:p>
        </w:tc>
        <w:tc>
          <w:tcPr>
            <w:tcW w:w="0" w:type="auto"/>
            <w:tcBorders>
              <w:top w:val="nil"/>
              <w:left w:val="nil"/>
              <w:bottom w:val="single" w:sz="4" w:space="0" w:color="auto"/>
              <w:right w:val="single" w:sz="4" w:space="0" w:color="auto"/>
            </w:tcBorders>
            <w:shd w:val="clear" w:color="auto" w:fill="auto"/>
            <w:noWrap/>
            <w:hideMark/>
          </w:tcPr>
          <w:p w14:paraId="70250D2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0.534</w:t>
            </w:r>
          </w:p>
        </w:tc>
        <w:tc>
          <w:tcPr>
            <w:tcW w:w="0" w:type="auto"/>
            <w:tcBorders>
              <w:top w:val="nil"/>
              <w:left w:val="nil"/>
              <w:bottom w:val="single" w:sz="4" w:space="0" w:color="auto"/>
              <w:right w:val="single" w:sz="4" w:space="0" w:color="auto"/>
            </w:tcBorders>
            <w:shd w:val="clear" w:color="auto" w:fill="auto"/>
            <w:noWrap/>
            <w:hideMark/>
          </w:tcPr>
          <w:p w14:paraId="587696D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0.290</w:t>
            </w:r>
          </w:p>
        </w:tc>
        <w:tc>
          <w:tcPr>
            <w:tcW w:w="0" w:type="auto"/>
            <w:tcBorders>
              <w:top w:val="nil"/>
              <w:left w:val="nil"/>
              <w:bottom w:val="single" w:sz="4" w:space="0" w:color="auto"/>
              <w:right w:val="single" w:sz="4" w:space="0" w:color="auto"/>
            </w:tcBorders>
            <w:shd w:val="clear" w:color="auto" w:fill="auto"/>
            <w:noWrap/>
            <w:hideMark/>
          </w:tcPr>
          <w:p w14:paraId="588591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1735057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0.265</w:t>
            </w:r>
          </w:p>
        </w:tc>
        <w:tc>
          <w:tcPr>
            <w:tcW w:w="0" w:type="auto"/>
            <w:tcBorders>
              <w:top w:val="nil"/>
              <w:left w:val="nil"/>
              <w:bottom w:val="single" w:sz="4" w:space="0" w:color="auto"/>
              <w:right w:val="single" w:sz="4" w:space="0" w:color="auto"/>
            </w:tcBorders>
            <w:shd w:val="clear" w:color="auto" w:fill="auto"/>
            <w:noWrap/>
            <w:hideMark/>
          </w:tcPr>
          <w:p w14:paraId="682029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34DBA0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0.780</w:t>
            </w:r>
          </w:p>
        </w:tc>
      </w:tr>
      <w:tr w:rsidR="00943D0A" w:rsidRPr="00144673" w14:paraId="29A8AC66"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8CA35C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SCV_self_projection_2</w:t>
            </w:r>
          </w:p>
        </w:tc>
        <w:tc>
          <w:tcPr>
            <w:tcW w:w="0" w:type="auto"/>
            <w:tcBorders>
              <w:top w:val="nil"/>
              <w:left w:val="nil"/>
              <w:bottom w:val="single" w:sz="4" w:space="0" w:color="auto"/>
              <w:right w:val="single" w:sz="4" w:space="0" w:color="auto"/>
            </w:tcBorders>
            <w:shd w:val="clear" w:color="auto" w:fill="auto"/>
            <w:noWrap/>
            <w:hideMark/>
          </w:tcPr>
          <w:p w14:paraId="007EBA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0.361</w:t>
            </w:r>
          </w:p>
        </w:tc>
        <w:tc>
          <w:tcPr>
            <w:tcW w:w="0" w:type="auto"/>
            <w:tcBorders>
              <w:top w:val="nil"/>
              <w:left w:val="nil"/>
              <w:bottom w:val="single" w:sz="4" w:space="0" w:color="auto"/>
              <w:right w:val="single" w:sz="4" w:space="0" w:color="auto"/>
            </w:tcBorders>
            <w:shd w:val="clear" w:color="auto" w:fill="auto"/>
            <w:noWrap/>
            <w:hideMark/>
          </w:tcPr>
          <w:p w14:paraId="18C8E0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0.232</w:t>
            </w:r>
          </w:p>
        </w:tc>
        <w:tc>
          <w:tcPr>
            <w:tcW w:w="0" w:type="auto"/>
            <w:tcBorders>
              <w:top w:val="nil"/>
              <w:left w:val="nil"/>
              <w:bottom w:val="single" w:sz="4" w:space="0" w:color="auto"/>
              <w:right w:val="single" w:sz="4" w:space="0" w:color="auto"/>
            </w:tcBorders>
            <w:shd w:val="clear" w:color="auto" w:fill="auto"/>
            <w:noWrap/>
            <w:hideMark/>
          </w:tcPr>
          <w:p w14:paraId="6D58E6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0.566</w:t>
            </w:r>
          </w:p>
        </w:tc>
        <w:tc>
          <w:tcPr>
            <w:tcW w:w="0" w:type="auto"/>
            <w:tcBorders>
              <w:top w:val="nil"/>
              <w:left w:val="nil"/>
              <w:bottom w:val="single" w:sz="4" w:space="0" w:color="auto"/>
              <w:right w:val="single" w:sz="4" w:space="0" w:color="auto"/>
            </w:tcBorders>
            <w:shd w:val="clear" w:color="auto" w:fill="auto"/>
            <w:noWrap/>
            <w:hideMark/>
          </w:tcPr>
          <w:p w14:paraId="0694EEA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0.734</w:t>
            </w:r>
          </w:p>
        </w:tc>
        <w:tc>
          <w:tcPr>
            <w:tcW w:w="0" w:type="auto"/>
            <w:tcBorders>
              <w:top w:val="nil"/>
              <w:left w:val="nil"/>
              <w:bottom w:val="single" w:sz="4" w:space="0" w:color="auto"/>
              <w:right w:val="single" w:sz="4" w:space="0" w:color="auto"/>
            </w:tcBorders>
            <w:shd w:val="clear" w:color="auto" w:fill="auto"/>
            <w:noWrap/>
            <w:hideMark/>
          </w:tcPr>
          <w:p w14:paraId="1A93EFB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0.445</w:t>
            </w:r>
          </w:p>
        </w:tc>
        <w:tc>
          <w:tcPr>
            <w:tcW w:w="0" w:type="auto"/>
            <w:tcBorders>
              <w:top w:val="nil"/>
              <w:left w:val="nil"/>
              <w:bottom w:val="single" w:sz="4" w:space="0" w:color="auto"/>
              <w:right w:val="single" w:sz="4" w:space="0" w:color="auto"/>
            </w:tcBorders>
            <w:shd w:val="clear" w:color="auto" w:fill="auto"/>
            <w:noWrap/>
            <w:hideMark/>
          </w:tcPr>
          <w:p w14:paraId="385FBC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c>
          <w:tcPr>
            <w:tcW w:w="0" w:type="auto"/>
            <w:tcBorders>
              <w:top w:val="nil"/>
              <w:left w:val="nil"/>
              <w:bottom w:val="single" w:sz="4" w:space="0" w:color="auto"/>
              <w:right w:val="single" w:sz="4" w:space="0" w:color="auto"/>
            </w:tcBorders>
            <w:shd w:val="clear" w:color="auto" w:fill="auto"/>
            <w:noWrap/>
            <w:hideMark/>
          </w:tcPr>
          <w:p w14:paraId="4BC8F0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76D0A5F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3D7AFE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0.391</w:t>
            </w:r>
          </w:p>
        </w:tc>
        <w:tc>
          <w:tcPr>
            <w:tcW w:w="0" w:type="auto"/>
            <w:tcBorders>
              <w:top w:val="nil"/>
              <w:left w:val="nil"/>
              <w:bottom w:val="single" w:sz="4" w:space="0" w:color="auto"/>
              <w:right w:val="single" w:sz="4" w:space="0" w:color="auto"/>
            </w:tcBorders>
            <w:shd w:val="clear" w:color="auto" w:fill="auto"/>
            <w:noWrap/>
            <w:hideMark/>
          </w:tcPr>
          <w:p w14:paraId="3284EF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0.542</w:t>
            </w:r>
          </w:p>
        </w:tc>
        <w:tc>
          <w:tcPr>
            <w:tcW w:w="0" w:type="auto"/>
            <w:tcBorders>
              <w:top w:val="nil"/>
              <w:left w:val="nil"/>
              <w:bottom w:val="single" w:sz="4" w:space="0" w:color="auto"/>
              <w:right w:val="single" w:sz="4" w:space="0" w:color="auto"/>
            </w:tcBorders>
            <w:shd w:val="clear" w:color="auto" w:fill="auto"/>
            <w:noWrap/>
            <w:hideMark/>
          </w:tcPr>
          <w:p w14:paraId="30F026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0.534</w:t>
            </w:r>
          </w:p>
        </w:tc>
        <w:tc>
          <w:tcPr>
            <w:tcW w:w="0" w:type="auto"/>
            <w:tcBorders>
              <w:top w:val="nil"/>
              <w:left w:val="nil"/>
              <w:bottom w:val="single" w:sz="4" w:space="0" w:color="auto"/>
              <w:right w:val="single" w:sz="4" w:space="0" w:color="auto"/>
            </w:tcBorders>
            <w:shd w:val="clear" w:color="auto" w:fill="auto"/>
            <w:noWrap/>
            <w:hideMark/>
          </w:tcPr>
          <w:p w14:paraId="08110B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0.290</w:t>
            </w:r>
          </w:p>
        </w:tc>
        <w:tc>
          <w:tcPr>
            <w:tcW w:w="0" w:type="auto"/>
            <w:tcBorders>
              <w:top w:val="nil"/>
              <w:left w:val="nil"/>
              <w:bottom w:val="single" w:sz="4" w:space="0" w:color="auto"/>
              <w:right w:val="single" w:sz="4" w:space="0" w:color="auto"/>
            </w:tcBorders>
            <w:shd w:val="clear" w:color="auto" w:fill="auto"/>
            <w:noWrap/>
            <w:hideMark/>
          </w:tcPr>
          <w:p w14:paraId="10F199C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1FA4BD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0.265</w:t>
            </w:r>
          </w:p>
        </w:tc>
        <w:tc>
          <w:tcPr>
            <w:tcW w:w="0" w:type="auto"/>
            <w:tcBorders>
              <w:top w:val="nil"/>
              <w:left w:val="nil"/>
              <w:bottom w:val="single" w:sz="4" w:space="0" w:color="auto"/>
              <w:right w:val="single" w:sz="4" w:space="0" w:color="auto"/>
            </w:tcBorders>
            <w:shd w:val="clear" w:color="auto" w:fill="auto"/>
            <w:noWrap/>
            <w:hideMark/>
          </w:tcPr>
          <w:p w14:paraId="0DFD6A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4DF0CB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0.780</w:t>
            </w:r>
          </w:p>
        </w:tc>
      </w:tr>
      <w:tr w:rsidR="00943D0A" w:rsidRPr="00144673" w14:paraId="1CA0221A"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6EA800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SCV_self_projection_3</w:t>
            </w:r>
          </w:p>
        </w:tc>
        <w:tc>
          <w:tcPr>
            <w:tcW w:w="0" w:type="auto"/>
            <w:tcBorders>
              <w:top w:val="nil"/>
              <w:left w:val="nil"/>
              <w:bottom w:val="single" w:sz="4" w:space="0" w:color="auto"/>
              <w:right w:val="single" w:sz="4" w:space="0" w:color="auto"/>
            </w:tcBorders>
            <w:shd w:val="clear" w:color="auto" w:fill="auto"/>
            <w:noWrap/>
            <w:hideMark/>
          </w:tcPr>
          <w:p w14:paraId="2D3E3E2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0.388</w:t>
            </w:r>
          </w:p>
        </w:tc>
        <w:tc>
          <w:tcPr>
            <w:tcW w:w="0" w:type="auto"/>
            <w:tcBorders>
              <w:top w:val="nil"/>
              <w:left w:val="nil"/>
              <w:bottom w:val="single" w:sz="4" w:space="0" w:color="auto"/>
              <w:right w:val="single" w:sz="4" w:space="0" w:color="auto"/>
            </w:tcBorders>
            <w:shd w:val="clear" w:color="auto" w:fill="auto"/>
            <w:noWrap/>
            <w:hideMark/>
          </w:tcPr>
          <w:p w14:paraId="47E2F4B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0.151</w:t>
            </w:r>
          </w:p>
        </w:tc>
        <w:tc>
          <w:tcPr>
            <w:tcW w:w="0" w:type="auto"/>
            <w:tcBorders>
              <w:top w:val="nil"/>
              <w:left w:val="nil"/>
              <w:bottom w:val="single" w:sz="4" w:space="0" w:color="auto"/>
              <w:right w:val="single" w:sz="4" w:space="0" w:color="auto"/>
            </w:tcBorders>
            <w:shd w:val="clear" w:color="auto" w:fill="auto"/>
            <w:noWrap/>
            <w:hideMark/>
          </w:tcPr>
          <w:p w14:paraId="68D32A8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0.414</w:t>
            </w:r>
          </w:p>
        </w:tc>
        <w:tc>
          <w:tcPr>
            <w:tcW w:w="0" w:type="auto"/>
            <w:tcBorders>
              <w:top w:val="nil"/>
              <w:left w:val="nil"/>
              <w:bottom w:val="single" w:sz="4" w:space="0" w:color="auto"/>
              <w:right w:val="single" w:sz="4" w:space="0" w:color="auto"/>
            </w:tcBorders>
            <w:shd w:val="clear" w:color="auto" w:fill="auto"/>
            <w:noWrap/>
            <w:hideMark/>
          </w:tcPr>
          <w:p w14:paraId="08138E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0.794</w:t>
            </w:r>
          </w:p>
        </w:tc>
        <w:tc>
          <w:tcPr>
            <w:tcW w:w="0" w:type="auto"/>
            <w:tcBorders>
              <w:top w:val="nil"/>
              <w:left w:val="nil"/>
              <w:bottom w:val="single" w:sz="4" w:space="0" w:color="auto"/>
              <w:right w:val="single" w:sz="4" w:space="0" w:color="auto"/>
            </w:tcBorders>
            <w:shd w:val="clear" w:color="auto" w:fill="auto"/>
            <w:noWrap/>
            <w:hideMark/>
          </w:tcPr>
          <w:p w14:paraId="71538D8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0.423</w:t>
            </w:r>
          </w:p>
        </w:tc>
        <w:tc>
          <w:tcPr>
            <w:tcW w:w="0" w:type="auto"/>
            <w:tcBorders>
              <w:top w:val="nil"/>
              <w:left w:val="nil"/>
              <w:bottom w:val="single" w:sz="4" w:space="0" w:color="auto"/>
              <w:right w:val="single" w:sz="4" w:space="0" w:color="auto"/>
            </w:tcBorders>
            <w:shd w:val="clear" w:color="auto" w:fill="auto"/>
            <w:noWrap/>
            <w:hideMark/>
          </w:tcPr>
          <w:p w14:paraId="2D6A5C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0.294</w:t>
            </w:r>
          </w:p>
        </w:tc>
        <w:tc>
          <w:tcPr>
            <w:tcW w:w="0" w:type="auto"/>
            <w:tcBorders>
              <w:top w:val="nil"/>
              <w:left w:val="nil"/>
              <w:bottom w:val="single" w:sz="4" w:space="0" w:color="auto"/>
              <w:right w:val="single" w:sz="4" w:space="0" w:color="auto"/>
            </w:tcBorders>
            <w:shd w:val="clear" w:color="auto" w:fill="auto"/>
            <w:noWrap/>
            <w:hideMark/>
          </w:tcPr>
          <w:p w14:paraId="647D94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0.474</w:t>
            </w:r>
          </w:p>
        </w:tc>
        <w:tc>
          <w:tcPr>
            <w:tcW w:w="0" w:type="auto"/>
            <w:tcBorders>
              <w:top w:val="nil"/>
              <w:left w:val="nil"/>
              <w:bottom w:val="single" w:sz="4" w:space="0" w:color="auto"/>
              <w:right w:val="single" w:sz="4" w:space="0" w:color="auto"/>
            </w:tcBorders>
            <w:shd w:val="clear" w:color="auto" w:fill="auto"/>
            <w:noWrap/>
            <w:hideMark/>
          </w:tcPr>
          <w:p w14:paraId="40C7F5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5226388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1F52E7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0.585</w:t>
            </w:r>
          </w:p>
        </w:tc>
        <w:tc>
          <w:tcPr>
            <w:tcW w:w="0" w:type="auto"/>
            <w:tcBorders>
              <w:top w:val="nil"/>
              <w:left w:val="nil"/>
              <w:bottom w:val="single" w:sz="4" w:space="0" w:color="auto"/>
              <w:right w:val="single" w:sz="4" w:space="0" w:color="auto"/>
            </w:tcBorders>
            <w:shd w:val="clear" w:color="auto" w:fill="auto"/>
            <w:noWrap/>
            <w:hideMark/>
          </w:tcPr>
          <w:p w14:paraId="4A85721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c>
          <w:tcPr>
            <w:tcW w:w="0" w:type="auto"/>
            <w:tcBorders>
              <w:top w:val="nil"/>
              <w:left w:val="nil"/>
              <w:bottom w:val="single" w:sz="4" w:space="0" w:color="auto"/>
              <w:right w:val="single" w:sz="4" w:space="0" w:color="auto"/>
            </w:tcBorders>
            <w:shd w:val="clear" w:color="auto" w:fill="auto"/>
            <w:noWrap/>
            <w:hideMark/>
          </w:tcPr>
          <w:p w14:paraId="7C77350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0.287</w:t>
            </w:r>
          </w:p>
        </w:tc>
        <w:tc>
          <w:tcPr>
            <w:tcW w:w="0" w:type="auto"/>
            <w:tcBorders>
              <w:top w:val="nil"/>
              <w:left w:val="nil"/>
              <w:bottom w:val="single" w:sz="4" w:space="0" w:color="auto"/>
              <w:right w:val="single" w:sz="4" w:space="0" w:color="auto"/>
            </w:tcBorders>
            <w:shd w:val="clear" w:color="auto" w:fill="auto"/>
            <w:noWrap/>
            <w:hideMark/>
          </w:tcPr>
          <w:p w14:paraId="043AF2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0.460</w:t>
            </w:r>
          </w:p>
        </w:tc>
        <w:tc>
          <w:tcPr>
            <w:tcW w:w="0" w:type="auto"/>
            <w:tcBorders>
              <w:top w:val="nil"/>
              <w:left w:val="nil"/>
              <w:bottom w:val="single" w:sz="4" w:space="0" w:color="auto"/>
              <w:right w:val="single" w:sz="4" w:space="0" w:color="auto"/>
            </w:tcBorders>
            <w:shd w:val="clear" w:color="auto" w:fill="auto"/>
            <w:noWrap/>
            <w:hideMark/>
          </w:tcPr>
          <w:p w14:paraId="6484CD1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0.363</w:t>
            </w:r>
          </w:p>
        </w:tc>
        <w:tc>
          <w:tcPr>
            <w:tcW w:w="0" w:type="auto"/>
            <w:tcBorders>
              <w:top w:val="nil"/>
              <w:left w:val="nil"/>
              <w:bottom w:val="single" w:sz="4" w:space="0" w:color="auto"/>
              <w:right w:val="single" w:sz="4" w:space="0" w:color="auto"/>
            </w:tcBorders>
            <w:shd w:val="clear" w:color="auto" w:fill="auto"/>
            <w:noWrap/>
            <w:hideMark/>
          </w:tcPr>
          <w:p w14:paraId="55BD21B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53C3E1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0.877</w:t>
            </w:r>
          </w:p>
        </w:tc>
      </w:tr>
      <w:tr w:rsidR="00943D0A" w:rsidRPr="00144673" w14:paraId="59034AB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6490FF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SCV_self_projection_3</w:t>
            </w:r>
          </w:p>
        </w:tc>
        <w:tc>
          <w:tcPr>
            <w:tcW w:w="0" w:type="auto"/>
            <w:tcBorders>
              <w:top w:val="nil"/>
              <w:left w:val="nil"/>
              <w:bottom w:val="single" w:sz="4" w:space="0" w:color="auto"/>
              <w:right w:val="single" w:sz="4" w:space="0" w:color="auto"/>
            </w:tcBorders>
            <w:shd w:val="clear" w:color="auto" w:fill="auto"/>
            <w:noWrap/>
            <w:hideMark/>
          </w:tcPr>
          <w:p w14:paraId="7BF767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0.388</w:t>
            </w:r>
          </w:p>
        </w:tc>
        <w:tc>
          <w:tcPr>
            <w:tcW w:w="0" w:type="auto"/>
            <w:tcBorders>
              <w:top w:val="nil"/>
              <w:left w:val="nil"/>
              <w:bottom w:val="single" w:sz="4" w:space="0" w:color="auto"/>
              <w:right w:val="single" w:sz="4" w:space="0" w:color="auto"/>
            </w:tcBorders>
            <w:shd w:val="clear" w:color="auto" w:fill="auto"/>
            <w:noWrap/>
            <w:hideMark/>
          </w:tcPr>
          <w:p w14:paraId="5D4001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0.151</w:t>
            </w:r>
          </w:p>
        </w:tc>
        <w:tc>
          <w:tcPr>
            <w:tcW w:w="0" w:type="auto"/>
            <w:tcBorders>
              <w:top w:val="nil"/>
              <w:left w:val="nil"/>
              <w:bottom w:val="single" w:sz="4" w:space="0" w:color="auto"/>
              <w:right w:val="single" w:sz="4" w:space="0" w:color="auto"/>
            </w:tcBorders>
            <w:shd w:val="clear" w:color="auto" w:fill="auto"/>
            <w:noWrap/>
            <w:hideMark/>
          </w:tcPr>
          <w:p w14:paraId="7B8FE8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0.414</w:t>
            </w:r>
          </w:p>
        </w:tc>
        <w:tc>
          <w:tcPr>
            <w:tcW w:w="0" w:type="auto"/>
            <w:tcBorders>
              <w:top w:val="nil"/>
              <w:left w:val="nil"/>
              <w:bottom w:val="single" w:sz="4" w:space="0" w:color="auto"/>
              <w:right w:val="single" w:sz="4" w:space="0" w:color="auto"/>
            </w:tcBorders>
            <w:shd w:val="clear" w:color="auto" w:fill="auto"/>
            <w:noWrap/>
            <w:hideMark/>
          </w:tcPr>
          <w:p w14:paraId="5AE8E0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0.794</w:t>
            </w:r>
          </w:p>
        </w:tc>
        <w:tc>
          <w:tcPr>
            <w:tcW w:w="0" w:type="auto"/>
            <w:tcBorders>
              <w:top w:val="nil"/>
              <w:left w:val="nil"/>
              <w:bottom w:val="single" w:sz="4" w:space="0" w:color="auto"/>
              <w:right w:val="single" w:sz="4" w:space="0" w:color="auto"/>
            </w:tcBorders>
            <w:shd w:val="clear" w:color="auto" w:fill="auto"/>
            <w:noWrap/>
            <w:hideMark/>
          </w:tcPr>
          <w:p w14:paraId="32F5FB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0.423</w:t>
            </w:r>
          </w:p>
        </w:tc>
        <w:tc>
          <w:tcPr>
            <w:tcW w:w="0" w:type="auto"/>
            <w:tcBorders>
              <w:top w:val="nil"/>
              <w:left w:val="nil"/>
              <w:bottom w:val="single" w:sz="4" w:space="0" w:color="auto"/>
              <w:right w:val="single" w:sz="4" w:space="0" w:color="auto"/>
            </w:tcBorders>
            <w:shd w:val="clear" w:color="auto" w:fill="auto"/>
            <w:noWrap/>
            <w:hideMark/>
          </w:tcPr>
          <w:p w14:paraId="21AE0D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0.294</w:t>
            </w:r>
          </w:p>
        </w:tc>
        <w:tc>
          <w:tcPr>
            <w:tcW w:w="0" w:type="auto"/>
            <w:tcBorders>
              <w:top w:val="nil"/>
              <w:left w:val="nil"/>
              <w:bottom w:val="single" w:sz="4" w:space="0" w:color="auto"/>
              <w:right w:val="single" w:sz="4" w:space="0" w:color="auto"/>
            </w:tcBorders>
            <w:shd w:val="clear" w:color="auto" w:fill="auto"/>
            <w:noWrap/>
            <w:hideMark/>
          </w:tcPr>
          <w:p w14:paraId="2D45DC4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0.474</w:t>
            </w:r>
          </w:p>
        </w:tc>
        <w:tc>
          <w:tcPr>
            <w:tcW w:w="0" w:type="auto"/>
            <w:tcBorders>
              <w:top w:val="nil"/>
              <w:left w:val="nil"/>
              <w:bottom w:val="single" w:sz="4" w:space="0" w:color="auto"/>
              <w:right w:val="single" w:sz="4" w:space="0" w:color="auto"/>
            </w:tcBorders>
            <w:shd w:val="clear" w:color="auto" w:fill="auto"/>
            <w:noWrap/>
            <w:hideMark/>
          </w:tcPr>
          <w:p w14:paraId="6C21374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0.398</w:t>
            </w:r>
          </w:p>
        </w:tc>
        <w:tc>
          <w:tcPr>
            <w:tcW w:w="0" w:type="auto"/>
            <w:tcBorders>
              <w:top w:val="nil"/>
              <w:left w:val="nil"/>
              <w:bottom w:val="single" w:sz="4" w:space="0" w:color="auto"/>
              <w:right w:val="single" w:sz="4" w:space="0" w:color="auto"/>
            </w:tcBorders>
            <w:shd w:val="clear" w:color="auto" w:fill="auto"/>
            <w:noWrap/>
            <w:hideMark/>
          </w:tcPr>
          <w:p w14:paraId="5153BA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0.357</w:t>
            </w:r>
          </w:p>
        </w:tc>
        <w:tc>
          <w:tcPr>
            <w:tcW w:w="0" w:type="auto"/>
            <w:tcBorders>
              <w:top w:val="nil"/>
              <w:left w:val="nil"/>
              <w:bottom w:val="single" w:sz="4" w:space="0" w:color="auto"/>
              <w:right w:val="single" w:sz="4" w:space="0" w:color="auto"/>
            </w:tcBorders>
            <w:shd w:val="clear" w:color="auto" w:fill="auto"/>
            <w:noWrap/>
            <w:hideMark/>
          </w:tcPr>
          <w:p w14:paraId="142785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0.585</w:t>
            </w:r>
          </w:p>
        </w:tc>
        <w:tc>
          <w:tcPr>
            <w:tcW w:w="0" w:type="auto"/>
            <w:tcBorders>
              <w:top w:val="nil"/>
              <w:left w:val="nil"/>
              <w:bottom w:val="single" w:sz="4" w:space="0" w:color="auto"/>
              <w:right w:val="single" w:sz="4" w:space="0" w:color="auto"/>
            </w:tcBorders>
            <w:shd w:val="clear" w:color="auto" w:fill="auto"/>
            <w:noWrap/>
            <w:hideMark/>
          </w:tcPr>
          <w:p w14:paraId="4B26B8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c>
          <w:tcPr>
            <w:tcW w:w="0" w:type="auto"/>
            <w:tcBorders>
              <w:top w:val="nil"/>
              <w:left w:val="nil"/>
              <w:bottom w:val="single" w:sz="4" w:space="0" w:color="auto"/>
              <w:right w:val="single" w:sz="4" w:space="0" w:color="auto"/>
            </w:tcBorders>
            <w:shd w:val="clear" w:color="auto" w:fill="auto"/>
            <w:noWrap/>
            <w:hideMark/>
          </w:tcPr>
          <w:p w14:paraId="277677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0.287</w:t>
            </w:r>
          </w:p>
        </w:tc>
        <w:tc>
          <w:tcPr>
            <w:tcW w:w="0" w:type="auto"/>
            <w:tcBorders>
              <w:top w:val="nil"/>
              <w:left w:val="nil"/>
              <w:bottom w:val="single" w:sz="4" w:space="0" w:color="auto"/>
              <w:right w:val="single" w:sz="4" w:space="0" w:color="auto"/>
            </w:tcBorders>
            <w:shd w:val="clear" w:color="auto" w:fill="auto"/>
            <w:noWrap/>
            <w:hideMark/>
          </w:tcPr>
          <w:p w14:paraId="06DC72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0.460</w:t>
            </w:r>
          </w:p>
        </w:tc>
        <w:tc>
          <w:tcPr>
            <w:tcW w:w="0" w:type="auto"/>
            <w:tcBorders>
              <w:top w:val="nil"/>
              <w:left w:val="nil"/>
              <w:bottom w:val="single" w:sz="4" w:space="0" w:color="auto"/>
              <w:right w:val="single" w:sz="4" w:space="0" w:color="auto"/>
            </w:tcBorders>
            <w:shd w:val="clear" w:color="auto" w:fill="auto"/>
            <w:noWrap/>
            <w:hideMark/>
          </w:tcPr>
          <w:p w14:paraId="521C38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0.363</w:t>
            </w:r>
          </w:p>
        </w:tc>
        <w:tc>
          <w:tcPr>
            <w:tcW w:w="0" w:type="auto"/>
            <w:tcBorders>
              <w:top w:val="nil"/>
              <w:left w:val="nil"/>
              <w:bottom w:val="single" w:sz="4" w:space="0" w:color="auto"/>
              <w:right w:val="single" w:sz="4" w:space="0" w:color="auto"/>
            </w:tcBorders>
            <w:shd w:val="clear" w:color="auto" w:fill="auto"/>
            <w:noWrap/>
            <w:hideMark/>
          </w:tcPr>
          <w:p w14:paraId="1FAD4A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5610AE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0.877</w:t>
            </w:r>
          </w:p>
        </w:tc>
      </w:tr>
      <w:tr w:rsidR="00943D0A" w:rsidRPr="00144673" w14:paraId="367608DE"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E55ABF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SCV_self_projection_4</w:t>
            </w:r>
          </w:p>
        </w:tc>
        <w:tc>
          <w:tcPr>
            <w:tcW w:w="0" w:type="auto"/>
            <w:tcBorders>
              <w:top w:val="nil"/>
              <w:left w:val="nil"/>
              <w:bottom w:val="single" w:sz="4" w:space="0" w:color="auto"/>
              <w:right w:val="single" w:sz="4" w:space="0" w:color="auto"/>
            </w:tcBorders>
            <w:shd w:val="clear" w:color="auto" w:fill="auto"/>
            <w:noWrap/>
            <w:hideMark/>
          </w:tcPr>
          <w:p w14:paraId="67B1FA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0.404</w:t>
            </w:r>
          </w:p>
        </w:tc>
        <w:tc>
          <w:tcPr>
            <w:tcW w:w="0" w:type="auto"/>
            <w:tcBorders>
              <w:top w:val="nil"/>
              <w:left w:val="nil"/>
              <w:bottom w:val="single" w:sz="4" w:space="0" w:color="auto"/>
              <w:right w:val="single" w:sz="4" w:space="0" w:color="auto"/>
            </w:tcBorders>
            <w:shd w:val="clear" w:color="auto" w:fill="auto"/>
            <w:noWrap/>
            <w:hideMark/>
          </w:tcPr>
          <w:p w14:paraId="31D61C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0.236</w:t>
            </w:r>
          </w:p>
        </w:tc>
        <w:tc>
          <w:tcPr>
            <w:tcW w:w="0" w:type="auto"/>
            <w:tcBorders>
              <w:top w:val="nil"/>
              <w:left w:val="nil"/>
              <w:bottom w:val="single" w:sz="4" w:space="0" w:color="auto"/>
              <w:right w:val="single" w:sz="4" w:space="0" w:color="auto"/>
            </w:tcBorders>
            <w:shd w:val="clear" w:color="auto" w:fill="auto"/>
            <w:noWrap/>
            <w:hideMark/>
          </w:tcPr>
          <w:p w14:paraId="7E1FC4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0.429</w:t>
            </w:r>
          </w:p>
        </w:tc>
        <w:tc>
          <w:tcPr>
            <w:tcW w:w="0" w:type="auto"/>
            <w:tcBorders>
              <w:top w:val="nil"/>
              <w:left w:val="nil"/>
              <w:bottom w:val="single" w:sz="4" w:space="0" w:color="auto"/>
              <w:right w:val="single" w:sz="4" w:space="0" w:color="auto"/>
            </w:tcBorders>
            <w:shd w:val="clear" w:color="auto" w:fill="auto"/>
            <w:noWrap/>
            <w:hideMark/>
          </w:tcPr>
          <w:p w14:paraId="23BC82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0.768</w:t>
            </w:r>
          </w:p>
        </w:tc>
        <w:tc>
          <w:tcPr>
            <w:tcW w:w="0" w:type="auto"/>
            <w:tcBorders>
              <w:top w:val="nil"/>
              <w:left w:val="nil"/>
              <w:bottom w:val="single" w:sz="4" w:space="0" w:color="auto"/>
              <w:right w:val="single" w:sz="4" w:space="0" w:color="auto"/>
            </w:tcBorders>
            <w:shd w:val="clear" w:color="auto" w:fill="auto"/>
            <w:noWrap/>
            <w:hideMark/>
          </w:tcPr>
          <w:p w14:paraId="11F648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0.347</w:t>
            </w:r>
          </w:p>
        </w:tc>
        <w:tc>
          <w:tcPr>
            <w:tcW w:w="0" w:type="auto"/>
            <w:tcBorders>
              <w:top w:val="nil"/>
              <w:left w:val="nil"/>
              <w:bottom w:val="single" w:sz="4" w:space="0" w:color="auto"/>
              <w:right w:val="single" w:sz="4" w:space="0" w:color="auto"/>
            </w:tcBorders>
            <w:shd w:val="clear" w:color="auto" w:fill="auto"/>
            <w:noWrap/>
            <w:hideMark/>
          </w:tcPr>
          <w:p w14:paraId="305026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0DE06D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0.428</w:t>
            </w:r>
          </w:p>
        </w:tc>
        <w:tc>
          <w:tcPr>
            <w:tcW w:w="0" w:type="auto"/>
            <w:tcBorders>
              <w:top w:val="nil"/>
              <w:left w:val="nil"/>
              <w:bottom w:val="single" w:sz="4" w:space="0" w:color="auto"/>
              <w:right w:val="single" w:sz="4" w:space="0" w:color="auto"/>
            </w:tcBorders>
            <w:shd w:val="clear" w:color="auto" w:fill="auto"/>
            <w:noWrap/>
            <w:hideMark/>
          </w:tcPr>
          <w:p w14:paraId="75D508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0.333</w:t>
            </w:r>
          </w:p>
        </w:tc>
        <w:tc>
          <w:tcPr>
            <w:tcW w:w="0" w:type="auto"/>
            <w:tcBorders>
              <w:top w:val="nil"/>
              <w:left w:val="nil"/>
              <w:bottom w:val="single" w:sz="4" w:space="0" w:color="auto"/>
              <w:right w:val="single" w:sz="4" w:space="0" w:color="auto"/>
            </w:tcBorders>
            <w:shd w:val="clear" w:color="auto" w:fill="auto"/>
            <w:noWrap/>
            <w:hideMark/>
          </w:tcPr>
          <w:p w14:paraId="08A500C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0.275</w:t>
            </w:r>
          </w:p>
        </w:tc>
        <w:tc>
          <w:tcPr>
            <w:tcW w:w="0" w:type="auto"/>
            <w:tcBorders>
              <w:top w:val="nil"/>
              <w:left w:val="nil"/>
              <w:bottom w:val="single" w:sz="4" w:space="0" w:color="auto"/>
              <w:right w:val="single" w:sz="4" w:space="0" w:color="auto"/>
            </w:tcBorders>
            <w:shd w:val="clear" w:color="auto" w:fill="auto"/>
            <w:noWrap/>
            <w:hideMark/>
          </w:tcPr>
          <w:p w14:paraId="3D1A92D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0.618</w:t>
            </w:r>
          </w:p>
        </w:tc>
        <w:tc>
          <w:tcPr>
            <w:tcW w:w="0" w:type="auto"/>
            <w:tcBorders>
              <w:top w:val="nil"/>
              <w:left w:val="nil"/>
              <w:bottom w:val="single" w:sz="4" w:space="0" w:color="auto"/>
              <w:right w:val="single" w:sz="4" w:space="0" w:color="auto"/>
            </w:tcBorders>
            <w:shd w:val="clear" w:color="auto" w:fill="auto"/>
            <w:noWrap/>
            <w:hideMark/>
          </w:tcPr>
          <w:p w14:paraId="3F808B8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4175040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c>
          <w:tcPr>
            <w:tcW w:w="0" w:type="auto"/>
            <w:tcBorders>
              <w:top w:val="nil"/>
              <w:left w:val="nil"/>
              <w:bottom w:val="single" w:sz="4" w:space="0" w:color="auto"/>
              <w:right w:val="single" w:sz="4" w:space="0" w:color="auto"/>
            </w:tcBorders>
            <w:shd w:val="clear" w:color="auto" w:fill="auto"/>
            <w:noWrap/>
            <w:hideMark/>
          </w:tcPr>
          <w:p w14:paraId="41280F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38D755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0.413</w:t>
            </w:r>
          </w:p>
        </w:tc>
        <w:tc>
          <w:tcPr>
            <w:tcW w:w="0" w:type="auto"/>
            <w:tcBorders>
              <w:top w:val="nil"/>
              <w:left w:val="nil"/>
              <w:bottom w:val="single" w:sz="4" w:space="0" w:color="auto"/>
              <w:right w:val="single" w:sz="4" w:space="0" w:color="auto"/>
            </w:tcBorders>
            <w:shd w:val="clear" w:color="auto" w:fill="auto"/>
            <w:noWrap/>
            <w:hideMark/>
          </w:tcPr>
          <w:p w14:paraId="37EE29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0.411</w:t>
            </w:r>
          </w:p>
        </w:tc>
        <w:tc>
          <w:tcPr>
            <w:tcW w:w="0" w:type="auto"/>
            <w:tcBorders>
              <w:top w:val="nil"/>
              <w:left w:val="nil"/>
              <w:bottom w:val="single" w:sz="4" w:space="0" w:color="auto"/>
              <w:right w:val="single" w:sz="4" w:space="0" w:color="auto"/>
            </w:tcBorders>
            <w:shd w:val="clear" w:color="auto" w:fill="auto"/>
            <w:noWrap/>
            <w:hideMark/>
          </w:tcPr>
          <w:p w14:paraId="46C2B3B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0.849</w:t>
            </w:r>
          </w:p>
        </w:tc>
      </w:tr>
      <w:tr w:rsidR="00943D0A" w:rsidRPr="00144673" w14:paraId="3C794FCE"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93EF0C2"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SCV_self_projection_4</w:t>
            </w:r>
          </w:p>
        </w:tc>
        <w:tc>
          <w:tcPr>
            <w:tcW w:w="0" w:type="auto"/>
            <w:tcBorders>
              <w:top w:val="nil"/>
              <w:left w:val="nil"/>
              <w:bottom w:val="single" w:sz="4" w:space="0" w:color="auto"/>
              <w:right w:val="single" w:sz="4" w:space="0" w:color="auto"/>
            </w:tcBorders>
            <w:shd w:val="clear" w:color="auto" w:fill="auto"/>
            <w:noWrap/>
            <w:hideMark/>
          </w:tcPr>
          <w:p w14:paraId="2EA720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0.404</w:t>
            </w:r>
          </w:p>
        </w:tc>
        <w:tc>
          <w:tcPr>
            <w:tcW w:w="0" w:type="auto"/>
            <w:tcBorders>
              <w:top w:val="nil"/>
              <w:left w:val="nil"/>
              <w:bottom w:val="single" w:sz="4" w:space="0" w:color="auto"/>
              <w:right w:val="single" w:sz="4" w:space="0" w:color="auto"/>
            </w:tcBorders>
            <w:shd w:val="clear" w:color="auto" w:fill="auto"/>
            <w:noWrap/>
            <w:hideMark/>
          </w:tcPr>
          <w:p w14:paraId="5C99F9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0.236</w:t>
            </w:r>
          </w:p>
        </w:tc>
        <w:tc>
          <w:tcPr>
            <w:tcW w:w="0" w:type="auto"/>
            <w:tcBorders>
              <w:top w:val="nil"/>
              <w:left w:val="nil"/>
              <w:bottom w:val="single" w:sz="4" w:space="0" w:color="auto"/>
              <w:right w:val="single" w:sz="4" w:space="0" w:color="auto"/>
            </w:tcBorders>
            <w:shd w:val="clear" w:color="auto" w:fill="auto"/>
            <w:noWrap/>
            <w:hideMark/>
          </w:tcPr>
          <w:p w14:paraId="1A0E293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0.429</w:t>
            </w:r>
          </w:p>
        </w:tc>
        <w:tc>
          <w:tcPr>
            <w:tcW w:w="0" w:type="auto"/>
            <w:tcBorders>
              <w:top w:val="nil"/>
              <w:left w:val="nil"/>
              <w:bottom w:val="single" w:sz="4" w:space="0" w:color="auto"/>
              <w:right w:val="single" w:sz="4" w:space="0" w:color="auto"/>
            </w:tcBorders>
            <w:shd w:val="clear" w:color="auto" w:fill="auto"/>
            <w:noWrap/>
            <w:hideMark/>
          </w:tcPr>
          <w:p w14:paraId="2C50EC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0.768</w:t>
            </w:r>
          </w:p>
        </w:tc>
        <w:tc>
          <w:tcPr>
            <w:tcW w:w="0" w:type="auto"/>
            <w:tcBorders>
              <w:top w:val="nil"/>
              <w:left w:val="nil"/>
              <w:bottom w:val="single" w:sz="4" w:space="0" w:color="auto"/>
              <w:right w:val="single" w:sz="4" w:space="0" w:color="auto"/>
            </w:tcBorders>
            <w:shd w:val="clear" w:color="auto" w:fill="auto"/>
            <w:noWrap/>
            <w:hideMark/>
          </w:tcPr>
          <w:p w14:paraId="3796F7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0.347</w:t>
            </w:r>
          </w:p>
        </w:tc>
        <w:tc>
          <w:tcPr>
            <w:tcW w:w="0" w:type="auto"/>
            <w:tcBorders>
              <w:top w:val="nil"/>
              <w:left w:val="nil"/>
              <w:bottom w:val="single" w:sz="4" w:space="0" w:color="auto"/>
              <w:right w:val="single" w:sz="4" w:space="0" w:color="auto"/>
            </w:tcBorders>
            <w:shd w:val="clear" w:color="auto" w:fill="auto"/>
            <w:noWrap/>
            <w:hideMark/>
          </w:tcPr>
          <w:p w14:paraId="35AF8DA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2ADA64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0.428</w:t>
            </w:r>
          </w:p>
        </w:tc>
        <w:tc>
          <w:tcPr>
            <w:tcW w:w="0" w:type="auto"/>
            <w:tcBorders>
              <w:top w:val="nil"/>
              <w:left w:val="nil"/>
              <w:bottom w:val="single" w:sz="4" w:space="0" w:color="auto"/>
              <w:right w:val="single" w:sz="4" w:space="0" w:color="auto"/>
            </w:tcBorders>
            <w:shd w:val="clear" w:color="auto" w:fill="auto"/>
            <w:noWrap/>
            <w:hideMark/>
          </w:tcPr>
          <w:p w14:paraId="175FFF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0.333</w:t>
            </w:r>
          </w:p>
        </w:tc>
        <w:tc>
          <w:tcPr>
            <w:tcW w:w="0" w:type="auto"/>
            <w:tcBorders>
              <w:top w:val="nil"/>
              <w:left w:val="nil"/>
              <w:bottom w:val="single" w:sz="4" w:space="0" w:color="auto"/>
              <w:right w:val="single" w:sz="4" w:space="0" w:color="auto"/>
            </w:tcBorders>
            <w:shd w:val="clear" w:color="auto" w:fill="auto"/>
            <w:noWrap/>
            <w:hideMark/>
          </w:tcPr>
          <w:p w14:paraId="58E015D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0.275</w:t>
            </w:r>
          </w:p>
        </w:tc>
        <w:tc>
          <w:tcPr>
            <w:tcW w:w="0" w:type="auto"/>
            <w:tcBorders>
              <w:top w:val="nil"/>
              <w:left w:val="nil"/>
              <w:bottom w:val="single" w:sz="4" w:space="0" w:color="auto"/>
              <w:right w:val="single" w:sz="4" w:space="0" w:color="auto"/>
            </w:tcBorders>
            <w:shd w:val="clear" w:color="auto" w:fill="auto"/>
            <w:noWrap/>
            <w:hideMark/>
          </w:tcPr>
          <w:p w14:paraId="27B2C7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0.618</w:t>
            </w:r>
          </w:p>
        </w:tc>
        <w:tc>
          <w:tcPr>
            <w:tcW w:w="0" w:type="auto"/>
            <w:tcBorders>
              <w:top w:val="nil"/>
              <w:left w:val="nil"/>
              <w:bottom w:val="single" w:sz="4" w:space="0" w:color="auto"/>
              <w:right w:val="single" w:sz="4" w:space="0" w:color="auto"/>
            </w:tcBorders>
            <w:shd w:val="clear" w:color="auto" w:fill="auto"/>
            <w:noWrap/>
            <w:hideMark/>
          </w:tcPr>
          <w:p w14:paraId="10959C6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569E39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c>
          <w:tcPr>
            <w:tcW w:w="0" w:type="auto"/>
            <w:tcBorders>
              <w:top w:val="nil"/>
              <w:left w:val="nil"/>
              <w:bottom w:val="single" w:sz="4" w:space="0" w:color="auto"/>
              <w:right w:val="single" w:sz="4" w:space="0" w:color="auto"/>
            </w:tcBorders>
            <w:shd w:val="clear" w:color="auto" w:fill="auto"/>
            <w:noWrap/>
            <w:hideMark/>
          </w:tcPr>
          <w:p w14:paraId="0F03017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015C98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0.413</w:t>
            </w:r>
          </w:p>
        </w:tc>
        <w:tc>
          <w:tcPr>
            <w:tcW w:w="0" w:type="auto"/>
            <w:tcBorders>
              <w:top w:val="nil"/>
              <w:left w:val="nil"/>
              <w:bottom w:val="single" w:sz="4" w:space="0" w:color="auto"/>
              <w:right w:val="single" w:sz="4" w:space="0" w:color="auto"/>
            </w:tcBorders>
            <w:shd w:val="clear" w:color="auto" w:fill="auto"/>
            <w:noWrap/>
            <w:hideMark/>
          </w:tcPr>
          <w:p w14:paraId="58586D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0.411</w:t>
            </w:r>
          </w:p>
        </w:tc>
        <w:tc>
          <w:tcPr>
            <w:tcW w:w="0" w:type="auto"/>
            <w:tcBorders>
              <w:top w:val="nil"/>
              <w:left w:val="nil"/>
              <w:bottom w:val="single" w:sz="4" w:space="0" w:color="auto"/>
              <w:right w:val="single" w:sz="4" w:space="0" w:color="auto"/>
            </w:tcBorders>
            <w:shd w:val="clear" w:color="auto" w:fill="auto"/>
            <w:noWrap/>
            <w:hideMark/>
          </w:tcPr>
          <w:p w14:paraId="53714B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0.849</w:t>
            </w:r>
          </w:p>
        </w:tc>
      </w:tr>
      <w:tr w:rsidR="00943D0A" w:rsidRPr="00144673" w14:paraId="4567EBA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4F773D8"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SCV_self_projection_5</w:t>
            </w:r>
          </w:p>
        </w:tc>
        <w:tc>
          <w:tcPr>
            <w:tcW w:w="0" w:type="auto"/>
            <w:tcBorders>
              <w:top w:val="nil"/>
              <w:left w:val="nil"/>
              <w:bottom w:val="single" w:sz="4" w:space="0" w:color="auto"/>
              <w:right w:val="single" w:sz="4" w:space="0" w:color="auto"/>
            </w:tcBorders>
            <w:shd w:val="clear" w:color="auto" w:fill="auto"/>
            <w:noWrap/>
            <w:hideMark/>
          </w:tcPr>
          <w:p w14:paraId="7423EF6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21A4E6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0.219</w:t>
            </w:r>
          </w:p>
        </w:tc>
        <w:tc>
          <w:tcPr>
            <w:tcW w:w="0" w:type="auto"/>
            <w:tcBorders>
              <w:top w:val="nil"/>
              <w:left w:val="nil"/>
              <w:bottom w:val="single" w:sz="4" w:space="0" w:color="auto"/>
              <w:right w:val="single" w:sz="4" w:space="0" w:color="auto"/>
            </w:tcBorders>
            <w:shd w:val="clear" w:color="auto" w:fill="auto"/>
            <w:noWrap/>
            <w:hideMark/>
          </w:tcPr>
          <w:p w14:paraId="4E36A4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0.445</w:t>
            </w:r>
          </w:p>
        </w:tc>
        <w:tc>
          <w:tcPr>
            <w:tcW w:w="0" w:type="auto"/>
            <w:tcBorders>
              <w:top w:val="nil"/>
              <w:left w:val="nil"/>
              <w:bottom w:val="single" w:sz="4" w:space="0" w:color="auto"/>
              <w:right w:val="single" w:sz="4" w:space="0" w:color="auto"/>
            </w:tcBorders>
            <w:shd w:val="clear" w:color="auto" w:fill="auto"/>
            <w:noWrap/>
            <w:hideMark/>
          </w:tcPr>
          <w:p w14:paraId="214744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0.782</w:t>
            </w:r>
          </w:p>
        </w:tc>
        <w:tc>
          <w:tcPr>
            <w:tcW w:w="0" w:type="auto"/>
            <w:tcBorders>
              <w:top w:val="nil"/>
              <w:left w:val="nil"/>
              <w:bottom w:val="single" w:sz="4" w:space="0" w:color="auto"/>
              <w:right w:val="single" w:sz="4" w:space="0" w:color="auto"/>
            </w:tcBorders>
            <w:shd w:val="clear" w:color="auto" w:fill="auto"/>
            <w:noWrap/>
            <w:hideMark/>
          </w:tcPr>
          <w:p w14:paraId="462B00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0.390</w:t>
            </w:r>
          </w:p>
        </w:tc>
        <w:tc>
          <w:tcPr>
            <w:tcW w:w="0" w:type="auto"/>
            <w:tcBorders>
              <w:top w:val="nil"/>
              <w:left w:val="nil"/>
              <w:bottom w:val="single" w:sz="4" w:space="0" w:color="auto"/>
              <w:right w:val="single" w:sz="4" w:space="0" w:color="auto"/>
            </w:tcBorders>
            <w:shd w:val="clear" w:color="auto" w:fill="auto"/>
            <w:noWrap/>
            <w:hideMark/>
          </w:tcPr>
          <w:p w14:paraId="7AC88D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0.327</w:t>
            </w:r>
          </w:p>
        </w:tc>
        <w:tc>
          <w:tcPr>
            <w:tcW w:w="0" w:type="auto"/>
            <w:tcBorders>
              <w:top w:val="nil"/>
              <w:left w:val="nil"/>
              <w:bottom w:val="single" w:sz="4" w:space="0" w:color="auto"/>
              <w:right w:val="single" w:sz="4" w:space="0" w:color="auto"/>
            </w:tcBorders>
            <w:shd w:val="clear" w:color="auto" w:fill="auto"/>
            <w:noWrap/>
            <w:hideMark/>
          </w:tcPr>
          <w:p w14:paraId="7AE4B4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0.475</w:t>
            </w:r>
          </w:p>
        </w:tc>
        <w:tc>
          <w:tcPr>
            <w:tcW w:w="0" w:type="auto"/>
            <w:tcBorders>
              <w:top w:val="nil"/>
              <w:left w:val="nil"/>
              <w:bottom w:val="single" w:sz="4" w:space="0" w:color="auto"/>
              <w:right w:val="single" w:sz="4" w:space="0" w:color="auto"/>
            </w:tcBorders>
            <w:shd w:val="clear" w:color="auto" w:fill="auto"/>
            <w:noWrap/>
            <w:hideMark/>
          </w:tcPr>
          <w:p w14:paraId="32FED2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0.331</w:t>
            </w:r>
          </w:p>
        </w:tc>
        <w:tc>
          <w:tcPr>
            <w:tcW w:w="0" w:type="auto"/>
            <w:tcBorders>
              <w:top w:val="nil"/>
              <w:left w:val="nil"/>
              <w:bottom w:val="single" w:sz="4" w:space="0" w:color="auto"/>
              <w:right w:val="single" w:sz="4" w:space="0" w:color="auto"/>
            </w:tcBorders>
            <w:shd w:val="clear" w:color="auto" w:fill="auto"/>
            <w:noWrap/>
            <w:hideMark/>
          </w:tcPr>
          <w:p w14:paraId="74CE103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0.325</w:t>
            </w:r>
          </w:p>
        </w:tc>
        <w:tc>
          <w:tcPr>
            <w:tcW w:w="0" w:type="auto"/>
            <w:tcBorders>
              <w:top w:val="nil"/>
              <w:left w:val="nil"/>
              <w:bottom w:val="single" w:sz="4" w:space="0" w:color="auto"/>
              <w:right w:val="single" w:sz="4" w:space="0" w:color="auto"/>
            </w:tcBorders>
            <w:shd w:val="clear" w:color="auto" w:fill="auto"/>
            <w:noWrap/>
            <w:hideMark/>
          </w:tcPr>
          <w:p w14:paraId="2051351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0.663</w:t>
            </w:r>
          </w:p>
        </w:tc>
        <w:tc>
          <w:tcPr>
            <w:tcW w:w="0" w:type="auto"/>
            <w:tcBorders>
              <w:top w:val="nil"/>
              <w:left w:val="nil"/>
              <w:bottom w:val="single" w:sz="4" w:space="0" w:color="auto"/>
              <w:right w:val="single" w:sz="4" w:space="0" w:color="auto"/>
            </w:tcBorders>
            <w:shd w:val="clear" w:color="auto" w:fill="auto"/>
            <w:noWrap/>
            <w:hideMark/>
          </w:tcPr>
          <w:p w14:paraId="666DCFC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0.426</w:t>
            </w:r>
          </w:p>
        </w:tc>
        <w:tc>
          <w:tcPr>
            <w:tcW w:w="0" w:type="auto"/>
            <w:tcBorders>
              <w:top w:val="nil"/>
              <w:left w:val="nil"/>
              <w:bottom w:val="single" w:sz="4" w:space="0" w:color="auto"/>
              <w:right w:val="single" w:sz="4" w:space="0" w:color="auto"/>
            </w:tcBorders>
            <w:shd w:val="clear" w:color="auto" w:fill="auto"/>
            <w:noWrap/>
            <w:hideMark/>
          </w:tcPr>
          <w:p w14:paraId="1DC8CFC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0.387</w:t>
            </w:r>
          </w:p>
        </w:tc>
        <w:tc>
          <w:tcPr>
            <w:tcW w:w="0" w:type="auto"/>
            <w:tcBorders>
              <w:top w:val="nil"/>
              <w:left w:val="nil"/>
              <w:bottom w:val="single" w:sz="4" w:space="0" w:color="auto"/>
              <w:right w:val="single" w:sz="4" w:space="0" w:color="auto"/>
            </w:tcBorders>
            <w:shd w:val="clear" w:color="auto" w:fill="auto"/>
            <w:noWrap/>
            <w:hideMark/>
          </w:tcPr>
          <w:p w14:paraId="3BD7A7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0.448</w:t>
            </w:r>
          </w:p>
        </w:tc>
        <w:tc>
          <w:tcPr>
            <w:tcW w:w="0" w:type="auto"/>
            <w:tcBorders>
              <w:top w:val="nil"/>
              <w:left w:val="nil"/>
              <w:bottom w:val="single" w:sz="4" w:space="0" w:color="auto"/>
              <w:right w:val="single" w:sz="4" w:space="0" w:color="auto"/>
            </w:tcBorders>
            <w:shd w:val="clear" w:color="auto" w:fill="auto"/>
            <w:noWrap/>
            <w:hideMark/>
          </w:tcPr>
          <w:p w14:paraId="5B430C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0.415</w:t>
            </w:r>
          </w:p>
        </w:tc>
        <w:tc>
          <w:tcPr>
            <w:tcW w:w="0" w:type="auto"/>
            <w:tcBorders>
              <w:top w:val="nil"/>
              <w:left w:val="nil"/>
              <w:bottom w:val="single" w:sz="4" w:space="0" w:color="auto"/>
              <w:right w:val="single" w:sz="4" w:space="0" w:color="auto"/>
            </w:tcBorders>
            <w:shd w:val="clear" w:color="auto" w:fill="auto"/>
            <w:noWrap/>
            <w:hideMark/>
          </w:tcPr>
          <w:p w14:paraId="3655EDB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198CB0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0.878</w:t>
            </w:r>
          </w:p>
        </w:tc>
      </w:tr>
      <w:tr w:rsidR="00943D0A" w:rsidRPr="00144673" w14:paraId="12E0C1C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EC892E7"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SCV_self_projection_5</w:t>
            </w:r>
          </w:p>
        </w:tc>
        <w:tc>
          <w:tcPr>
            <w:tcW w:w="0" w:type="auto"/>
            <w:tcBorders>
              <w:top w:val="nil"/>
              <w:left w:val="nil"/>
              <w:bottom w:val="single" w:sz="4" w:space="0" w:color="auto"/>
              <w:right w:val="single" w:sz="4" w:space="0" w:color="auto"/>
            </w:tcBorders>
            <w:shd w:val="clear" w:color="auto" w:fill="auto"/>
            <w:noWrap/>
            <w:hideMark/>
          </w:tcPr>
          <w:p w14:paraId="2FB87F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5411C4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0.219</w:t>
            </w:r>
          </w:p>
        </w:tc>
        <w:tc>
          <w:tcPr>
            <w:tcW w:w="0" w:type="auto"/>
            <w:tcBorders>
              <w:top w:val="nil"/>
              <w:left w:val="nil"/>
              <w:bottom w:val="single" w:sz="4" w:space="0" w:color="auto"/>
              <w:right w:val="single" w:sz="4" w:space="0" w:color="auto"/>
            </w:tcBorders>
            <w:shd w:val="clear" w:color="auto" w:fill="auto"/>
            <w:noWrap/>
            <w:hideMark/>
          </w:tcPr>
          <w:p w14:paraId="48A2BA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0.445</w:t>
            </w:r>
          </w:p>
        </w:tc>
        <w:tc>
          <w:tcPr>
            <w:tcW w:w="0" w:type="auto"/>
            <w:tcBorders>
              <w:top w:val="nil"/>
              <w:left w:val="nil"/>
              <w:bottom w:val="single" w:sz="4" w:space="0" w:color="auto"/>
              <w:right w:val="single" w:sz="4" w:space="0" w:color="auto"/>
            </w:tcBorders>
            <w:shd w:val="clear" w:color="auto" w:fill="auto"/>
            <w:noWrap/>
            <w:hideMark/>
          </w:tcPr>
          <w:p w14:paraId="25E5CF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0.782</w:t>
            </w:r>
          </w:p>
        </w:tc>
        <w:tc>
          <w:tcPr>
            <w:tcW w:w="0" w:type="auto"/>
            <w:tcBorders>
              <w:top w:val="nil"/>
              <w:left w:val="nil"/>
              <w:bottom w:val="single" w:sz="4" w:space="0" w:color="auto"/>
              <w:right w:val="single" w:sz="4" w:space="0" w:color="auto"/>
            </w:tcBorders>
            <w:shd w:val="clear" w:color="auto" w:fill="auto"/>
            <w:noWrap/>
            <w:hideMark/>
          </w:tcPr>
          <w:p w14:paraId="7C571B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0.390</w:t>
            </w:r>
          </w:p>
        </w:tc>
        <w:tc>
          <w:tcPr>
            <w:tcW w:w="0" w:type="auto"/>
            <w:tcBorders>
              <w:top w:val="nil"/>
              <w:left w:val="nil"/>
              <w:bottom w:val="single" w:sz="4" w:space="0" w:color="auto"/>
              <w:right w:val="single" w:sz="4" w:space="0" w:color="auto"/>
            </w:tcBorders>
            <w:shd w:val="clear" w:color="auto" w:fill="auto"/>
            <w:noWrap/>
            <w:hideMark/>
          </w:tcPr>
          <w:p w14:paraId="34BC47D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0.327</w:t>
            </w:r>
          </w:p>
        </w:tc>
        <w:tc>
          <w:tcPr>
            <w:tcW w:w="0" w:type="auto"/>
            <w:tcBorders>
              <w:top w:val="nil"/>
              <w:left w:val="nil"/>
              <w:bottom w:val="single" w:sz="4" w:space="0" w:color="auto"/>
              <w:right w:val="single" w:sz="4" w:space="0" w:color="auto"/>
            </w:tcBorders>
            <w:shd w:val="clear" w:color="auto" w:fill="auto"/>
            <w:noWrap/>
            <w:hideMark/>
          </w:tcPr>
          <w:p w14:paraId="361D50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0.475</w:t>
            </w:r>
          </w:p>
        </w:tc>
        <w:tc>
          <w:tcPr>
            <w:tcW w:w="0" w:type="auto"/>
            <w:tcBorders>
              <w:top w:val="nil"/>
              <w:left w:val="nil"/>
              <w:bottom w:val="single" w:sz="4" w:space="0" w:color="auto"/>
              <w:right w:val="single" w:sz="4" w:space="0" w:color="auto"/>
            </w:tcBorders>
            <w:shd w:val="clear" w:color="auto" w:fill="auto"/>
            <w:noWrap/>
            <w:hideMark/>
          </w:tcPr>
          <w:p w14:paraId="1DAB39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0.331</w:t>
            </w:r>
          </w:p>
        </w:tc>
        <w:tc>
          <w:tcPr>
            <w:tcW w:w="0" w:type="auto"/>
            <w:tcBorders>
              <w:top w:val="nil"/>
              <w:left w:val="nil"/>
              <w:bottom w:val="single" w:sz="4" w:space="0" w:color="auto"/>
              <w:right w:val="single" w:sz="4" w:space="0" w:color="auto"/>
            </w:tcBorders>
            <w:shd w:val="clear" w:color="auto" w:fill="auto"/>
            <w:noWrap/>
            <w:hideMark/>
          </w:tcPr>
          <w:p w14:paraId="4CD958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0.325</w:t>
            </w:r>
          </w:p>
        </w:tc>
        <w:tc>
          <w:tcPr>
            <w:tcW w:w="0" w:type="auto"/>
            <w:tcBorders>
              <w:top w:val="nil"/>
              <w:left w:val="nil"/>
              <w:bottom w:val="single" w:sz="4" w:space="0" w:color="auto"/>
              <w:right w:val="single" w:sz="4" w:space="0" w:color="auto"/>
            </w:tcBorders>
            <w:shd w:val="clear" w:color="auto" w:fill="auto"/>
            <w:noWrap/>
            <w:hideMark/>
          </w:tcPr>
          <w:p w14:paraId="4914556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0.663</w:t>
            </w:r>
          </w:p>
        </w:tc>
        <w:tc>
          <w:tcPr>
            <w:tcW w:w="0" w:type="auto"/>
            <w:tcBorders>
              <w:top w:val="nil"/>
              <w:left w:val="nil"/>
              <w:bottom w:val="single" w:sz="4" w:space="0" w:color="auto"/>
              <w:right w:val="single" w:sz="4" w:space="0" w:color="auto"/>
            </w:tcBorders>
            <w:shd w:val="clear" w:color="auto" w:fill="auto"/>
            <w:noWrap/>
            <w:hideMark/>
          </w:tcPr>
          <w:p w14:paraId="2C1D00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0.426</w:t>
            </w:r>
          </w:p>
        </w:tc>
        <w:tc>
          <w:tcPr>
            <w:tcW w:w="0" w:type="auto"/>
            <w:tcBorders>
              <w:top w:val="nil"/>
              <w:left w:val="nil"/>
              <w:bottom w:val="single" w:sz="4" w:space="0" w:color="auto"/>
              <w:right w:val="single" w:sz="4" w:space="0" w:color="auto"/>
            </w:tcBorders>
            <w:shd w:val="clear" w:color="auto" w:fill="auto"/>
            <w:noWrap/>
            <w:hideMark/>
          </w:tcPr>
          <w:p w14:paraId="6F95C0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0.387</w:t>
            </w:r>
          </w:p>
        </w:tc>
        <w:tc>
          <w:tcPr>
            <w:tcW w:w="0" w:type="auto"/>
            <w:tcBorders>
              <w:top w:val="nil"/>
              <w:left w:val="nil"/>
              <w:bottom w:val="single" w:sz="4" w:space="0" w:color="auto"/>
              <w:right w:val="single" w:sz="4" w:space="0" w:color="auto"/>
            </w:tcBorders>
            <w:shd w:val="clear" w:color="auto" w:fill="auto"/>
            <w:noWrap/>
            <w:hideMark/>
          </w:tcPr>
          <w:p w14:paraId="5F0A2A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0.448</w:t>
            </w:r>
          </w:p>
        </w:tc>
        <w:tc>
          <w:tcPr>
            <w:tcW w:w="0" w:type="auto"/>
            <w:tcBorders>
              <w:top w:val="nil"/>
              <w:left w:val="nil"/>
              <w:bottom w:val="single" w:sz="4" w:space="0" w:color="auto"/>
              <w:right w:val="single" w:sz="4" w:space="0" w:color="auto"/>
            </w:tcBorders>
            <w:shd w:val="clear" w:color="auto" w:fill="auto"/>
            <w:noWrap/>
            <w:hideMark/>
          </w:tcPr>
          <w:p w14:paraId="2407EC9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0.415</w:t>
            </w:r>
          </w:p>
        </w:tc>
        <w:tc>
          <w:tcPr>
            <w:tcW w:w="0" w:type="auto"/>
            <w:tcBorders>
              <w:top w:val="nil"/>
              <w:left w:val="nil"/>
              <w:bottom w:val="single" w:sz="4" w:space="0" w:color="auto"/>
              <w:right w:val="single" w:sz="4" w:space="0" w:color="auto"/>
            </w:tcBorders>
            <w:shd w:val="clear" w:color="auto" w:fill="auto"/>
            <w:noWrap/>
            <w:hideMark/>
          </w:tcPr>
          <w:p w14:paraId="5F0CC0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0.472</w:t>
            </w:r>
          </w:p>
        </w:tc>
        <w:tc>
          <w:tcPr>
            <w:tcW w:w="0" w:type="auto"/>
            <w:tcBorders>
              <w:top w:val="nil"/>
              <w:left w:val="nil"/>
              <w:bottom w:val="single" w:sz="4" w:space="0" w:color="auto"/>
              <w:right w:val="single" w:sz="4" w:space="0" w:color="auto"/>
            </w:tcBorders>
            <w:shd w:val="clear" w:color="auto" w:fill="auto"/>
            <w:noWrap/>
            <w:hideMark/>
          </w:tcPr>
          <w:p w14:paraId="073B8E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0.878</w:t>
            </w:r>
          </w:p>
        </w:tc>
      </w:tr>
      <w:tr w:rsidR="00943D0A" w:rsidRPr="00144673" w14:paraId="62E6DA6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376E18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SCVengrossment_1</w:t>
            </w:r>
          </w:p>
        </w:tc>
        <w:tc>
          <w:tcPr>
            <w:tcW w:w="0" w:type="auto"/>
            <w:tcBorders>
              <w:top w:val="nil"/>
              <w:left w:val="nil"/>
              <w:bottom w:val="single" w:sz="4" w:space="0" w:color="auto"/>
              <w:right w:val="single" w:sz="4" w:space="0" w:color="auto"/>
            </w:tcBorders>
            <w:shd w:val="clear" w:color="auto" w:fill="auto"/>
            <w:noWrap/>
            <w:hideMark/>
          </w:tcPr>
          <w:p w14:paraId="12B804D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0.060</w:t>
            </w:r>
          </w:p>
        </w:tc>
        <w:tc>
          <w:tcPr>
            <w:tcW w:w="0" w:type="auto"/>
            <w:tcBorders>
              <w:top w:val="nil"/>
              <w:left w:val="nil"/>
              <w:bottom w:val="single" w:sz="4" w:space="0" w:color="auto"/>
              <w:right w:val="single" w:sz="4" w:space="0" w:color="auto"/>
            </w:tcBorders>
            <w:shd w:val="clear" w:color="auto" w:fill="auto"/>
            <w:noWrap/>
            <w:hideMark/>
          </w:tcPr>
          <w:p w14:paraId="389F6A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-0.082</w:t>
            </w:r>
          </w:p>
        </w:tc>
        <w:tc>
          <w:tcPr>
            <w:tcW w:w="0" w:type="auto"/>
            <w:tcBorders>
              <w:top w:val="nil"/>
              <w:left w:val="nil"/>
              <w:bottom w:val="single" w:sz="4" w:space="0" w:color="auto"/>
              <w:right w:val="single" w:sz="4" w:space="0" w:color="auto"/>
            </w:tcBorders>
            <w:shd w:val="clear" w:color="auto" w:fill="auto"/>
            <w:noWrap/>
            <w:hideMark/>
          </w:tcPr>
          <w:p w14:paraId="56D5DB5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-0.067</w:t>
            </w:r>
          </w:p>
        </w:tc>
        <w:tc>
          <w:tcPr>
            <w:tcW w:w="0" w:type="auto"/>
            <w:tcBorders>
              <w:top w:val="nil"/>
              <w:left w:val="nil"/>
              <w:bottom w:val="single" w:sz="4" w:space="0" w:color="auto"/>
              <w:right w:val="single" w:sz="4" w:space="0" w:color="auto"/>
            </w:tcBorders>
            <w:shd w:val="clear" w:color="auto" w:fill="auto"/>
            <w:noWrap/>
            <w:hideMark/>
          </w:tcPr>
          <w:p w14:paraId="654D73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0.227</w:t>
            </w:r>
          </w:p>
        </w:tc>
        <w:tc>
          <w:tcPr>
            <w:tcW w:w="0" w:type="auto"/>
            <w:tcBorders>
              <w:top w:val="nil"/>
              <w:left w:val="nil"/>
              <w:bottom w:val="single" w:sz="4" w:space="0" w:color="auto"/>
              <w:right w:val="single" w:sz="4" w:space="0" w:color="auto"/>
            </w:tcBorders>
            <w:shd w:val="clear" w:color="auto" w:fill="auto"/>
            <w:noWrap/>
            <w:hideMark/>
          </w:tcPr>
          <w:p w14:paraId="675E54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-0.020</w:t>
            </w:r>
          </w:p>
        </w:tc>
        <w:tc>
          <w:tcPr>
            <w:tcW w:w="0" w:type="auto"/>
            <w:tcBorders>
              <w:top w:val="nil"/>
              <w:left w:val="nil"/>
              <w:bottom w:val="single" w:sz="4" w:space="0" w:color="auto"/>
              <w:right w:val="single" w:sz="4" w:space="0" w:color="auto"/>
            </w:tcBorders>
            <w:shd w:val="clear" w:color="auto" w:fill="auto"/>
            <w:noWrap/>
            <w:hideMark/>
          </w:tcPr>
          <w:p w14:paraId="28EEFEE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-0.090</w:t>
            </w:r>
          </w:p>
        </w:tc>
        <w:tc>
          <w:tcPr>
            <w:tcW w:w="0" w:type="auto"/>
            <w:tcBorders>
              <w:top w:val="nil"/>
              <w:left w:val="nil"/>
              <w:bottom w:val="single" w:sz="4" w:space="0" w:color="auto"/>
              <w:right w:val="single" w:sz="4" w:space="0" w:color="auto"/>
            </w:tcBorders>
            <w:shd w:val="clear" w:color="auto" w:fill="auto"/>
            <w:noWrap/>
            <w:hideMark/>
          </w:tcPr>
          <w:p w14:paraId="73B660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0.055</w:t>
            </w:r>
          </w:p>
        </w:tc>
        <w:tc>
          <w:tcPr>
            <w:tcW w:w="0" w:type="auto"/>
            <w:tcBorders>
              <w:top w:val="nil"/>
              <w:left w:val="nil"/>
              <w:bottom w:val="single" w:sz="4" w:space="0" w:color="auto"/>
              <w:right w:val="single" w:sz="4" w:space="0" w:color="auto"/>
            </w:tcBorders>
            <w:shd w:val="clear" w:color="auto" w:fill="auto"/>
            <w:noWrap/>
            <w:hideMark/>
          </w:tcPr>
          <w:p w14:paraId="369294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0.688</w:t>
            </w:r>
          </w:p>
        </w:tc>
        <w:tc>
          <w:tcPr>
            <w:tcW w:w="0" w:type="auto"/>
            <w:tcBorders>
              <w:top w:val="nil"/>
              <w:left w:val="nil"/>
              <w:bottom w:val="single" w:sz="4" w:space="0" w:color="auto"/>
              <w:right w:val="single" w:sz="4" w:space="0" w:color="auto"/>
            </w:tcBorders>
            <w:shd w:val="clear" w:color="auto" w:fill="auto"/>
            <w:noWrap/>
            <w:hideMark/>
          </w:tcPr>
          <w:p w14:paraId="30671D5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0.025</w:t>
            </w:r>
          </w:p>
        </w:tc>
        <w:tc>
          <w:tcPr>
            <w:tcW w:w="0" w:type="auto"/>
            <w:tcBorders>
              <w:top w:val="nil"/>
              <w:left w:val="nil"/>
              <w:bottom w:val="single" w:sz="4" w:space="0" w:color="auto"/>
              <w:right w:val="single" w:sz="4" w:space="0" w:color="auto"/>
            </w:tcBorders>
            <w:shd w:val="clear" w:color="auto" w:fill="auto"/>
            <w:noWrap/>
            <w:hideMark/>
          </w:tcPr>
          <w:p w14:paraId="7EDD47A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0.091</w:t>
            </w:r>
          </w:p>
        </w:tc>
        <w:tc>
          <w:tcPr>
            <w:tcW w:w="0" w:type="auto"/>
            <w:tcBorders>
              <w:top w:val="nil"/>
              <w:left w:val="nil"/>
              <w:bottom w:val="single" w:sz="4" w:space="0" w:color="auto"/>
              <w:right w:val="single" w:sz="4" w:space="0" w:color="auto"/>
            </w:tcBorders>
            <w:shd w:val="clear" w:color="auto" w:fill="auto"/>
            <w:noWrap/>
            <w:hideMark/>
          </w:tcPr>
          <w:p w14:paraId="0A12C2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0.028</w:t>
            </w:r>
          </w:p>
        </w:tc>
        <w:tc>
          <w:tcPr>
            <w:tcW w:w="0" w:type="auto"/>
            <w:tcBorders>
              <w:top w:val="nil"/>
              <w:left w:val="nil"/>
              <w:bottom w:val="single" w:sz="4" w:space="0" w:color="auto"/>
              <w:right w:val="single" w:sz="4" w:space="0" w:color="auto"/>
            </w:tcBorders>
            <w:shd w:val="clear" w:color="auto" w:fill="auto"/>
            <w:noWrap/>
            <w:hideMark/>
          </w:tcPr>
          <w:p w14:paraId="0CBFC42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0.097</w:t>
            </w:r>
          </w:p>
        </w:tc>
        <w:tc>
          <w:tcPr>
            <w:tcW w:w="0" w:type="auto"/>
            <w:tcBorders>
              <w:top w:val="nil"/>
              <w:left w:val="nil"/>
              <w:bottom w:val="single" w:sz="4" w:space="0" w:color="auto"/>
              <w:right w:val="single" w:sz="4" w:space="0" w:color="auto"/>
            </w:tcBorders>
            <w:shd w:val="clear" w:color="auto" w:fill="auto"/>
            <w:noWrap/>
            <w:hideMark/>
          </w:tcPr>
          <w:p w14:paraId="33D476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0.013</w:t>
            </w:r>
          </w:p>
        </w:tc>
        <w:tc>
          <w:tcPr>
            <w:tcW w:w="0" w:type="auto"/>
            <w:tcBorders>
              <w:top w:val="nil"/>
              <w:left w:val="nil"/>
              <w:bottom w:val="single" w:sz="4" w:space="0" w:color="auto"/>
              <w:right w:val="single" w:sz="4" w:space="0" w:color="auto"/>
            </w:tcBorders>
            <w:shd w:val="clear" w:color="auto" w:fill="auto"/>
            <w:noWrap/>
            <w:hideMark/>
          </w:tcPr>
          <w:p w14:paraId="78C50D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0.204</w:t>
            </w:r>
          </w:p>
        </w:tc>
        <w:tc>
          <w:tcPr>
            <w:tcW w:w="0" w:type="auto"/>
            <w:tcBorders>
              <w:top w:val="nil"/>
              <w:left w:val="nil"/>
              <w:bottom w:val="single" w:sz="4" w:space="0" w:color="auto"/>
              <w:right w:val="single" w:sz="4" w:space="0" w:color="auto"/>
            </w:tcBorders>
            <w:shd w:val="clear" w:color="auto" w:fill="auto"/>
            <w:noWrap/>
            <w:hideMark/>
          </w:tcPr>
          <w:p w14:paraId="3AA30FA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-0.015</w:t>
            </w:r>
          </w:p>
        </w:tc>
        <w:tc>
          <w:tcPr>
            <w:tcW w:w="0" w:type="auto"/>
            <w:tcBorders>
              <w:top w:val="nil"/>
              <w:left w:val="nil"/>
              <w:bottom w:val="single" w:sz="4" w:space="0" w:color="auto"/>
              <w:right w:val="single" w:sz="4" w:space="0" w:color="auto"/>
            </w:tcBorders>
            <w:shd w:val="clear" w:color="auto" w:fill="auto"/>
            <w:noWrap/>
            <w:hideMark/>
          </w:tcPr>
          <w:p w14:paraId="1C9D8A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0.151</w:t>
            </w:r>
          </w:p>
        </w:tc>
      </w:tr>
      <w:tr w:rsidR="00943D0A" w:rsidRPr="00144673" w14:paraId="24B27FA3" w14:textId="77777777" w:rsidTr="005F3540">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D56298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SCVengrossment_1</w:t>
            </w:r>
          </w:p>
        </w:tc>
        <w:tc>
          <w:tcPr>
            <w:tcW w:w="0" w:type="auto"/>
            <w:tcBorders>
              <w:top w:val="nil"/>
              <w:left w:val="nil"/>
              <w:bottom w:val="single" w:sz="4" w:space="0" w:color="auto"/>
              <w:right w:val="single" w:sz="4" w:space="0" w:color="auto"/>
            </w:tcBorders>
            <w:shd w:val="clear" w:color="auto" w:fill="auto"/>
            <w:noWrap/>
            <w:hideMark/>
          </w:tcPr>
          <w:p w14:paraId="7D8477D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0.060</w:t>
            </w:r>
          </w:p>
        </w:tc>
        <w:tc>
          <w:tcPr>
            <w:tcW w:w="0" w:type="auto"/>
            <w:tcBorders>
              <w:top w:val="nil"/>
              <w:left w:val="nil"/>
              <w:bottom w:val="single" w:sz="4" w:space="0" w:color="auto"/>
              <w:right w:val="single" w:sz="4" w:space="0" w:color="auto"/>
            </w:tcBorders>
            <w:shd w:val="clear" w:color="auto" w:fill="auto"/>
            <w:noWrap/>
            <w:hideMark/>
          </w:tcPr>
          <w:p w14:paraId="5DF62B6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-0.082</w:t>
            </w:r>
          </w:p>
        </w:tc>
        <w:tc>
          <w:tcPr>
            <w:tcW w:w="0" w:type="auto"/>
            <w:tcBorders>
              <w:top w:val="nil"/>
              <w:left w:val="nil"/>
              <w:bottom w:val="single" w:sz="4" w:space="0" w:color="auto"/>
              <w:right w:val="single" w:sz="4" w:space="0" w:color="auto"/>
            </w:tcBorders>
            <w:shd w:val="clear" w:color="auto" w:fill="auto"/>
            <w:noWrap/>
            <w:hideMark/>
          </w:tcPr>
          <w:p w14:paraId="47EAEB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-0.067</w:t>
            </w:r>
          </w:p>
        </w:tc>
        <w:tc>
          <w:tcPr>
            <w:tcW w:w="0" w:type="auto"/>
            <w:tcBorders>
              <w:top w:val="nil"/>
              <w:left w:val="nil"/>
              <w:bottom w:val="single" w:sz="4" w:space="0" w:color="auto"/>
              <w:right w:val="single" w:sz="4" w:space="0" w:color="auto"/>
            </w:tcBorders>
            <w:shd w:val="clear" w:color="auto" w:fill="auto"/>
            <w:noWrap/>
            <w:hideMark/>
          </w:tcPr>
          <w:p w14:paraId="1A5D31B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0.227</w:t>
            </w:r>
          </w:p>
        </w:tc>
        <w:tc>
          <w:tcPr>
            <w:tcW w:w="0" w:type="auto"/>
            <w:tcBorders>
              <w:top w:val="nil"/>
              <w:left w:val="nil"/>
              <w:bottom w:val="single" w:sz="4" w:space="0" w:color="auto"/>
              <w:right w:val="single" w:sz="4" w:space="0" w:color="auto"/>
            </w:tcBorders>
            <w:shd w:val="clear" w:color="auto" w:fill="auto"/>
            <w:noWrap/>
            <w:hideMark/>
          </w:tcPr>
          <w:p w14:paraId="0449DB6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-0.020</w:t>
            </w:r>
          </w:p>
        </w:tc>
        <w:tc>
          <w:tcPr>
            <w:tcW w:w="0" w:type="auto"/>
            <w:tcBorders>
              <w:top w:val="nil"/>
              <w:left w:val="nil"/>
              <w:bottom w:val="single" w:sz="4" w:space="0" w:color="auto"/>
              <w:right w:val="single" w:sz="4" w:space="0" w:color="auto"/>
            </w:tcBorders>
            <w:shd w:val="clear" w:color="auto" w:fill="auto"/>
            <w:noWrap/>
            <w:hideMark/>
          </w:tcPr>
          <w:p w14:paraId="2071E9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-0.090</w:t>
            </w:r>
          </w:p>
        </w:tc>
        <w:tc>
          <w:tcPr>
            <w:tcW w:w="0" w:type="auto"/>
            <w:tcBorders>
              <w:top w:val="nil"/>
              <w:left w:val="nil"/>
              <w:bottom w:val="single" w:sz="4" w:space="0" w:color="auto"/>
              <w:right w:val="single" w:sz="4" w:space="0" w:color="auto"/>
            </w:tcBorders>
            <w:shd w:val="clear" w:color="auto" w:fill="auto"/>
            <w:noWrap/>
            <w:hideMark/>
          </w:tcPr>
          <w:p w14:paraId="4D0AAA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0.055</w:t>
            </w:r>
          </w:p>
        </w:tc>
        <w:tc>
          <w:tcPr>
            <w:tcW w:w="0" w:type="auto"/>
            <w:tcBorders>
              <w:top w:val="nil"/>
              <w:left w:val="nil"/>
              <w:bottom w:val="single" w:sz="4" w:space="0" w:color="auto"/>
              <w:right w:val="single" w:sz="4" w:space="0" w:color="auto"/>
            </w:tcBorders>
            <w:shd w:val="clear" w:color="auto" w:fill="auto"/>
            <w:noWrap/>
            <w:hideMark/>
          </w:tcPr>
          <w:p w14:paraId="2D3529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0.688</w:t>
            </w:r>
          </w:p>
        </w:tc>
        <w:tc>
          <w:tcPr>
            <w:tcW w:w="0" w:type="auto"/>
            <w:tcBorders>
              <w:top w:val="nil"/>
              <w:left w:val="nil"/>
              <w:bottom w:val="single" w:sz="4" w:space="0" w:color="auto"/>
              <w:right w:val="single" w:sz="4" w:space="0" w:color="auto"/>
            </w:tcBorders>
            <w:shd w:val="clear" w:color="auto" w:fill="auto"/>
            <w:noWrap/>
            <w:hideMark/>
          </w:tcPr>
          <w:p w14:paraId="6B894D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0.025</w:t>
            </w:r>
          </w:p>
        </w:tc>
        <w:tc>
          <w:tcPr>
            <w:tcW w:w="0" w:type="auto"/>
            <w:tcBorders>
              <w:top w:val="nil"/>
              <w:left w:val="nil"/>
              <w:bottom w:val="single" w:sz="4" w:space="0" w:color="auto"/>
              <w:right w:val="single" w:sz="4" w:space="0" w:color="auto"/>
            </w:tcBorders>
            <w:shd w:val="clear" w:color="auto" w:fill="auto"/>
            <w:noWrap/>
            <w:hideMark/>
          </w:tcPr>
          <w:p w14:paraId="0D7CE0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0.091</w:t>
            </w:r>
          </w:p>
        </w:tc>
        <w:tc>
          <w:tcPr>
            <w:tcW w:w="0" w:type="auto"/>
            <w:tcBorders>
              <w:top w:val="nil"/>
              <w:left w:val="nil"/>
              <w:bottom w:val="single" w:sz="4" w:space="0" w:color="auto"/>
              <w:right w:val="single" w:sz="4" w:space="0" w:color="auto"/>
            </w:tcBorders>
            <w:shd w:val="clear" w:color="auto" w:fill="auto"/>
            <w:noWrap/>
            <w:hideMark/>
          </w:tcPr>
          <w:p w14:paraId="0AAEA7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0.028</w:t>
            </w:r>
          </w:p>
        </w:tc>
        <w:tc>
          <w:tcPr>
            <w:tcW w:w="0" w:type="auto"/>
            <w:tcBorders>
              <w:top w:val="nil"/>
              <w:left w:val="nil"/>
              <w:bottom w:val="single" w:sz="4" w:space="0" w:color="auto"/>
              <w:right w:val="single" w:sz="4" w:space="0" w:color="auto"/>
            </w:tcBorders>
            <w:shd w:val="clear" w:color="auto" w:fill="auto"/>
            <w:noWrap/>
            <w:hideMark/>
          </w:tcPr>
          <w:p w14:paraId="696299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0.097</w:t>
            </w:r>
          </w:p>
        </w:tc>
        <w:tc>
          <w:tcPr>
            <w:tcW w:w="0" w:type="auto"/>
            <w:tcBorders>
              <w:top w:val="nil"/>
              <w:left w:val="nil"/>
              <w:bottom w:val="single" w:sz="4" w:space="0" w:color="auto"/>
              <w:right w:val="single" w:sz="4" w:space="0" w:color="auto"/>
            </w:tcBorders>
            <w:shd w:val="clear" w:color="auto" w:fill="auto"/>
            <w:noWrap/>
            <w:hideMark/>
          </w:tcPr>
          <w:p w14:paraId="06B3D3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0.013</w:t>
            </w:r>
          </w:p>
        </w:tc>
        <w:tc>
          <w:tcPr>
            <w:tcW w:w="0" w:type="auto"/>
            <w:tcBorders>
              <w:top w:val="nil"/>
              <w:left w:val="nil"/>
              <w:bottom w:val="single" w:sz="4" w:space="0" w:color="auto"/>
              <w:right w:val="single" w:sz="4" w:space="0" w:color="auto"/>
            </w:tcBorders>
            <w:shd w:val="clear" w:color="auto" w:fill="auto"/>
            <w:noWrap/>
            <w:hideMark/>
          </w:tcPr>
          <w:p w14:paraId="3BBA11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0.204</w:t>
            </w:r>
          </w:p>
        </w:tc>
        <w:tc>
          <w:tcPr>
            <w:tcW w:w="0" w:type="auto"/>
            <w:tcBorders>
              <w:top w:val="nil"/>
              <w:left w:val="nil"/>
              <w:bottom w:val="single" w:sz="4" w:space="0" w:color="auto"/>
              <w:right w:val="single" w:sz="4" w:space="0" w:color="auto"/>
            </w:tcBorders>
            <w:shd w:val="clear" w:color="auto" w:fill="auto"/>
            <w:noWrap/>
            <w:hideMark/>
          </w:tcPr>
          <w:p w14:paraId="6C2D5B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-0.015</w:t>
            </w:r>
          </w:p>
        </w:tc>
        <w:tc>
          <w:tcPr>
            <w:tcW w:w="0" w:type="auto"/>
            <w:tcBorders>
              <w:top w:val="nil"/>
              <w:left w:val="nil"/>
              <w:bottom w:val="single" w:sz="4" w:space="0" w:color="auto"/>
              <w:right w:val="single" w:sz="4" w:space="0" w:color="auto"/>
            </w:tcBorders>
            <w:shd w:val="clear" w:color="auto" w:fill="auto"/>
            <w:noWrap/>
            <w:hideMark/>
          </w:tcPr>
          <w:p w14:paraId="232A315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0.151</w:t>
            </w:r>
          </w:p>
        </w:tc>
      </w:tr>
      <w:tr w:rsidR="00943D0A" w:rsidRPr="00144673" w14:paraId="30ADABD6"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ED7652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SCVengrossment_2</w:t>
            </w:r>
          </w:p>
        </w:tc>
        <w:tc>
          <w:tcPr>
            <w:tcW w:w="0" w:type="auto"/>
            <w:tcBorders>
              <w:top w:val="nil"/>
              <w:left w:val="nil"/>
              <w:bottom w:val="single" w:sz="4" w:space="0" w:color="auto"/>
              <w:right w:val="single" w:sz="4" w:space="0" w:color="auto"/>
            </w:tcBorders>
            <w:shd w:val="clear" w:color="auto" w:fill="auto"/>
            <w:noWrap/>
            <w:hideMark/>
          </w:tcPr>
          <w:p w14:paraId="585195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0.177</w:t>
            </w:r>
          </w:p>
        </w:tc>
        <w:tc>
          <w:tcPr>
            <w:tcW w:w="0" w:type="auto"/>
            <w:tcBorders>
              <w:top w:val="nil"/>
              <w:left w:val="nil"/>
              <w:bottom w:val="single" w:sz="4" w:space="0" w:color="auto"/>
              <w:right w:val="single" w:sz="4" w:space="0" w:color="auto"/>
            </w:tcBorders>
            <w:shd w:val="clear" w:color="auto" w:fill="auto"/>
            <w:noWrap/>
            <w:hideMark/>
          </w:tcPr>
          <w:p w14:paraId="4CD4450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0.091</w:t>
            </w:r>
          </w:p>
        </w:tc>
        <w:tc>
          <w:tcPr>
            <w:tcW w:w="0" w:type="auto"/>
            <w:tcBorders>
              <w:top w:val="nil"/>
              <w:left w:val="nil"/>
              <w:bottom w:val="single" w:sz="4" w:space="0" w:color="auto"/>
              <w:right w:val="single" w:sz="4" w:space="0" w:color="auto"/>
            </w:tcBorders>
            <w:shd w:val="clear" w:color="auto" w:fill="auto"/>
            <w:noWrap/>
            <w:hideMark/>
          </w:tcPr>
          <w:p w14:paraId="0669C0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0.165</w:t>
            </w:r>
          </w:p>
        </w:tc>
        <w:tc>
          <w:tcPr>
            <w:tcW w:w="0" w:type="auto"/>
            <w:tcBorders>
              <w:top w:val="nil"/>
              <w:left w:val="nil"/>
              <w:bottom w:val="single" w:sz="4" w:space="0" w:color="auto"/>
              <w:right w:val="single" w:sz="4" w:space="0" w:color="auto"/>
            </w:tcBorders>
            <w:shd w:val="clear" w:color="auto" w:fill="auto"/>
            <w:noWrap/>
            <w:hideMark/>
          </w:tcPr>
          <w:p w14:paraId="220D410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0.458</w:t>
            </w:r>
          </w:p>
        </w:tc>
        <w:tc>
          <w:tcPr>
            <w:tcW w:w="0" w:type="auto"/>
            <w:tcBorders>
              <w:top w:val="nil"/>
              <w:left w:val="nil"/>
              <w:bottom w:val="single" w:sz="4" w:space="0" w:color="auto"/>
              <w:right w:val="single" w:sz="4" w:space="0" w:color="auto"/>
            </w:tcBorders>
            <w:shd w:val="clear" w:color="auto" w:fill="auto"/>
            <w:noWrap/>
            <w:hideMark/>
          </w:tcPr>
          <w:p w14:paraId="7184BF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0.121</w:t>
            </w:r>
          </w:p>
        </w:tc>
        <w:tc>
          <w:tcPr>
            <w:tcW w:w="0" w:type="auto"/>
            <w:tcBorders>
              <w:top w:val="nil"/>
              <w:left w:val="nil"/>
              <w:bottom w:val="single" w:sz="4" w:space="0" w:color="auto"/>
              <w:right w:val="single" w:sz="4" w:space="0" w:color="auto"/>
            </w:tcBorders>
            <w:shd w:val="clear" w:color="auto" w:fill="auto"/>
            <w:noWrap/>
            <w:hideMark/>
          </w:tcPr>
          <w:p w14:paraId="0CA9D0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0.049</w:t>
            </w:r>
          </w:p>
        </w:tc>
        <w:tc>
          <w:tcPr>
            <w:tcW w:w="0" w:type="auto"/>
            <w:tcBorders>
              <w:top w:val="nil"/>
              <w:left w:val="nil"/>
              <w:bottom w:val="single" w:sz="4" w:space="0" w:color="auto"/>
              <w:right w:val="single" w:sz="4" w:space="0" w:color="auto"/>
            </w:tcBorders>
            <w:shd w:val="clear" w:color="auto" w:fill="auto"/>
            <w:noWrap/>
            <w:hideMark/>
          </w:tcPr>
          <w:p w14:paraId="69C18D8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0.228</w:t>
            </w:r>
          </w:p>
        </w:tc>
        <w:tc>
          <w:tcPr>
            <w:tcW w:w="0" w:type="auto"/>
            <w:tcBorders>
              <w:top w:val="nil"/>
              <w:left w:val="nil"/>
              <w:bottom w:val="single" w:sz="4" w:space="0" w:color="auto"/>
              <w:right w:val="single" w:sz="4" w:space="0" w:color="auto"/>
            </w:tcBorders>
            <w:shd w:val="clear" w:color="auto" w:fill="auto"/>
            <w:noWrap/>
            <w:hideMark/>
          </w:tcPr>
          <w:p w14:paraId="415F8E6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0.810</w:t>
            </w:r>
          </w:p>
        </w:tc>
        <w:tc>
          <w:tcPr>
            <w:tcW w:w="0" w:type="auto"/>
            <w:tcBorders>
              <w:top w:val="nil"/>
              <w:left w:val="nil"/>
              <w:bottom w:val="single" w:sz="4" w:space="0" w:color="auto"/>
              <w:right w:val="single" w:sz="4" w:space="0" w:color="auto"/>
            </w:tcBorders>
            <w:shd w:val="clear" w:color="auto" w:fill="auto"/>
            <w:noWrap/>
            <w:hideMark/>
          </w:tcPr>
          <w:p w14:paraId="09E699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6E98B1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0.235</w:t>
            </w:r>
          </w:p>
        </w:tc>
        <w:tc>
          <w:tcPr>
            <w:tcW w:w="0" w:type="auto"/>
            <w:tcBorders>
              <w:top w:val="nil"/>
              <w:left w:val="nil"/>
              <w:bottom w:val="single" w:sz="4" w:space="0" w:color="auto"/>
              <w:right w:val="single" w:sz="4" w:space="0" w:color="auto"/>
            </w:tcBorders>
            <w:shd w:val="clear" w:color="auto" w:fill="auto"/>
            <w:noWrap/>
            <w:hideMark/>
          </w:tcPr>
          <w:p w14:paraId="72D20F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0.208</w:t>
            </w:r>
          </w:p>
        </w:tc>
        <w:tc>
          <w:tcPr>
            <w:tcW w:w="0" w:type="auto"/>
            <w:tcBorders>
              <w:top w:val="nil"/>
              <w:left w:val="nil"/>
              <w:bottom w:val="single" w:sz="4" w:space="0" w:color="auto"/>
              <w:right w:val="single" w:sz="4" w:space="0" w:color="auto"/>
            </w:tcBorders>
            <w:shd w:val="clear" w:color="auto" w:fill="auto"/>
            <w:noWrap/>
            <w:hideMark/>
          </w:tcPr>
          <w:p w14:paraId="7FAD2A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0.116</w:t>
            </w:r>
          </w:p>
        </w:tc>
        <w:tc>
          <w:tcPr>
            <w:tcW w:w="0" w:type="auto"/>
            <w:tcBorders>
              <w:top w:val="nil"/>
              <w:left w:val="nil"/>
              <w:bottom w:val="single" w:sz="4" w:space="0" w:color="auto"/>
              <w:right w:val="single" w:sz="4" w:space="0" w:color="auto"/>
            </w:tcBorders>
            <w:shd w:val="clear" w:color="auto" w:fill="auto"/>
            <w:noWrap/>
            <w:hideMark/>
          </w:tcPr>
          <w:p w14:paraId="3156EDA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0.224</w:t>
            </w:r>
          </w:p>
        </w:tc>
        <w:tc>
          <w:tcPr>
            <w:tcW w:w="0" w:type="auto"/>
            <w:tcBorders>
              <w:top w:val="nil"/>
              <w:left w:val="nil"/>
              <w:bottom w:val="single" w:sz="4" w:space="0" w:color="auto"/>
              <w:right w:val="single" w:sz="4" w:space="0" w:color="auto"/>
            </w:tcBorders>
            <w:shd w:val="clear" w:color="auto" w:fill="auto"/>
            <w:noWrap/>
            <w:hideMark/>
          </w:tcPr>
          <w:p w14:paraId="6EE6D2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0.259</w:t>
            </w:r>
          </w:p>
        </w:tc>
        <w:tc>
          <w:tcPr>
            <w:tcW w:w="0" w:type="auto"/>
            <w:tcBorders>
              <w:top w:val="nil"/>
              <w:left w:val="nil"/>
              <w:bottom w:val="single" w:sz="4" w:space="0" w:color="auto"/>
              <w:right w:val="single" w:sz="4" w:space="0" w:color="auto"/>
            </w:tcBorders>
            <w:shd w:val="clear" w:color="auto" w:fill="auto"/>
            <w:noWrap/>
            <w:hideMark/>
          </w:tcPr>
          <w:p w14:paraId="28187F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0.183</w:t>
            </w:r>
          </w:p>
        </w:tc>
        <w:tc>
          <w:tcPr>
            <w:tcW w:w="0" w:type="auto"/>
            <w:tcBorders>
              <w:top w:val="nil"/>
              <w:left w:val="nil"/>
              <w:bottom w:val="single" w:sz="4" w:space="0" w:color="auto"/>
              <w:right w:val="single" w:sz="4" w:space="0" w:color="auto"/>
            </w:tcBorders>
            <w:shd w:val="clear" w:color="auto" w:fill="auto"/>
            <w:noWrap/>
            <w:hideMark/>
          </w:tcPr>
          <w:p w14:paraId="4EE7E0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r>
      <w:tr w:rsidR="00943D0A" w:rsidRPr="00144673" w14:paraId="3E4FFC0E"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1A5F741"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SCVengrossment_2</w:t>
            </w:r>
          </w:p>
        </w:tc>
        <w:tc>
          <w:tcPr>
            <w:tcW w:w="0" w:type="auto"/>
            <w:tcBorders>
              <w:top w:val="nil"/>
              <w:left w:val="nil"/>
              <w:bottom w:val="single" w:sz="4" w:space="0" w:color="auto"/>
              <w:right w:val="single" w:sz="4" w:space="0" w:color="auto"/>
            </w:tcBorders>
            <w:shd w:val="clear" w:color="auto" w:fill="auto"/>
            <w:noWrap/>
            <w:hideMark/>
          </w:tcPr>
          <w:p w14:paraId="270B292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0.177</w:t>
            </w:r>
          </w:p>
        </w:tc>
        <w:tc>
          <w:tcPr>
            <w:tcW w:w="0" w:type="auto"/>
            <w:tcBorders>
              <w:top w:val="nil"/>
              <w:left w:val="nil"/>
              <w:bottom w:val="single" w:sz="4" w:space="0" w:color="auto"/>
              <w:right w:val="single" w:sz="4" w:space="0" w:color="auto"/>
            </w:tcBorders>
            <w:shd w:val="clear" w:color="auto" w:fill="auto"/>
            <w:noWrap/>
            <w:hideMark/>
          </w:tcPr>
          <w:p w14:paraId="723725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0.091</w:t>
            </w:r>
          </w:p>
        </w:tc>
        <w:tc>
          <w:tcPr>
            <w:tcW w:w="0" w:type="auto"/>
            <w:tcBorders>
              <w:top w:val="nil"/>
              <w:left w:val="nil"/>
              <w:bottom w:val="single" w:sz="4" w:space="0" w:color="auto"/>
              <w:right w:val="single" w:sz="4" w:space="0" w:color="auto"/>
            </w:tcBorders>
            <w:shd w:val="clear" w:color="auto" w:fill="auto"/>
            <w:noWrap/>
            <w:hideMark/>
          </w:tcPr>
          <w:p w14:paraId="489604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0.165</w:t>
            </w:r>
          </w:p>
        </w:tc>
        <w:tc>
          <w:tcPr>
            <w:tcW w:w="0" w:type="auto"/>
            <w:tcBorders>
              <w:top w:val="nil"/>
              <w:left w:val="nil"/>
              <w:bottom w:val="single" w:sz="4" w:space="0" w:color="auto"/>
              <w:right w:val="single" w:sz="4" w:space="0" w:color="auto"/>
            </w:tcBorders>
            <w:shd w:val="clear" w:color="auto" w:fill="auto"/>
            <w:noWrap/>
            <w:hideMark/>
          </w:tcPr>
          <w:p w14:paraId="3E2BD8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0.458</w:t>
            </w:r>
          </w:p>
        </w:tc>
        <w:tc>
          <w:tcPr>
            <w:tcW w:w="0" w:type="auto"/>
            <w:tcBorders>
              <w:top w:val="nil"/>
              <w:left w:val="nil"/>
              <w:bottom w:val="single" w:sz="4" w:space="0" w:color="auto"/>
              <w:right w:val="single" w:sz="4" w:space="0" w:color="auto"/>
            </w:tcBorders>
            <w:shd w:val="clear" w:color="auto" w:fill="auto"/>
            <w:noWrap/>
            <w:hideMark/>
          </w:tcPr>
          <w:p w14:paraId="33157ED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0.121</w:t>
            </w:r>
          </w:p>
        </w:tc>
        <w:tc>
          <w:tcPr>
            <w:tcW w:w="0" w:type="auto"/>
            <w:tcBorders>
              <w:top w:val="nil"/>
              <w:left w:val="nil"/>
              <w:bottom w:val="single" w:sz="4" w:space="0" w:color="auto"/>
              <w:right w:val="single" w:sz="4" w:space="0" w:color="auto"/>
            </w:tcBorders>
            <w:shd w:val="clear" w:color="auto" w:fill="auto"/>
            <w:noWrap/>
            <w:hideMark/>
          </w:tcPr>
          <w:p w14:paraId="5AAF4C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0.049</w:t>
            </w:r>
          </w:p>
        </w:tc>
        <w:tc>
          <w:tcPr>
            <w:tcW w:w="0" w:type="auto"/>
            <w:tcBorders>
              <w:top w:val="nil"/>
              <w:left w:val="nil"/>
              <w:bottom w:val="single" w:sz="4" w:space="0" w:color="auto"/>
              <w:right w:val="single" w:sz="4" w:space="0" w:color="auto"/>
            </w:tcBorders>
            <w:shd w:val="clear" w:color="auto" w:fill="auto"/>
            <w:noWrap/>
            <w:hideMark/>
          </w:tcPr>
          <w:p w14:paraId="121F60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0.228</w:t>
            </w:r>
          </w:p>
        </w:tc>
        <w:tc>
          <w:tcPr>
            <w:tcW w:w="0" w:type="auto"/>
            <w:tcBorders>
              <w:top w:val="nil"/>
              <w:left w:val="nil"/>
              <w:bottom w:val="single" w:sz="4" w:space="0" w:color="auto"/>
              <w:right w:val="single" w:sz="4" w:space="0" w:color="auto"/>
            </w:tcBorders>
            <w:shd w:val="clear" w:color="auto" w:fill="auto"/>
            <w:noWrap/>
            <w:hideMark/>
          </w:tcPr>
          <w:p w14:paraId="58D43B0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0.810</w:t>
            </w:r>
          </w:p>
        </w:tc>
        <w:tc>
          <w:tcPr>
            <w:tcW w:w="0" w:type="auto"/>
            <w:tcBorders>
              <w:top w:val="nil"/>
              <w:left w:val="nil"/>
              <w:bottom w:val="single" w:sz="4" w:space="0" w:color="auto"/>
              <w:right w:val="single" w:sz="4" w:space="0" w:color="auto"/>
            </w:tcBorders>
            <w:shd w:val="clear" w:color="auto" w:fill="auto"/>
            <w:noWrap/>
            <w:hideMark/>
          </w:tcPr>
          <w:p w14:paraId="60E96A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75AADD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0.235</w:t>
            </w:r>
          </w:p>
        </w:tc>
        <w:tc>
          <w:tcPr>
            <w:tcW w:w="0" w:type="auto"/>
            <w:tcBorders>
              <w:top w:val="nil"/>
              <w:left w:val="nil"/>
              <w:bottom w:val="single" w:sz="4" w:space="0" w:color="auto"/>
              <w:right w:val="single" w:sz="4" w:space="0" w:color="auto"/>
            </w:tcBorders>
            <w:shd w:val="clear" w:color="auto" w:fill="auto"/>
            <w:noWrap/>
            <w:hideMark/>
          </w:tcPr>
          <w:p w14:paraId="3706FFE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0.208</w:t>
            </w:r>
          </w:p>
        </w:tc>
        <w:tc>
          <w:tcPr>
            <w:tcW w:w="0" w:type="auto"/>
            <w:tcBorders>
              <w:top w:val="nil"/>
              <w:left w:val="nil"/>
              <w:bottom w:val="single" w:sz="4" w:space="0" w:color="auto"/>
              <w:right w:val="single" w:sz="4" w:space="0" w:color="auto"/>
            </w:tcBorders>
            <w:shd w:val="clear" w:color="auto" w:fill="auto"/>
            <w:noWrap/>
            <w:hideMark/>
          </w:tcPr>
          <w:p w14:paraId="22931F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0.116</w:t>
            </w:r>
          </w:p>
        </w:tc>
        <w:tc>
          <w:tcPr>
            <w:tcW w:w="0" w:type="auto"/>
            <w:tcBorders>
              <w:top w:val="nil"/>
              <w:left w:val="nil"/>
              <w:bottom w:val="single" w:sz="4" w:space="0" w:color="auto"/>
              <w:right w:val="single" w:sz="4" w:space="0" w:color="auto"/>
            </w:tcBorders>
            <w:shd w:val="clear" w:color="auto" w:fill="auto"/>
            <w:noWrap/>
            <w:hideMark/>
          </w:tcPr>
          <w:p w14:paraId="013B87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0.224</w:t>
            </w:r>
          </w:p>
        </w:tc>
        <w:tc>
          <w:tcPr>
            <w:tcW w:w="0" w:type="auto"/>
            <w:tcBorders>
              <w:top w:val="nil"/>
              <w:left w:val="nil"/>
              <w:bottom w:val="single" w:sz="4" w:space="0" w:color="auto"/>
              <w:right w:val="single" w:sz="4" w:space="0" w:color="auto"/>
            </w:tcBorders>
            <w:shd w:val="clear" w:color="auto" w:fill="auto"/>
            <w:noWrap/>
            <w:hideMark/>
          </w:tcPr>
          <w:p w14:paraId="63BBEF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0.259</w:t>
            </w:r>
          </w:p>
        </w:tc>
        <w:tc>
          <w:tcPr>
            <w:tcW w:w="0" w:type="auto"/>
            <w:tcBorders>
              <w:top w:val="nil"/>
              <w:left w:val="nil"/>
              <w:bottom w:val="single" w:sz="4" w:space="0" w:color="auto"/>
              <w:right w:val="single" w:sz="4" w:space="0" w:color="auto"/>
            </w:tcBorders>
            <w:shd w:val="clear" w:color="auto" w:fill="auto"/>
            <w:noWrap/>
            <w:hideMark/>
          </w:tcPr>
          <w:p w14:paraId="3BD66A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0.183</w:t>
            </w:r>
          </w:p>
        </w:tc>
        <w:tc>
          <w:tcPr>
            <w:tcW w:w="0" w:type="auto"/>
            <w:tcBorders>
              <w:top w:val="nil"/>
              <w:left w:val="nil"/>
              <w:bottom w:val="single" w:sz="4" w:space="0" w:color="auto"/>
              <w:right w:val="single" w:sz="4" w:space="0" w:color="auto"/>
            </w:tcBorders>
            <w:shd w:val="clear" w:color="auto" w:fill="auto"/>
            <w:noWrap/>
            <w:hideMark/>
          </w:tcPr>
          <w:p w14:paraId="2BC1A12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r>
      <w:tr w:rsidR="00943D0A" w:rsidRPr="00144673" w14:paraId="1C2B15C1"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D858958"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SCVengrossment_3</w:t>
            </w:r>
          </w:p>
        </w:tc>
        <w:tc>
          <w:tcPr>
            <w:tcW w:w="0" w:type="auto"/>
            <w:tcBorders>
              <w:top w:val="nil"/>
              <w:left w:val="nil"/>
              <w:bottom w:val="single" w:sz="4" w:space="0" w:color="auto"/>
              <w:right w:val="single" w:sz="4" w:space="0" w:color="auto"/>
            </w:tcBorders>
            <w:shd w:val="clear" w:color="auto" w:fill="auto"/>
            <w:noWrap/>
            <w:hideMark/>
          </w:tcPr>
          <w:p w14:paraId="26F2A9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4668ACC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-0.042</w:t>
            </w:r>
          </w:p>
        </w:tc>
        <w:tc>
          <w:tcPr>
            <w:tcW w:w="0" w:type="auto"/>
            <w:tcBorders>
              <w:top w:val="nil"/>
              <w:left w:val="nil"/>
              <w:bottom w:val="single" w:sz="4" w:space="0" w:color="auto"/>
              <w:right w:val="single" w:sz="4" w:space="0" w:color="auto"/>
            </w:tcBorders>
            <w:shd w:val="clear" w:color="auto" w:fill="auto"/>
            <w:noWrap/>
            <w:hideMark/>
          </w:tcPr>
          <w:p w14:paraId="38B86A6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0.096</w:t>
            </w:r>
          </w:p>
        </w:tc>
        <w:tc>
          <w:tcPr>
            <w:tcW w:w="0" w:type="auto"/>
            <w:tcBorders>
              <w:top w:val="nil"/>
              <w:left w:val="nil"/>
              <w:bottom w:val="single" w:sz="4" w:space="0" w:color="auto"/>
              <w:right w:val="single" w:sz="4" w:space="0" w:color="auto"/>
            </w:tcBorders>
            <w:shd w:val="clear" w:color="auto" w:fill="auto"/>
            <w:noWrap/>
            <w:hideMark/>
          </w:tcPr>
          <w:p w14:paraId="15D739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0.431</w:t>
            </w:r>
          </w:p>
        </w:tc>
        <w:tc>
          <w:tcPr>
            <w:tcW w:w="0" w:type="auto"/>
            <w:tcBorders>
              <w:top w:val="nil"/>
              <w:left w:val="nil"/>
              <w:bottom w:val="single" w:sz="4" w:space="0" w:color="auto"/>
              <w:right w:val="single" w:sz="4" w:space="0" w:color="auto"/>
            </w:tcBorders>
            <w:shd w:val="clear" w:color="auto" w:fill="auto"/>
            <w:noWrap/>
            <w:hideMark/>
          </w:tcPr>
          <w:p w14:paraId="7CC4D66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0.072</w:t>
            </w:r>
          </w:p>
        </w:tc>
        <w:tc>
          <w:tcPr>
            <w:tcW w:w="0" w:type="auto"/>
            <w:tcBorders>
              <w:top w:val="nil"/>
              <w:left w:val="nil"/>
              <w:bottom w:val="single" w:sz="4" w:space="0" w:color="auto"/>
              <w:right w:val="single" w:sz="4" w:space="0" w:color="auto"/>
            </w:tcBorders>
            <w:shd w:val="clear" w:color="auto" w:fill="auto"/>
            <w:noWrap/>
            <w:hideMark/>
          </w:tcPr>
          <w:p w14:paraId="266252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0.045</w:t>
            </w:r>
          </w:p>
        </w:tc>
        <w:tc>
          <w:tcPr>
            <w:tcW w:w="0" w:type="auto"/>
            <w:tcBorders>
              <w:top w:val="nil"/>
              <w:left w:val="nil"/>
              <w:bottom w:val="single" w:sz="4" w:space="0" w:color="auto"/>
              <w:right w:val="single" w:sz="4" w:space="0" w:color="auto"/>
            </w:tcBorders>
            <w:shd w:val="clear" w:color="auto" w:fill="auto"/>
            <w:noWrap/>
            <w:hideMark/>
          </w:tcPr>
          <w:p w14:paraId="25119E2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0.190</w:t>
            </w:r>
          </w:p>
        </w:tc>
        <w:tc>
          <w:tcPr>
            <w:tcW w:w="0" w:type="auto"/>
            <w:tcBorders>
              <w:top w:val="nil"/>
              <w:left w:val="nil"/>
              <w:bottom w:val="single" w:sz="4" w:space="0" w:color="auto"/>
              <w:right w:val="single" w:sz="4" w:space="0" w:color="auto"/>
            </w:tcBorders>
            <w:shd w:val="clear" w:color="auto" w:fill="auto"/>
            <w:noWrap/>
            <w:hideMark/>
          </w:tcPr>
          <w:p w14:paraId="2FED556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0.881</w:t>
            </w:r>
          </w:p>
        </w:tc>
        <w:tc>
          <w:tcPr>
            <w:tcW w:w="0" w:type="auto"/>
            <w:tcBorders>
              <w:top w:val="nil"/>
              <w:left w:val="nil"/>
              <w:bottom w:val="single" w:sz="4" w:space="0" w:color="auto"/>
              <w:right w:val="single" w:sz="4" w:space="0" w:color="auto"/>
            </w:tcBorders>
            <w:shd w:val="clear" w:color="auto" w:fill="auto"/>
            <w:noWrap/>
            <w:hideMark/>
          </w:tcPr>
          <w:p w14:paraId="3EF10C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0.134</w:t>
            </w:r>
          </w:p>
        </w:tc>
        <w:tc>
          <w:tcPr>
            <w:tcW w:w="0" w:type="auto"/>
            <w:tcBorders>
              <w:top w:val="nil"/>
              <w:left w:val="nil"/>
              <w:bottom w:val="single" w:sz="4" w:space="0" w:color="auto"/>
              <w:right w:val="single" w:sz="4" w:space="0" w:color="auto"/>
            </w:tcBorders>
            <w:shd w:val="clear" w:color="auto" w:fill="auto"/>
            <w:noWrap/>
            <w:hideMark/>
          </w:tcPr>
          <w:p w14:paraId="4078A4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0.152</w:t>
            </w:r>
          </w:p>
        </w:tc>
        <w:tc>
          <w:tcPr>
            <w:tcW w:w="0" w:type="auto"/>
            <w:tcBorders>
              <w:top w:val="nil"/>
              <w:left w:val="nil"/>
              <w:bottom w:val="single" w:sz="4" w:space="0" w:color="auto"/>
              <w:right w:val="single" w:sz="4" w:space="0" w:color="auto"/>
            </w:tcBorders>
            <w:shd w:val="clear" w:color="auto" w:fill="auto"/>
            <w:noWrap/>
            <w:hideMark/>
          </w:tcPr>
          <w:p w14:paraId="6F5AD9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0.193</w:t>
            </w:r>
          </w:p>
        </w:tc>
        <w:tc>
          <w:tcPr>
            <w:tcW w:w="0" w:type="auto"/>
            <w:tcBorders>
              <w:top w:val="nil"/>
              <w:left w:val="nil"/>
              <w:bottom w:val="single" w:sz="4" w:space="0" w:color="auto"/>
              <w:right w:val="single" w:sz="4" w:space="0" w:color="auto"/>
            </w:tcBorders>
            <w:shd w:val="clear" w:color="auto" w:fill="auto"/>
            <w:noWrap/>
            <w:hideMark/>
          </w:tcPr>
          <w:p w14:paraId="0B5EB9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0.069</w:t>
            </w:r>
          </w:p>
        </w:tc>
        <w:tc>
          <w:tcPr>
            <w:tcW w:w="0" w:type="auto"/>
            <w:tcBorders>
              <w:top w:val="nil"/>
              <w:left w:val="nil"/>
              <w:bottom w:val="single" w:sz="4" w:space="0" w:color="auto"/>
              <w:right w:val="single" w:sz="4" w:space="0" w:color="auto"/>
            </w:tcBorders>
            <w:shd w:val="clear" w:color="auto" w:fill="auto"/>
            <w:noWrap/>
            <w:hideMark/>
          </w:tcPr>
          <w:p w14:paraId="4C00B3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c>
          <w:tcPr>
            <w:tcW w:w="0" w:type="auto"/>
            <w:tcBorders>
              <w:top w:val="nil"/>
              <w:left w:val="nil"/>
              <w:bottom w:val="single" w:sz="4" w:space="0" w:color="auto"/>
              <w:right w:val="single" w:sz="4" w:space="0" w:color="auto"/>
            </w:tcBorders>
            <w:shd w:val="clear" w:color="auto" w:fill="auto"/>
            <w:noWrap/>
            <w:hideMark/>
          </w:tcPr>
          <w:p w14:paraId="51EE7EA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0.254</w:t>
            </w:r>
          </w:p>
        </w:tc>
        <w:tc>
          <w:tcPr>
            <w:tcW w:w="0" w:type="auto"/>
            <w:tcBorders>
              <w:top w:val="nil"/>
              <w:left w:val="nil"/>
              <w:bottom w:val="single" w:sz="4" w:space="0" w:color="auto"/>
              <w:right w:val="single" w:sz="4" w:space="0" w:color="auto"/>
            </w:tcBorders>
            <w:shd w:val="clear" w:color="auto" w:fill="auto"/>
            <w:noWrap/>
            <w:hideMark/>
          </w:tcPr>
          <w:p w14:paraId="457ECF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2CE65A8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0.313</w:t>
            </w:r>
          </w:p>
        </w:tc>
      </w:tr>
      <w:tr w:rsidR="00943D0A" w:rsidRPr="00144673" w14:paraId="1C2AC88D"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BEE4F8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SCVengrossment_3</w:t>
            </w:r>
          </w:p>
        </w:tc>
        <w:tc>
          <w:tcPr>
            <w:tcW w:w="0" w:type="auto"/>
            <w:tcBorders>
              <w:top w:val="nil"/>
              <w:left w:val="nil"/>
              <w:bottom w:val="single" w:sz="4" w:space="0" w:color="auto"/>
              <w:right w:val="single" w:sz="4" w:space="0" w:color="auto"/>
            </w:tcBorders>
            <w:shd w:val="clear" w:color="auto" w:fill="auto"/>
            <w:noWrap/>
            <w:hideMark/>
          </w:tcPr>
          <w:p w14:paraId="406CB8C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25FA0E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-0.042</w:t>
            </w:r>
          </w:p>
        </w:tc>
        <w:tc>
          <w:tcPr>
            <w:tcW w:w="0" w:type="auto"/>
            <w:tcBorders>
              <w:top w:val="nil"/>
              <w:left w:val="nil"/>
              <w:bottom w:val="single" w:sz="4" w:space="0" w:color="auto"/>
              <w:right w:val="single" w:sz="4" w:space="0" w:color="auto"/>
            </w:tcBorders>
            <w:shd w:val="clear" w:color="auto" w:fill="auto"/>
            <w:noWrap/>
            <w:hideMark/>
          </w:tcPr>
          <w:p w14:paraId="0511CEE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0.096</w:t>
            </w:r>
          </w:p>
        </w:tc>
        <w:tc>
          <w:tcPr>
            <w:tcW w:w="0" w:type="auto"/>
            <w:tcBorders>
              <w:top w:val="nil"/>
              <w:left w:val="nil"/>
              <w:bottom w:val="single" w:sz="4" w:space="0" w:color="auto"/>
              <w:right w:val="single" w:sz="4" w:space="0" w:color="auto"/>
            </w:tcBorders>
            <w:shd w:val="clear" w:color="auto" w:fill="auto"/>
            <w:noWrap/>
            <w:hideMark/>
          </w:tcPr>
          <w:p w14:paraId="173B356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0.431</w:t>
            </w:r>
          </w:p>
        </w:tc>
        <w:tc>
          <w:tcPr>
            <w:tcW w:w="0" w:type="auto"/>
            <w:tcBorders>
              <w:top w:val="nil"/>
              <w:left w:val="nil"/>
              <w:bottom w:val="single" w:sz="4" w:space="0" w:color="auto"/>
              <w:right w:val="single" w:sz="4" w:space="0" w:color="auto"/>
            </w:tcBorders>
            <w:shd w:val="clear" w:color="auto" w:fill="auto"/>
            <w:noWrap/>
            <w:hideMark/>
          </w:tcPr>
          <w:p w14:paraId="557CA72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0.072</w:t>
            </w:r>
          </w:p>
        </w:tc>
        <w:tc>
          <w:tcPr>
            <w:tcW w:w="0" w:type="auto"/>
            <w:tcBorders>
              <w:top w:val="nil"/>
              <w:left w:val="nil"/>
              <w:bottom w:val="single" w:sz="4" w:space="0" w:color="auto"/>
              <w:right w:val="single" w:sz="4" w:space="0" w:color="auto"/>
            </w:tcBorders>
            <w:shd w:val="clear" w:color="auto" w:fill="auto"/>
            <w:noWrap/>
            <w:hideMark/>
          </w:tcPr>
          <w:p w14:paraId="2A2665B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0.045</w:t>
            </w:r>
          </w:p>
        </w:tc>
        <w:tc>
          <w:tcPr>
            <w:tcW w:w="0" w:type="auto"/>
            <w:tcBorders>
              <w:top w:val="nil"/>
              <w:left w:val="nil"/>
              <w:bottom w:val="single" w:sz="4" w:space="0" w:color="auto"/>
              <w:right w:val="single" w:sz="4" w:space="0" w:color="auto"/>
            </w:tcBorders>
            <w:shd w:val="clear" w:color="auto" w:fill="auto"/>
            <w:noWrap/>
            <w:hideMark/>
          </w:tcPr>
          <w:p w14:paraId="1E197E7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0.190</w:t>
            </w:r>
          </w:p>
        </w:tc>
        <w:tc>
          <w:tcPr>
            <w:tcW w:w="0" w:type="auto"/>
            <w:tcBorders>
              <w:top w:val="nil"/>
              <w:left w:val="nil"/>
              <w:bottom w:val="single" w:sz="4" w:space="0" w:color="auto"/>
              <w:right w:val="single" w:sz="4" w:space="0" w:color="auto"/>
            </w:tcBorders>
            <w:shd w:val="clear" w:color="auto" w:fill="auto"/>
            <w:noWrap/>
            <w:hideMark/>
          </w:tcPr>
          <w:p w14:paraId="53166D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0.881</w:t>
            </w:r>
          </w:p>
        </w:tc>
        <w:tc>
          <w:tcPr>
            <w:tcW w:w="0" w:type="auto"/>
            <w:tcBorders>
              <w:top w:val="nil"/>
              <w:left w:val="nil"/>
              <w:bottom w:val="single" w:sz="4" w:space="0" w:color="auto"/>
              <w:right w:val="single" w:sz="4" w:space="0" w:color="auto"/>
            </w:tcBorders>
            <w:shd w:val="clear" w:color="auto" w:fill="auto"/>
            <w:noWrap/>
            <w:hideMark/>
          </w:tcPr>
          <w:p w14:paraId="1E6679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0.134</w:t>
            </w:r>
          </w:p>
        </w:tc>
        <w:tc>
          <w:tcPr>
            <w:tcW w:w="0" w:type="auto"/>
            <w:tcBorders>
              <w:top w:val="nil"/>
              <w:left w:val="nil"/>
              <w:bottom w:val="single" w:sz="4" w:space="0" w:color="auto"/>
              <w:right w:val="single" w:sz="4" w:space="0" w:color="auto"/>
            </w:tcBorders>
            <w:shd w:val="clear" w:color="auto" w:fill="auto"/>
            <w:noWrap/>
            <w:hideMark/>
          </w:tcPr>
          <w:p w14:paraId="5C3D4DF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0.152</w:t>
            </w:r>
          </w:p>
        </w:tc>
        <w:tc>
          <w:tcPr>
            <w:tcW w:w="0" w:type="auto"/>
            <w:tcBorders>
              <w:top w:val="nil"/>
              <w:left w:val="nil"/>
              <w:bottom w:val="single" w:sz="4" w:space="0" w:color="auto"/>
              <w:right w:val="single" w:sz="4" w:space="0" w:color="auto"/>
            </w:tcBorders>
            <w:shd w:val="clear" w:color="auto" w:fill="auto"/>
            <w:noWrap/>
            <w:hideMark/>
          </w:tcPr>
          <w:p w14:paraId="36E5E45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0.193</w:t>
            </w:r>
          </w:p>
        </w:tc>
        <w:tc>
          <w:tcPr>
            <w:tcW w:w="0" w:type="auto"/>
            <w:tcBorders>
              <w:top w:val="nil"/>
              <w:left w:val="nil"/>
              <w:bottom w:val="single" w:sz="4" w:space="0" w:color="auto"/>
              <w:right w:val="single" w:sz="4" w:space="0" w:color="auto"/>
            </w:tcBorders>
            <w:shd w:val="clear" w:color="auto" w:fill="auto"/>
            <w:noWrap/>
            <w:hideMark/>
          </w:tcPr>
          <w:p w14:paraId="2C749F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0.069</w:t>
            </w:r>
          </w:p>
        </w:tc>
        <w:tc>
          <w:tcPr>
            <w:tcW w:w="0" w:type="auto"/>
            <w:tcBorders>
              <w:top w:val="nil"/>
              <w:left w:val="nil"/>
              <w:bottom w:val="single" w:sz="4" w:space="0" w:color="auto"/>
              <w:right w:val="single" w:sz="4" w:space="0" w:color="auto"/>
            </w:tcBorders>
            <w:shd w:val="clear" w:color="auto" w:fill="auto"/>
            <w:noWrap/>
            <w:hideMark/>
          </w:tcPr>
          <w:p w14:paraId="1109E5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c>
          <w:tcPr>
            <w:tcW w:w="0" w:type="auto"/>
            <w:tcBorders>
              <w:top w:val="nil"/>
              <w:left w:val="nil"/>
              <w:bottom w:val="single" w:sz="4" w:space="0" w:color="auto"/>
              <w:right w:val="single" w:sz="4" w:space="0" w:color="auto"/>
            </w:tcBorders>
            <w:shd w:val="clear" w:color="auto" w:fill="auto"/>
            <w:noWrap/>
            <w:hideMark/>
          </w:tcPr>
          <w:p w14:paraId="43C556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0.254</w:t>
            </w:r>
          </w:p>
        </w:tc>
        <w:tc>
          <w:tcPr>
            <w:tcW w:w="0" w:type="auto"/>
            <w:tcBorders>
              <w:top w:val="nil"/>
              <w:left w:val="nil"/>
              <w:bottom w:val="single" w:sz="4" w:space="0" w:color="auto"/>
              <w:right w:val="single" w:sz="4" w:space="0" w:color="auto"/>
            </w:tcBorders>
            <w:shd w:val="clear" w:color="auto" w:fill="auto"/>
            <w:noWrap/>
            <w:hideMark/>
          </w:tcPr>
          <w:p w14:paraId="0490DA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4412B15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0.313</w:t>
            </w:r>
          </w:p>
        </w:tc>
      </w:tr>
      <w:tr w:rsidR="00943D0A" w:rsidRPr="00144673" w14:paraId="061E29D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05C908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SCVengrossment_4</w:t>
            </w:r>
          </w:p>
        </w:tc>
        <w:tc>
          <w:tcPr>
            <w:tcW w:w="0" w:type="auto"/>
            <w:tcBorders>
              <w:top w:val="nil"/>
              <w:left w:val="nil"/>
              <w:bottom w:val="single" w:sz="4" w:space="0" w:color="auto"/>
              <w:right w:val="single" w:sz="4" w:space="0" w:color="auto"/>
            </w:tcBorders>
            <w:shd w:val="clear" w:color="auto" w:fill="auto"/>
            <w:noWrap/>
            <w:hideMark/>
          </w:tcPr>
          <w:p w14:paraId="6A226E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0.254</w:t>
            </w:r>
          </w:p>
        </w:tc>
        <w:tc>
          <w:tcPr>
            <w:tcW w:w="0" w:type="auto"/>
            <w:tcBorders>
              <w:top w:val="nil"/>
              <w:left w:val="nil"/>
              <w:bottom w:val="single" w:sz="4" w:space="0" w:color="auto"/>
              <w:right w:val="single" w:sz="4" w:space="0" w:color="auto"/>
            </w:tcBorders>
            <w:shd w:val="clear" w:color="auto" w:fill="auto"/>
            <w:noWrap/>
            <w:hideMark/>
          </w:tcPr>
          <w:p w14:paraId="45F3397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-0.005</w:t>
            </w:r>
          </w:p>
        </w:tc>
        <w:tc>
          <w:tcPr>
            <w:tcW w:w="0" w:type="auto"/>
            <w:tcBorders>
              <w:top w:val="nil"/>
              <w:left w:val="nil"/>
              <w:bottom w:val="single" w:sz="4" w:space="0" w:color="auto"/>
              <w:right w:val="single" w:sz="4" w:space="0" w:color="auto"/>
            </w:tcBorders>
            <w:shd w:val="clear" w:color="auto" w:fill="auto"/>
            <w:noWrap/>
            <w:hideMark/>
          </w:tcPr>
          <w:p w14:paraId="1EEF88D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0.179</w:t>
            </w:r>
          </w:p>
        </w:tc>
        <w:tc>
          <w:tcPr>
            <w:tcW w:w="0" w:type="auto"/>
            <w:tcBorders>
              <w:top w:val="nil"/>
              <w:left w:val="nil"/>
              <w:bottom w:val="single" w:sz="4" w:space="0" w:color="auto"/>
              <w:right w:val="single" w:sz="4" w:space="0" w:color="auto"/>
            </w:tcBorders>
            <w:shd w:val="clear" w:color="auto" w:fill="auto"/>
            <w:noWrap/>
            <w:hideMark/>
          </w:tcPr>
          <w:p w14:paraId="666112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35141C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0.086</w:t>
            </w:r>
          </w:p>
        </w:tc>
        <w:tc>
          <w:tcPr>
            <w:tcW w:w="0" w:type="auto"/>
            <w:tcBorders>
              <w:top w:val="nil"/>
              <w:left w:val="nil"/>
              <w:bottom w:val="single" w:sz="4" w:space="0" w:color="auto"/>
              <w:right w:val="single" w:sz="4" w:space="0" w:color="auto"/>
            </w:tcBorders>
            <w:shd w:val="clear" w:color="auto" w:fill="auto"/>
            <w:noWrap/>
            <w:hideMark/>
          </w:tcPr>
          <w:p w14:paraId="5FA68E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0.061</w:t>
            </w:r>
          </w:p>
        </w:tc>
        <w:tc>
          <w:tcPr>
            <w:tcW w:w="0" w:type="auto"/>
            <w:tcBorders>
              <w:top w:val="nil"/>
              <w:left w:val="nil"/>
              <w:bottom w:val="single" w:sz="4" w:space="0" w:color="auto"/>
              <w:right w:val="single" w:sz="4" w:space="0" w:color="auto"/>
            </w:tcBorders>
            <w:shd w:val="clear" w:color="auto" w:fill="auto"/>
            <w:noWrap/>
            <w:hideMark/>
          </w:tcPr>
          <w:p w14:paraId="13BBA5B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0.268</w:t>
            </w:r>
          </w:p>
        </w:tc>
        <w:tc>
          <w:tcPr>
            <w:tcW w:w="0" w:type="auto"/>
            <w:tcBorders>
              <w:top w:val="nil"/>
              <w:left w:val="nil"/>
              <w:bottom w:val="single" w:sz="4" w:space="0" w:color="auto"/>
              <w:right w:val="single" w:sz="4" w:space="0" w:color="auto"/>
            </w:tcBorders>
            <w:shd w:val="clear" w:color="auto" w:fill="auto"/>
            <w:noWrap/>
            <w:hideMark/>
          </w:tcPr>
          <w:p w14:paraId="20D119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0.863</w:t>
            </w:r>
          </w:p>
        </w:tc>
        <w:tc>
          <w:tcPr>
            <w:tcW w:w="0" w:type="auto"/>
            <w:tcBorders>
              <w:top w:val="nil"/>
              <w:left w:val="nil"/>
              <w:bottom w:val="single" w:sz="4" w:space="0" w:color="auto"/>
              <w:right w:val="single" w:sz="4" w:space="0" w:color="auto"/>
            </w:tcBorders>
            <w:shd w:val="clear" w:color="auto" w:fill="auto"/>
            <w:noWrap/>
            <w:hideMark/>
          </w:tcPr>
          <w:p w14:paraId="10C92A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0.156</w:t>
            </w:r>
          </w:p>
        </w:tc>
        <w:tc>
          <w:tcPr>
            <w:tcW w:w="0" w:type="auto"/>
            <w:tcBorders>
              <w:top w:val="nil"/>
              <w:left w:val="nil"/>
              <w:bottom w:val="single" w:sz="4" w:space="0" w:color="auto"/>
              <w:right w:val="single" w:sz="4" w:space="0" w:color="auto"/>
            </w:tcBorders>
            <w:shd w:val="clear" w:color="auto" w:fill="auto"/>
            <w:noWrap/>
            <w:hideMark/>
          </w:tcPr>
          <w:p w14:paraId="105F7B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0.160</w:t>
            </w:r>
          </w:p>
        </w:tc>
        <w:tc>
          <w:tcPr>
            <w:tcW w:w="0" w:type="auto"/>
            <w:tcBorders>
              <w:top w:val="nil"/>
              <w:left w:val="nil"/>
              <w:bottom w:val="single" w:sz="4" w:space="0" w:color="auto"/>
              <w:right w:val="single" w:sz="4" w:space="0" w:color="auto"/>
            </w:tcBorders>
            <w:shd w:val="clear" w:color="auto" w:fill="auto"/>
            <w:noWrap/>
            <w:hideMark/>
          </w:tcPr>
          <w:p w14:paraId="3A205F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0.226</w:t>
            </w:r>
          </w:p>
        </w:tc>
        <w:tc>
          <w:tcPr>
            <w:tcW w:w="0" w:type="auto"/>
            <w:tcBorders>
              <w:top w:val="nil"/>
              <w:left w:val="nil"/>
              <w:bottom w:val="single" w:sz="4" w:space="0" w:color="auto"/>
              <w:right w:val="single" w:sz="4" w:space="0" w:color="auto"/>
            </w:tcBorders>
            <w:shd w:val="clear" w:color="auto" w:fill="auto"/>
            <w:noWrap/>
            <w:hideMark/>
          </w:tcPr>
          <w:p w14:paraId="06F4CA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0.130</w:t>
            </w:r>
          </w:p>
        </w:tc>
        <w:tc>
          <w:tcPr>
            <w:tcW w:w="0" w:type="auto"/>
            <w:tcBorders>
              <w:top w:val="nil"/>
              <w:left w:val="nil"/>
              <w:bottom w:val="single" w:sz="4" w:space="0" w:color="auto"/>
              <w:right w:val="single" w:sz="4" w:space="0" w:color="auto"/>
            </w:tcBorders>
            <w:shd w:val="clear" w:color="auto" w:fill="auto"/>
            <w:noWrap/>
            <w:hideMark/>
          </w:tcPr>
          <w:p w14:paraId="78061C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1D7691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0.295</w:t>
            </w:r>
          </w:p>
        </w:tc>
        <w:tc>
          <w:tcPr>
            <w:tcW w:w="0" w:type="auto"/>
            <w:tcBorders>
              <w:top w:val="nil"/>
              <w:left w:val="nil"/>
              <w:bottom w:val="single" w:sz="4" w:space="0" w:color="auto"/>
              <w:right w:val="single" w:sz="4" w:space="0" w:color="auto"/>
            </w:tcBorders>
            <w:shd w:val="clear" w:color="auto" w:fill="auto"/>
            <w:noWrap/>
            <w:hideMark/>
          </w:tcPr>
          <w:p w14:paraId="68BD80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0.144</w:t>
            </w:r>
          </w:p>
        </w:tc>
        <w:tc>
          <w:tcPr>
            <w:tcW w:w="0" w:type="auto"/>
            <w:tcBorders>
              <w:top w:val="nil"/>
              <w:left w:val="nil"/>
              <w:bottom w:val="single" w:sz="4" w:space="0" w:color="auto"/>
              <w:right w:val="single" w:sz="4" w:space="0" w:color="auto"/>
            </w:tcBorders>
            <w:shd w:val="clear" w:color="auto" w:fill="auto"/>
            <w:noWrap/>
            <w:hideMark/>
          </w:tcPr>
          <w:p w14:paraId="490955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0.383</w:t>
            </w:r>
          </w:p>
        </w:tc>
      </w:tr>
      <w:tr w:rsidR="00943D0A" w:rsidRPr="00144673" w14:paraId="45EBA0C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E36B86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SCVengrossment_4</w:t>
            </w:r>
          </w:p>
        </w:tc>
        <w:tc>
          <w:tcPr>
            <w:tcW w:w="0" w:type="auto"/>
            <w:tcBorders>
              <w:top w:val="nil"/>
              <w:left w:val="nil"/>
              <w:bottom w:val="single" w:sz="4" w:space="0" w:color="auto"/>
              <w:right w:val="single" w:sz="4" w:space="0" w:color="auto"/>
            </w:tcBorders>
            <w:shd w:val="clear" w:color="auto" w:fill="auto"/>
            <w:noWrap/>
            <w:hideMark/>
          </w:tcPr>
          <w:p w14:paraId="244DF95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0.254</w:t>
            </w:r>
          </w:p>
        </w:tc>
        <w:tc>
          <w:tcPr>
            <w:tcW w:w="0" w:type="auto"/>
            <w:tcBorders>
              <w:top w:val="nil"/>
              <w:left w:val="nil"/>
              <w:bottom w:val="single" w:sz="4" w:space="0" w:color="auto"/>
              <w:right w:val="single" w:sz="4" w:space="0" w:color="auto"/>
            </w:tcBorders>
            <w:shd w:val="clear" w:color="auto" w:fill="auto"/>
            <w:noWrap/>
            <w:hideMark/>
          </w:tcPr>
          <w:p w14:paraId="5E63BD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-0.005</w:t>
            </w:r>
          </w:p>
        </w:tc>
        <w:tc>
          <w:tcPr>
            <w:tcW w:w="0" w:type="auto"/>
            <w:tcBorders>
              <w:top w:val="nil"/>
              <w:left w:val="nil"/>
              <w:bottom w:val="single" w:sz="4" w:space="0" w:color="auto"/>
              <w:right w:val="single" w:sz="4" w:space="0" w:color="auto"/>
            </w:tcBorders>
            <w:shd w:val="clear" w:color="auto" w:fill="auto"/>
            <w:noWrap/>
            <w:hideMark/>
          </w:tcPr>
          <w:p w14:paraId="337050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0.179</w:t>
            </w:r>
          </w:p>
        </w:tc>
        <w:tc>
          <w:tcPr>
            <w:tcW w:w="0" w:type="auto"/>
            <w:tcBorders>
              <w:top w:val="nil"/>
              <w:left w:val="nil"/>
              <w:bottom w:val="single" w:sz="4" w:space="0" w:color="auto"/>
              <w:right w:val="single" w:sz="4" w:space="0" w:color="auto"/>
            </w:tcBorders>
            <w:shd w:val="clear" w:color="auto" w:fill="auto"/>
            <w:noWrap/>
            <w:hideMark/>
          </w:tcPr>
          <w:p w14:paraId="76C7FA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70E847C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0.086</w:t>
            </w:r>
          </w:p>
        </w:tc>
        <w:tc>
          <w:tcPr>
            <w:tcW w:w="0" w:type="auto"/>
            <w:tcBorders>
              <w:top w:val="nil"/>
              <w:left w:val="nil"/>
              <w:bottom w:val="single" w:sz="4" w:space="0" w:color="auto"/>
              <w:right w:val="single" w:sz="4" w:space="0" w:color="auto"/>
            </w:tcBorders>
            <w:shd w:val="clear" w:color="auto" w:fill="auto"/>
            <w:noWrap/>
            <w:hideMark/>
          </w:tcPr>
          <w:p w14:paraId="1A15F5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0.061</w:t>
            </w:r>
          </w:p>
        </w:tc>
        <w:tc>
          <w:tcPr>
            <w:tcW w:w="0" w:type="auto"/>
            <w:tcBorders>
              <w:top w:val="nil"/>
              <w:left w:val="nil"/>
              <w:bottom w:val="single" w:sz="4" w:space="0" w:color="auto"/>
              <w:right w:val="single" w:sz="4" w:space="0" w:color="auto"/>
            </w:tcBorders>
            <w:shd w:val="clear" w:color="auto" w:fill="auto"/>
            <w:noWrap/>
            <w:hideMark/>
          </w:tcPr>
          <w:p w14:paraId="577285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0.268</w:t>
            </w:r>
          </w:p>
        </w:tc>
        <w:tc>
          <w:tcPr>
            <w:tcW w:w="0" w:type="auto"/>
            <w:tcBorders>
              <w:top w:val="nil"/>
              <w:left w:val="nil"/>
              <w:bottom w:val="single" w:sz="4" w:space="0" w:color="auto"/>
              <w:right w:val="single" w:sz="4" w:space="0" w:color="auto"/>
            </w:tcBorders>
            <w:shd w:val="clear" w:color="auto" w:fill="auto"/>
            <w:noWrap/>
            <w:hideMark/>
          </w:tcPr>
          <w:p w14:paraId="5F68A5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0.863</w:t>
            </w:r>
          </w:p>
        </w:tc>
        <w:tc>
          <w:tcPr>
            <w:tcW w:w="0" w:type="auto"/>
            <w:tcBorders>
              <w:top w:val="nil"/>
              <w:left w:val="nil"/>
              <w:bottom w:val="single" w:sz="4" w:space="0" w:color="auto"/>
              <w:right w:val="single" w:sz="4" w:space="0" w:color="auto"/>
            </w:tcBorders>
            <w:shd w:val="clear" w:color="auto" w:fill="auto"/>
            <w:noWrap/>
            <w:hideMark/>
          </w:tcPr>
          <w:p w14:paraId="4CADE9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0.156</w:t>
            </w:r>
          </w:p>
        </w:tc>
        <w:tc>
          <w:tcPr>
            <w:tcW w:w="0" w:type="auto"/>
            <w:tcBorders>
              <w:top w:val="nil"/>
              <w:left w:val="nil"/>
              <w:bottom w:val="single" w:sz="4" w:space="0" w:color="auto"/>
              <w:right w:val="single" w:sz="4" w:space="0" w:color="auto"/>
            </w:tcBorders>
            <w:shd w:val="clear" w:color="auto" w:fill="auto"/>
            <w:noWrap/>
            <w:hideMark/>
          </w:tcPr>
          <w:p w14:paraId="46F5748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0.160</w:t>
            </w:r>
          </w:p>
        </w:tc>
        <w:tc>
          <w:tcPr>
            <w:tcW w:w="0" w:type="auto"/>
            <w:tcBorders>
              <w:top w:val="nil"/>
              <w:left w:val="nil"/>
              <w:bottom w:val="single" w:sz="4" w:space="0" w:color="auto"/>
              <w:right w:val="single" w:sz="4" w:space="0" w:color="auto"/>
            </w:tcBorders>
            <w:shd w:val="clear" w:color="auto" w:fill="auto"/>
            <w:noWrap/>
            <w:hideMark/>
          </w:tcPr>
          <w:p w14:paraId="518564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0.226</w:t>
            </w:r>
          </w:p>
        </w:tc>
        <w:tc>
          <w:tcPr>
            <w:tcW w:w="0" w:type="auto"/>
            <w:tcBorders>
              <w:top w:val="nil"/>
              <w:left w:val="nil"/>
              <w:bottom w:val="single" w:sz="4" w:space="0" w:color="auto"/>
              <w:right w:val="single" w:sz="4" w:space="0" w:color="auto"/>
            </w:tcBorders>
            <w:shd w:val="clear" w:color="auto" w:fill="auto"/>
            <w:noWrap/>
            <w:hideMark/>
          </w:tcPr>
          <w:p w14:paraId="057C81F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0.130</w:t>
            </w:r>
          </w:p>
        </w:tc>
        <w:tc>
          <w:tcPr>
            <w:tcW w:w="0" w:type="auto"/>
            <w:tcBorders>
              <w:top w:val="nil"/>
              <w:left w:val="nil"/>
              <w:bottom w:val="single" w:sz="4" w:space="0" w:color="auto"/>
              <w:right w:val="single" w:sz="4" w:space="0" w:color="auto"/>
            </w:tcBorders>
            <w:shd w:val="clear" w:color="auto" w:fill="auto"/>
            <w:noWrap/>
            <w:hideMark/>
          </w:tcPr>
          <w:p w14:paraId="1492428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4A0F53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0.295</w:t>
            </w:r>
          </w:p>
        </w:tc>
        <w:tc>
          <w:tcPr>
            <w:tcW w:w="0" w:type="auto"/>
            <w:tcBorders>
              <w:top w:val="nil"/>
              <w:left w:val="nil"/>
              <w:bottom w:val="single" w:sz="4" w:space="0" w:color="auto"/>
              <w:right w:val="single" w:sz="4" w:space="0" w:color="auto"/>
            </w:tcBorders>
            <w:shd w:val="clear" w:color="auto" w:fill="auto"/>
            <w:noWrap/>
            <w:hideMark/>
          </w:tcPr>
          <w:p w14:paraId="49122E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0.144</w:t>
            </w:r>
          </w:p>
        </w:tc>
        <w:tc>
          <w:tcPr>
            <w:tcW w:w="0" w:type="auto"/>
            <w:tcBorders>
              <w:top w:val="nil"/>
              <w:left w:val="nil"/>
              <w:bottom w:val="single" w:sz="4" w:space="0" w:color="auto"/>
              <w:right w:val="single" w:sz="4" w:space="0" w:color="auto"/>
            </w:tcBorders>
            <w:shd w:val="clear" w:color="auto" w:fill="auto"/>
            <w:noWrap/>
            <w:hideMark/>
          </w:tcPr>
          <w:p w14:paraId="59950B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0.383</w:t>
            </w:r>
          </w:p>
        </w:tc>
      </w:tr>
      <w:tr w:rsidR="00943D0A" w:rsidRPr="00144673" w14:paraId="4D03FEC2"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B83360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attitude_1</w:t>
            </w:r>
          </w:p>
        </w:tc>
        <w:tc>
          <w:tcPr>
            <w:tcW w:w="0" w:type="auto"/>
            <w:tcBorders>
              <w:top w:val="nil"/>
              <w:left w:val="nil"/>
              <w:bottom w:val="single" w:sz="4" w:space="0" w:color="auto"/>
              <w:right w:val="single" w:sz="4" w:space="0" w:color="auto"/>
            </w:tcBorders>
            <w:shd w:val="clear" w:color="auto" w:fill="auto"/>
            <w:noWrap/>
            <w:hideMark/>
          </w:tcPr>
          <w:p w14:paraId="73BD69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44746AA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0.339</w:t>
            </w:r>
          </w:p>
        </w:tc>
        <w:tc>
          <w:tcPr>
            <w:tcW w:w="0" w:type="auto"/>
            <w:tcBorders>
              <w:top w:val="nil"/>
              <w:left w:val="nil"/>
              <w:bottom w:val="single" w:sz="4" w:space="0" w:color="auto"/>
              <w:right w:val="single" w:sz="4" w:space="0" w:color="auto"/>
            </w:tcBorders>
            <w:shd w:val="clear" w:color="auto" w:fill="auto"/>
            <w:noWrap/>
            <w:hideMark/>
          </w:tcPr>
          <w:p w14:paraId="412C22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0.553</w:t>
            </w:r>
          </w:p>
        </w:tc>
        <w:tc>
          <w:tcPr>
            <w:tcW w:w="0" w:type="auto"/>
            <w:tcBorders>
              <w:top w:val="nil"/>
              <w:left w:val="nil"/>
              <w:bottom w:val="single" w:sz="4" w:space="0" w:color="auto"/>
              <w:right w:val="single" w:sz="4" w:space="0" w:color="auto"/>
            </w:tcBorders>
            <w:shd w:val="clear" w:color="auto" w:fill="auto"/>
            <w:noWrap/>
            <w:hideMark/>
          </w:tcPr>
          <w:p w14:paraId="5523D6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0.487</w:t>
            </w:r>
          </w:p>
        </w:tc>
        <w:tc>
          <w:tcPr>
            <w:tcW w:w="0" w:type="auto"/>
            <w:tcBorders>
              <w:top w:val="nil"/>
              <w:left w:val="nil"/>
              <w:bottom w:val="single" w:sz="4" w:space="0" w:color="auto"/>
              <w:right w:val="single" w:sz="4" w:space="0" w:color="auto"/>
            </w:tcBorders>
            <w:shd w:val="clear" w:color="auto" w:fill="auto"/>
            <w:noWrap/>
            <w:hideMark/>
          </w:tcPr>
          <w:p w14:paraId="5ADA24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0.922</w:t>
            </w:r>
          </w:p>
        </w:tc>
        <w:tc>
          <w:tcPr>
            <w:tcW w:w="0" w:type="auto"/>
            <w:tcBorders>
              <w:top w:val="nil"/>
              <w:left w:val="nil"/>
              <w:bottom w:val="single" w:sz="4" w:space="0" w:color="auto"/>
              <w:right w:val="single" w:sz="4" w:space="0" w:color="auto"/>
            </w:tcBorders>
            <w:shd w:val="clear" w:color="auto" w:fill="auto"/>
            <w:noWrap/>
            <w:hideMark/>
          </w:tcPr>
          <w:p w14:paraId="7DC949C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0.435</w:t>
            </w:r>
          </w:p>
        </w:tc>
        <w:tc>
          <w:tcPr>
            <w:tcW w:w="0" w:type="auto"/>
            <w:tcBorders>
              <w:top w:val="nil"/>
              <w:left w:val="nil"/>
              <w:bottom w:val="single" w:sz="4" w:space="0" w:color="auto"/>
              <w:right w:val="single" w:sz="4" w:space="0" w:color="auto"/>
            </w:tcBorders>
            <w:shd w:val="clear" w:color="auto" w:fill="auto"/>
            <w:noWrap/>
            <w:hideMark/>
          </w:tcPr>
          <w:p w14:paraId="2E1F87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0.493</w:t>
            </w:r>
          </w:p>
        </w:tc>
        <w:tc>
          <w:tcPr>
            <w:tcW w:w="0" w:type="auto"/>
            <w:tcBorders>
              <w:top w:val="nil"/>
              <w:left w:val="nil"/>
              <w:bottom w:val="single" w:sz="4" w:space="0" w:color="auto"/>
              <w:right w:val="single" w:sz="4" w:space="0" w:color="auto"/>
            </w:tcBorders>
            <w:shd w:val="clear" w:color="auto" w:fill="auto"/>
            <w:noWrap/>
            <w:hideMark/>
          </w:tcPr>
          <w:p w14:paraId="0A9DDB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0.063</w:t>
            </w:r>
          </w:p>
        </w:tc>
        <w:tc>
          <w:tcPr>
            <w:tcW w:w="0" w:type="auto"/>
            <w:tcBorders>
              <w:top w:val="nil"/>
              <w:left w:val="nil"/>
              <w:bottom w:val="single" w:sz="4" w:space="0" w:color="auto"/>
              <w:right w:val="single" w:sz="4" w:space="0" w:color="auto"/>
            </w:tcBorders>
            <w:shd w:val="clear" w:color="auto" w:fill="auto"/>
            <w:noWrap/>
            <w:hideMark/>
          </w:tcPr>
          <w:p w14:paraId="6509A1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0.401</w:t>
            </w:r>
          </w:p>
        </w:tc>
        <w:tc>
          <w:tcPr>
            <w:tcW w:w="0" w:type="auto"/>
            <w:tcBorders>
              <w:top w:val="nil"/>
              <w:left w:val="nil"/>
              <w:bottom w:val="single" w:sz="4" w:space="0" w:color="auto"/>
              <w:right w:val="single" w:sz="4" w:space="0" w:color="auto"/>
            </w:tcBorders>
            <w:shd w:val="clear" w:color="auto" w:fill="auto"/>
            <w:noWrap/>
            <w:hideMark/>
          </w:tcPr>
          <w:p w14:paraId="3D97E01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0.443</w:t>
            </w:r>
          </w:p>
        </w:tc>
        <w:tc>
          <w:tcPr>
            <w:tcW w:w="0" w:type="auto"/>
            <w:tcBorders>
              <w:top w:val="nil"/>
              <w:left w:val="nil"/>
              <w:bottom w:val="single" w:sz="4" w:space="0" w:color="auto"/>
              <w:right w:val="single" w:sz="4" w:space="0" w:color="auto"/>
            </w:tcBorders>
            <w:shd w:val="clear" w:color="auto" w:fill="auto"/>
            <w:noWrap/>
            <w:hideMark/>
          </w:tcPr>
          <w:p w14:paraId="067CBE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0.485</w:t>
            </w:r>
          </w:p>
        </w:tc>
        <w:tc>
          <w:tcPr>
            <w:tcW w:w="0" w:type="auto"/>
            <w:tcBorders>
              <w:top w:val="nil"/>
              <w:left w:val="nil"/>
              <w:bottom w:val="single" w:sz="4" w:space="0" w:color="auto"/>
              <w:right w:val="single" w:sz="4" w:space="0" w:color="auto"/>
            </w:tcBorders>
            <w:shd w:val="clear" w:color="auto" w:fill="auto"/>
            <w:noWrap/>
            <w:hideMark/>
          </w:tcPr>
          <w:p w14:paraId="7A9B8C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c>
          <w:tcPr>
            <w:tcW w:w="0" w:type="auto"/>
            <w:tcBorders>
              <w:top w:val="nil"/>
              <w:left w:val="nil"/>
              <w:bottom w:val="single" w:sz="4" w:space="0" w:color="auto"/>
              <w:right w:val="single" w:sz="4" w:space="0" w:color="auto"/>
            </w:tcBorders>
            <w:shd w:val="clear" w:color="auto" w:fill="auto"/>
            <w:noWrap/>
            <w:hideMark/>
          </w:tcPr>
          <w:p w14:paraId="3C7059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0.640</w:t>
            </w:r>
          </w:p>
        </w:tc>
        <w:tc>
          <w:tcPr>
            <w:tcW w:w="0" w:type="auto"/>
            <w:tcBorders>
              <w:top w:val="nil"/>
              <w:left w:val="nil"/>
              <w:bottom w:val="single" w:sz="4" w:space="0" w:color="auto"/>
              <w:right w:val="single" w:sz="4" w:space="0" w:color="auto"/>
            </w:tcBorders>
            <w:shd w:val="clear" w:color="auto" w:fill="auto"/>
            <w:noWrap/>
            <w:hideMark/>
          </w:tcPr>
          <w:p w14:paraId="3D3129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0.148</w:t>
            </w:r>
          </w:p>
        </w:tc>
        <w:tc>
          <w:tcPr>
            <w:tcW w:w="0" w:type="auto"/>
            <w:tcBorders>
              <w:top w:val="nil"/>
              <w:left w:val="nil"/>
              <w:bottom w:val="single" w:sz="4" w:space="0" w:color="auto"/>
              <w:right w:val="single" w:sz="4" w:space="0" w:color="auto"/>
            </w:tcBorders>
            <w:shd w:val="clear" w:color="auto" w:fill="auto"/>
            <w:noWrap/>
            <w:hideMark/>
          </w:tcPr>
          <w:p w14:paraId="2215813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0.677</w:t>
            </w:r>
          </w:p>
        </w:tc>
        <w:tc>
          <w:tcPr>
            <w:tcW w:w="0" w:type="auto"/>
            <w:tcBorders>
              <w:top w:val="nil"/>
              <w:left w:val="nil"/>
              <w:bottom w:val="single" w:sz="4" w:space="0" w:color="auto"/>
              <w:right w:val="single" w:sz="4" w:space="0" w:color="auto"/>
            </w:tcBorders>
            <w:shd w:val="clear" w:color="auto" w:fill="auto"/>
            <w:noWrap/>
            <w:hideMark/>
          </w:tcPr>
          <w:p w14:paraId="2E09E7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0.405</w:t>
            </w:r>
          </w:p>
        </w:tc>
      </w:tr>
      <w:tr w:rsidR="00943D0A" w:rsidRPr="00144673" w14:paraId="60857C55"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D5134B7"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attitude_2</w:t>
            </w:r>
          </w:p>
        </w:tc>
        <w:tc>
          <w:tcPr>
            <w:tcW w:w="0" w:type="auto"/>
            <w:tcBorders>
              <w:top w:val="nil"/>
              <w:left w:val="nil"/>
              <w:bottom w:val="single" w:sz="4" w:space="0" w:color="auto"/>
              <w:right w:val="single" w:sz="4" w:space="0" w:color="auto"/>
            </w:tcBorders>
            <w:shd w:val="clear" w:color="auto" w:fill="auto"/>
            <w:noWrap/>
            <w:hideMark/>
          </w:tcPr>
          <w:p w14:paraId="1F601A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0.395</w:t>
            </w:r>
          </w:p>
        </w:tc>
        <w:tc>
          <w:tcPr>
            <w:tcW w:w="0" w:type="auto"/>
            <w:tcBorders>
              <w:top w:val="nil"/>
              <w:left w:val="nil"/>
              <w:bottom w:val="single" w:sz="4" w:space="0" w:color="auto"/>
              <w:right w:val="single" w:sz="4" w:space="0" w:color="auto"/>
            </w:tcBorders>
            <w:shd w:val="clear" w:color="auto" w:fill="auto"/>
            <w:noWrap/>
            <w:hideMark/>
          </w:tcPr>
          <w:p w14:paraId="44F717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0.308</w:t>
            </w:r>
          </w:p>
        </w:tc>
        <w:tc>
          <w:tcPr>
            <w:tcW w:w="0" w:type="auto"/>
            <w:tcBorders>
              <w:top w:val="nil"/>
              <w:left w:val="nil"/>
              <w:bottom w:val="single" w:sz="4" w:space="0" w:color="auto"/>
              <w:right w:val="single" w:sz="4" w:space="0" w:color="auto"/>
            </w:tcBorders>
            <w:shd w:val="clear" w:color="auto" w:fill="auto"/>
            <w:noWrap/>
            <w:hideMark/>
          </w:tcPr>
          <w:p w14:paraId="565F85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0.519</w:t>
            </w:r>
          </w:p>
        </w:tc>
        <w:tc>
          <w:tcPr>
            <w:tcW w:w="0" w:type="auto"/>
            <w:tcBorders>
              <w:top w:val="nil"/>
              <w:left w:val="nil"/>
              <w:bottom w:val="single" w:sz="4" w:space="0" w:color="auto"/>
              <w:right w:val="single" w:sz="4" w:space="0" w:color="auto"/>
            </w:tcBorders>
            <w:shd w:val="clear" w:color="auto" w:fill="auto"/>
            <w:noWrap/>
            <w:hideMark/>
          </w:tcPr>
          <w:p w14:paraId="2997E5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0.485</w:t>
            </w:r>
          </w:p>
        </w:tc>
        <w:tc>
          <w:tcPr>
            <w:tcW w:w="0" w:type="auto"/>
            <w:tcBorders>
              <w:top w:val="nil"/>
              <w:left w:val="nil"/>
              <w:bottom w:val="single" w:sz="4" w:space="0" w:color="auto"/>
              <w:right w:val="single" w:sz="4" w:space="0" w:color="auto"/>
            </w:tcBorders>
            <w:shd w:val="clear" w:color="auto" w:fill="auto"/>
            <w:noWrap/>
            <w:hideMark/>
          </w:tcPr>
          <w:p w14:paraId="435163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0.954</w:t>
            </w:r>
          </w:p>
        </w:tc>
        <w:tc>
          <w:tcPr>
            <w:tcW w:w="0" w:type="auto"/>
            <w:tcBorders>
              <w:top w:val="nil"/>
              <w:left w:val="nil"/>
              <w:bottom w:val="single" w:sz="4" w:space="0" w:color="auto"/>
              <w:right w:val="single" w:sz="4" w:space="0" w:color="auto"/>
            </w:tcBorders>
            <w:shd w:val="clear" w:color="auto" w:fill="auto"/>
            <w:noWrap/>
            <w:hideMark/>
          </w:tcPr>
          <w:p w14:paraId="244FC71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0.378</w:t>
            </w:r>
          </w:p>
        </w:tc>
        <w:tc>
          <w:tcPr>
            <w:tcW w:w="0" w:type="auto"/>
            <w:tcBorders>
              <w:top w:val="nil"/>
              <w:left w:val="nil"/>
              <w:bottom w:val="single" w:sz="4" w:space="0" w:color="auto"/>
              <w:right w:val="single" w:sz="4" w:space="0" w:color="auto"/>
            </w:tcBorders>
            <w:shd w:val="clear" w:color="auto" w:fill="auto"/>
            <w:noWrap/>
            <w:hideMark/>
          </w:tcPr>
          <w:p w14:paraId="2395EA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0.470</w:t>
            </w:r>
          </w:p>
        </w:tc>
        <w:tc>
          <w:tcPr>
            <w:tcW w:w="0" w:type="auto"/>
            <w:tcBorders>
              <w:top w:val="nil"/>
              <w:left w:val="nil"/>
              <w:bottom w:val="single" w:sz="4" w:space="0" w:color="auto"/>
              <w:right w:val="single" w:sz="4" w:space="0" w:color="auto"/>
            </w:tcBorders>
            <w:shd w:val="clear" w:color="auto" w:fill="auto"/>
            <w:noWrap/>
            <w:hideMark/>
          </w:tcPr>
          <w:p w14:paraId="49557A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0.087</w:t>
            </w:r>
          </w:p>
        </w:tc>
        <w:tc>
          <w:tcPr>
            <w:tcW w:w="0" w:type="auto"/>
            <w:tcBorders>
              <w:top w:val="nil"/>
              <w:left w:val="nil"/>
              <w:bottom w:val="single" w:sz="4" w:space="0" w:color="auto"/>
              <w:right w:val="single" w:sz="4" w:space="0" w:color="auto"/>
            </w:tcBorders>
            <w:shd w:val="clear" w:color="auto" w:fill="auto"/>
            <w:noWrap/>
            <w:hideMark/>
          </w:tcPr>
          <w:p w14:paraId="6F588D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0.375</w:t>
            </w:r>
          </w:p>
        </w:tc>
        <w:tc>
          <w:tcPr>
            <w:tcW w:w="0" w:type="auto"/>
            <w:tcBorders>
              <w:top w:val="nil"/>
              <w:left w:val="nil"/>
              <w:bottom w:val="single" w:sz="4" w:space="0" w:color="auto"/>
              <w:right w:val="single" w:sz="4" w:space="0" w:color="auto"/>
            </w:tcBorders>
            <w:shd w:val="clear" w:color="auto" w:fill="auto"/>
            <w:noWrap/>
            <w:hideMark/>
          </w:tcPr>
          <w:p w14:paraId="3336F1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0.470</w:t>
            </w:r>
          </w:p>
        </w:tc>
        <w:tc>
          <w:tcPr>
            <w:tcW w:w="0" w:type="auto"/>
            <w:tcBorders>
              <w:top w:val="nil"/>
              <w:left w:val="nil"/>
              <w:bottom w:val="single" w:sz="4" w:space="0" w:color="auto"/>
              <w:right w:val="single" w:sz="4" w:space="0" w:color="auto"/>
            </w:tcBorders>
            <w:shd w:val="clear" w:color="auto" w:fill="auto"/>
            <w:noWrap/>
            <w:hideMark/>
          </w:tcPr>
          <w:p w14:paraId="5DD2364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0.437</w:t>
            </w:r>
          </w:p>
        </w:tc>
        <w:tc>
          <w:tcPr>
            <w:tcW w:w="0" w:type="auto"/>
            <w:tcBorders>
              <w:top w:val="nil"/>
              <w:left w:val="nil"/>
              <w:bottom w:val="single" w:sz="4" w:space="0" w:color="auto"/>
              <w:right w:val="single" w:sz="4" w:space="0" w:color="auto"/>
            </w:tcBorders>
            <w:shd w:val="clear" w:color="auto" w:fill="auto"/>
            <w:noWrap/>
            <w:hideMark/>
          </w:tcPr>
          <w:p w14:paraId="6479690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0.299</w:t>
            </w:r>
          </w:p>
        </w:tc>
        <w:tc>
          <w:tcPr>
            <w:tcW w:w="0" w:type="auto"/>
            <w:tcBorders>
              <w:top w:val="nil"/>
              <w:left w:val="nil"/>
              <w:bottom w:val="single" w:sz="4" w:space="0" w:color="auto"/>
              <w:right w:val="single" w:sz="4" w:space="0" w:color="auto"/>
            </w:tcBorders>
            <w:shd w:val="clear" w:color="auto" w:fill="auto"/>
            <w:noWrap/>
            <w:hideMark/>
          </w:tcPr>
          <w:p w14:paraId="20BF41E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0.646</w:t>
            </w:r>
          </w:p>
        </w:tc>
        <w:tc>
          <w:tcPr>
            <w:tcW w:w="0" w:type="auto"/>
            <w:tcBorders>
              <w:top w:val="nil"/>
              <w:left w:val="nil"/>
              <w:bottom w:val="single" w:sz="4" w:space="0" w:color="auto"/>
              <w:right w:val="single" w:sz="4" w:space="0" w:color="auto"/>
            </w:tcBorders>
            <w:shd w:val="clear" w:color="auto" w:fill="auto"/>
            <w:noWrap/>
            <w:hideMark/>
          </w:tcPr>
          <w:p w14:paraId="6451221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0.143</w:t>
            </w:r>
          </w:p>
        </w:tc>
        <w:tc>
          <w:tcPr>
            <w:tcW w:w="0" w:type="auto"/>
            <w:tcBorders>
              <w:top w:val="nil"/>
              <w:left w:val="nil"/>
              <w:bottom w:val="single" w:sz="4" w:space="0" w:color="auto"/>
              <w:right w:val="single" w:sz="4" w:space="0" w:color="auto"/>
            </w:tcBorders>
            <w:shd w:val="clear" w:color="auto" w:fill="auto"/>
            <w:noWrap/>
            <w:hideMark/>
          </w:tcPr>
          <w:p w14:paraId="1796F7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0.701</w:t>
            </w:r>
          </w:p>
        </w:tc>
        <w:tc>
          <w:tcPr>
            <w:tcW w:w="0" w:type="auto"/>
            <w:tcBorders>
              <w:top w:val="nil"/>
              <w:left w:val="nil"/>
              <w:bottom w:val="single" w:sz="4" w:space="0" w:color="auto"/>
              <w:right w:val="single" w:sz="4" w:space="0" w:color="auto"/>
            </w:tcBorders>
            <w:shd w:val="clear" w:color="auto" w:fill="auto"/>
            <w:noWrap/>
            <w:hideMark/>
          </w:tcPr>
          <w:p w14:paraId="1597182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0.425</w:t>
            </w:r>
          </w:p>
        </w:tc>
      </w:tr>
      <w:tr w:rsidR="00943D0A" w:rsidRPr="00144673" w14:paraId="44C1B25F"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BFFBA9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attitude_3</w:t>
            </w:r>
          </w:p>
        </w:tc>
        <w:tc>
          <w:tcPr>
            <w:tcW w:w="0" w:type="auto"/>
            <w:tcBorders>
              <w:top w:val="nil"/>
              <w:left w:val="nil"/>
              <w:bottom w:val="single" w:sz="4" w:space="0" w:color="auto"/>
              <w:right w:val="single" w:sz="4" w:space="0" w:color="auto"/>
            </w:tcBorders>
            <w:shd w:val="clear" w:color="auto" w:fill="auto"/>
            <w:noWrap/>
            <w:hideMark/>
          </w:tcPr>
          <w:p w14:paraId="1CA735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55B31A8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0.329</w:t>
            </w:r>
          </w:p>
        </w:tc>
        <w:tc>
          <w:tcPr>
            <w:tcW w:w="0" w:type="auto"/>
            <w:tcBorders>
              <w:top w:val="nil"/>
              <w:left w:val="nil"/>
              <w:bottom w:val="single" w:sz="4" w:space="0" w:color="auto"/>
              <w:right w:val="single" w:sz="4" w:space="0" w:color="auto"/>
            </w:tcBorders>
            <w:shd w:val="clear" w:color="auto" w:fill="auto"/>
            <w:noWrap/>
            <w:hideMark/>
          </w:tcPr>
          <w:p w14:paraId="530DF9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0.530</w:t>
            </w:r>
          </w:p>
        </w:tc>
        <w:tc>
          <w:tcPr>
            <w:tcW w:w="0" w:type="auto"/>
            <w:tcBorders>
              <w:top w:val="nil"/>
              <w:left w:val="nil"/>
              <w:bottom w:val="single" w:sz="4" w:space="0" w:color="auto"/>
              <w:right w:val="single" w:sz="4" w:space="0" w:color="auto"/>
            </w:tcBorders>
            <w:shd w:val="clear" w:color="auto" w:fill="auto"/>
            <w:noWrap/>
            <w:hideMark/>
          </w:tcPr>
          <w:p w14:paraId="5A32F78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0.531</w:t>
            </w:r>
          </w:p>
        </w:tc>
        <w:tc>
          <w:tcPr>
            <w:tcW w:w="0" w:type="auto"/>
            <w:tcBorders>
              <w:top w:val="nil"/>
              <w:left w:val="nil"/>
              <w:bottom w:val="single" w:sz="4" w:space="0" w:color="auto"/>
              <w:right w:val="single" w:sz="4" w:space="0" w:color="auto"/>
            </w:tcBorders>
            <w:shd w:val="clear" w:color="auto" w:fill="auto"/>
            <w:noWrap/>
            <w:hideMark/>
          </w:tcPr>
          <w:p w14:paraId="704E68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0.933</w:t>
            </w:r>
          </w:p>
        </w:tc>
        <w:tc>
          <w:tcPr>
            <w:tcW w:w="0" w:type="auto"/>
            <w:tcBorders>
              <w:top w:val="nil"/>
              <w:left w:val="nil"/>
              <w:bottom w:val="single" w:sz="4" w:space="0" w:color="auto"/>
              <w:right w:val="single" w:sz="4" w:space="0" w:color="auto"/>
            </w:tcBorders>
            <w:shd w:val="clear" w:color="auto" w:fill="auto"/>
            <w:noWrap/>
            <w:hideMark/>
          </w:tcPr>
          <w:p w14:paraId="0B13B4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0.371</w:t>
            </w:r>
          </w:p>
        </w:tc>
        <w:tc>
          <w:tcPr>
            <w:tcW w:w="0" w:type="auto"/>
            <w:tcBorders>
              <w:top w:val="nil"/>
              <w:left w:val="nil"/>
              <w:bottom w:val="single" w:sz="4" w:space="0" w:color="auto"/>
              <w:right w:val="single" w:sz="4" w:space="0" w:color="auto"/>
            </w:tcBorders>
            <w:shd w:val="clear" w:color="auto" w:fill="auto"/>
            <w:noWrap/>
            <w:hideMark/>
          </w:tcPr>
          <w:p w14:paraId="0E0E0B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0.522</w:t>
            </w:r>
          </w:p>
        </w:tc>
        <w:tc>
          <w:tcPr>
            <w:tcW w:w="0" w:type="auto"/>
            <w:tcBorders>
              <w:top w:val="nil"/>
              <w:left w:val="nil"/>
              <w:bottom w:val="single" w:sz="4" w:space="0" w:color="auto"/>
              <w:right w:val="single" w:sz="4" w:space="0" w:color="auto"/>
            </w:tcBorders>
            <w:shd w:val="clear" w:color="auto" w:fill="auto"/>
            <w:noWrap/>
            <w:hideMark/>
          </w:tcPr>
          <w:p w14:paraId="4BED53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0.108</w:t>
            </w:r>
          </w:p>
        </w:tc>
        <w:tc>
          <w:tcPr>
            <w:tcW w:w="0" w:type="auto"/>
            <w:tcBorders>
              <w:top w:val="nil"/>
              <w:left w:val="nil"/>
              <w:bottom w:val="single" w:sz="4" w:space="0" w:color="auto"/>
              <w:right w:val="single" w:sz="4" w:space="0" w:color="auto"/>
            </w:tcBorders>
            <w:shd w:val="clear" w:color="auto" w:fill="auto"/>
            <w:noWrap/>
            <w:hideMark/>
          </w:tcPr>
          <w:p w14:paraId="6AAFEA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0.394</w:t>
            </w:r>
          </w:p>
        </w:tc>
        <w:tc>
          <w:tcPr>
            <w:tcW w:w="0" w:type="auto"/>
            <w:tcBorders>
              <w:top w:val="nil"/>
              <w:left w:val="nil"/>
              <w:bottom w:val="single" w:sz="4" w:space="0" w:color="auto"/>
              <w:right w:val="single" w:sz="4" w:space="0" w:color="auto"/>
            </w:tcBorders>
            <w:shd w:val="clear" w:color="auto" w:fill="auto"/>
            <w:noWrap/>
            <w:hideMark/>
          </w:tcPr>
          <w:p w14:paraId="79D6CF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0.509</w:t>
            </w:r>
          </w:p>
        </w:tc>
        <w:tc>
          <w:tcPr>
            <w:tcW w:w="0" w:type="auto"/>
            <w:tcBorders>
              <w:top w:val="nil"/>
              <w:left w:val="nil"/>
              <w:bottom w:val="single" w:sz="4" w:space="0" w:color="auto"/>
              <w:right w:val="single" w:sz="4" w:space="0" w:color="auto"/>
            </w:tcBorders>
            <w:shd w:val="clear" w:color="auto" w:fill="auto"/>
            <w:noWrap/>
            <w:hideMark/>
          </w:tcPr>
          <w:p w14:paraId="40DA37F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0.475</w:t>
            </w:r>
          </w:p>
        </w:tc>
        <w:tc>
          <w:tcPr>
            <w:tcW w:w="0" w:type="auto"/>
            <w:tcBorders>
              <w:top w:val="nil"/>
              <w:left w:val="nil"/>
              <w:bottom w:val="single" w:sz="4" w:space="0" w:color="auto"/>
              <w:right w:val="single" w:sz="4" w:space="0" w:color="auto"/>
            </w:tcBorders>
            <w:shd w:val="clear" w:color="auto" w:fill="auto"/>
            <w:noWrap/>
            <w:hideMark/>
          </w:tcPr>
          <w:p w14:paraId="0EA318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0.330</w:t>
            </w:r>
          </w:p>
        </w:tc>
        <w:tc>
          <w:tcPr>
            <w:tcW w:w="0" w:type="auto"/>
            <w:tcBorders>
              <w:top w:val="nil"/>
              <w:left w:val="nil"/>
              <w:bottom w:val="single" w:sz="4" w:space="0" w:color="auto"/>
              <w:right w:val="single" w:sz="4" w:space="0" w:color="auto"/>
            </w:tcBorders>
            <w:shd w:val="clear" w:color="auto" w:fill="auto"/>
            <w:noWrap/>
            <w:hideMark/>
          </w:tcPr>
          <w:p w14:paraId="21FBC1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0.677</w:t>
            </w:r>
          </w:p>
        </w:tc>
        <w:tc>
          <w:tcPr>
            <w:tcW w:w="0" w:type="auto"/>
            <w:tcBorders>
              <w:top w:val="nil"/>
              <w:left w:val="nil"/>
              <w:bottom w:val="single" w:sz="4" w:space="0" w:color="auto"/>
              <w:right w:val="single" w:sz="4" w:space="0" w:color="auto"/>
            </w:tcBorders>
            <w:shd w:val="clear" w:color="auto" w:fill="auto"/>
            <w:noWrap/>
            <w:hideMark/>
          </w:tcPr>
          <w:p w14:paraId="524D42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0.209</w:t>
            </w:r>
          </w:p>
        </w:tc>
        <w:tc>
          <w:tcPr>
            <w:tcW w:w="0" w:type="auto"/>
            <w:tcBorders>
              <w:top w:val="nil"/>
              <w:left w:val="nil"/>
              <w:bottom w:val="single" w:sz="4" w:space="0" w:color="auto"/>
              <w:right w:val="single" w:sz="4" w:space="0" w:color="auto"/>
            </w:tcBorders>
            <w:shd w:val="clear" w:color="auto" w:fill="auto"/>
            <w:noWrap/>
            <w:hideMark/>
          </w:tcPr>
          <w:p w14:paraId="78F189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0.758</w:t>
            </w:r>
          </w:p>
        </w:tc>
        <w:tc>
          <w:tcPr>
            <w:tcW w:w="0" w:type="auto"/>
            <w:tcBorders>
              <w:top w:val="nil"/>
              <w:left w:val="nil"/>
              <w:bottom w:val="single" w:sz="4" w:space="0" w:color="auto"/>
              <w:right w:val="single" w:sz="4" w:space="0" w:color="auto"/>
            </w:tcBorders>
            <w:shd w:val="clear" w:color="auto" w:fill="auto"/>
            <w:noWrap/>
            <w:hideMark/>
          </w:tcPr>
          <w:p w14:paraId="652482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r>
      <w:tr w:rsidR="00943D0A" w:rsidRPr="00144673" w14:paraId="3D69D99F"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5E4C28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attitude_4</w:t>
            </w:r>
          </w:p>
        </w:tc>
        <w:tc>
          <w:tcPr>
            <w:tcW w:w="0" w:type="auto"/>
            <w:tcBorders>
              <w:top w:val="nil"/>
              <w:left w:val="nil"/>
              <w:bottom w:val="single" w:sz="4" w:space="0" w:color="auto"/>
              <w:right w:val="single" w:sz="4" w:space="0" w:color="auto"/>
            </w:tcBorders>
            <w:shd w:val="clear" w:color="auto" w:fill="auto"/>
            <w:noWrap/>
            <w:hideMark/>
          </w:tcPr>
          <w:p w14:paraId="44076A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0.370</w:t>
            </w:r>
          </w:p>
        </w:tc>
        <w:tc>
          <w:tcPr>
            <w:tcW w:w="0" w:type="auto"/>
            <w:tcBorders>
              <w:top w:val="nil"/>
              <w:left w:val="nil"/>
              <w:bottom w:val="single" w:sz="4" w:space="0" w:color="auto"/>
              <w:right w:val="single" w:sz="4" w:space="0" w:color="auto"/>
            </w:tcBorders>
            <w:shd w:val="clear" w:color="auto" w:fill="auto"/>
            <w:noWrap/>
            <w:hideMark/>
          </w:tcPr>
          <w:p w14:paraId="6B92045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0.280</w:t>
            </w:r>
          </w:p>
        </w:tc>
        <w:tc>
          <w:tcPr>
            <w:tcW w:w="0" w:type="auto"/>
            <w:tcBorders>
              <w:top w:val="nil"/>
              <w:left w:val="nil"/>
              <w:bottom w:val="single" w:sz="4" w:space="0" w:color="auto"/>
              <w:right w:val="single" w:sz="4" w:space="0" w:color="auto"/>
            </w:tcBorders>
            <w:shd w:val="clear" w:color="auto" w:fill="auto"/>
            <w:noWrap/>
            <w:hideMark/>
          </w:tcPr>
          <w:p w14:paraId="5BBE63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0.463</w:t>
            </w:r>
          </w:p>
        </w:tc>
        <w:tc>
          <w:tcPr>
            <w:tcW w:w="0" w:type="auto"/>
            <w:tcBorders>
              <w:top w:val="nil"/>
              <w:left w:val="nil"/>
              <w:bottom w:val="single" w:sz="4" w:space="0" w:color="auto"/>
              <w:right w:val="single" w:sz="4" w:space="0" w:color="auto"/>
            </w:tcBorders>
            <w:shd w:val="clear" w:color="auto" w:fill="auto"/>
            <w:noWrap/>
            <w:hideMark/>
          </w:tcPr>
          <w:p w14:paraId="31F1F3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0.466</w:t>
            </w:r>
          </w:p>
        </w:tc>
        <w:tc>
          <w:tcPr>
            <w:tcW w:w="0" w:type="auto"/>
            <w:tcBorders>
              <w:top w:val="nil"/>
              <w:left w:val="nil"/>
              <w:bottom w:val="single" w:sz="4" w:space="0" w:color="auto"/>
              <w:right w:val="single" w:sz="4" w:space="0" w:color="auto"/>
            </w:tcBorders>
            <w:shd w:val="clear" w:color="auto" w:fill="auto"/>
            <w:noWrap/>
            <w:hideMark/>
          </w:tcPr>
          <w:p w14:paraId="2A28947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0.913</w:t>
            </w:r>
          </w:p>
        </w:tc>
        <w:tc>
          <w:tcPr>
            <w:tcW w:w="0" w:type="auto"/>
            <w:tcBorders>
              <w:top w:val="nil"/>
              <w:left w:val="nil"/>
              <w:bottom w:val="single" w:sz="4" w:space="0" w:color="auto"/>
              <w:right w:val="single" w:sz="4" w:space="0" w:color="auto"/>
            </w:tcBorders>
            <w:shd w:val="clear" w:color="auto" w:fill="auto"/>
            <w:noWrap/>
            <w:hideMark/>
          </w:tcPr>
          <w:p w14:paraId="71D51F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0.387</w:t>
            </w:r>
          </w:p>
        </w:tc>
        <w:tc>
          <w:tcPr>
            <w:tcW w:w="0" w:type="auto"/>
            <w:tcBorders>
              <w:top w:val="nil"/>
              <w:left w:val="nil"/>
              <w:bottom w:val="single" w:sz="4" w:space="0" w:color="auto"/>
              <w:right w:val="single" w:sz="4" w:space="0" w:color="auto"/>
            </w:tcBorders>
            <w:shd w:val="clear" w:color="auto" w:fill="auto"/>
            <w:noWrap/>
            <w:hideMark/>
          </w:tcPr>
          <w:p w14:paraId="1822A1C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0.488</w:t>
            </w:r>
          </w:p>
        </w:tc>
        <w:tc>
          <w:tcPr>
            <w:tcW w:w="0" w:type="auto"/>
            <w:tcBorders>
              <w:top w:val="nil"/>
              <w:left w:val="nil"/>
              <w:bottom w:val="single" w:sz="4" w:space="0" w:color="auto"/>
              <w:right w:val="single" w:sz="4" w:space="0" w:color="auto"/>
            </w:tcBorders>
            <w:shd w:val="clear" w:color="auto" w:fill="auto"/>
            <w:noWrap/>
            <w:hideMark/>
          </w:tcPr>
          <w:p w14:paraId="03A48CB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0.087</w:t>
            </w:r>
          </w:p>
        </w:tc>
        <w:tc>
          <w:tcPr>
            <w:tcW w:w="0" w:type="auto"/>
            <w:tcBorders>
              <w:top w:val="nil"/>
              <w:left w:val="nil"/>
              <w:bottom w:val="single" w:sz="4" w:space="0" w:color="auto"/>
              <w:right w:val="single" w:sz="4" w:space="0" w:color="auto"/>
            </w:tcBorders>
            <w:shd w:val="clear" w:color="auto" w:fill="auto"/>
            <w:noWrap/>
            <w:hideMark/>
          </w:tcPr>
          <w:p w14:paraId="5AB5DD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0.361</w:t>
            </w:r>
          </w:p>
        </w:tc>
        <w:tc>
          <w:tcPr>
            <w:tcW w:w="0" w:type="auto"/>
            <w:tcBorders>
              <w:top w:val="nil"/>
              <w:left w:val="nil"/>
              <w:bottom w:val="single" w:sz="4" w:space="0" w:color="auto"/>
              <w:right w:val="single" w:sz="4" w:space="0" w:color="auto"/>
            </w:tcBorders>
            <w:shd w:val="clear" w:color="auto" w:fill="auto"/>
            <w:noWrap/>
            <w:hideMark/>
          </w:tcPr>
          <w:p w14:paraId="0DEE46D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0.399</w:t>
            </w:r>
          </w:p>
        </w:tc>
        <w:tc>
          <w:tcPr>
            <w:tcW w:w="0" w:type="auto"/>
            <w:tcBorders>
              <w:top w:val="nil"/>
              <w:left w:val="nil"/>
              <w:bottom w:val="single" w:sz="4" w:space="0" w:color="auto"/>
              <w:right w:val="single" w:sz="4" w:space="0" w:color="auto"/>
            </w:tcBorders>
            <w:shd w:val="clear" w:color="auto" w:fill="auto"/>
            <w:noWrap/>
            <w:hideMark/>
          </w:tcPr>
          <w:p w14:paraId="092171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0.454</w:t>
            </w:r>
          </w:p>
        </w:tc>
        <w:tc>
          <w:tcPr>
            <w:tcW w:w="0" w:type="auto"/>
            <w:tcBorders>
              <w:top w:val="nil"/>
              <w:left w:val="nil"/>
              <w:bottom w:val="single" w:sz="4" w:space="0" w:color="auto"/>
              <w:right w:val="single" w:sz="4" w:space="0" w:color="auto"/>
            </w:tcBorders>
            <w:shd w:val="clear" w:color="auto" w:fill="auto"/>
            <w:noWrap/>
            <w:hideMark/>
          </w:tcPr>
          <w:p w14:paraId="631AF6F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0.280</w:t>
            </w:r>
          </w:p>
        </w:tc>
        <w:tc>
          <w:tcPr>
            <w:tcW w:w="0" w:type="auto"/>
            <w:tcBorders>
              <w:top w:val="nil"/>
              <w:left w:val="nil"/>
              <w:bottom w:val="single" w:sz="4" w:space="0" w:color="auto"/>
              <w:right w:val="single" w:sz="4" w:space="0" w:color="auto"/>
            </w:tcBorders>
            <w:shd w:val="clear" w:color="auto" w:fill="auto"/>
            <w:noWrap/>
            <w:hideMark/>
          </w:tcPr>
          <w:p w14:paraId="1C824C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0.646</w:t>
            </w:r>
          </w:p>
        </w:tc>
        <w:tc>
          <w:tcPr>
            <w:tcW w:w="0" w:type="auto"/>
            <w:tcBorders>
              <w:top w:val="nil"/>
              <w:left w:val="nil"/>
              <w:bottom w:val="single" w:sz="4" w:space="0" w:color="auto"/>
              <w:right w:val="single" w:sz="4" w:space="0" w:color="auto"/>
            </w:tcBorders>
            <w:shd w:val="clear" w:color="auto" w:fill="auto"/>
            <w:noWrap/>
            <w:hideMark/>
          </w:tcPr>
          <w:p w14:paraId="4DCA6A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0.138</w:t>
            </w:r>
          </w:p>
        </w:tc>
        <w:tc>
          <w:tcPr>
            <w:tcW w:w="0" w:type="auto"/>
            <w:tcBorders>
              <w:top w:val="nil"/>
              <w:left w:val="nil"/>
              <w:bottom w:val="single" w:sz="4" w:space="0" w:color="auto"/>
              <w:right w:val="single" w:sz="4" w:space="0" w:color="auto"/>
            </w:tcBorders>
            <w:shd w:val="clear" w:color="auto" w:fill="auto"/>
            <w:noWrap/>
            <w:hideMark/>
          </w:tcPr>
          <w:p w14:paraId="6953A3C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0.688</w:t>
            </w:r>
          </w:p>
        </w:tc>
        <w:tc>
          <w:tcPr>
            <w:tcW w:w="0" w:type="auto"/>
            <w:tcBorders>
              <w:top w:val="nil"/>
              <w:left w:val="nil"/>
              <w:bottom w:val="single" w:sz="4" w:space="0" w:color="auto"/>
              <w:right w:val="single" w:sz="4" w:space="0" w:color="auto"/>
            </w:tcBorders>
            <w:shd w:val="clear" w:color="auto" w:fill="auto"/>
            <w:noWrap/>
            <w:hideMark/>
          </w:tcPr>
          <w:p w14:paraId="48BE08F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0.391</w:t>
            </w:r>
          </w:p>
        </w:tc>
      </w:tr>
      <w:tr w:rsidR="00943D0A" w:rsidRPr="00144673" w14:paraId="1A26A37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0CE7AF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behaviour_intent_1</w:t>
            </w:r>
          </w:p>
        </w:tc>
        <w:tc>
          <w:tcPr>
            <w:tcW w:w="0" w:type="auto"/>
            <w:tcBorders>
              <w:top w:val="nil"/>
              <w:left w:val="nil"/>
              <w:bottom w:val="single" w:sz="4" w:space="0" w:color="auto"/>
              <w:right w:val="single" w:sz="4" w:space="0" w:color="auto"/>
            </w:tcBorders>
            <w:shd w:val="clear" w:color="auto" w:fill="auto"/>
            <w:noWrap/>
            <w:hideMark/>
          </w:tcPr>
          <w:p w14:paraId="2C4FEC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0.196</w:t>
            </w:r>
          </w:p>
        </w:tc>
        <w:tc>
          <w:tcPr>
            <w:tcW w:w="0" w:type="auto"/>
            <w:tcBorders>
              <w:top w:val="nil"/>
              <w:left w:val="nil"/>
              <w:bottom w:val="single" w:sz="4" w:space="0" w:color="auto"/>
              <w:right w:val="single" w:sz="4" w:space="0" w:color="auto"/>
            </w:tcBorders>
            <w:shd w:val="clear" w:color="auto" w:fill="auto"/>
            <w:noWrap/>
            <w:hideMark/>
          </w:tcPr>
          <w:p w14:paraId="113C98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0.937</w:t>
            </w:r>
          </w:p>
        </w:tc>
        <w:tc>
          <w:tcPr>
            <w:tcW w:w="0" w:type="auto"/>
            <w:tcBorders>
              <w:top w:val="nil"/>
              <w:left w:val="nil"/>
              <w:bottom w:val="single" w:sz="4" w:space="0" w:color="auto"/>
              <w:right w:val="single" w:sz="4" w:space="0" w:color="auto"/>
            </w:tcBorders>
            <w:shd w:val="clear" w:color="auto" w:fill="auto"/>
            <w:noWrap/>
            <w:hideMark/>
          </w:tcPr>
          <w:p w14:paraId="5CC423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0.319</w:t>
            </w:r>
          </w:p>
        </w:tc>
        <w:tc>
          <w:tcPr>
            <w:tcW w:w="0" w:type="auto"/>
            <w:tcBorders>
              <w:top w:val="nil"/>
              <w:left w:val="nil"/>
              <w:bottom w:val="single" w:sz="4" w:space="0" w:color="auto"/>
              <w:right w:val="single" w:sz="4" w:space="0" w:color="auto"/>
            </w:tcBorders>
            <w:shd w:val="clear" w:color="auto" w:fill="auto"/>
            <w:noWrap/>
            <w:hideMark/>
          </w:tcPr>
          <w:p w14:paraId="6BA314C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0.230</w:t>
            </w:r>
          </w:p>
        </w:tc>
        <w:tc>
          <w:tcPr>
            <w:tcW w:w="0" w:type="auto"/>
            <w:tcBorders>
              <w:top w:val="nil"/>
              <w:left w:val="nil"/>
              <w:bottom w:val="single" w:sz="4" w:space="0" w:color="auto"/>
              <w:right w:val="single" w:sz="4" w:space="0" w:color="auto"/>
            </w:tcBorders>
            <w:shd w:val="clear" w:color="auto" w:fill="auto"/>
            <w:noWrap/>
            <w:hideMark/>
          </w:tcPr>
          <w:p w14:paraId="6A614D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0.303</w:t>
            </w:r>
          </w:p>
        </w:tc>
        <w:tc>
          <w:tcPr>
            <w:tcW w:w="0" w:type="auto"/>
            <w:tcBorders>
              <w:top w:val="nil"/>
              <w:left w:val="nil"/>
              <w:bottom w:val="single" w:sz="4" w:space="0" w:color="auto"/>
              <w:right w:val="single" w:sz="4" w:space="0" w:color="auto"/>
            </w:tcBorders>
            <w:shd w:val="clear" w:color="auto" w:fill="auto"/>
            <w:noWrap/>
            <w:hideMark/>
          </w:tcPr>
          <w:p w14:paraId="31D8598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0.154</w:t>
            </w:r>
          </w:p>
        </w:tc>
        <w:tc>
          <w:tcPr>
            <w:tcW w:w="0" w:type="auto"/>
            <w:tcBorders>
              <w:top w:val="nil"/>
              <w:left w:val="nil"/>
              <w:bottom w:val="single" w:sz="4" w:space="0" w:color="auto"/>
              <w:right w:val="single" w:sz="4" w:space="0" w:color="auto"/>
            </w:tcBorders>
            <w:shd w:val="clear" w:color="auto" w:fill="auto"/>
            <w:noWrap/>
            <w:hideMark/>
          </w:tcPr>
          <w:p w14:paraId="53EF83E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0.264</w:t>
            </w:r>
          </w:p>
        </w:tc>
        <w:tc>
          <w:tcPr>
            <w:tcW w:w="0" w:type="auto"/>
            <w:tcBorders>
              <w:top w:val="nil"/>
              <w:left w:val="nil"/>
              <w:bottom w:val="single" w:sz="4" w:space="0" w:color="auto"/>
              <w:right w:val="single" w:sz="4" w:space="0" w:color="auto"/>
            </w:tcBorders>
            <w:shd w:val="clear" w:color="auto" w:fill="auto"/>
            <w:noWrap/>
            <w:hideMark/>
          </w:tcPr>
          <w:p w14:paraId="26A347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-0.023</w:t>
            </w:r>
          </w:p>
        </w:tc>
        <w:tc>
          <w:tcPr>
            <w:tcW w:w="0" w:type="auto"/>
            <w:tcBorders>
              <w:top w:val="nil"/>
              <w:left w:val="nil"/>
              <w:bottom w:val="single" w:sz="4" w:space="0" w:color="auto"/>
              <w:right w:val="single" w:sz="4" w:space="0" w:color="auto"/>
            </w:tcBorders>
            <w:shd w:val="clear" w:color="auto" w:fill="auto"/>
            <w:noWrap/>
            <w:hideMark/>
          </w:tcPr>
          <w:p w14:paraId="610A11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0.161</w:t>
            </w:r>
          </w:p>
        </w:tc>
        <w:tc>
          <w:tcPr>
            <w:tcW w:w="0" w:type="auto"/>
            <w:tcBorders>
              <w:top w:val="nil"/>
              <w:left w:val="nil"/>
              <w:bottom w:val="single" w:sz="4" w:space="0" w:color="auto"/>
              <w:right w:val="single" w:sz="4" w:space="0" w:color="auto"/>
            </w:tcBorders>
            <w:shd w:val="clear" w:color="auto" w:fill="auto"/>
            <w:noWrap/>
            <w:hideMark/>
          </w:tcPr>
          <w:p w14:paraId="5A4993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0.242</w:t>
            </w:r>
          </w:p>
        </w:tc>
        <w:tc>
          <w:tcPr>
            <w:tcW w:w="0" w:type="auto"/>
            <w:tcBorders>
              <w:top w:val="nil"/>
              <w:left w:val="nil"/>
              <w:bottom w:val="single" w:sz="4" w:space="0" w:color="auto"/>
              <w:right w:val="single" w:sz="4" w:space="0" w:color="auto"/>
            </w:tcBorders>
            <w:shd w:val="clear" w:color="auto" w:fill="auto"/>
            <w:noWrap/>
            <w:hideMark/>
          </w:tcPr>
          <w:p w14:paraId="53A79B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5FFBA3C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0.249</w:t>
            </w:r>
          </w:p>
        </w:tc>
        <w:tc>
          <w:tcPr>
            <w:tcW w:w="0" w:type="auto"/>
            <w:tcBorders>
              <w:top w:val="nil"/>
              <w:left w:val="nil"/>
              <w:bottom w:val="single" w:sz="4" w:space="0" w:color="auto"/>
              <w:right w:val="single" w:sz="4" w:space="0" w:color="auto"/>
            </w:tcBorders>
            <w:shd w:val="clear" w:color="auto" w:fill="auto"/>
            <w:noWrap/>
            <w:hideMark/>
          </w:tcPr>
          <w:p w14:paraId="53C674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0.309</w:t>
            </w:r>
          </w:p>
        </w:tc>
        <w:tc>
          <w:tcPr>
            <w:tcW w:w="0" w:type="auto"/>
            <w:tcBorders>
              <w:top w:val="nil"/>
              <w:left w:val="nil"/>
              <w:bottom w:val="single" w:sz="4" w:space="0" w:color="auto"/>
              <w:right w:val="single" w:sz="4" w:space="0" w:color="auto"/>
            </w:tcBorders>
            <w:shd w:val="clear" w:color="auto" w:fill="auto"/>
            <w:noWrap/>
            <w:hideMark/>
          </w:tcPr>
          <w:p w14:paraId="7F7FFF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0.075</w:t>
            </w:r>
          </w:p>
        </w:tc>
        <w:tc>
          <w:tcPr>
            <w:tcW w:w="0" w:type="auto"/>
            <w:tcBorders>
              <w:top w:val="nil"/>
              <w:left w:val="nil"/>
              <w:bottom w:val="single" w:sz="4" w:space="0" w:color="auto"/>
              <w:right w:val="single" w:sz="4" w:space="0" w:color="auto"/>
            </w:tcBorders>
            <w:shd w:val="clear" w:color="auto" w:fill="auto"/>
            <w:noWrap/>
            <w:hideMark/>
          </w:tcPr>
          <w:p w14:paraId="6C7087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0.371</w:t>
            </w:r>
          </w:p>
        </w:tc>
        <w:tc>
          <w:tcPr>
            <w:tcW w:w="0" w:type="auto"/>
            <w:tcBorders>
              <w:top w:val="nil"/>
              <w:left w:val="nil"/>
              <w:bottom w:val="single" w:sz="4" w:space="0" w:color="auto"/>
              <w:right w:val="single" w:sz="4" w:space="0" w:color="auto"/>
            </w:tcBorders>
            <w:shd w:val="clear" w:color="auto" w:fill="auto"/>
            <w:noWrap/>
            <w:hideMark/>
          </w:tcPr>
          <w:p w14:paraId="3407612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0.233</w:t>
            </w:r>
          </w:p>
        </w:tc>
      </w:tr>
      <w:tr w:rsidR="00943D0A" w:rsidRPr="00144673" w14:paraId="329D26D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75A73C2"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behaviour_intent_2</w:t>
            </w:r>
          </w:p>
        </w:tc>
        <w:tc>
          <w:tcPr>
            <w:tcW w:w="0" w:type="auto"/>
            <w:tcBorders>
              <w:top w:val="nil"/>
              <w:left w:val="nil"/>
              <w:bottom w:val="single" w:sz="4" w:space="0" w:color="auto"/>
              <w:right w:val="single" w:sz="4" w:space="0" w:color="auto"/>
            </w:tcBorders>
            <w:shd w:val="clear" w:color="auto" w:fill="auto"/>
            <w:noWrap/>
            <w:hideMark/>
          </w:tcPr>
          <w:p w14:paraId="4417BD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0.214</w:t>
            </w:r>
          </w:p>
        </w:tc>
        <w:tc>
          <w:tcPr>
            <w:tcW w:w="0" w:type="auto"/>
            <w:tcBorders>
              <w:top w:val="nil"/>
              <w:left w:val="nil"/>
              <w:bottom w:val="single" w:sz="4" w:space="0" w:color="auto"/>
              <w:right w:val="single" w:sz="4" w:space="0" w:color="auto"/>
            </w:tcBorders>
            <w:shd w:val="clear" w:color="auto" w:fill="auto"/>
            <w:noWrap/>
            <w:hideMark/>
          </w:tcPr>
          <w:p w14:paraId="5DD3AA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0.935</w:t>
            </w:r>
          </w:p>
        </w:tc>
        <w:tc>
          <w:tcPr>
            <w:tcW w:w="0" w:type="auto"/>
            <w:tcBorders>
              <w:top w:val="nil"/>
              <w:left w:val="nil"/>
              <w:bottom w:val="single" w:sz="4" w:space="0" w:color="auto"/>
              <w:right w:val="single" w:sz="4" w:space="0" w:color="auto"/>
            </w:tcBorders>
            <w:shd w:val="clear" w:color="auto" w:fill="auto"/>
            <w:noWrap/>
            <w:hideMark/>
          </w:tcPr>
          <w:p w14:paraId="1C37396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0.330</w:t>
            </w:r>
          </w:p>
        </w:tc>
        <w:tc>
          <w:tcPr>
            <w:tcW w:w="0" w:type="auto"/>
            <w:tcBorders>
              <w:top w:val="nil"/>
              <w:left w:val="nil"/>
              <w:bottom w:val="single" w:sz="4" w:space="0" w:color="auto"/>
              <w:right w:val="single" w:sz="4" w:space="0" w:color="auto"/>
            </w:tcBorders>
            <w:shd w:val="clear" w:color="auto" w:fill="auto"/>
            <w:noWrap/>
            <w:hideMark/>
          </w:tcPr>
          <w:p w14:paraId="0DA1402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0.242</w:t>
            </w:r>
          </w:p>
        </w:tc>
        <w:tc>
          <w:tcPr>
            <w:tcW w:w="0" w:type="auto"/>
            <w:tcBorders>
              <w:top w:val="nil"/>
              <w:left w:val="nil"/>
              <w:bottom w:val="single" w:sz="4" w:space="0" w:color="auto"/>
              <w:right w:val="single" w:sz="4" w:space="0" w:color="auto"/>
            </w:tcBorders>
            <w:shd w:val="clear" w:color="auto" w:fill="auto"/>
            <w:noWrap/>
            <w:hideMark/>
          </w:tcPr>
          <w:p w14:paraId="7E2763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0.316</w:t>
            </w:r>
          </w:p>
        </w:tc>
        <w:tc>
          <w:tcPr>
            <w:tcW w:w="0" w:type="auto"/>
            <w:tcBorders>
              <w:top w:val="nil"/>
              <w:left w:val="nil"/>
              <w:bottom w:val="single" w:sz="4" w:space="0" w:color="auto"/>
              <w:right w:val="single" w:sz="4" w:space="0" w:color="auto"/>
            </w:tcBorders>
            <w:shd w:val="clear" w:color="auto" w:fill="auto"/>
            <w:noWrap/>
            <w:hideMark/>
          </w:tcPr>
          <w:p w14:paraId="482A841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0.135</w:t>
            </w:r>
          </w:p>
        </w:tc>
        <w:tc>
          <w:tcPr>
            <w:tcW w:w="0" w:type="auto"/>
            <w:tcBorders>
              <w:top w:val="nil"/>
              <w:left w:val="nil"/>
              <w:bottom w:val="single" w:sz="4" w:space="0" w:color="auto"/>
              <w:right w:val="single" w:sz="4" w:space="0" w:color="auto"/>
            </w:tcBorders>
            <w:shd w:val="clear" w:color="auto" w:fill="auto"/>
            <w:noWrap/>
            <w:hideMark/>
          </w:tcPr>
          <w:p w14:paraId="2219F0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0.256</w:t>
            </w:r>
          </w:p>
        </w:tc>
        <w:tc>
          <w:tcPr>
            <w:tcW w:w="0" w:type="auto"/>
            <w:tcBorders>
              <w:top w:val="nil"/>
              <w:left w:val="nil"/>
              <w:bottom w:val="single" w:sz="4" w:space="0" w:color="auto"/>
              <w:right w:val="single" w:sz="4" w:space="0" w:color="auto"/>
            </w:tcBorders>
            <w:shd w:val="clear" w:color="auto" w:fill="auto"/>
            <w:noWrap/>
            <w:hideMark/>
          </w:tcPr>
          <w:p w14:paraId="582B19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0.012</w:t>
            </w:r>
          </w:p>
        </w:tc>
        <w:tc>
          <w:tcPr>
            <w:tcW w:w="0" w:type="auto"/>
            <w:tcBorders>
              <w:top w:val="nil"/>
              <w:left w:val="nil"/>
              <w:bottom w:val="single" w:sz="4" w:space="0" w:color="auto"/>
              <w:right w:val="single" w:sz="4" w:space="0" w:color="auto"/>
            </w:tcBorders>
            <w:shd w:val="clear" w:color="auto" w:fill="auto"/>
            <w:noWrap/>
            <w:hideMark/>
          </w:tcPr>
          <w:p w14:paraId="087BC2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0.141</w:t>
            </w:r>
          </w:p>
        </w:tc>
        <w:tc>
          <w:tcPr>
            <w:tcW w:w="0" w:type="auto"/>
            <w:tcBorders>
              <w:top w:val="nil"/>
              <w:left w:val="nil"/>
              <w:bottom w:val="single" w:sz="4" w:space="0" w:color="auto"/>
              <w:right w:val="single" w:sz="4" w:space="0" w:color="auto"/>
            </w:tcBorders>
            <w:shd w:val="clear" w:color="auto" w:fill="auto"/>
            <w:noWrap/>
            <w:hideMark/>
          </w:tcPr>
          <w:p w14:paraId="0EE034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0.229</w:t>
            </w:r>
          </w:p>
        </w:tc>
        <w:tc>
          <w:tcPr>
            <w:tcW w:w="0" w:type="auto"/>
            <w:tcBorders>
              <w:top w:val="nil"/>
              <w:left w:val="nil"/>
              <w:bottom w:val="single" w:sz="4" w:space="0" w:color="auto"/>
              <w:right w:val="single" w:sz="4" w:space="0" w:color="auto"/>
            </w:tcBorders>
            <w:shd w:val="clear" w:color="auto" w:fill="auto"/>
            <w:noWrap/>
            <w:hideMark/>
          </w:tcPr>
          <w:p w14:paraId="4A57B4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0.198</w:t>
            </w:r>
          </w:p>
        </w:tc>
        <w:tc>
          <w:tcPr>
            <w:tcW w:w="0" w:type="auto"/>
            <w:tcBorders>
              <w:top w:val="nil"/>
              <w:left w:val="nil"/>
              <w:bottom w:val="single" w:sz="4" w:space="0" w:color="auto"/>
              <w:right w:val="single" w:sz="4" w:space="0" w:color="auto"/>
            </w:tcBorders>
            <w:shd w:val="clear" w:color="auto" w:fill="auto"/>
            <w:noWrap/>
            <w:hideMark/>
          </w:tcPr>
          <w:p w14:paraId="21C406D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784748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c>
          <w:tcPr>
            <w:tcW w:w="0" w:type="auto"/>
            <w:tcBorders>
              <w:top w:val="nil"/>
              <w:left w:val="nil"/>
              <w:bottom w:val="single" w:sz="4" w:space="0" w:color="auto"/>
              <w:right w:val="single" w:sz="4" w:space="0" w:color="auto"/>
            </w:tcBorders>
            <w:shd w:val="clear" w:color="auto" w:fill="auto"/>
            <w:noWrap/>
            <w:hideMark/>
          </w:tcPr>
          <w:p w14:paraId="61C029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0.056</w:t>
            </w:r>
          </w:p>
        </w:tc>
        <w:tc>
          <w:tcPr>
            <w:tcW w:w="0" w:type="auto"/>
            <w:tcBorders>
              <w:top w:val="nil"/>
              <w:left w:val="nil"/>
              <w:bottom w:val="single" w:sz="4" w:space="0" w:color="auto"/>
              <w:right w:val="single" w:sz="4" w:space="0" w:color="auto"/>
            </w:tcBorders>
            <w:shd w:val="clear" w:color="auto" w:fill="auto"/>
            <w:noWrap/>
            <w:hideMark/>
          </w:tcPr>
          <w:p w14:paraId="23FE3A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0.338</w:t>
            </w:r>
          </w:p>
        </w:tc>
        <w:tc>
          <w:tcPr>
            <w:tcW w:w="0" w:type="auto"/>
            <w:tcBorders>
              <w:top w:val="nil"/>
              <w:left w:val="nil"/>
              <w:bottom w:val="single" w:sz="4" w:space="0" w:color="auto"/>
              <w:right w:val="single" w:sz="4" w:space="0" w:color="auto"/>
            </w:tcBorders>
            <w:shd w:val="clear" w:color="auto" w:fill="auto"/>
            <w:noWrap/>
            <w:hideMark/>
          </w:tcPr>
          <w:p w14:paraId="6B2983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r>
      <w:tr w:rsidR="00943D0A" w:rsidRPr="00144673" w14:paraId="06936D4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1E6B714"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behaviour_intent_3</w:t>
            </w:r>
          </w:p>
        </w:tc>
        <w:tc>
          <w:tcPr>
            <w:tcW w:w="0" w:type="auto"/>
            <w:tcBorders>
              <w:top w:val="nil"/>
              <w:left w:val="nil"/>
              <w:bottom w:val="single" w:sz="4" w:space="0" w:color="auto"/>
              <w:right w:val="single" w:sz="4" w:space="0" w:color="auto"/>
            </w:tcBorders>
            <w:shd w:val="clear" w:color="auto" w:fill="auto"/>
            <w:noWrap/>
            <w:hideMark/>
          </w:tcPr>
          <w:p w14:paraId="1B0A58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0.129</w:t>
            </w:r>
          </w:p>
        </w:tc>
        <w:tc>
          <w:tcPr>
            <w:tcW w:w="0" w:type="auto"/>
            <w:tcBorders>
              <w:top w:val="nil"/>
              <w:left w:val="nil"/>
              <w:bottom w:val="single" w:sz="4" w:space="0" w:color="auto"/>
              <w:right w:val="single" w:sz="4" w:space="0" w:color="auto"/>
            </w:tcBorders>
            <w:shd w:val="clear" w:color="auto" w:fill="auto"/>
            <w:noWrap/>
            <w:hideMark/>
          </w:tcPr>
          <w:p w14:paraId="770439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0.906</w:t>
            </w:r>
          </w:p>
        </w:tc>
        <w:tc>
          <w:tcPr>
            <w:tcW w:w="0" w:type="auto"/>
            <w:tcBorders>
              <w:top w:val="nil"/>
              <w:left w:val="nil"/>
              <w:bottom w:val="single" w:sz="4" w:space="0" w:color="auto"/>
              <w:right w:val="single" w:sz="4" w:space="0" w:color="auto"/>
            </w:tcBorders>
            <w:shd w:val="clear" w:color="auto" w:fill="auto"/>
            <w:noWrap/>
            <w:hideMark/>
          </w:tcPr>
          <w:p w14:paraId="780E67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0.302</w:t>
            </w:r>
          </w:p>
        </w:tc>
        <w:tc>
          <w:tcPr>
            <w:tcW w:w="0" w:type="auto"/>
            <w:tcBorders>
              <w:top w:val="nil"/>
              <w:left w:val="nil"/>
              <w:bottom w:val="single" w:sz="4" w:space="0" w:color="auto"/>
              <w:right w:val="single" w:sz="4" w:space="0" w:color="auto"/>
            </w:tcBorders>
            <w:shd w:val="clear" w:color="auto" w:fill="auto"/>
            <w:noWrap/>
            <w:hideMark/>
          </w:tcPr>
          <w:p w14:paraId="5BB7557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235644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0.298</w:t>
            </w:r>
          </w:p>
        </w:tc>
        <w:tc>
          <w:tcPr>
            <w:tcW w:w="0" w:type="auto"/>
            <w:tcBorders>
              <w:top w:val="nil"/>
              <w:left w:val="nil"/>
              <w:bottom w:val="single" w:sz="4" w:space="0" w:color="auto"/>
              <w:right w:val="single" w:sz="4" w:space="0" w:color="auto"/>
            </w:tcBorders>
            <w:shd w:val="clear" w:color="auto" w:fill="auto"/>
            <w:noWrap/>
            <w:hideMark/>
          </w:tcPr>
          <w:p w14:paraId="3F9056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0.165</w:t>
            </w:r>
          </w:p>
        </w:tc>
        <w:tc>
          <w:tcPr>
            <w:tcW w:w="0" w:type="auto"/>
            <w:tcBorders>
              <w:top w:val="nil"/>
              <w:left w:val="nil"/>
              <w:bottom w:val="single" w:sz="4" w:space="0" w:color="auto"/>
              <w:right w:val="single" w:sz="4" w:space="0" w:color="auto"/>
            </w:tcBorders>
            <w:shd w:val="clear" w:color="auto" w:fill="auto"/>
            <w:noWrap/>
            <w:hideMark/>
          </w:tcPr>
          <w:p w14:paraId="1F56033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41C64F9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-0.030</w:t>
            </w:r>
          </w:p>
        </w:tc>
        <w:tc>
          <w:tcPr>
            <w:tcW w:w="0" w:type="auto"/>
            <w:tcBorders>
              <w:top w:val="nil"/>
              <w:left w:val="nil"/>
              <w:bottom w:val="single" w:sz="4" w:space="0" w:color="auto"/>
              <w:right w:val="single" w:sz="4" w:space="0" w:color="auto"/>
            </w:tcBorders>
            <w:shd w:val="clear" w:color="auto" w:fill="auto"/>
            <w:noWrap/>
            <w:hideMark/>
          </w:tcPr>
          <w:p w14:paraId="6FE7277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0.133</w:t>
            </w:r>
          </w:p>
        </w:tc>
        <w:tc>
          <w:tcPr>
            <w:tcW w:w="0" w:type="auto"/>
            <w:tcBorders>
              <w:top w:val="nil"/>
              <w:left w:val="nil"/>
              <w:bottom w:val="single" w:sz="4" w:space="0" w:color="auto"/>
              <w:right w:val="single" w:sz="4" w:space="0" w:color="auto"/>
            </w:tcBorders>
            <w:shd w:val="clear" w:color="auto" w:fill="auto"/>
            <w:noWrap/>
            <w:hideMark/>
          </w:tcPr>
          <w:p w14:paraId="11E11B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0.225</w:t>
            </w:r>
          </w:p>
        </w:tc>
        <w:tc>
          <w:tcPr>
            <w:tcW w:w="0" w:type="auto"/>
            <w:tcBorders>
              <w:top w:val="nil"/>
              <w:left w:val="nil"/>
              <w:bottom w:val="single" w:sz="4" w:space="0" w:color="auto"/>
              <w:right w:val="single" w:sz="4" w:space="0" w:color="auto"/>
            </w:tcBorders>
            <w:shd w:val="clear" w:color="auto" w:fill="auto"/>
            <w:noWrap/>
            <w:hideMark/>
          </w:tcPr>
          <w:p w14:paraId="03FB1E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0.191</w:t>
            </w:r>
          </w:p>
        </w:tc>
        <w:tc>
          <w:tcPr>
            <w:tcW w:w="0" w:type="auto"/>
            <w:tcBorders>
              <w:top w:val="nil"/>
              <w:left w:val="nil"/>
              <w:bottom w:val="single" w:sz="4" w:space="0" w:color="auto"/>
              <w:right w:val="single" w:sz="4" w:space="0" w:color="auto"/>
            </w:tcBorders>
            <w:shd w:val="clear" w:color="auto" w:fill="auto"/>
            <w:noWrap/>
            <w:hideMark/>
          </w:tcPr>
          <w:p w14:paraId="53CC6A2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0.200</w:t>
            </w:r>
          </w:p>
        </w:tc>
        <w:tc>
          <w:tcPr>
            <w:tcW w:w="0" w:type="auto"/>
            <w:tcBorders>
              <w:top w:val="nil"/>
              <w:left w:val="nil"/>
              <w:bottom w:val="single" w:sz="4" w:space="0" w:color="auto"/>
              <w:right w:val="single" w:sz="4" w:space="0" w:color="auto"/>
            </w:tcBorders>
            <w:shd w:val="clear" w:color="auto" w:fill="auto"/>
            <w:noWrap/>
            <w:hideMark/>
          </w:tcPr>
          <w:p w14:paraId="64108F5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0.271</w:t>
            </w:r>
          </w:p>
        </w:tc>
        <w:tc>
          <w:tcPr>
            <w:tcW w:w="0" w:type="auto"/>
            <w:tcBorders>
              <w:top w:val="nil"/>
              <w:left w:val="nil"/>
              <w:bottom w:val="single" w:sz="4" w:space="0" w:color="auto"/>
              <w:right w:val="single" w:sz="4" w:space="0" w:color="auto"/>
            </w:tcBorders>
            <w:shd w:val="clear" w:color="auto" w:fill="auto"/>
            <w:noWrap/>
            <w:hideMark/>
          </w:tcPr>
          <w:p w14:paraId="6A56DE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0.001</w:t>
            </w:r>
          </w:p>
        </w:tc>
        <w:tc>
          <w:tcPr>
            <w:tcW w:w="0" w:type="auto"/>
            <w:tcBorders>
              <w:top w:val="nil"/>
              <w:left w:val="nil"/>
              <w:bottom w:val="single" w:sz="4" w:space="0" w:color="auto"/>
              <w:right w:val="single" w:sz="4" w:space="0" w:color="auto"/>
            </w:tcBorders>
            <w:shd w:val="clear" w:color="auto" w:fill="auto"/>
            <w:noWrap/>
            <w:hideMark/>
          </w:tcPr>
          <w:p w14:paraId="21A8B0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0.325</w:t>
            </w:r>
          </w:p>
        </w:tc>
        <w:tc>
          <w:tcPr>
            <w:tcW w:w="0" w:type="auto"/>
            <w:tcBorders>
              <w:top w:val="nil"/>
              <w:left w:val="nil"/>
              <w:bottom w:val="single" w:sz="4" w:space="0" w:color="auto"/>
              <w:right w:val="single" w:sz="4" w:space="0" w:color="auto"/>
            </w:tcBorders>
            <w:shd w:val="clear" w:color="auto" w:fill="auto"/>
            <w:noWrap/>
            <w:hideMark/>
          </w:tcPr>
          <w:p w14:paraId="5F9231F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0.191</w:t>
            </w:r>
          </w:p>
        </w:tc>
      </w:tr>
      <w:tr w:rsidR="00943D0A" w:rsidRPr="00144673" w14:paraId="06A85B8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0D41E7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behaviour_intent_4</w:t>
            </w:r>
          </w:p>
        </w:tc>
        <w:tc>
          <w:tcPr>
            <w:tcW w:w="0" w:type="auto"/>
            <w:tcBorders>
              <w:top w:val="nil"/>
              <w:left w:val="nil"/>
              <w:bottom w:val="single" w:sz="4" w:space="0" w:color="auto"/>
              <w:right w:val="single" w:sz="4" w:space="0" w:color="auto"/>
            </w:tcBorders>
            <w:shd w:val="clear" w:color="auto" w:fill="auto"/>
            <w:noWrap/>
            <w:hideMark/>
          </w:tcPr>
          <w:p w14:paraId="44A2E8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0.253</w:t>
            </w:r>
          </w:p>
        </w:tc>
        <w:tc>
          <w:tcPr>
            <w:tcW w:w="0" w:type="auto"/>
            <w:tcBorders>
              <w:top w:val="nil"/>
              <w:left w:val="nil"/>
              <w:bottom w:val="single" w:sz="4" w:space="0" w:color="auto"/>
              <w:right w:val="single" w:sz="4" w:space="0" w:color="auto"/>
            </w:tcBorders>
            <w:shd w:val="clear" w:color="auto" w:fill="auto"/>
            <w:noWrap/>
            <w:hideMark/>
          </w:tcPr>
          <w:p w14:paraId="38CF5A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0.890</w:t>
            </w:r>
          </w:p>
        </w:tc>
        <w:tc>
          <w:tcPr>
            <w:tcW w:w="0" w:type="auto"/>
            <w:tcBorders>
              <w:top w:val="nil"/>
              <w:left w:val="nil"/>
              <w:bottom w:val="single" w:sz="4" w:space="0" w:color="auto"/>
              <w:right w:val="single" w:sz="4" w:space="0" w:color="auto"/>
            </w:tcBorders>
            <w:shd w:val="clear" w:color="auto" w:fill="auto"/>
            <w:noWrap/>
            <w:hideMark/>
          </w:tcPr>
          <w:p w14:paraId="05D322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0.290</w:t>
            </w:r>
          </w:p>
        </w:tc>
        <w:tc>
          <w:tcPr>
            <w:tcW w:w="0" w:type="auto"/>
            <w:tcBorders>
              <w:top w:val="nil"/>
              <w:left w:val="nil"/>
              <w:bottom w:val="single" w:sz="4" w:space="0" w:color="auto"/>
              <w:right w:val="single" w:sz="4" w:space="0" w:color="auto"/>
            </w:tcBorders>
            <w:shd w:val="clear" w:color="auto" w:fill="auto"/>
            <w:noWrap/>
            <w:hideMark/>
          </w:tcPr>
          <w:p w14:paraId="0FCE4C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0.231</w:t>
            </w:r>
          </w:p>
        </w:tc>
        <w:tc>
          <w:tcPr>
            <w:tcW w:w="0" w:type="auto"/>
            <w:tcBorders>
              <w:top w:val="nil"/>
              <w:left w:val="nil"/>
              <w:bottom w:val="single" w:sz="4" w:space="0" w:color="auto"/>
              <w:right w:val="single" w:sz="4" w:space="0" w:color="auto"/>
            </w:tcBorders>
            <w:shd w:val="clear" w:color="auto" w:fill="auto"/>
            <w:noWrap/>
            <w:hideMark/>
          </w:tcPr>
          <w:p w14:paraId="786152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0.282</w:t>
            </w:r>
          </w:p>
        </w:tc>
        <w:tc>
          <w:tcPr>
            <w:tcW w:w="0" w:type="auto"/>
            <w:tcBorders>
              <w:top w:val="nil"/>
              <w:left w:val="nil"/>
              <w:bottom w:val="single" w:sz="4" w:space="0" w:color="auto"/>
              <w:right w:val="single" w:sz="4" w:space="0" w:color="auto"/>
            </w:tcBorders>
            <w:shd w:val="clear" w:color="auto" w:fill="auto"/>
            <w:noWrap/>
            <w:hideMark/>
          </w:tcPr>
          <w:p w14:paraId="4899AE4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0.148</w:t>
            </w:r>
          </w:p>
        </w:tc>
        <w:tc>
          <w:tcPr>
            <w:tcW w:w="0" w:type="auto"/>
            <w:tcBorders>
              <w:top w:val="nil"/>
              <w:left w:val="nil"/>
              <w:bottom w:val="single" w:sz="4" w:space="0" w:color="auto"/>
              <w:right w:val="single" w:sz="4" w:space="0" w:color="auto"/>
            </w:tcBorders>
            <w:shd w:val="clear" w:color="auto" w:fill="auto"/>
            <w:noWrap/>
            <w:hideMark/>
          </w:tcPr>
          <w:p w14:paraId="4ABFF3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0.308</w:t>
            </w:r>
          </w:p>
        </w:tc>
        <w:tc>
          <w:tcPr>
            <w:tcW w:w="0" w:type="auto"/>
            <w:tcBorders>
              <w:top w:val="nil"/>
              <w:left w:val="nil"/>
              <w:bottom w:val="single" w:sz="4" w:space="0" w:color="auto"/>
              <w:right w:val="single" w:sz="4" w:space="0" w:color="auto"/>
            </w:tcBorders>
            <w:shd w:val="clear" w:color="auto" w:fill="auto"/>
            <w:noWrap/>
            <w:hideMark/>
          </w:tcPr>
          <w:p w14:paraId="40F7B0D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0.009</w:t>
            </w:r>
          </w:p>
        </w:tc>
        <w:tc>
          <w:tcPr>
            <w:tcW w:w="0" w:type="auto"/>
            <w:tcBorders>
              <w:top w:val="nil"/>
              <w:left w:val="nil"/>
              <w:bottom w:val="single" w:sz="4" w:space="0" w:color="auto"/>
              <w:right w:val="single" w:sz="4" w:space="0" w:color="auto"/>
            </w:tcBorders>
            <w:shd w:val="clear" w:color="auto" w:fill="auto"/>
            <w:noWrap/>
            <w:hideMark/>
          </w:tcPr>
          <w:p w14:paraId="794743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0.166</w:t>
            </w:r>
          </w:p>
        </w:tc>
        <w:tc>
          <w:tcPr>
            <w:tcW w:w="0" w:type="auto"/>
            <w:tcBorders>
              <w:top w:val="nil"/>
              <w:left w:val="nil"/>
              <w:bottom w:val="single" w:sz="4" w:space="0" w:color="auto"/>
              <w:right w:val="single" w:sz="4" w:space="0" w:color="auto"/>
            </w:tcBorders>
            <w:shd w:val="clear" w:color="auto" w:fill="auto"/>
            <w:noWrap/>
            <w:hideMark/>
          </w:tcPr>
          <w:p w14:paraId="3DF47B5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0.225</w:t>
            </w:r>
          </w:p>
        </w:tc>
        <w:tc>
          <w:tcPr>
            <w:tcW w:w="0" w:type="auto"/>
            <w:tcBorders>
              <w:top w:val="nil"/>
              <w:left w:val="nil"/>
              <w:bottom w:val="single" w:sz="4" w:space="0" w:color="auto"/>
              <w:right w:val="single" w:sz="4" w:space="0" w:color="auto"/>
            </w:tcBorders>
            <w:shd w:val="clear" w:color="auto" w:fill="auto"/>
            <w:noWrap/>
            <w:hideMark/>
          </w:tcPr>
          <w:p w14:paraId="672C47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28CBF1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0.233</w:t>
            </w:r>
          </w:p>
        </w:tc>
        <w:tc>
          <w:tcPr>
            <w:tcW w:w="0" w:type="auto"/>
            <w:tcBorders>
              <w:top w:val="nil"/>
              <w:left w:val="nil"/>
              <w:bottom w:val="single" w:sz="4" w:space="0" w:color="auto"/>
              <w:right w:val="single" w:sz="4" w:space="0" w:color="auto"/>
            </w:tcBorders>
            <w:shd w:val="clear" w:color="auto" w:fill="auto"/>
            <w:noWrap/>
            <w:hideMark/>
          </w:tcPr>
          <w:p w14:paraId="330BB7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0.326</w:t>
            </w:r>
          </w:p>
        </w:tc>
        <w:tc>
          <w:tcPr>
            <w:tcW w:w="0" w:type="auto"/>
            <w:tcBorders>
              <w:top w:val="nil"/>
              <w:left w:val="nil"/>
              <w:bottom w:val="single" w:sz="4" w:space="0" w:color="auto"/>
              <w:right w:val="single" w:sz="4" w:space="0" w:color="auto"/>
            </w:tcBorders>
            <w:shd w:val="clear" w:color="auto" w:fill="auto"/>
            <w:noWrap/>
            <w:hideMark/>
          </w:tcPr>
          <w:p w14:paraId="63831DD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0.073</w:t>
            </w:r>
          </w:p>
        </w:tc>
        <w:tc>
          <w:tcPr>
            <w:tcW w:w="0" w:type="auto"/>
            <w:tcBorders>
              <w:top w:val="nil"/>
              <w:left w:val="nil"/>
              <w:bottom w:val="single" w:sz="4" w:space="0" w:color="auto"/>
              <w:right w:val="single" w:sz="4" w:space="0" w:color="auto"/>
            </w:tcBorders>
            <w:shd w:val="clear" w:color="auto" w:fill="auto"/>
            <w:noWrap/>
            <w:hideMark/>
          </w:tcPr>
          <w:p w14:paraId="381DD0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0.388</w:t>
            </w:r>
          </w:p>
        </w:tc>
        <w:tc>
          <w:tcPr>
            <w:tcW w:w="0" w:type="auto"/>
            <w:tcBorders>
              <w:top w:val="nil"/>
              <w:left w:val="nil"/>
              <w:bottom w:val="single" w:sz="4" w:space="0" w:color="auto"/>
              <w:right w:val="single" w:sz="4" w:space="0" w:color="auto"/>
            </w:tcBorders>
            <w:shd w:val="clear" w:color="auto" w:fill="auto"/>
            <w:noWrap/>
            <w:hideMark/>
          </w:tcPr>
          <w:p w14:paraId="6ACAF1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0.216</w:t>
            </w:r>
          </w:p>
        </w:tc>
      </w:tr>
      <w:tr w:rsidR="00943D0A" w:rsidRPr="00144673" w14:paraId="1738BE32"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3CC976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behaviour_intent_5</w:t>
            </w:r>
          </w:p>
        </w:tc>
        <w:tc>
          <w:tcPr>
            <w:tcW w:w="0" w:type="auto"/>
            <w:tcBorders>
              <w:top w:val="nil"/>
              <w:left w:val="nil"/>
              <w:bottom w:val="single" w:sz="4" w:space="0" w:color="auto"/>
              <w:right w:val="single" w:sz="4" w:space="0" w:color="auto"/>
            </w:tcBorders>
            <w:shd w:val="clear" w:color="auto" w:fill="auto"/>
            <w:noWrap/>
            <w:hideMark/>
          </w:tcPr>
          <w:p w14:paraId="5AD9DF5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0.115</w:t>
            </w:r>
          </w:p>
        </w:tc>
        <w:tc>
          <w:tcPr>
            <w:tcW w:w="0" w:type="auto"/>
            <w:tcBorders>
              <w:top w:val="nil"/>
              <w:left w:val="nil"/>
              <w:bottom w:val="single" w:sz="4" w:space="0" w:color="auto"/>
              <w:right w:val="single" w:sz="4" w:space="0" w:color="auto"/>
            </w:tcBorders>
            <w:shd w:val="clear" w:color="auto" w:fill="auto"/>
            <w:noWrap/>
            <w:hideMark/>
          </w:tcPr>
          <w:p w14:paraId="735A66B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0.733</w:t>
            </w:r>
          </w:p>
        </w:tc>
        <w:tc>
          <w:tcPr>
            <w:tcW w:w="0" w:type="auto"/>
            <w:tcBorders>
              <w:top w:val="nil"/>
              <w:left w:val="nil"/>
              <w:bottom w:val="single" w:sz="4" w:space="0" w:color="auto"/>
              <w:right w:val="single" w:sz="4" w:space="0" w:color="auto"/>
            </w:tcBorders>
            <w:shd w:val="clear" w:color="auto" w:fill="auto"/>
            <w:noWrap/>
            <w:hideMark/>
          </w:tcPr>
          <w:p w14:paraId="6E2397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0.229</w:t>
            </w:r>
          </w:p>
        </w:tc>
        <w:tc>
          <w:tcPr>
            <w:tcW w:w="0" w:type="auto"/>
            <w:tcBorders>
              <w:top w:val="nil"/>
              <w:left w:val="nil"/>
              <w:bottom w:val="single" w:sz="4" w:space="0" w:color="auto"/>
              <w:right w:val="single" w:sz="4" w:space="0" w:color="auto"/>
            </w:tcBorders>
            <w:shd w:val="clear" w:color="auto" w:fill="auto"/>
            <w:noWrap/>
            <w:hideMark/>
          </w:tcPr>
          <w:p w14:paraId="667ECB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0.217</w:t>
            </w:r>
          </w:p>
        </w:tc>
        <w:tc>
          <w:tcPr>
            <w:tcW w:w="0" w:type="auto"/>
            <w:tcBorders>
              <w:top w:val="nil"/>
              <w:left w:val="nil"/>
              <w:bottom w:val="single" w:sz="4" w:space="0" w:color="auto"/>
              <w:right w:val="single" w:sz="4" w:space="0" w:color="auto"/>
            </w:tcBorders>
            <w:shd w:val="clear" w:color="auto" w:fill="auto"/>
            <w:noWrap/>
            <w:hideMark/>
          </w:tcPr>
          <w:p w14:paraId="294BE6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0.269</w:t>
            </w:r>
          </w:p>
        </w:tc>
        <w:tc>
          <w:tcPr>
            <w:tcW w:w="0" w:type="auto"/>
            <w:tcBorders>
              <w:top w:val="nil"/>
              <w:left w:val="nil"/>
              <w:bottom w:val="single" w:sz="4" w:space="0" w:color="auto"/>
              <w:right w:val="single" w:sz="4" w:space="0" w:color="auto"/>
            </w:tcBorders>
            <w:shd w:val="clear" w:color="auto" w:fill="auto"/>
            <w:noWrap/>
            <w:hideMark/>
          </w:tcPr>
          <w:p w14:paraId="5FE14B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0.069</w:t>
            </w:r>
          </w:p>
        </w:tc>
        <w:tc>
          <w:tcPr>
            <w:tcW w:w="0" w:type="auto"/>
            <w:tcBorders>
              <w:top w:val="nil"/>
              <w:left w:val="nil"/>
              <w:bottom w:val="single" w:sz="4" w:space="0" w:color="auto"/>
              <w:right w:val="single" w:sz="4" w:space="0" w:color="auto"/>
            </w:tcBorders>
            <w:shd w:val="clear" w:color="auto" w:fill="auto"/>
            <w:noWrap/>
            <w:hideMark/>
          </w:tcPr>
          <w:p w14:paraId="610C7E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0.156</w:t>
            </w:r>
          </w:p>
        </w:tc>
        <w:tc>
          <w:tcPr>
            <w:tcW w:w="0" w:type="auto"/>
            <w:tcBorders>
              <w:top w:val="nil"/>
              <w:left w:val="nil"/>
              <w:bottom w:val="single" w:sz="4" w:space="0" w:color="auto"/>
              <w:right w:val="single" w:sz="4" w:space="0" w:color="auto"/>
            </w:tcBorders>
            <w:shd w:val="clear" w:color="auto" w:fill="auto"/>
            <w:noWrap/>
            <w:hideMark/>
          </w:tcPr>
          <w:p w14:paraId="376430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0.054</w:t>
            </w:r>
          </w:p>
        </w:tc>
        <w:tc>
          <w:tcPr>
            <w:tcW w:w="0" w:type="auto"/>
            <w:tcBorders>
              <w:top w:val="nil"/>
              <w:left w:val="nil"/>
              <w:bottom w:val="single" w:sz="4" w:space="0" w:color="auto"/>
              <w:right w:val="single" w:sz="4" w:space="0" w:color="auto"/>
            </w:tcBorders>
            <w:shd w:val="clear" w:color="auto" w:fill="auto"/>
            <w:noWrap/>
            <w:hideMark/>
          </w:tcPr>
          <w:p w14:paraId="19AF0C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0.063</w:t>
            </w:r>
          </w:p>
        </w:tc>
        <w:tc>
          <w:tcPr>
            <w:tcW w:w="0" w:type="auto"/>
            <w:tcBorders>
              <w:top w:val="nil"/>
              <w:left w:val="nil"/>
              <w:bottom w:val="single" w:sz="4" w:space="0" w:color="auto"/>
              <w:right w:val="single" w:sz="4" w:space="0" w:color="auto"/>
            </w:tcBorders>
            <w:shd w:val="clear" w:color="auto" w:fill="auto"/>
            <w:noWrap/>
            <w:hideMark/>
          </w:tcPr>
          <w:p w14:paraId="6B776B3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5F59123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0.203</w:t>
            </w:r>
          </w:p>
        </w:tc>
        <w:tc>
          <w:tcPr>
            <w:tcW w:w="0" w:type="auto"/>
            <w:tcBorders>
              <w:top w:val="nil"/>
              <w:left w:val="nil"/>
              <w:bottom w:val="single" w:sz="4" w:space="0" w:color="auto"/>
              <w:right w:val="single" w:sz="4" w:space="0" w:color="auto"/>
            </w:tcBorders>
            <w:shd w:val="clear" w:color="auto" w:fill="auto"/>
            <w:noWrap/>
            <w:hideMark/>
          </w:tcPr>
          <w:p w14:paraId="771DB8B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0.250</w:t>
            </w:r>
          </w:p>
        </w:tc>
        <w:tc>
          <w:tcPr>
            <w:tcW w:w="0" w:type="auto"/>
            <w:tcBorders>
              <w:top w:val="nil"/>
              <w:left w:val="nil"/>
              <w:bottom w:val="single" w:sz="4" w:space="0" w:color="auto"/>
              <w:right w:val="single" w:sz="4" w:space="0" w:color="auto"/>
            </w:tcBorders>
            <w:shd w:val="clear" w:color="auto" w:fill="auto"/>
            <w:noWrap/>
            <w:hideMark/>
          </w:tcPr>
          <w:p w14:paraId="4A43A5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0.236</w:t>
            </w:r>
          </w:p>
        </w:tc>
        <w:tc>
          <w:tcPr>
            <w:tcW w:w="0" w:type="auto"/>
            <w:tcBorders>
              <w:top w:val="nil"/>
              <w:left w:val="nil"/>
              <w:bottom w:val="single" w:sz="4" w:space="0" w:color="auto"/>
              <w:right w:val="single" w:sz="4" w:space="0" w:color="auto"/>
            </w:tcBorders>
            <w:shd w:val="clear" w:color="auto" w:fill="auto"/>
            <w:noWrap/>
            <w:hideMark/>
          </w:tcPr>
          <w:p w14:paraId="203531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0.041</w:t>
            </w:r>
          </w:p>
        </w:tc>
        <w:tc>
          <w:tcPr>
            <w:tcW w:w="0" w:type="auto"/>
            <w:tcBorders>
              <w:top w:val="nil"/>
              <w:left w:val="nil"/>
              <w:bottom w:val="single" w:sz="4" w:space="0" w:color="auto"/>
              <w:right w:val="single" w:sz="4" w:space="0" w:color="auto"/>
            </w:tcBorders>
            <w:shd w:val="clear" w:color="auto" w:fill="auto"/>
            <w:noWrap/>
            <w:hideMark/>
          </w:tcPr>
          <w:p w14:paraId="33C4876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158B2C8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0.188</w:t>
            </w:r>
          </w:p>
        </w:tc>
      </w:tr>
      <w:tr w:rsidR="00943D0A" w:rsidRPr="00144673" w14:paraId="73F920F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6E534A4"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behaviour_intent_6</w:t>
            </w:r>
          </w:p>
        </w:tc>
        <w:tc>
          <w:tcPr>
            <w:tcW w:w="0" w:type="auto"/>
            <w:tcBorders>
              <w:top w:val="nil"/>
              <w:left w:val="nil"/>
              <w:bottom w:val="single" w:sz="4" w:space="0" w:color="auto"/>
              <w:right w:val="single" w:sz="4" w:space="0" w:color="auto"/>
            </w:tcBorders>
            <w:shd w:val="clear" w:color="auto" w:fill="auto"/>
            <w:noWrap/>
            <w:hideMark/>
          </w:tcPr>
          <w:p w14:paraId="5221656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0.256</w:t>
            </w:r>
          </w:p>
        </w:tc>
        <w:tc>
          <w:tcPr>
            <w:tcW w:w="0" w:type="auto"/>
            <w:tcBorders>
              <w:top w:val="nil"/>
              <w:left w:val="nil"/>
              <w:bottom w:val="single" w:sz="4" w:space="0" w:color="auto"/>
              <w:right w:val="single" w:sz="4" w:space="0" w:color="auto"/>
            </w:tcBorders>
            <w:shd w:val="clear" w:color="auto" w:fill="auto"/>
            <w:noWrap/>
            <w:hideMark/>
          </w:tcPr>
          <w:p w14:paraId="663CC52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0.918</w:t>
            </w:r>
          </w:p>
        </w:tc>
        <w:tc>
          <w:tcPr>
            <w:tcW w:w="0" w:type="auto"/>
            <w:tcBorders>
              <w:top w:val="nil"/>
              <w:left w:val="nil"/>
              <w:bottom w:val="single" w:sz="4" w:space="0" w:color="auto"/>
              <w:right w:val="single" w:sz="4" w:space="0" w:color="auto"/>
            </w:tcBorders>
            <w:shd w:val="clear" w:color="auto" w:fill="auto"/>
            <w:noWrap/>
            <w:hideMark/>
          </w:tcPr>
          <w:p w14:paraId="4464A96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c>
          <w:tcPr>
            <w:tcW w:w="0" w:type="auto"/>
            <w:tcBorders>
              <w:top w:val="nil"/>
              <w:left w:val="nil"/>
              <w:bottom w:val="single" w:sz="4" w:space="0" w:color="auto"/>
              <w:right w:val="single" w:sz="4" w:space="0" w:color="auto"/>
            </w:tcBorders>
            <w:shd w:val="clear" w:color="auto" w:fill="auto"/>
            <w:noWrap/>
            <w:hideMark/>
          </w:tcPr>
          <w:p w14:paraId="64C4E4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0.252</w:t>
            </w:r>
          </w:p>
        </w:tc>
        <w:tc>
          <w:tcPr>
            <w:tcW w:w="0" w:type="auto"/>
            <w:tcBorders>
              <w:top w:val="nil"/>
              <w:left w:val="nil"/>
              <w:bottom w:val="single" w:sz="4" w:space="0" w:color="auto"/>
              <w:right w:val="single" w:sz="4" w:space="0" w:color="auto"/>
            </w:tcBorders>
            <w:shd w:val="clear" w:color="auto" w:fill="auto"/>
            <w:noWrap/>
            <w:hideMark/>
          </w:tcPr>
          <w:p w14:paraId="708313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0.334</w:t>
            </w:r>
          </w:p>
        </w:tc>
        <w:tc>
          <w:tcPr>
            <w:tcW w:w="0" w:type="auto"/>
            <w:tcBorders>
              <w:top w:val="nil"/>
              <w:left w:val="nil"/>
              <w:bottom w:val="single" w:sz="4" w:space="0" w:color="auto"/>
              <w:right w:val="single" w:sz="4" w:space="0" w:color="auto"/>
            </w:tcBorders>
            <w:shd w:val="clear" w:color="auto" w:fill="auto"/>
            <w:noWrap/>
            <w:hideMark/>
          </w:tcPr>
          <w:p w14:paraId="6FA25F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0.149</w:t>
            </w:r>
          </w:p>
        </w:tc>
        <w:tc>
          <w:tcPr>
            <w:tcW w:w="0" w:type="auto"/>
            <w:tcBorders>
              <w:top w:val="nil"/>
              <w:left w:val="nil"/>
              <w:bottom w:val="single" w:sz="4" w:space="0" w:color="auto"/>
              <w:right w:val="single" w:sz="4" w:space="0" w:color="auto"/>
            </w:tcBorders>
            <w:shd w:val="clear" w:color="auto" w:fill="auto"/>
            <w:noWrap/>
            <w:hideMark/>
          </w:tcPr>
          <w:p w14:paraId="4342DAD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0.306</w:t>
            </w:r>
          </w:p>
        </w:tc>
        <w:tc>
          <w:tcPr>
            <w:tcW w:w="0" w:type="auto"/>
            <w:tcBorders>
              <w:top w:val="nil"/>
              <w:left w:val="nil"/>
              <w:bottom w:val="single" w:sz="4" w:space="0" w:color="auto"/>
              <w:right w:val="single" w:sz="4" w:space="0" w:color="auto"/>
            </w:tcBorders>
            <w:shd w:val="clear" w:color="auto" w:fill="auto"/>
            <w:noWrap/>
            <w:hideMark/>
          </w:tcPr>
          <w:p w14:paraId="76D19AE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0.002</w:t>
            </w:r>
          </w:p>
        </w:tc>
        <w:tc>
          <w:tcPr>
            <w:tcW w:w="0" w:type="auto"/>
            <w:tcBorders>
              <w:top w:val="nil"/>
              <w:left w:val="nil"/>
              <w:bottom w:val="single" w:sz="4" w:space="0" w:color="auto"/>
              <w:right w:val="single" w:sz="4" w:space="0" w:color="auto"/>
            </w:tcBorders>
            <w:shd w:val="clear" w:color="auto" w:fill="auto"/>
            <w:noWrap/>
            <w:hideMark/>
          </w:tcPr>
          <w:p w14:paraId="623090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0.169</w:t>
            </w:r>
          </w:p>
        </w:tc>
        <w:tc>
          <w:tcPr>
            <w:tcW w:w="0" w:type="auto"/>
            <w:tcBorders>
              <w:top w:val="nil"/>
              <w:left w:val="nil"/>
              <w:bottom w:val="single" w:sz="4" w:space="0" w:color="auto"/>
              <w:right w:val="single" w:sz="4" w:space="0" w:color="auto"/>
            </w:tcBorders>
            <w:shd w:val="clear" w:color="auto" w:fill="auto"/>
            <w:noWrap/>
            <w:hideMark/>
          </w:tcPr>
          <w:p w14:paraId="7C1E66B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355695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0.246</w:t>
            </w:r>
          </w:p>
        </w:tc>
        <w:tc>
          <w:tcPr>
            <w:tcW w:w="0" w:type="auto"/>
            <w:tcBorders>
              <w:top w:val="nil"/>
              <w:left w:val="nil"/>
              <w:bottom w:val="single" w:sz="4" w:space="0" w:color="auto"/>
              <w:right w:val="single" w:sz="4" w:space="0" w:color="auto"/>
            </w:tcBorders>
            <w:shd w:val="clear" w:color="auto" w:fill="auto"/>
            <w:noWrap/>
            <w:hideMark/>
          </w:tcPr>
          <w:p w14:paraId="55B708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0.261</w:t>
            </w:r>
          </w:p>
        </w:tc>
        <w:tc>
          <w:tcPr>
            <w:tcW w:w="0" w:type="auto"/>
            <w:tcBorders>
              <w:top w:val="nil"/>
              <w:left w:val="nil"/>
              <w:bottom w:val="single" w:sz="4" w:space="0" w:color="auto"/>
              <w:right w:val="single" w:sz="4" w:space="0" w:color="auto"/>
            </w:tcBorders>
            <w:shd w:val="clear" w:color="auto" w:fill="auto"/>
            <w:noWrap/>
            <w:hideMark/>
          </w:tcPr>
          <w:p w14:paraId="69D757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0.323</w:t>
            </w:r>
          </w:p>
        </w:tc>
        <w:tc>
          <w:tcPr>
            <w:tcW w:w="0" w:type="auto"/>
            <w:tcBorders>
              <w:top w:val="nil"/>
              <w:left w:val="nil"/>
              <w:bottom w:val="single" w:sz="4" w:space="0" w:color="auto"/>
              <w:right w:val="single" w:sz="4" w:space="0" w:color="auto"/>
            </w:tcBorders>
            <w:shd w:val="clear" w:color="auto" w:fill="auto"/>
            <w:noWrap/>
            <w:hideMark/>
          </w:tcPr>
          <w:p w14:paraId="053B70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0.118</w:t>
            </w:r>
          </w:p>
        </w:tc>
        <w:tc>
          <w:tcPr>
            <w:tcW w:w="0" w:type="auto"/>
            <w:tcBorders>
              <w:top w:val="nil"/>
              <w:left w:val="nil"/>
              <w:bottom w:val="single" w:sz="4" w:space="0" w:color="auto"/>
              <w:right w:val="single" w:sz="4" w:space="0" w:color="auto"/>
            </w:tcBorders>
            <w:shd w:val="clear" w:color="auto" w:fill="auto"/>
            <w:noWrap/>
            <w:hideMark/>
          </w:tcPr>
          <w:p w14:paraId="5468B1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0.381</w:t>
            </w:r>
          </w:p>
        </w:tc>
        <w:tc>
          <w:tcPr>
            <w:tcW w:w="0" w:type="auto"/>
            <w:tcBorders>
              <w:top w:val="nil"/>
              <w:left w:val="nil"/>
              <w:bottom w:val="single" w:sz="4" w:space="0" w:color="auto"/>
              <w:right w:val="single" w:sz="4" w:space="0" w:color="auto"/>
            </w:tcBorders>
            <w:shd w:val="clear" w:color="auto" w:fill="auto"/>
            <w:noWrap/>
            <w:hideMark/>
          </w:tcPr>
          <w:p w14:paraId="4F7FC6C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r>
      <w:tr w:rsidR="00943D0A" w:rsidRPr="00144673" w14:paraId="2BE7AABC"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772CD2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coff_purce_intent_1</w:t>
            </w:r>
          </w:p>
        </w:tc>
        <w:tc>
          <w:tcPr>
            <w:tcW w:w="0" w:type="auto"/>
            <w:tcBorders>
              <w:top w:val="nil"/>
              <w:left w:val="nil"/>
              <w:bottom w:val="single" w:sz="4" w:space="0" w:color="auto"/>
              <w:right w:val="single" w:sz="4" w:space="0" w:color="auto"/>
            </w:tcBorders>
            <w:shd w:val="clear" w:color="auto" w:fill="auto"/>
            <w:noWrap/>
            <w:hideMark/>
          </w:tcPr>
          <w:p w14:paraId="4A34D27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0.507</w:t>
            </w:r>
          </w:p>
        </w:tc>
        <w:tc>
          <w:tcPr>
            <w:tcW w:w="0" w:type="auto"/>
            <w:tcBorders>
              <w:top w:val="nil"/>
              <w:left w:val="nil"/>
              <w:bottom w:val="single" w:sz="4" w:space="0" w:color="auto"/>
              <w:right w:val="single" w:sz="4" w:space="0" w:color="auto"/>
            </w:tcBorders>
            <w:shd w:val="clear" w:color="auto" w:fill="auto"/>
            <w:noWrap/>
            <w:hideMark/>
          </w:tcPr>
          <w:p w14:paraId="677A16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0.311</w:t>
            </w:r>
          </w:p>
        </w:tc>
        <w:tc>
          <w:tcPr>
            <w:tcW w:w="0" w:type="auto"/>
            <w:tcBorders>
              <w:top w:val="nil"/>
              <w:left w:val="nil"/>
              <w:bottom w:val="single" w:sz="4" w:space="0" w:color="auto"/>
              <w:right w:val="single" w:sz="4" w:space="0" w:color="auto"/>
            </w:tcBorders>
            <w:shd w:val="clear" w:color="auto" w:fill="auto"/>
            <w:noWrap/>
            <w:hideMark/>
          </w:tcPr>
          <w:p w14:paraId="51B4E0A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0.929</w:t>
            </w:r>
          </w:p>
        </w:tc>
        <w:tc>
          <w:tcPr>
            <w:tcW w:w="0" w:type="auto"/>
            <w:tcBorders>
              <w:top w:val="nil"/>
              <w:left w:val="nil"/>
              <w:bottom w:val="single" w:sz="4" w:space="0" w:color="auto"/>
              <w:right w:val="single" w:sz="4" w:space="0" w:color="auto"/>
            </w:tcBorders>
            <w:shd w:val="clear" w:color="auto" w:fill="auto"/>
            <w:noWrap/>
            <w:hideMark/>
          </w:tcPr>
          <w:p w14:paraId="231C52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0.586</w:t>
            </w:r>
          </w:p>
        </w:tc>
        <w:tc>
          <w:tcPr>
            <w:tcW w:w="0" w:type="auto"/>
            <w:tcBorders>
              <w:top w:val="nil"/>
              <w:left w:val="nil"/>
              <w:bottom w:val="single" w:sz="4" w:space="0" w:color="auto"/>
              <w:right w:val="single" w:sz="4" w:space="0" w:color="auto"/>
            </w:tcBorders>
            <w:shd w:val="clear" w:color="auto" w:fill="auto"/>
            <w:noWrap/>
            <w:hideMark/>
          </w:tcPr>
          <w:p w14:paraId="10A7D32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0.505</w:t>
            </w:r>
          </w:p>
        </w:tc>
        <w:tc>
          <w:tcPr>
            <w:tcW w:w="0" w:type="auto"/>
            <w:tcBorders>
              <w:top w:val="nil"/>
              <w:left w:val="nil"/>
              <w:bottom w:val="single" w:sz="4" w:space="0" w:color="auto"/>
              <w:right w:val="single" w:sz="4" w:space="0" w:color="auto"/>
            </w:tcBorders>
            <w:shd w:val="clear" w:color="auto" w:fill="auto"/>
            <w:noWrap/>
            <w:hideMark/>
          </w:tcPr>
          <w:p w14:paraId="115D52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0.323</w:t>
            </w:r>
          </w:p>
        </w:tc>
        <w:tc>
          <w:tcPr>
            <w:tcW w:w="0" w:type="auto"/>
            <w:tcBorders>
              <w:top w:val="nil"/>
              <w:left w:val="nil"/>
              <w:bottom w:val="single" w:sz="4" w:space="0" w:color="auto"/>
              <w:right w:val="single" w:sz="4" w:space="0" w:color="auto"/>
            </w:tcBorders>
            <w:shd w:val="clear" w:color="auto" w:fill="auto"/>
            <w:noWrap/>
            <w:hideMark/>
          </w:tcPr>
          <w:p w14:paraId="4430A4D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0.580</w:t>
            </w:r>
          </w:p>
        </w:tc>
        <w:tc>
          <w:tcPr>
            <w:tcW w:w="0" w:type="auto"/>
            <w:tcBorders>
              <w:top w:val="nil"/>
              <w:left w:val="nil"/>
              <w:bottom w:val="single" w:sz="4" w:space="0" w:color="auto"/>
              <w:right w:val="single" w:sz="4" w:space="0" w:color="auto"/>
            </w:tcBorders>
            <w:shd w:val="clear" w:color="auto" w:fill="auto"/>
            <w:noWrap/>
            <w:hideMark/>
          </w:tcPr>
          <w:p w14:paraId="1931E7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0.152</w:t>
            </w:r>
          </w:p>
        </w:tc>
        <w:tc>
          <w:tcPr>
            <w:tcW w:w="0" w:type="auto"/>
            <w:tcBorders>
              <w:top w:val="nil"/>
              <w:left w:val="nil"/>
              <w:bottom w:val="single" w:sz="4" w:space="0" w:color="auto"/>
              <w:right w:val="single" w:sz="4" w:space="0" w:color="auto"/>
            </w:tcBorders>
            <w:shd w:val="clear" w:color="auto" w:fill="auto"/>
            <w:noWrap/>
            <w:hideMark/>
          </w:tcPr>
          <w:p w14:paraId="2A897B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0.400</w:t>
            </w:r>
          </w:p>
        </w:tc>
        <w:tc>
          <w:tcPr>
            <w:tcW w:w="0" w:type="auto"/>
            <w:tcBorders>
              <w:top w:val="nil"/>
              <w:left w:val="nil"/>
              <w:bottom w:val="single" w:sz="4" w:space="0" w:color="auto"/>
              <w:right w:val="single" w:sz="4" w:space="0" w:color="auto"/>
            </w:tcBorders>
            <w:shd w:val="clear" w:color="auto" w:fill="auto"/>
            <w:noWrap/>
            <w:hideMark/>
          </w:tcPr>
          <w:p w14:paraId="77596AB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0.462</w:t>
            </w:r>
          </w:p>
        </w:tc>
        <w:tc>
          <w:tcPr>
            <w:tcW w:w="0" w:type="auto"/>
            <w:tcBorders>
              <w:top w:val="nil"/>
              <w:left w:val="nil"/>
              <w:bottom w:val="single" w:sz="4" w:space="0" w:color="auto"/>
              <w:right w:val="single" w:sz="4" w:space="0" w:color="auto"/>
            </w:tcBorders>
            <w:shd w:val="clear" w:color="auto" w:fill="auto"/>
            <w:noWrap/>
            <w:hideMark/>
          </w:tcPr>
          <w:p w14:paraId="3C5FDF6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0.545</w:t>
            </w:r>
          </w:p>
        </w:tc>
        <w:tc>
          <w:tcPr>
            <w:tcW w:w="0" w:type="auto"/>
            <w:tcBorders>
              <w:top w:val="nil"/>
              <w:left w:val="nil"/>
              <w:bottom w:val="single" w:sz="4" w:space="0" w:color="auto"/>
              <w:right w:val="single" w:sz="4" w:space="0" w:color="auto"/>
            </w:tcBorders>
            <w:shd w:val="clear" w:color="auto" w:fill="auto"/>
            <w:noWrap/>
            <w:hideMark/>
          </w:tcPr>
          <w:p w14:paraId="450A1B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0.416</w:t>
            </w:r>
          </w:p>
        </w:tc>
        <w:tc>
          <w:tcPr>
            <w:tcW w:w="0" w:type="auto"/>
            <w:tcBorders>
              <w:top w:val="nil"/>
              <w:left w:val="nil"/>
              <w:bottom w:val="single" w:sz="4" w:space="0" w:color="auto"/>
              <w:right w:val="single" w:sz="4" w:space="0" w:color="auto"/>
            </w:tcBorders>
            <w:shd w:val="clear" w:color="auto" w:fill="auto"/>
            <w:noWrap/>
            <w:hideMark/>
          </w:tcPr>
          <w:p w14:paraId="2FD5A57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0.629</w:t>
            </w:r>
          </w:p>
        </w:tc>
        <w:tc>
          <w:tcPr>
            <w:tcW w:w="0" w:type="auto"/>
            <w:tcBorders>
              <w:top w:val="nil"/>
              <w:left w:val="nil"/>
              <w:bottom w:val="single" w:sz="4" w:space="0" w:color="auto"/>
              <w:right w:val="single" w:sz="4" w:space="0" w:color="auto"/>
            </w:tcBorders>
            <w:shd w:val="clear" w:color="auto" w:fill="auto"/>
            <w:noWrap/>
            <w:hideMark/>
          </w:tcPr>
          <w:p w14:paraId="32391D8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0.322</w:t>
            </w:r>
          </w:p>
        </w:tc>
        <w:tc>
          <w:tcPr>
            <w:tcW w:w="0" w:type="auto"/>
            <w:tcBorders>
              <w:top w:val="nil"/>
              <w:left w:val="nil"/>
              <w:bottom w:val="single" w:sz="4" w:space="0" w:color="auto"/>
              <w:right w:val="single" w:sz="4" w:space="0" w:color="auto"/>
            </w:tcBorders>
            <w:shd w:val="clear" w:color="auto" w:fill="auto"/>
            <w:noWrap/>
            <w:hideMark/>
          </w:tcPr>
          <w:p w14:paraId="542F45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0.607</w:t>
            </w:r>
          </w:p>
        </w:tc>
        <w:tc>
          <w:tcPr>
            <w:tcW w:w="0" w:type="auto"/>
            <w:tcBorders>
              <w:top w:val="nil"/>
              <w:left w:val="nil"/>
              <w:bottom w:val="single" w:sz="4" w:space="0" w:color="auto"/>
              <w:right w:val="single" w:sz="4" w:space="0" w:color="auto"/>
            </w:tcBorders>
            <w:shd w:val="clear" w:color="auto" w:fill="auto"/>
            <w:noWrap/>
            <w:hideMark/>
          </w:tcPr>
          <w:p w14:paraId="3489F7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0.509</w:t>
            </w:r>
          </w:p>
        </w:tc>
      </w:tr>
      <w:tr w:rsidR="00943D0A" w:rsidRPr="00144673" w14:paraId="47CCCBBE"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18DB69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coff_purce_intent_2</w:t>
            </w:r>
          </w:p>
        </w:tc>
        <w:tc>
          <w:tcPr>
            <w:tcW w:w="0" w:type="auto"/>
            <w:tcBorders>
              <w:top w:val="nil"/>
              <w:left w:val="nil"/>
              <w:bottom w:val="single" w:sz="4" w:space="0" w:color="auto"/>
              <w:right w:val="single" w:sz="4" w:space="0" w:color="auto"/>
            </w:tcBorders>
            <w:shd w:val="clear" w:color="auto" w:fill="auto"/>
            <w:noWrap/>
            <w:hideMark/>
          </w:tcPr>
          <w:p w14:paraId="64A316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0.473</w:t>
            </w:r>
          </w:p>
        </w:tc>
        <w:tc>
          <w:tcPr>
            <w:tcW w:w="0" w:type="auto"/>
            <w:tcBorders>
              <w:top w:val="nil"/>
              <w:left w:val="nil"/>
              <w:bottom w:val="single" w:sz="4" w:space="0" w:color="auto"/>
              <w:right w:val="single" w:sz="4" w:space="0" w:color="auto"/>
            </w:tcBorders>
            <w:shd w:val="clear" w:color="auto" w:fill="auto"/>
            <w:noWrap/>
            <w:hideMark/>
          </w:tcPr>
          <w:p w14:paraId="5FA8BCF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0.296</w:t>
            </w:r>
          </w:p>
        </w:tc>
        <w:tc>
          <w:tcPr>
            <w:tcW w:w="0" w:type="auto"/>
            <w:tcBorders>
              <w:top w:val="nil"/>
              <w:left w:val="nil"/>
              <w:bottom w:val="single" w:sz="4" w:space="0" w:color="auto"/>
              <w:right w:val="single" w:sz="4" w:space="0" w:color="auto"/>
            </w:tcBorders>
            <w:shd w:val="clear" w:color="auto" w:fill="auto"/>
            <w:noWrap/>
            <w:hideMark/>
          </w:tcPr>
          <w:p w14:paraId="67652C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0.936</w:t>
            </w:r>
          </w:p>
        </w:tc>
        <w:tc>
          <w:tcPr>
            <w:tcW w:w="0" w:type="auto"/>
            <w:tcBorders>
              <w:top w:val="nil"/>
              <w:left w:val="nil"/>
              <w:bottom w:val="single" w:sz="4" w:space="0" w:color="auto"/>
              <w:right w:val="single" w:sz="4" w:space="0" w:color="auto"/>
            </w:tcBorders>
            <w:shd w:val="clear" w:color="auto" w:fill="auto"/>
            <w:noWrap/>
            <w:hideMark/>
          </w:tcPr>
          <w:p w14:paraId="2F75EB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0.561</w:t>
            </w:r>
          </w:p>
        </w:tc>
        <w:tc>
          <w:tcPr>
            <w:tcW w:w="0" w:type="auto"/>
            <w:tcBorders>
              <w:top w:val="nil"/>
              <w:left w:val="nil"/>
              <w:bottom w:val="single" w:sz="4" w:space="0" w:color="auto"/>
              <w:right w:val="single" w:sz="4" w:space="0" w:color="auto"/>
            </w:tcBorders>
            <w:shd w:val="clear" w:color="auto" w:fill="auto"/>
            <w:noWrap/>
            <w:hideMark/>
          </w:tcPr>
          <w:p w14:paraId="59E8C9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0.540</w:t>
            </w:r>
          </w:p>
        </w:tc>
        <w:tc>
          <w:tcPr>
            <w:tcW w:w="0" w:type="auto"/>
            <w:tcBorders>
              <w:top w:val="nil"/>
              <w:left w:val="nil"/>
              <w:bottom w:val="single" w:sz="4" w:space="0" w:color="auto"/>
              <w:right w:val="single" w:sz="4" w:space="0" w:color="auto"/>
            </w:tcBorders>
            <w:shd w:val="clear" w:color="auto" w:fill="auto"/>
            <w:noWrap/>
            <w:hideMark/>
          </w:tcPr>
          <w:p w14:paraId="527F5F8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0.330</w:t>
            </w:r>
          </w:p>
        </w:tc>
        <w:tc>
          <w:tcPr>
            <w:tcW w:w="0" w:type="auto"/>
            <w:tcBorders>
              <w:top w:val="nil"/>
              <w:left w:val="nil"/>
              <w:bottom w:val="single" w:sz="4" w:space="0" w:color="auto"/>
              <w:right w:val="single" w:sz="4" w:space="0" w:color="auto"/>
            </w:tcBorders>
            <w:shd w:val="clear" w:color="auto" w:fill="auto"/>
            <w:noWrap/>
            <w:hideMark/>
          </w:tcPr>
          <w:p w14:paraId="7B80554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0.586</w:t>
            </w:r>
          </w:p>
        </w:tc>
        <w:tc>
          <w:tcPr>
            <w:tcW w:w="0" w:type="auto"/>
            <w:tcBorders>
              <w:top w:val="nil"/>
              <w:left w:val="nil"/>
              <w:bottom w:val="single" w:sz="4" w:space="0" w:color="auto"/>
              <w:right w:val="single" w:sz="4" w:space="0" w:color="auto"/>
            </w:tcBorders>
            <w:shd w:val="clear" w:color="auto" w:fill="auto"/>
            <w:noWrap/>
            <w:hideMark/>
          </w:tcPr>
          <w:p w14:paraId="05541D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0.138</w:t>
            </w:r>
          </w:p>
        </w:tc>
        <w:tc>
          <w:tcPr>
            <w:tcW w:w="0" w:type="auto"/>
            <w:tcBorders>
              <w:top w:val="nil"/>
              <w:left w:val="nil"/>
              <w:bottom w:val="single" w:sz="4" w:space="0" w:color="auto"/>
              <w:right w:val="single" w:sz="4" w:space="0" w:color="auto"/>
            </w:tcBorders>
            <w:shd w:val="clear" w:color="auto" w:fill="auto"/>
            <w:noWrap/>
            <w:hideMark/>
          </w:tcPr>
          <w:p w14:paraId="0705EE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0.375</w:t>
            </w:r>
          </w:p>
        </w:tc>
        <w:tc>
          <w:tcPr>
            <w:tcW w:w="0" w:type="auto"/>
            <w:tcBorders>
              <w:top w:val="nil"/>
              <w:left w:val="nil"/>
              <w:bottom w:val="single" w:sz="4" w:space="0" w:color="auto"/>
              <w:right w:val="single" w:sz="4" w:space="0" w:color="auto"/>
            </w:tcBorders>
            <w:shd w:val="clear" w:color="auto" w:fill="auto"/>
            <w:noWrap/>
            <w:hideMark/>
          </w:tcPr>
          <w:p w14:paraId="099F1E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0.463</w:t>
            </w:r>
          </w:p>
        </w:tc>
        <w:tc>
          <w:tcPr>
            <w:tcW w:w="0" w:type="auto"/>
            <w:tcBorders>
              <w:top w:val="nil"/>
              <w:left w:val="nil"/>
              <w:bottom w:val="single" w:sz="4" w:space="0" w:color="auto"/>
              <w:right w:val="single" w:sz="4" w:space="0" w:color="auto"/>
            </w:tcBorders>
            <w:shd w:val="clear" w:color="auto" w:fill="auto"/>
            <w:noWrap/>
            <w:hideMark/>
          </w:tcPr>
          <w:p w14:paraId="3866BF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0.508</w:t>
            </w:r>
          </w:p>
        </w:tc>
        <w:tc>
          <w:tcPr>
            <w:tcW w:w="0" w:type="auto"/>
            <w:tcBorders>
              <w:top w:val="nil"/>
              <w:left w:val="nil"/>
              <w:bottom w:val="single" w:sz="4" w:space="0" w:color="auto"/>
              <w:right w:val="single" w:sz="4" w:space="0" w:color="auto"/>
            </w:tcBorders>
            <w:shd w:val="clear" w:color="auto" w:fill="auto"/>
            <w:noWrap/>
            <w:hideMark/>
          </w:tcPr>
          <w:p w14:paraId="58BC819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0.396</w:t>
            </w:r>
          </w:p>
        </w:tc>
        <w:tc>
          <w:tcPr>
            <w:tcW w:w="0" w:type="auto"/>
            <w:tcBorders>
              <w:top w:val="nil"/>
              <w:left w:val="nil"/>
              <w:bottom w:val="single" w:sz="4" w:space="0" w:color="auto"/>
              <w:right w:val="single" w:sz="4" w:space="0" w:color="auto"/>
            </w:tcBorders>
            <w:shd w:val="clear" w:color="auto" w:fill="auto"/>
            <w:noWrap/>
            <w:hideMark/>
          </w:tcPr>
          <w:p w14:paraId="52C50B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0.629</w:t>
            </w:r>
          </w:p>
        </w:tc>
        <w:tc>
          <w:tcPr>
            <w:tcW w:w="0" w:type="auto"/>
            <w:tcBorders>
              <w:top w:val="nil"/>
              <w:left w:val="nil"/>
              <w:bottom w:val="single" w:sz="4" w:space="0" w:color="auto"/>
              <w:right w:val="single" w:sz="4" w:space="0" w:color="auto"/>
            </w:tcBorders>
            <w:shd w:val="clear" w:color="auto" w:fill="auto"/>
            <w:noWrap/>
            <w:hideMark/>
          </w:tcPr>
          <w:p w14:paraId="6C52233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0.306</w:t>
            </w:r>
          </w:p>
        </w:tc>
        <w:tc>
          <w:tcPr>
            <w:tcW w:w="0" w:type="auto"/>
            <w:tcBorders>
              <w:top w:val="nil"/>
              <w:left w:val="nil"/>
              <w:bottom w:val="single" w:sz="4" w:space="0" w:color="auto"/>
              <w:right w:val="single" w:sz="4" w:space="0" w:color="auto"/>
            </w:tcBorders>
            <w:shd w:val="clear" w:color="auto" w:fill="auto"/>
            <w:noWrap/>
            <w:hideMark/>
          </w:tcPr>
          <w:p w14:paraId="261DB7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0.593</w:t>
            </w:r>
          </w:p>
        </w:tc>
        <w:tc>
          <w:tcPr>
            <w:tcW w:w="0" w:type="auto"/>
            <w:tcBorders>
              <w:top w:val="nil"/>
              <w:left w:val="nil"/>
              <w:bottom w:val="single" w:sz="4" w:space="0" w:color="auto"/>
              <w:right w:val="single" w:sz="4" w:space="0" w:color="auto"/>
            </w:tcBorders>
            <w:shd w:val="clear" w:color="auto" w:fill="auto"/>
            <w:noWrap/>
            <w:hideMark/>
          </w:tcPr>
          <w:p w14:paraId="5D13486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0.495</w:t>
            </w:r>
          </w:p>
        </w:tc>
      </w:tr>
      <w:tr w:rsidR="00943D0A" w:rsidRPr="00144673" w14:paraId="41AEE11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6B1005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coff_purce_intent_3</w:t>
            </w:r>
          </w:p>
        </w:tc>
        <w:tc>
          <w:tcPr>
            <w:tcW w:w="0" w:type="auto"/>
            <w:tcBorders>
              <w:top w:val="nil"/>
              <w:left w:val="nil"/>
              <w:bottom w:val="single" w:sz="4" w:space="0" w:color="auto"/>
              <w:right w:val="single" w:sz="4" w:space="0" w:color="auto"/>
            </w:tcBorders>
            <w:shd w:val="clear" w:color="auto" w:fill="auto"/>
            <w:noWrap/>
            <w:hideMark/>
          </w:tcPr>
          <w:p w14:paraId="1F667B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0.356</w:t>
            </w:r>
          </w:p>
        </w:tc>
        <w:tc>
          <w:tcPr>
            <w:tcW w:w="0" w:type="auto"/>
            <w:tcBorders>
              <w:top w:val="nil"/>
              <w:left w:val="nil"/>
              <w:bottom w:val="single" w:sz="4" w:space="0" w:color="auto"/>
              <w:right w:val="single" w:sz="4" w:space="0" w:color="auto"/>
            </w:tcBorders>
            <w:shd w:val="clear" w:color="auto" w:fill="auto"/>
            <w:noWrap/>
            <w:hideMark/>
          </w:tcPr>
          <w:p w14:paraId="3991F1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0.289</w:t>
            </w:r>
          </w:p>
        </w:tc>
        <w:tc>
          <w:tcPr>
            <w:tcW w:w="0" w:type="auto"/>
            <w:tcBorders>
              <w:top w:val="nil"/>
              <w:left w:val="nil"/>
              <w:bottom w:val="single" w:sz="4" w:space="0" w:color="auto"/>
              <w:right w:val="single" w:sz="4" w:space="0" w:color="auto"/>
            </w:tcBorders>
            <w:shd w:val="clear" w:color="auto" w:fill="auto"/>
            <w:noWrap/>
            <w:hideMark/>
          </w:tcPr>
          <w:p w14:paraId="2EFCED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0.866</w:t>
            </w:r>
          </w:p>
        </w:tc>
        <w:tc>
          <w:tcPr>
            <w:tcW w:w="0" w:type="auto"/>
            <w:tcBorders>
              <w:top w:val="nil"/>
              <w:left w:val="nil"/>
              <w:bottom w:val="single" w:sz="4" w:space="0" w:color="auto"/>
              <w:right w:val="single" w:sz="4" w:space="0" w:color="auto"/>
            </w:tcBorders>
            <w:shd w:val="clear" w:color="auto" w:fill="auto"/>
            <w:noWrap/>
            <w:hideMark/>
          </w:tcPr>
          <w:p w14:paraId="382EF2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0.518</w:t>
            </w:r>
          </w:p>
        </w:tc>
        <w:tc>
          <w:tcPr>
            <w:tcW w:w="0" w:type="auto"/>
            <w:tcBorders>
              <w:top w:val="nil"/>
              <w:left w:val="nil"/>
              <w:bottom w:val="single" w:sz="4" w:space="0" w:color="auto"/>
              <w:right w:val="single" w:sz="4" w:space="0" w:color="auto"/>
            </w:tcBorders>
            <w:shd w:val="clear" w:color="auto" w:fill="auto"/>
            <w:noWrap/>
            <w:hideMark/>
          </w:tcPr>
          <w:p w14:paraId="7C24A27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0.511</w:t>
            </w:r>
          </w:p>
        </w:tc>
        <w:tc>
          <w:tcPr>
            <w:tcW w:w="0" w:type="auto"/>
            <w:tcBorders>
              <w:top w:val="nil"/>
              <w:left w:val="nil"/>
              <w:bottom w:val="single" w:sz="4" w:space="0" w:color="auto"/>
              <w:right w:val="single" w:sz="4" w:space="0" w:color="auto"/>
            </w:tcBorders>
            <w:shd w:val="clear" w:color="auto" w:fill="auto"/>
            <w:noWrap/>
            <w:hideMark/>
          </w:tcPr>
          <w:p w14:paraId="247AB2B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0.299</w:t>
            </w:r>
          </w:p>
        </w:tc>
        <w:tc>
          <w:tcPr>
            <w:tcW w:w="0" w:type="auto"/>
            <w:tcBorders>
              <w:top w:val="nil"/>
              <w:left w:val="nil"/>
              <w:bottom w:val="single" w:sz="4" w:space="0" w:color="auto"/>
              <w:right w:val="single" w:sz="4" w:space="0" w:color="auto"/>
            </w:tcBorders>
            <w:shd w:val="clear" w:color="auto" w:fill="auto"/>
            <w:noWrap/>
            <w:hideMark/>
          </w:tcPr>
          <w:p w14:paraId="1225C79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0.465</w:t>
            </w:r>
          </w:p>
        </w:tc>
        <w:tc>
          <w:tcPr>
            <w:tcW w:w="0" w:type="auto"/>
            <w:tcBorders>
              <w:top w:val="nil"/>
              <w:left w:val="nil"/>
              <w:bottom w:val="single" w:sz="4" w:space="0" w:color="auto"/>
              <w:right w:val="single" w:sz="4" w:space="0" w:color="auto"/>
            </w:tcBorders>
            <w:shd w:val="clear" w:color="auto" w:fill="auto"/>
            <w:noWrap/>
            <w:hideMark/>
          </w:tcPr>
          <w:p w14:paraId="4E674B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0.082</w:t>
            </w:r>
          </w:p>
        </w:tc>
        <w:tc>
          <w:tcPr>
            <w:tcW w:w="0" w:type="auto"/>
            <w:tcBorders>
              <w:top w:val="nil"/>
              <w:left w:val="nil"/>
              <w:bottom w:val="single" w:sz="4" w:space="0" w:color="auto"/>
              <w:right w:val="single" w:sz="4" w:space="0" w:color="auto"/>
            </w:tcBorders>
            <w:shd w:val="clear" w:color="auto" w:fill="auto"/>
            <w:noWrap/>
            <w:hideMark/>
          </w:tcPr>
          <w:p w14:paraId="6BCBC8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0.321</w:t>
            </w:r>
          </w:p>
        </w:tc>
        <w:tc>
          <w:tcPr>
            <w:tcW w:w="0" w:type="auto"/>
            <w:tcBorders>
              <w:top w:val="nil"/>
              <w:left w:val="nil"/>
              <w:bottom w:val="single" w:sz="4" w:space="0" w:color="auto"/>
              <w:right w:val="single" w:sz="4" w:space="0" w:color="auto"/>
            </w:tcBorders>
            <w:shd w:val="clear" w:color="auto" w:fill="auto"/>
            <w:noWrap/>
            <w:hideMark/>
          </w:tcPr>
          <w:p w14:paraId="03CD5A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0.446</w:t>
            </w:r>
          </w:p>
        </w:tc>
        <w:tc>
          <w:tcPr>
            <w:tcW w:w="0" w:type="auto"/>
            <w:tcBorders>
              <w:top w:val="nil"/>
              <w:left w:val="nil"/>
              <w:bottom w:val="single" w:sz="4" w:space="0" w:color="auto"/>
              <w:right w:val="single" w:sz="4" w:space="0" w:color="auto"/>
            </w:tcBorders>
            <w:shd w:val="clear" w:color="auto" w:fill="auto"/>
            <w:noWrap/>
            <w:hideMark/>
          </w:tcPr>
          <w:p w14:paraId="780C02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7FC5B3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0.330</w:t>
            </w:r>
          </w:p>
        </w:tc>
        <w:tc>
          <w:tcPr>
            <w:tcW w:w="0" w:type="auto"/>
            <w:tcBorders>
              <w:top w:val="nil"/>
              <w:left w:val="nil"/>
              <w:bottom w:val="single" w:sz="4" w:space="0" w:color="auto"/>
              <w:right w:val="single" w:sz="4" w:space="0" w:color="auto"/>
            </w:tcBorders>
            <w:shd w:val="clear" w:color="auto" w:fill="auto"/>
            <w:noWrap/>
            <w:hideMark/>
          </w:tcPr>
          <w:p w14:paraId="5E80BC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0.533</w:t>
            </w:r>
          </w:p>
        </w:tc>
        <w:tc>
          <w:tcPr>
            <w:tcW w:w="0" w:type="auto"/>
            <w:tcBorders>
              <w:top w:val="nil"/>
              <w:left w:val="nil"/>
              <w:bottom w:val="single" w:sz="4" w:space="0" w:color="auto"/>
              <w:right w:val="single" w:sz="4" w:space="0" w:color="auto"/>
            </w:tcBorders>
            <w:shd w:val="clear" w:color="auto" w:fill="auto"/>
            <w:noWrap/>
            <w:hideMark/>
          </w:tcPr>
          <w:p w14:paraId="0BD60A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0.204</w:t>
            </w:r>
          </w:p>
        </w:tc>
        <w:tc>
          <w:tcPr>
            <w:tcW w:w="0" w:type="auto"/>
            <w:tcBorders>
              <w:top w:val="nil"/>
              <w:left w:val="nil"/>
              <w:bottom w:val="single" w:sz="4" w:space="0" w:color="auto"/>
              <w:right w:val="single" w:sz="4" w:space="0" w:color="auto"/>
            </w:tcBorders>
            <w:shd w:val="clear" w:color="auto" w:fill="auto"/>
            <w:noWrap/>
            <w:hideMark/>
          </w:tcPr>
          <w:p w14:paraId="2D5C1C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0.514</w:t>
            </w:r>
          </w:p>
        </w:tc>
        <w:tc>
          <w:tcPr>
            <w:tcW w:w="0" w:type="auto"/>
            <w:tcBorders>
              <w:top w:val="nil"/>
              <w:left w:val="nil"/>
              <w:bottom w:val="single" w:sz="4" w:space="0" w:color="auto"/>
              <w:right w:val="single" w:sz="4" w:space="0" w:color="auto"/>
            </w:tcBorders>
            <w:shd w:val="clear" w:color="auto" w:fill="auto"/>
            <w:noWrap/>
            <w:hideMark/>
          </w:tcPr>
          <w:p w14:paraId="41B46C6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0.463</w:t>
            </w:r>
          </w:p>
        </w:tc>
      </w:tr>
      <w:tr w:rsidR="00943D0A" w:rsidRPr="00144673" w14:paraId="696CD8F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CFE020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coff_purce_intent_4</w:t>
            </w:r>
          </w:p>
        </w:tc>
        <w:tc>
          <w:tcPr>
            <w:tcW w:w="0" w:type="auto"/>
            <w:tcBorders>
              <w:top w:val="nil"/>
              <w:left w:val="nil"/>
              <w:bottom w:val="single" w:sz="4" w:space="0" w:color="auto"/>
              <w:right w:val="single" w:sz="4" w:space="0" w:color="auto"/>
            </w:tcBorders>
            <w:shd w:val="clear" w:color="auto" w:fill="auto"/>
            <w:noWrap/>
            <w:hideMark/>
          </w:tcPr>
          <w:p w14:paraId="679FA1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0.435</w:t>
            </w:r>
          </w:p>
        </w:tc>
        <w:tc>
          <w:tcPr>
            <w:tcW w:w="0" w:type="auto"/>
            <w:tcBorders>
              <w:top w:val="nil"/>
              <w:left w:val="nil"/>
              <w:bottom w:val="single" w:sz="4" w:space="0" w:color="auto"/>
              <w:right w:val="single" w:sz="4" w:space="0" w:color="auto"/>
            </w:tcBorders>
            <w:shd w:val="clear" w:color="auto" w:fill="auto"/>
            <w:noWrap/>
            <w:hideMark/>
          </w:tcPr>
          <w:p w14:paraId="71F9F9C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0.291</w:t>
            </w:r>
          </w:p>
        </w:tc>
        <w:tc>
          <w:tcPr>
            <w:tcW w:w="0" w:type="auto"/>
            <w:tcBorders>
              <w:top w:val="nil"/>
              <w:left w:val="nil"/>
              <w:bottom w:val="single" w:sz="4" w:space="0" w:color="auto"/>
              <w:right w:val="single" w:sz="4" w:space="0" w:color="auto"/>
            </w:tcBorders>
            <w:shd w:val="clear" w:color="auto" w:fill="auto"/>
            <w:noWrap/>
            <w:hideMark/>
          </w:tcPr>
          <w:p w14:paraId="1DF025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0.753</w:t>
            </w:r>
          </w:p>
        </w:tc>
        <w:tc>
          <w:tcPr>
            <w:tcW w:w="0" w:type="auto"/>
            <w:tcBorders>
              <w:top w:val="nil"/>
              <w:left w:val="nil"/>
              <w:bottom w:val="single" w:sz="4" w:space="0" w:color="auto"/>
              <w:right w:val="single" w:sz="4" w:space="0" w:color="auto"/>
            </w:tcBorders>
            <w:shd w:val="clear" w:color="auto" w:fill="auto"/>
            <w:noWrap/>
            <w:hideMark/>
          </w:tcPr>
          <w:p w14:paraId="20E8FF0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258C79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0.393</w:t>
            </w:r>
          </w:p>
        </w:tc>
        <w:tc>
          <w:tcPr>
            <w:tcW w:w="0" w:type="auto"/>
            <w:tcBorders>
              <w:top w:val="nil"/>
              <w:left w:val="nil"/>
              <w:bottom w:val="single" w:sz="4" w:space="0" w:color="auto"/>
              <w:right w:val="single" w:sz="4" w:space="0" w:color="auto"/>
            </w:tcBorders>
            <w:shd w:val="clear" w:color="auto" w:fill="auto"/>
            <w:noWrap/>
            <w:hideMark/>
          </w:tcPr>
          <w:p w14:paraId="191B01D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0.247</w:t>
            </w:r>
          </w:p>
        </w:tc>
        <w:tc>
          <w:tcPr>
            <w:tcW w:w="0" w:type="auto"/>
            <w:tcBorders>
              <w:top w:val="nil"/>
              <w:left w:val="nil"/>
              <w:bottom w:val="single" w:sz="4" w:space="0" w:color="auto"/>
              <w:right w:val="single" w:sz="4" w:space="0" w:color="auto"/>
            </w:tcBorders>
            <w:shd w:val="clear" w:color="auto" w:fill="auto"/>
            <w:noWrap/>
            <w:hideMark/>
          </w:tcPr>
          <w:p w14:paraId="3C21AA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0.460</w:t>
            </w:r>
          </w:p>
        </w:tc>
        <w:tc>
          <w:tcPr>
            <w:tcW w:w="0" w:type="auto"/>
            <w:tcBorders>
              <w:top w:val="nil"/>
              <w:left w:val="nil"/>
              <w:bottom w:val="single" w:sz="4" w:space="0" w:color="auto"/>
              <w:right w:val="single" w:sz="4" w:space="0" w:color="auto"/>
            </w:tcBorders>
            <w:shd w:val="clear" w:color="auto" w:fill="auto"/>
            <w:noWrap/>
            <w:hideMark/>
          </w:tcPr>
          <w:p w14:paraId="7287BF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0.090</w:t>
            </w:r>
          </w:p>
        </w:tc>
        <w:tc>
          <w:tcPr>
            <w:tcW w:w="0" w:type="auto"/>
            <w:tcBorders>
              <w:top w:val="nil"/>
              <w:left w:val="nil"/>
              <w:bottom w:val="single" w:sz="4" w:space="0" w:color="auto"/>
              <w:right w:val="single" w:sz="4" w:space="0" w:color="auto"/>
            </w:tcBorders>
            <w:shd w:val="clear" w:color="auto" w:fill="auto"/>
            <w:noWrap/>
            <w:hideMark/>
          </w:tcPr>
          <w:p w14:paraId="5CC3B4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0.349</w:t>
            </w:r>
          </w:p>
        </w:tc>
        <w:tc>
          <w:tcPr>
            <w:tcW w:w="0" w:type="auto"/>
            <w:tcBorders>
              <w:top w:val="nil"/>
              <w:left w:val="nil"/>
              <w:bottom w:val="single" w:sz="4" w:space="0" w:color="auto"/>
              <w:right w:val="single" w:sz="4" w:space="0" w:color="auto"/>
            </w:tcBorders>
            <w:shd w:val="clear" w:color="auto" w:fill="auto"/>
            <w:noWrap/>
            <w:hideMark/>
          </w:tcPr>
          <w:p w14:paraId="5AE171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0.371</w:t>
            </w:r>
          </w:p>
        </w:tc>
        <w:tc>
          <w:tcPr>
            <w:tcW w:w="0" w:type="auto"/>
            <w:tcBorders>
              <w:top w:val="nil"/>
              <w:left w:val="nil"/>
              <w:bottom w:val="single" w:sz="4" w:space="0" w:color="auto"/>
              <w:right w:val="single" w:sz="4" w:space="0" w:color="auto"/>
            </w:tcBorders>
            <w:shd w:val="clear" w:color="auto" w:fill="auto"/>
            <w:noWrap/>
            <w:hideMark/>
          </w:tcPr>
          <w:p w14:paraId="15D7F1A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0.450</w:t>
            </w:r>
          </w:p>
        </w:tc>
        <w:tc>
          <w:tcPr>
            <w:tcW w:w="0" w:type="auto"/>
            <w:tcBorders>
              <w:top w:val="nil"/>
              <w:left w:val="nil"/>
              <w:bottom w:val="single" w:sz="4" w:space="0" w:color="auto"/>
              <w:right w:val="single" w:sz="4" w:space="0" w:color="auto"/>
            </w:tcBorders>
            <w:shd w:val="clear" w:color="auto" w:fill="auto"/>
            <w:noWrap/>
            <w:hideMark/>
          </w:tcPr>
          <w:p w14:paraId="185EA3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0.316</w:t>
            </w:r>
          </w:p>
        </w:tc>
        <w:tc>
          <w:tcPr>
            <w:tcW w:w="0" w:type="auto"/>
            <w:tcBorders>
              <w:top w:val="nil"/>
              <w:left w:val="nil"/>
              <w:bottom w:val="single" w:sz="4" w:space="0" w:color="auto"/>
              <w:right w:val="single" w:sz="4" w:space="0" w:color="auto"/>
            </w:tcBorders>
            <w:shd w:val="clear" w:color="auto" w:fill="auto"/>
            <w:noWrap/>
            <w:hideMark/>
          </w:tcPr>
          <w:p w14:paraId="01B748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0.474</w:t>
            </w:r>
          </w:p>
        </w:tc>
        <w:tc>
          <w:tcPr>
            <w:tcW w:w="0" w:type="auto"/>
            <w:tcBorders>
              <w:top w:val="nil"/>
              <w:left w:val="nil"/>
              <w:bottom w:val="single" w:sz="4" w:space="0" w:color="auto"/>
              <w:right w:val="single" w:sz="4" w:space="0" w:color="auto"/>
            </w:tcBorders>
            <w:shd w:val="clear" w:color="auto" w:fill="auto"/>
            <w:noWrap/>
            <w:hideMark/>
          </w:tcPr>
          <w:p w14:paraId="6F6627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0.282</w:t>
            </w:r>
          </w:p>
        </w:tc>
        <w:tc>
          <w:tcPr>
            <w:tcW w:w="0" w:type="auto"/>
            <w:tcBorders>
              <w:top w:val="nil"/>
              <w:left w:val="nil"/>
              <w:bottom w:val="single" w:sz="4" w:space="0" w:color="auto"/>
              <w:right w:val="single" w:sz="4" w:space="0" w:color="auto"/>
            </w:tcBorders>
            <w:shd w:val="clear" w:color="auto" w:fill="auto"/>
            <w:noWrap/>
            <w:hideMark/>
          </w:tcPr>
          <w:p w14:paraId="3CF3218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0.504</w:t>
            </w:r>
          </w:p>
        </w:tc>
        <w:tc>
          <w:tcPr>
            <w:tcW w:w="0" w:type="auto"/>
            <w:tcBorders>
              <w:top w:val="nil"/>
              <w:left w:val="nil"/>
              <w:bottom w:val="single" w:sz="4" w:space="0" w:color="auto"/>
              <w:right w:val="single" w:sz="4" w:space="0" w:color="auto"/>
            </w:tcBorders>
            <w:shd w:val="clear" w:color="auto" w:fill="auto"/>
            <w:noWrap/>
            <w:hideMark/>
          </w:tcPr>
          <w:p w14:paraId="565A83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0.426</w:t>
            </w:r>
          </w:p>
        </w:tc>
      </w:tr>
      <w:tr w:rsidR="00943D0A" w:rsidRPr="00144673" w14:paraId="7AC8F93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FCCAFC9"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coff_purce_intent_5</w:t>
            </w:r>
          </w:p>
        </w:tc>
        <w:tc>
          <w:tcPr>
            <w:tcW w:w="0" w:type="auto"/>
            <w:tcBorders>
              <w:top w:val="nil"/>
              <w:left w:val="nil"/>
              <w:bottom w:val="single" w:sz="4" w:space="0" w:color="auto"/>
              <w:right w:val="single" w:sz="4" w:space="0" w:color="auto"/>
            </w:tcBorders>
            <w:shd w:val="clear" w:color="auto" w:fill="auto"/>
            <w:noWrap/>
            <w:hideMark/>
          </w:tcPr>
          <w:p w14:paraId="3A80780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0.320</w:t>
            </w:r>
          </w:p>
        </w:tc>
        <w:tc>
          <w:tcPr>
            <w:tcW w:w="0" w:type="auto"/>
            <w:tcBorders>
              <w:top w:val="nil"/>
              <w:left w:val="nil"/>
              <w:bottom w:val="single" w:sz="4" w:space="0" w:color="auto"/>
              <w:right w:val="single" w:sz="4" w:space="0" w:color="auto"/>
            </w:tcBorders>
            <w:shd w:val="clear" w:color="auto" w:fill="auto"/>
            <w:noWrap/>
            <w:hideMark/>
          </w:tcPr>
          <w:p w14:paraId="6D888A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0.276</w:t>
            </w:r>
          </w:p>
        </w:tc>
        <w:tc>
          <w:tcPr>
            <w:tcW w:w="0" w:type="auto"/>
            <w:tcBorders>
              <w:top w:val="nil"/>
              <w:left w:val="nil"/>
              <w:bottom w:val="single" w:sz="4" w:space="0" w:color="auto"/>
              <w:right w:val="single" w:sz="4" w:space="0" w:color="auto"/>
            </w:tcBorders>
            <w:shd w:val="clear" w:color="auto" w:fill="auto"/>
            <w:noWrap/>
            <w:hideMark/>
          </w:tcPr>
          <w:p w14:paraId="2A442B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0.719</w:t>
            </w:r>
          </w:p>
        </w:tc>
        <w:tc>
          <w:tcPr>
            <w:tcW w:w="0" w:type="auto"/>
            <w:tcBorders>
              <w:top w:val="nil"/>
              <w:left w:val="nil"/>
              <w:bottom w:val="single" w:sz="4" w:space="0" w:color="auto"/>
              <w:right w:val="single" w:sz="4" w:space="0" w:color="auto"/>
            </w:tcBorders>
            <w:shd w:val="clear" w:color="auto" w:fill="auto"/>
            <w:noWrap/>
            <w:hideMark/>
          </w:tcPr>
          <w:p w14:paraId="1448D12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0.374</w:t>
            </w:r>
          </w:p>
        </w:tc>
        <w:tc>
          <w:tcPr>
            <w:tcW w:w="0" w:type="auto"/>
            <w:tcBorders>
              <w:top w:val="nil"/>
              <w:left w:val="nil"/>
              <w:bottom w:val="single" w:sz="4" w:space="0" w:color="auto"/>
              <w:right w:val="single" w:sz="4" w:space="0" w:color="auto"/>
            </w:tcBorders>
            <w:shd w:val="clear" w:color="auto" w:fill="auto"/>
            <w:noWrap/>
            <w:hideMark/>
          </w:tcPr>
          <w:p w14:paraId="488D10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0.395</w:t>
            </w:r>
          </w:p>
        </w:tc>
        <w:tc>
          <w:tcPr>
            <w:tcW w:w="0" w:type="auto"/>
            <w:tcBorders>
              <w:top w:val="nil"/>
              <w:left w:val="nil"/>
              <w:bottom w:val="single" w:sz="4" w:space="0" w:color="auto"/>
              <w:right w:val="single" w:sz="4" w:space="0" w:color="auto"/>
            </w:tcBorders>
            <w:shd w:val="clear" w:color="auto" w:fill="auto"/>
            <w:noWrap/>
            <w:hideMark/>
          </w:tcPr>
          <w:p w14:paraId="66BFBD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0.234</w:t>
            </w:r>
          </w:p>
        </w:tc>
        <w:tc>
          <w:tcPr>
            <w:tcW w:w="0" w:type="auto"/>
            <w:tcBorders>
              <w:top w:val="nil"/>
              <w:left w:val="nil"/>
              <w:bottom w:val="single" w:sz="4" w:space="0" w:color="auto"/>
              <w:right w:val="single" w:sz="4" w:space="0" w:color="auto"/>
            </w:tcBorders>
            <w:shd w:val="clear" w:color="auto" w:fill="auto"/>
            <w:noWrap/>
            <w:hideMark/>
          </w:tcPr>
          <w:p w14:paraId="64D487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0.387</w:t>
            </w:r>
          </w:p>
        </w:tc>
        <w:tc>
          <w:tcPr>
            <w:tcW w:w="0" w:type="auto"/>
            <w:tcBorders>
              <w:top w:val="nil"/>
              <w:left w:val="nil"/>
              <w:bottom w:val="single" w:sz="4" w:space="0" w:color="auto"/>
              <w:right w:val="single" w:sz="4" w:space="0" w:color="auto"/>
            </w:tcBorders>
            <w:shd w:val="clear" w:color="auto" w:fill="auto"/>
            <w:noWrap/>
            <w:hideMark/>
          </w:tcPr>
          <w:p w14:paraId="486A89D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0.134</w:t>
            </w:r>
          </w:p>
        </w:tc>
        <w:tc>
          <w:tcPr>
            <w:tcW w:w="0" w:type="auto"/>
            <w:tcBorders>
              <w:top w:val="nil"/>
              <w:left w:val="nil"/>
              <w:bottom w:val="single" w:sz="4" w:space="0" w:color="auto"/>
              <w:right w:val="single" w:sz="4" w:space="0" w:color="auto"/>
            </w:tcBorders>
            <w:shd w:val="clear" w:color="auto" w:fill="auto"/>
            <w:noWrap/>
            <w:hideMark/>
          </w:tcPr>
          <w:p w14:paraId="3A3679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56DA95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0.268</w:t>
            </w:r>
          </w:p>
        </w:tc>
        <w:tc>
          <w:tcPr>
            <w:tcW w:w="0" w:type="auto"/>
            <w:tcBorders>
              <w:top w:val="nil"/>
              <w:left w:val="nil"/>
              <w:bottom w:val="single" w:sz="4" w:space="0" w:color="auto"/>
              <w:right w:val="single" w:sz="4" w:space="0" w:color="auto"/>
            </w:tcBorders>
            <w:shd w:val="clear" w:color="auto" w:fill="auto"/>
            <w:noWrap/>
            <w:hideMark/>
          </w:tcPr>
          <w:p w14:paraId="1A9759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0.298</w:t>
            </w:r>
          </w:p>
        </w:tc>
        <w:tc>
          <w:tcPr>
            <w:tcW w:w="0" w:type="auto"/>
            <w:tcBorders>
              <w:top w:val="nil"/>
              <w:left w:val="nil"/>
              <w:bottom w:val="single" w:sz="4" w:space="0" w:color="auto"/>
              <w:right w:val="single" w:sz="4" w:space="0" w:color="auto"/>
            </w:tcBorders>
            <w:shd w:val="clear" w:color="auto" w:fill="auto"/>
            <w:noWrap/>
            <w:hideMark/>
          </w:tcPr>
          <w:p w14:paraId="3B4F31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0.327</w:t>
            </w:r>
          </w:p>
        </w:tc>
        <w:tc>
          <w:tcPr>
            <w:tcW w:w="0" w:type="auto"/>
            <w:tcBorders>
              <w:top w:val="nil"/>
              <w:left w:val="nil"/>
              <w:bottom w:val="single" w:sz="4" w:space="0" w:color="auto"/>
              <w:right w:val="single" w:sz="4" w:space="0" w:color="auto"/>
            </w:tcBorders>
            <w:shd w:val="clear" w:color="auto" w:fill="auto"/>
            <w:noWrap/>
            <w:hideMark/>
          </w:tcPr>
          <w:p w14:paraId="681A646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0.429</w:t>
            </w:r>
          </w:p>
        </w:tc>
        <w:tc>
          <w:tcPr>
            <w:tcW w:w="0" w:type="auto"/>
            <w:tcBorders>
              <w:top w:val="nil"/>
              <w:left w:val="nil"/>
              <w:bottom w:val="single" w:sz="4" w:space="0" w:color="auto"/>
              <w:right w:val="single" w:sz="4" w:space="0" w:color="auto"/>
            </w:tcBorders>
            <w:shd w:val="clear" w:color="auto" w:fill="auto"/>
            <w:noWrap/>
            <w:hideMark/>
          </w:tcPr>
          <w:p w14:paraId="578A3C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0.299</w:t>
            </w:r>
          </w:p>
        </w:tc>
        <w:tc>
          <w:tcPr>
            <w:tcW w:w="0" w:type="auto"/>
            <w:tcBorders>
              <w:top w:val="nil"/>
              <w:left w:val="nil"/>
              <w:bottom w:val="single" w:sz="4" w:space="0" w:color="auto"/>
              <w:right w:val="single" w:sz="4" w:space="0" w:color="auto"/>
            </w:tcBorders>
            <w:shd w:val="clear" w:color="auto" w:fill="auto"/>
            <w:noWrap/>
            <w:hideMark/>
          </w:tcPr>
          <w:p w14:paraId="6D4F24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0.383</w:t>
            </w:r>
          </w:p>
        </w:tc>
        <w:tc>
          <w:tcPr>
            <w:tcW w:w="0" w:type="auto"/>
            <w:tcBorders>
              <w:top w:val="nil"/>
              <w:left w:val="nil"/>
              <w:bottom w:val="single" w:sz="4" w:space="0" w:color="auto"/>
              <w:right w:val="single" w:sz="4" w:space="0" w:color="auto"/>
            </w:tcBorders>
            <w:shd w:val="clear" w:color="auto" w:fill="auto"/>
            <w:noWrap/>
            <w:hideMark/>
          </w:tcPr>
          <w:p w14:paraId="1049D04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r>
      <w:tr w:rsidR="00943D0A" w:rsidRPr="00144673" w14:paraId="12EF0280"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B0D3AE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coff_purce_intent_6</w:t>
            </w:r>
          </w:p>
        </w:tc>
        <w:tc>
          <w:tcPr>
            <w:tcW w:w="0" w:type="auto"/>
            <w:tcBorders>
              <w:top w:val="nil"/>
              <w:left w:val="nil"/>
              <w:bottom w:val="single" w:sz="4" w:space="0" w:color="auto"/>
              <w:right w:val="single" w:sz="4" w:space="0" w:color="auto"/>
            </w:tcBorders>
            <w:shd w:val="clear" w:color="auto" w:fill="auto"/>
            <w:noWrap/>
            <w:hideMark/>
          </w:tcPr>
          <w:p w14:paraId="159A53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5C80CD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0.267</w:t>
            </w:r>
          </w:p>
        </w:tc>
        <w:tc>
          <w:tcPr>
            <w:tcW w:w="0" w:type="auto"/>
            <w:tcBorders>
              <w:top w:val="nil"/>
              <w:left w:val="nil"/>
              <w:bottom w:val="single" w:sz="4" w:space="0" w:color="auto"/>
              <w:right w:val="single" w:sz="4" w:space="0" w:color="auto"/>
            </w:tcBorders>
            <w:shd w:val="clear" w:color="auto" w:fill="auto"/>
            <w:noWrap/>
            <w:hideMark/>
          </w:tcPr>
          <w:p w14:paraId="544571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0.894</w:t>
            </w:r>
          </w:p>
        </w:tc>
        <w:tc>
          <w:tcPr>
            <w:tcW w:w="0" w:type="auto"/>
            <w:tcBorders>
              <w:top w:val="nil"/>
              <w:left w:val="nil"/>
              <w:bottom w:val="single" w:sz="4" w:space="0" w:color="auto"/>
              <w:right w:val="single" w:sz="4" w:space="0" w:color="auto"/>
            </w:tcBorders>
            <w:shd w:val="clear" w:color="auto" w:fill="auto"/>
            <w:noWrap/>
            <w:hideMark/>
          </w:tcPr>
          <w:p w14:paraId="072DDE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0.508</w:t>
            </w:r>
          </w:p>
        </w:tc>
        <w:tc>
          <w:tcPr>
            <w:tcW w:w="0" w:type="auto"/>
            <w:tcBorders>
              <w:top w:val="nil"/>
              <w:left w:val="nil"/>
              <w:bottom w:val="single" w:sz="4" w:space="0" w:color="auto"/>
              <w:right w:val="single" w:sz="4" w:space="0" w:color="auto"/>
            </w:tcBorders>
            <w:shd w:val="clear" w:color="auto" w:fill="auto"/>
            <w:noWrap/>
            <w:hideMark/>
          </w:tcPr>
          <w:p w14:paraId="05B3916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0.484</w:t>
            </w:r>
          </w:p>
        </w:tc>
        <w:tc>
          <w:tcPr>
            <w:tcW w:w="0" w:type="auto"/>
            <w:tcBorders>
              <w:top w:val="nil"/>
              <w:left w:val="nil"/>
              <w:bottom w:val="single" w:sz="4" w:space="0" w:color="auto"/>
              <w:right w:val="single" w:sz="4" w:space="0" w:color="auto"/>
            </w:tcBorders>
            <w:shd w:val="clear" w:color="auto" w:fill="auto"/>
            <w:noWrap/>
            <w:hideMark/>
          </w:tcPr>
          <w:p w14:paraId="54DE85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0.295</w:t>
            </w:r>
          </w:p>
        </w:tc>
        <w:tc>
          <w:tcPr>
            <w:tcW w:w="0" w:type="auto"/>
            <w:tcBorders>
              <w:top w:val="nil"/>
              <w:left w:val="nil"/>
              <w:bottom w:val="single" w:sz="4" w:space="0" w:color="auto"/>
              <w:right w:val="single" w:sz="4" w:space="0" w:color="auto"/>
            </w:tcBorders>
            <w:shd w:val="clear" w:color="auto" w:fill="auto"/>
            <w:noWrap/>
            <w:hideMark/>
          </w:tcPr>
          <w:p w14:paraId="77BDBBF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44E1BD5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0.127</w:t>
            </w:r>
          </w:p>
        </w:tc>
        <w:tc>
          <w:tcPr>
            <w:tcW w:w="0" w:type="auto"/>
            <w:tcBorders>
              <w:top w:val="nil"/>
              <w:left w:val="nil"/>
              <w:bottom w:val="single" w:sz="4" w:space="0" w:color="auto"/>
              <w:right w:val="single" w:sz="4" w:space="0" w:color="auto"/>
            </w:tcBorders>
            <w:shd w:val="clear" w:color="auto" w:fill="auto"/>
            <w:noWrap/>
            <w:hideMark/>
          </w:tcPr>
          <w:p w14:paraId="23288F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0.386</w:t>
            </w:r>
          </w:p>
        </w:tc>
        <w:tc>
          <w:tcPr>
            <w:tcW w:w="0" w:type="auto"/>
            <w:tcBorders>
              <w:top w:val="nil"/>
              <w:left w:val="nil"/>
              <w:bottom w:val="single" w:sz="4" w:space="0" w:color="auto"/>
              <w:right w:val="single" w:sz="4" w:space="0" w:color="auto"/>
            </w:tcBorders>
            <w:shd w:val="clear" w:color="auto" w:fill="auto"/>
            <w:noWrap/>
            <w:hideMark/>
          </w:tcPr>
          <w:p w14:paraId="6609F83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0.399</w:t>
            </w:r>
          </w:p>
        </w:tc>
        <w:tc>
          <w:tcPr>
            <w:tcW w:w="0" w:type="auto"/>
            <w:tcBorders>
              <w:top w:val="nil"/>
              <w:left w:val="nil"/>
              <w:bottom w:val="single" w:sz="4" w:space="0" w:color="auto"/>
              <w:right w:val="single" w:sz="4" w:space="0" w:color="auto"/>
            </w:tcBorders>
            <w:shd w:val="clear" w:color="auto" w:fill="auto"/>
            <w:noWrap/>
            <w:hideMark/>
          </w:tcPr>
          <w:p w14:paraId="2783E5F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0.455</w:t>
            </w:r>
          </w:p>
        </w:tc>
        <w:tc>
          <w:tcPr>
            <w:tcW w:w="0" w:type="auto"/>
            <w:tcBorders>
              <w:top w:val="nil"/>
              <w:left w:val="nil"/>
              <w:bottom w:val="single" w:sz="4" w:space="0" w:color="auto"/>
              <w:right w:val="single" w:sz="4" w:space="0" w:color="auto"/>
            </w:tcBorders>
            <w:shd w:val="clear" w:color="auto" w:fill="auto"/>
            <w:noWrap/>
            <w:hideMark/>
          </w:tcPr>
          <w:p w14:paraId="0A191C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0.368</w:t>
            </w:r>
          </w:p>
        </w:tc>
        <w:tc>
          <w:tcPr>
            <w:tcW w:w="0" w:type="auto"/>
            <w:tcBorders>
              <w:top w:val="nil"/>
              <w:left w:val="nil"/>
              <w:bottom w:val="single" w:sz="4" w:space="0" w:color="auto"/>
              <w:right w:val="single" w:sz="4" w:space="0" w:color="auto"/>
            </w:tcBorders>
            <w:shd w:val="clear" w:color="auto" w:fill="auto"/>
            <w:noWrap/>
            <w:hideMark/>
          </w:tcPr>
          <w:p w14:paraId="00664A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0.560</w:t>
            </w:r>
          </w:p>
        </w:tc>
        <w:tc>
          <w:tcPr>
            <w:tcW w:w="0" w:type="auto"/>
            <w:tcBorders>
              <w:top w:val="nil"/>
              <w:left w:val="nil"/>
              <w:bottom w:val="single" w:sz="4" w:space="0" w:color="auto"/>
              <w:right w:val="single" w:sz="4" w:space="0" w:color="auto"/>
            </w:tcBorders>
            <w:shd w:val="clear" w:color="auto" w:fill="auto"/>
            <w:noWrap/>
            <w:hideMark/>
          </w:tcPr>
          <w:p w14:paraId="6F4752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0.280</w:t>
            </w:r>
          </w:p>
        </w:tc>
        <w:tc>
          <w:tcPr>
            <w:tcW w:w="0" w:type="auto"/>
            <w:tcBorders>
              <w:top w:val="nil"/>
              <w:left w:val="nil"/>
              <w:bottom w:val="single" w:sz="4" w:space="0" w:color="auto"/>
              <w:right w:val="single" w:sz="4" w:space="0" w:color="auto"/>
            </w:tcBorders>
            <w:shd w:val="clear" w:color="auto" w:fill="auto"/>
            <w:noWrap/>
            <w:hideMark/>
          </w:tcPr>
          <w:p w14:paraId="1E3F555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0.512</w:t>
            </w:r>
          </w:p>
        </w:tc>
        <w:tc>
          <w:tcPr>
            <w:tcW w:w="0" w:type="auto"/>
            <w:tcBorders>
              <w:top w:val="nil"/>
              <w:left w:val="nil"/>
              <w:bottom w:val="single" w:sz="4" w:space="0" w:color="auto"/>
              <w:right w:val="single" w:sz="4" w:space="0" w:color="auto"/>
            </w:tcBorders>
            <w:shd w:val="clear" w:color="auto" w:fill="auto"/>
            <w:noWrap/>
            <w:hideMark/>
          </w:tcPr>
          <w:p w14:paraId="7EB8CF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0.458</w:t>
            </w:r>
          </w:p>
        </w:tc>
      </w:tr>
      <w:tr w:rsidR="00943D0A" w:rsidRPr="00144673" w14:paraId="58FE7C5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63FB659"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dominance_1</w:t>
            </w:r>
          </w:p>
        </w:tc>
        <w:tc>
          <w:tcPr>
            <w:tcW w:w="0" w:type="auto"/>
            <w:tcBorders>
              <w:top w:val="nil"/>
              <w:left w:val="nil"/>
              <w:bottom w:val="single" w:sz="4" w:space="0" w:color="auto"/>
              <w:right w:val="single" w:sz="4" w:space="0" w:color="auto"/>
            </w:tcBorders>
            <w:shd w:val="clear" w:color="auto" w:fill="auto"/>
            <w:noWrap/>
            <w:hideMark/>
          </w:tcPr>
          <w:p w14:paraId="054369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0.279</w:t>
            </w:r>
          </w:p>
        </w:tc>
        <w:tc>
          <w:tcPr>
            <w:tcW w:w="0" w:type="auto"/>
            <w:tcBorders>
              <w:top w:val="nil"/>
              <w:left w:val="nil"/>
              <w:bottom w:val="single" w:sz="4" w:space="0" w:color="auto"/>
              <w:right w:val="single" w:sz="4" w:space="0" w:color="auto"/>
            </w:tcBorders>
            <w:shd w:val="clear" w:color="auto" w:fill="auto"/>
            <w:noWrap/>
            <w:hideMark/>
          </w:tcPr>
          <w:p w14:paraId="06452FD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0.143</w:t>
            </w:r>
          </w:p>
        </w:tc>
        <w:tc>
          <w:tcPr>
            <w:tcW w:w="0" w:type="auto"/>
            <w:tcBorders>
              <w:top w:val="nil"/>
              <w:left w:val="nil"/>
              <w:bottom w:val="single" w:sz="4" w:space="0" w:color="auto"/>
              <w:right w:val="single" w:sz="4" w:space="0" w:color="auto"/>
            </w:tcBorders>
            <w:shd w:val="clear" w:color="auto" w:fill="auto"/>
            <w:noWrap/>
            <w:hideMark/>
          </w:tcPr>
          <w:p w14:paraId="27489E9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0.282</w:t>
            </w:r>
          </w:p>
        </w:tc>
        <w:tc>
          <w:tcPr>
            <w:tcW w:w="0" w:type="auto"/>
            <w:tcBorders>
              <w:top w:val="nil"/>
              <w:left w:val="nil"/>
              <w:bottom w:val="single" w:sz="4" w:space="0" w:color="auto"/>
              <w:right w:val="single" w:sz="4" w:space="0" w:color="auto"/>
            </w:tcBorders>
            <w:shd w:val="clear" w:color="auto" w:fill="auto"/>
            <w:noWrap/>
            <w:hideMark/>
          </w:tcPr>
          <w:p w14:paraId="27F931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0.252</w:t>
            </w:r>
          </w:p>
        </w:tc>
        <w:tc>
          <w:tcPr>
            <w:tcW w:w="0" w:type="auto"/>
            <w:tcBorders>
              <w:top w:val="nil"/>
              <w:left w:val="nil"/>
              <w:bottom w:val="single" w:sz="4" w:space="0" w:color="auto"/>
              <w:right w:val="single" w:sz="4" w:space="0" w:color="auto"/>
            </w:tcBorders>
            <w:shd w:val="clear" w:color="auto" w:fill="auto"/>
            <w:noWrap/>
            <w:hideMark/>
          </w:tcPr>
          <w:p w14:paraId="1DEB92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c>
          <w:tcPr>
            <w:tcW w:w="0" w:type="auto"/>
            <w:tcBorders>
              <w:top w:val="nil"/>
              <w:left w:val="nil"/>
              <w:bottom w:val="single" w:sz="4" w:space="0" w:color="auto"/>
              <w:right w:val="single" w:sz="4" w:space="0" w:color="auto"/>
            </w:tcBorders>
            <w:shd w:val="clear" w:color="auto" w:fill="auto"/>
            <w:noWrap/>
            <w:hideMark/>
          </w:tcPr>
          <w:p w14:paraId="717048C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0.732</w:t>
            </w:r>
          </w:p>
        </w:tc>
        <w:tc>
          <w:tcPr>
            <w:tcW w:w="0" w:type="auto"/>
            <w:tcBorders>
              <w:top w:val="nil"/>
              <w:left w:val="nil"/>
              <w:bottom w:val="single" w:sz="4" w:space="0" w:color="auto"/>
              <w:right w:val="single" w:sz="4" w:space="0" w:color="auto"/>
            </w:tcBorders>
            <w:shd w:val="clear" w:color="auto" w:fill="auto"/>
            <w:noWrap/>
            <w:hideMark/>
          </w:tcPr>
          <w:p w14:paraId="7BA469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0.311</w:t>
            </w:r>
          </w:p>
        </w:tc>
        <w:tc>
          <w:tcPr>
            <w:tcW w:w="0" w:type="auto"/>
            <w:tcBorders>
              <w:top w:val="nil"/>
              <w:left w:val="nil"/>
              <w:bottom w:val="single" w:sz="4" w:space="0" w:color="auto"/>
              <w:right w:val="single" w:sz="4" w:space="0" w:color="auto"/>
            </w:tcBorders>
            <w:shd w:val="clear" w:color="auto" w:fill="auto"/>
            <w:noWrap/>
            <w:hideMark/>
          </w:tcPr>
          <w:p w14:paraId="6D7645F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0.030</w:t>
            </w:r>
          </w:p>
        </w:tc>
        <w:tc>
          <w:tcPr>
            <w:tcW w:w="0" w:type="auto"/>
            <w:tcBorders>
              <w:top w:val="nil"/>
              <w:left w:val="nil"/>
              <w:bottom w:val="single" w:sz="4" w:space="0" w:color="auto"/>
              <w:right w:val="single" w:sz="4" w:space="0" w:color="auto"/>
            </w:tcBorders>
            <w:shd w:val="clear" w:color="auto" w:fill="auto"/>
            <w:noWrap/>
            <w:hideMark/>
          </w:tcPr>
          <w:p w14:paraId="6D662E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0.198</w:t>
            </w:r>
          </w:p>
        </w:tc>
        <w:tc>
          <w:tcPr>
            <w:tcW w:w="0" w:type="auto"/>
            <w:tcBorders>
              <w:top w:val="nil"/>
              <w:left w:val="nil"/>
              <w:bottom w:val="single" w:sz="4" w:space="0" w:color="auto"/>
              <w:right w:val="single" w:sz="4" w:space="0" w:color="auto"/>
            </w:tcBorders>
            <w:shd w:val="clear" w:color="auto" w:fill="auto"/>
            <w:noWrap/>
            <w:hideMark/>
          </w:tcPr>
          <w:p w14:paraId="041C73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0.240</w:t>
            </w:r>
          </w:p>
        </w:tc>
        <w:tc>
          <w:tcPr>
            <w:tcW w:w="0" w:type="auto"/>
            <w:tcBorders>
              <w:top w:val="nil"/>
              <w:left w:val="nil"/>
              <w:bottom w:val="single" w:sz="4" w:space="0" w:color="auto"/>
              <w:right w:val="single" w:sz="4" w:space="0" w:color="auto"/>
            </w:tcBorders>
            <w:shd w:val="clear" w:color="auto" w:fill="auto"/>
            <w:noWrap/>
            <w:hideMark/>
          </w:tcPr>
          <w:p w14:paraId="52959F5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510F372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0.229</w:t>
            </w:r>
          </w:p>
        </w:tc>
        <w:tc>
          <w:tcPr>
            <w:tcW w:w="0" w:type="auto"/>
            <w:tcBorders>
              <w:top w:val="nil"/>
              <w:left w:val="nil"/>
              <w:bottom w:val="single" w:sz="4" w:space="0" w:color="auto"/>
              <w:right w:val="single" w:sz="4" w:space="0" w:color="auto"/>
            </w:tcBorders>
            <w:shd w:val="clear" w:color="auto" w:fill="auto"/>
            <w:noWrap/>
            <w:hideMark/>
          </w:tcPr>
          <w:p w14:paraId="4FC2DB5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016621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0.229</w:t>
            </w:r>
          </w:p>
        </w:tc>
        <w:tc>
          <w:tcPr>
            <w:tcW w:w="0" w:type="auto"/>
            <w:tcBorders>
              <w:top w:val="nil"/>
              <w:left w:val="nil"/>
              <w:bottom w:val="single" w:sz="4" w:space="0" w:color="auto"/>
              <w:right w:val="single" w:sz="4" w:space="0" w:color="auto"/>
            </w:tcBorders>
            <w:shd w:val="clear" w:color="auto" w:fill="auto"/>
            <w:noWrap/>
            <w:hideMark/>
          </w:tcPr>
          <w:p w14:paraId="461683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0.277</w:t>
            </w:r>
          </w:p>
        </w:tc>
        <w:tc>
          <w:tcPr>
            <w:tcW w:w="0" w:type="auto"/>
            <w:tcBorders>
              <w:top w:val="nil"/>
              <w:left w:val="nil"/>
              <w:bottom w:val="single" w:sz="4" w:space="0" w:color="auto"/>
              <w:right w:val="single" w:sz="4" w:space="0" w:color="auto"/>
            </w:tcBorders>
            <w:shd w:val="clear" w:color="auto" w:fill="auto"/>
            <w:noWrap/>
            <w:hideMark/>
          </w:tcPr>
          <w:p w14:paraId="68BA95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0.257</w:t>
            </w:r>
          </w:p>
        </w:tc>
      </w:tr>
      <w:tr w:rsidR="00943D0A" w:rsidRPr="00144673" w14:paraId="513B647F" w14:textId="77777777" w:rsidTr="005F3540">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5F51FD9"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dominance_2</w:t>
            </w:r>
          </w:p>
        </w:tc>
        <w:tc>
          <w:tcPr>
            <w:tcW w:w="0" w:type="auto"/>
            <w:tcBorders>
              <w:top w:val="nil"/>
              <w:left w:val="nil"/>
              <w:bottom w:val="single" w:sz="4" w:space="0" w:color="auto"/>
              <w:right w:val="single" w:sz="4" w:space="0" w:color="auto"/>
            </w:tcBorders>
            <w:shd w:val="clear" w:color="auto" w:fill="auto"/>
            <w:noWrap/>
            <w:hideMark/>
          </w:tcPr>
          <w:p w14:paraId="17D3A6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0.176</w:t>
            </w:r>
          </w:p>
        </w:tc>
        <w:tc>
          <w:tcPr>
            <w:tcW w:w="0" w:type="auto"/>
            <w:tcBorders>
              <w:top w:val="nil"/>
              <w:left w:val="nil"/>
              <w:bottom w:val="single" w:sz="4" w:space="0" w:color="auto"/>
              <w:right w:val="single" w:sz="4" w:space="0" w:color="auto"/>
            </w:tcBorders>
            <w:shd w:val="clear" w:color="auto" w:fill="auto"/>
            <w:noWrap/>
            <w:hideMark/>
          </w:tcPr>
          <w:p w14:paraId="2DA8EC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0.071</w:t>
            </w:r>
          </w:p>
        </w:tc>
        <w:tc>
          <w:tcPr>
            <w:tcW w:w="0" w:type="auto"/>
            <w:tcBorders>
              <w:top w:val="nil"/>
              <w:left w:val="nil"/>
              <w:bottom w:val="single" w:sz="4" w:space="0" w:color="auto"/>
              <w:right w:val="single" w:sz="4" w:space="0" w:color="auto"/>
            </w:tcBorders>
            <w:shd w:val="clear" w:color="auto" w:fill="auto"/>
            <w:noWrap/>
            <w:hideMark/>
          </w:tcPr>
          <w:p w14:paraId="448F5B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0.138</w:t>
            </w:r>
          </w:p>
        </w:tc>
        <w:tc>
          <w:tcPr>
            <w:tcW w:w="0" w:type="auto"/>
            <w:tcBorders>
              <w:top w:val="nil"/>
              <w:left w:val="nil"/>
              <w:bottom w:val="single" w:sz="4" w:space="0" w:color="auto"/>
              <w:right w:val="single" w:sz="4" w:space="0" w:color="auto"/>
            </w:tcBorders>
            <w:shd w:val="clear" w:color="auto" w:fill="auto"/>
            <w:noWrap/>
            <w:hideMark/>
          </w:tcPr>
          <w:p w14:paraId="4AC221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0.150</w:t>
            </w:r>
          </w:p>
        </w:tc>
        <w:tc>
          <w:tcPr>
            <w:tcW w:w="0" w:type="auto"/>
            <w:tcBorders>
              <w:top w:val="nil"/>
              <w:left w:val="nil"/>
              <w:bottom w:val="single" w:sz="4" w:space="0" w:color="auto"/>
              <w:right w:val="single" w:sz="4" w:space="0" w:color="auto"/>
            </w:tcBorders>
            <w:shd w:val="clear" w:color="auto" w:fill="auto"/>
            <w:noWrap/>
            <w:hideMark/>
          </w:tcPr>
          <w:p w14:paraId="147E2F1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0.097</w:t>
            </w:r>
          </w:p>
        </w:tc>
        <w:tc>
          <w:tcPr>
            <w:tcW w:w="0" w:type="auto"/>
            <w:tcBorders>
              <w:top w:val="nil"/>
              <w:left w:val="nil"/>
              <w:bottom w:val="single" w:sz="4" w:space="0" w:color="auto"/>
              <w:right w:val="single" w:sz="4" w:space="0" w:color="auto"/>
            </w:tcBorders>
            <w:shd w:val="clear" w:color="auto" w:fill="auto"/>
            <w:noWrap/>
            <w:hideMark/>
          </w:tcPr>
          <w:p w14:paraId="47E1EE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0.600</w:t>
            </w:r>
          </w:p>
        </w:tc>
        <w:tc>
          <w:tcPr>
            <w:tcW w:w="0" w:type="auto"/>
            <w:tcBorders>
              <w:top w:val="nil"/>
              <w:left w:val="nil"/>
              <w:bottom w:val="single" w:sz="4" w:space="0" w:color="auto"/>
              <w:right w:val="single" w:sz="4" w:space="0" w:color="auto"/>
            </w:tcBorders>
            <w:shd w:val="clear" w:color="auto" w:fill="auto"/>
            <w:noWrap/>
            <w:hideMark/>
          </w:tcPr>
          <w:p w14:paraId="417A5C1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0.181</w:t>
            </w:r>
          </w:p>
        </w:tc>
        <w:tc>
          <w:tcPr>
            <w:tcW w:w="0" w:type="auto"/>
            <w:tcBorders>
              <w:top w:val="nil"/>
              <w:left w:val="nil"/>
              <w:bottom w:val="single" w:sz="4" w:space="0" w:color="auto"/>
              <w:right w:val="single" w:sz="4" w:space="0" w:color="auto"/>
            </w:tcBorders>
            <w:shd w:val="clear" w:color="auto" w:fill="auto"/>
            <w:noWrap/>
            <w:hideMark/>
          </w:tcPr>
          <w:p w14:paraId="0E2B6C8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0.001</w:t>
            </w:r>
          </w:p>
        </w:tc>
        <w:tc>
          <w:tcPr>
            <w:tcW w:w="0" w:type="auto"/>
            <w:tcBorders>
              <w:top w:val="nil"/>
              <w:left w:val="nil"/>
              <w:bottom w:val="single" w:sz="4" w:space="0" w:color="auto"/>
              <w:right w:val="single" w:sz="4" w:space="0" w:color="auto"/>
            </w:tcBorders>
            <w:shd w:val="clear" w:color="auto" w:fill="auto"/>
            <w:noWrap/>
            <w:hideMark/>
          </w:tcPr>
          <w:p w14:paraId="32EEEA7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0.155</w:t>
            </w:r>
          </w:p>
        </w:tc>
        <w:tc>
          <w:tcPr>
            <w:tcW w:w="0" w:type="auto"/>
            <w:tcBorders>
              <w:top w:val="nil"/>
              <w:left w:val="nil"/>
              <w:bottom w:val="single" w:sz="4" w:space="0" w:color="auto"/>
              <w:right w:val="single" w:sz="4" w:space="0" w:color="auto"/>
            </w:tcBorders>
            <w:shd w:val="clear" w:color="auto" w:fill="auto"/>
            <w:noWrap/>
            <w:hideMark/>
          </w:tcPr>
          <w:p w14:paraId="12A550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0.044</w:t>
            </w:r>
          </w:p>
        </w:tc>
        <w:tc>
          <w:tcPr>
            <w:tcW w:w="0" w:type="auto"/>
            <w:tcBorders>
              <w:top w:val="nil"/>
              <w:left w:val="nil"/>
              <w:bottom w:val="single" w:sz="4" w:space="0" w:color="auto"/>
              <w:right w:val="single" w:sz="4" w:space="0" w:color="auto"/>
            </w:tcBorders>
            <w:shd w:val="clear" w:color="auto" w:fill="auto"/>
            <w:noWrap/>
            <w:hideMark/>
          </w:tcPr>
          <w:p w14:paraId="6B1077C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0.175</w:t>
            </w:r>
          </w:p>
        </w:tc>
        <w:tc>
          <w:tcPr>
            <w:tcW w:w="0" w:type="auto"/>
            <w:tcBorders>
              <w:top w:val="nil"/>
              <w:left w:val="nil"/>
              <w:bottom w:val="single" w:sz="4" w:space="0" w:color="auto"/>
              <w:right w:val="single" w:sz="4" w:space="0" w:color="auto"/>
            </w:tcBorders>
            <w:shd w:val="clear" w:color="auto" w:fill="auto"/>
            <w:noWrap/>
            <w:hideMark/>
          </w:tcPr>
          <w:p w14:paraId="71D01AD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0.097</w:t>
            </w:r>
          </w:p>
        </w:tc>
        <w:tc>
          <w:tcPr>
            <w:tcW w:w="0" w:type="auto"/>
            <w:tcBorders>
              <w:top w:val="nil"/>
              <w:left w:val="nil"/>
              <w:bottom w:val="single" w:sz="4" w:space="0" w:color="auto"/>
              <w:right w:val="single" w:sz="4" w:space="0" w:color="auto"/>
            </w:tcBorders>
            <w:shd w:val="clear" w:color="auto" w:fill="auto"/>
            <w:noWrap/>
            <w:hideMark/>
          </w:tcPr>
          <w:p w14:paraId="57A23B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0.100</w:t>
            </w:r>
          </w:p>
        </w:tc>
        <w:tc>
          <w:tcPr>
            <w:tcW w:w="0" w:type="auto"/>
            <w:tcBorders>
              <w:top w:val="nil"/>
              <w:left w:val="nil"/>
              <w:bottom w:val="single" w:sz="4" w:space="0" w:color="auto"/>
              <w:right w:val="single" w:sz="4" w:space="0" w:color="auto"/>
            </w:tcBorders>
            <w:shd w:val="clear" w:color="auto" w:fill="auto"/>
            <w:noWrap/>
            <w:hideMark/>
          </w:tcPr>
          <w:p w14:paraId="05DF69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-0.006</w:t>
            </w:r>
          </w:p>
        </w:tc>
        <w:tc>
          <w:tcPr>
            <w:tcW w:w="0" w:type="auto"/>
            <w:tcBorders>
              <w:top w:val="nil"/>
              <w:left w:val="nil"/>
              <w:bottom w:val="single" w:sz="4" w:space="0" w:color="auto"/>
              <w:right w:val="single" w:sz="4" w:space="0" w:color="auto"/>
            </w:tcBorders>
            <w:shd w:val="clear" w:color="auto" w:fill="auto"/>
            <w:noWrap/>
            <w:hideMark/>
          </w:tcPr>
          <w:p w14:paraId="66CEC4E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0.121</w:t>
            </w:r>
          </w:p>
        </w:tc>
        <w:tc>
          <w:tcPr>
            <w:tcW w:w="0" w:type="auto"/>
            <w:tcBorders>
              <w:top w:val="nil"/>
              <w:left w:val="nil"/>
              <w:bottom w:val="single" w:sz="4" w:space="0" w:color="auto"/>
              <w:right w:val="single" w:sz="4" w:space="0" w:color="auto"/>
            </w:tcBorders>
            <w:shd w:val="clear" w:color="auto" w:fill="auto"/>
            <w:noWrap/>
            <w:hideMark/>
          </w:tcPr>
          <w:p w14:paraId="2565E6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0.133</w:t>
            </w:r>
          </w:p>
        </w:tc>
      </w:tr>
      <w:tr w:rsidR="00943D0A" w:rsidRPr="00144673" w14:paraId="557B892F" w14:textId="77777777" w:rsidTr="005F3540">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E8B3F6A"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dominance_3</w:t>
            </w:r>
          </w:p>
        </w:tc>
        <w:tc>
          <w:tcPr>
            <w:tcW w:w="0" w:type="auto"/>
            <w:tcBorders>
              <w:top w:val="nil"/>
              <w:left w:val="nil"/>
              <w:bottom w:val="single" w:sz="4" w:space="0" w:color="auto"/>
              <w:right w:val="single" w:sz="4" w:space="0" w:color="auto"/>
            </w:tcBorders>
            <w:shd w:val="clear" w:color="auto" w:fill="auto"/>
            <w:noWrap/>
            <w:hideMark/>
          </w:tcPr>
          <w:p w14:paraId="6F0CB9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0.139</w:t>
            </w:r>
          </w:p>
        </w:tc>
        <w:tc>
          <w:tcPr>
            <w:tcW w:w="0" w:type="auto"/>
            <w:tcBorders>
              <w:top w:val="nil"/>
              <w:left w:val="nil"/>
              <w:bottom w:val="single" w:sz="4" w:space="0" w:color="auto"/>
              <w:right w:val="single" w:sz="4" w:space="0" w:color="auto"/>
            </w:tcBorders>
            <w:shd w:val="clear" w:color="auto" w:fill="auto"/>
            <w:noWrap/>
            <w:hideMark/>
          </w:tcPr>
          <w:p w14:paraId="56299E6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0.129</w:t>
            </w:r>
          </w:p>
        </w:tc>
        <w:tc>
          <w:tcPr>
            <w:tcW w:w="0" w:type="auto"/>
            <w:tcBorders>
              <w:top w:val="nil"/>
              <w:left w:val="nil"/>
              <w:bottom w:val="single" w:sz="4" w:space="0" w:color="auto"/>
              <w:right w:val="single" w:sz="4" w:space="0" w:color="auto"/>
            </w:tcBorders>
            <w:shd w:val="clear" w:color="auto" w:fill="auto"/>
            <w:noWrap/>
            <w:hideMark/>
          </w:tcPr>
          <w:p w14:paraId="15AE13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0.158</w:t>
            </w:r>
          </w:p>
        </w:tc>
        <w:tc>
          <w:tcPr>
            <w:tcW w:w="0" w:type="auto"/>
            <w:tcBorders>
              <w:top w:val="nil"/>
              <w:left w:val="nil"/>
              <w:bottom w:val="single" w:sz="4" w:space="0" w:color="auto"/>
              <w:right w:val="single" w:sz="4" w:space="0" w:color="auto"/>
            </w:tcBorders>
            <w:shd w:val="clear" w:color="auto" w:fill="auto"/>
            <w:noWrap/>
            <w:hideMark/>
          </w:tcPr>
          <w:p w14:paraId="521FD62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0.199</w:t>
            </w:r>
          </w:p>
        </w:tc>
        <w:tc>
          <w:tcPr>
            <w:tcW w:w="0" w:type="auto"/>
            <w:tcBorders>
              <w:top w:val="nil"/>
              <w:left w:val="nil"/>
              <w:bottom w:val="single" w:sz="4" w:space="0" w:color="auto"/>
              <w:right w:val="single" w:sz="4" w:space="0" w:color="auto"/>
            </w:tcBorders>
            <w:shd w:val="clear" w:color="auto" w:fill="auto"/>
            <w:noWrap/>
            <w:hideMark/>
          </w:tcPr>
          <w:p w14:paraId="2A67DD8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0.123</w:t>
            </w:r>
          </w:p>
        </w:tc>
        <w:tc>
          <w:tcPr>
            <w:tcW w:w="0" w:type="auto"/>
            <w:tcBorders>
              <w:top w:val="nil"/>
              <w:left w:val="nil"/>
              <w:bottom w:val="single" w:sz="4" w:space="0" w:color="auto"/>
              <w:right w:val="single" w:sz="4" w:space="0" w:color="auto"/>
            </w:tcBorders>
            <w:shd w:val="clear" w:color="auto" w:fill="auto"/>
            <w:noWrap/>
            <w:hideMark/>
          </w:tcPr>
          <w:p w14:paraId="6DAB51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0.587</w:t>
            </w:r>
          </w:p>
        </w:tc>
        <w:tc>
          <w:tcPr>
            <w:tcW w:w="0" w:type="auto"/>
            <w:tcBorders>
              <w:top w:val="nil"/>
              <w:left w:val="nil"/>
              <w:bottom w:val="single" w:sz="4" w:space="0" w:color="auto"/>
              <w:right w:val="single" w:sz="4" w:space="0" w:color="auto"/>
            </w:tcBorders>
            <w:shd w:val="clear" w:color="auto" w:fill="auto"/>
            <w:noWrap/>
            <w:hideMark/>
          </w:tcPr>
          <w:p w14:paraId="605BB4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0.061</w:t>
            </w:r>
          </w:p>
        </w:tc>
        <w:tc>
          <w:tcPr>
            <w:tcW w:w="0" w:type="auto"/>
            <w:tcBorders>
              <w:top w:val="nil"/>
              <w:left w:val="nil"/>
              <w:bottom w:val="single" w:sz="4" w:space="0" w:color="auto"/>
              <w:right w:val="single" w:sz="4" w:space="0" w:color="auto"/>
            </w:tcBorders>
            <w:shd w:val="clear" w:color="auto" w:fill="auto"/>
            <w:noWrap/>
            <w:hideMark/>
          </w:tcPr>
          <w:p w14:paraId="392C042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-0.017</w:t>
            </w:r>
          </w:p>
        </w:tc>
        <w:tc>
          <w:tcPr>
            <w:tcW w:w="0" w:type="auto"/>
            <w:tcBorders>
              <w:top w:val="nil"/>
              <w:left w:val="nil"/>
              <w:bottom w:val="single" w:sz="4" w:space="0" w:color="auto"/>
              <w:right w:val="single" w:sz="4" w:space="0" w:color="auto"/>
            </w:tcBorders>
            <w:shd w:val="clear" w:color="auto" w:fill="auto"/>
            <w:noWrap/>
            <w:hideMark/>
          </w:tcPr>
          <w:p w14:paraId="68A863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0.008</w:t>
            </w:r>
          </w:p>
        </w:tc>
        <w:tc>
          <w:tcPr>
            <w:tcW w:w="0" w:type="auto"/>
            <w:tcBorders>
              <w:top w:val="nil"/>
              <w:left w:val="nil"/>
              <w:bottom w:val="single" w:sz="4" w:space="0" w:color="auto"/>
              <w:right w:val="single" w:sz="4" w:space="0" w:color="auto"/>
            </w:tcBorders>
            <w:shd w:val="clear" w:color="auto" w:fill="auto"/>
            <w:noWrap/>
            <w:hideMark/>
          </w:tcPr>
          <w:p w14:paraId="1F04A1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0.201</w:t>
            </w:r>
          </w:p>
        </w:tc>
        <w:tc>
          <w:tcPr>
            <w:tcW w:w="0" w:type="auto"/>
            <w:tcBorders>
              <w:top w:val="nil"/>
              <w:left w:val="nil"/>
              <w:bottom w:val="single" w:sz="4" w:space="0" w:color="auto"/>
              <w:right w:val="single" w:sz="4" w:space="0" w:color="auto"/>
            </w:tcBorders>
            <w:shd w:val="clear" w:color="auto" w:fill="auto"/>
            <w:noWrap/>
            <w:hideMark/>
          </w:tcPr>
          <w:p w14:paraId="0FC64A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0.199</w:t>
            </w:r>
          </w:p>
        </w:tc>
        <w:tc>
          <w:tcPr>
            <w:tcW w:w="0" w:type="auto"/>
            <w:tcBorders>
              <w:top w:val="nil"/>
              <w:left w:val="nil"/>
              <w:bottom w:val="single" w:sz="4" w:space="0" w:color="auto"/>
              <w:right w:val="single" w:sz="4" w:space="0" w:color="auto"/>
            </w:tcBorders>
            <w:shd w:val="clear" w:color="auto" w:fill="auto"/>
            <w:noWrap/>
            <w:hideMark/>
          </w:tcPr>
          <w:p w14:paraId="4523608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0.069</w:t>
            </w:r>
          </w:p>
        </w:tc>
        <w:tc>
          <w:tcPr>
            <w:tcW w:w="0" w:type="auto"/>
            <w:tcBorders>
              <w:top w:val="nil"/>
              <w:left w:val="nil"/>
              <w:bottom w:val="single" w:sz="4" w:space="0" w:color="auto"/>
              <w:right w:val="single" w:sz="4" w:space="0" w:color="auto"/>
            </w:tcBorders>
            <w:shd w:val="clear" w:color="auto" w:fill="auto"/>
            <w:noWrap/>
            <w:hideMark/>
          </w:tcPr>
          <w:p w14:paraId="793A85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0.128</w:t>
            </w:r>
          </w:p>
        </w:tc>
        <w:tc>
          <w:tcPr>
            <w:tcW w:w="0" w:type="auto"/>
            <w:tcBorders>
              <w:top w:val="nil"/>
              <w:left w:val="nil"/>
              <w:bottom w:val="single" w:sz="4" w:space="0" w:color="auto"/>
              <w:right w:val="single" w:sz="4" w:space="0" w:color="auto"/>
            </w:tcBorders>
            <w:shd w:val="clear" w:color="auto" w:fill="auto"/>
            <w:noWrap/>
            <w:hideMark/>
          </w:tcPr>
          <w:p w14:paraId="550DB4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0.059</w:t>
            </w:r>
          </w:p>
        </w:tc>
        <w:tc>
          <w:tcPr>
            <w:tcW w:w="0" w:type="auto"/>
            <w:tcBorders>
              <w:top w:val="nil"/>
              <w:left w:val="nil"/>
              <w:bottom w:val="single" w:sz="4" w:space="0" w:color="auto"/>
              <w:right w:val="single" w:sz="4" w:space="0" w:color="auto"/>
            </w:tcBorders>
            <w:shd w:val="clear" w:color="auto" w:fill="auto"/>
            <w:noWrap/>
            <w:hideMark/>
          </w:tcPr>
          <w:p w14:paraId="09E01D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0.173</w:t>
            </w:r>
          </w:p>
        </w:tc>
        <w:tc>
          <w:tcPr>
            <w:tcW w:w="0" w:type="auto"/>
            <w:tcBorders>
              <w:top w:val="nil"/>
              <w:left w:val="nil"/>
              <w:bottom w:val="single" w:sz="4" w:space="0" w:color="auto"/>
              <w:right w:val="single" w:sz="4" w:space="0" w:color="auto"/>
            </w:tcBorders>
            <w:shd w:val="clear" w:color="auto" w:fill="auto"/>
            <w:noWrap/>
            <w:hideMark/>
          </w:tcPr>
          <w:p w14:paraId="75DDB52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r>
      <w:tr w:rsidR="00943D0A" w:rsidRPr="00144673" w14:paraId="339323E2"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F4ABF3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dominance_4</w:t>
            </w:r>
          </w:p>
        </w:tc>
        <w:tc>
          <w:tcPr>
            <w:tcW w:w="0" w:type="auto"/>
            <w:tcBorders>
              <w:top w:val="nil"/>
              <w:left w:val="nil"/>
              <w:bottom w:val="single" w:sz="4" w:space="0" w:color="auto"/>
              <w:right w:val="single" w:sz="4" w:space="0" w:color="auto"/>
            </w:tcBorders>
            <w:shd w:val="clear" w:color="auto" w:fill="auto"/>
            <w:noWrap/>
            <w:hideMark/>
          </w:tcPr>
          <w:p w14:paraId="7195A2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0.103</w:t>
            </w:r>
          </w:p>
        </w:tc>
        <w:tc>
          <w:tcPr>
            <w:tcW w:w="0" w:type="auto"/>
            <w:tcBorders>
              <w:top w:val="nil"/>
              <w:left w:val="nil"/>
              <w:bottom w:val="single" w:sz="4" w:space="0" w:color="auto"/>
              <w:right w:val="single" w:sz="4" w:space="0" w:color="auto"/>
            </w:tcBorders>
            <w:shd w:val="clear" w:color="auto" w:fill="auto"/>
            <w:noWrap/>
            <w:hideMark/>
          </w:tcPr>
          <w:p w14:paraId="149930B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0.093</w:t>
            </w:r>
          </w:p>
        </w:tc>
        <w:tc>
          <w:tcPr>
            <w:tcW w:w="0" w:type="auto"/>
            <w:tcBorders>
              <w:top w:val="nil"/>
              <w:left w:val="nil"/>
              <w:bottom w:val="single" w:sz="4" w:space="0" w:color="auto"/>
              <w:right w:val="single" w:sz="4" w:space="0" w:color="auto"/>
            </w:tcBorders>
            <w:shd w:val="clear" w:color="auto" w:fill="auto"/>
            <w:noWrap/>
            <w:hideMark/>
          </w:tcPr>
          <w:p w14:paraId="53EE16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0.021</w:t>
            </w:r>
          </w:p>
        </w:tc>
        <w:tc>
          <w:tcPr>
            <w:tcW w:w="0" w:type="auto"/>
            <w:tcBorders>
              <w:top w:val="nil"/>
              <w:left w:val="nil"/>
              <w:bottom w:val="single" w:sz="4" w:space="0" w:color="auto"/>
              <w:right w:val="single" w:sz="4" w:space="0" w:color="auto"/>
            </w:tcBorders>
            <w:shd w:val="clear" w:color="auto" w:fill="auto"/>
            <w:noWrap/>
            <w:hideMark/>
          </w:tcPr>
          <w:p w14:paraId="6FE4CD2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-0.008</w:t>
            </w:r>
          </w:p>
        </w:tc>
        <w:tc>
          <w:tcPr>
            <w:tcW w:w="0" w:type="auto"/>
            <w:tcBorders>
              <w:top w:val="nil"/>
              <w:left w:val="nil"/>
              <w:bottom w:val="single" w:sz="4" w:space="0" w:color="auto"/>
              <w:right w:val="single" w:sz="4" w:space="0" w:color="auto"/>
            </w:tcBorders>
            <w:shd w:val="clear" w:color="auto" w:fill="auto"/>
            <w:noWrap/>
            <w:hideMark/>
          </w:tcPr>
          <w:p w14:paraId="37A05E5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-0.035</w:t>
            </w:r>
          </w:p>
        </w:tc>
        <w:tc>
          <w:tcPr>
            <w:tcW w:w="0" w:type="auto"/>
            <w:tcBorders>
              <w:top w:val="nil"/>
              <w:left w:val="nil"/>
              <w:bottom w:val="single" w:sz="4" w:space="0" w:color="auto"/>
              <w:right w:val="single" w:sz="4" w:space="0" w:color="auto"/>
            </w:tcBorders>
            <w:shd w:val="clear" w:color="000000" w:fill="FFFF00"/>
            <w:noWrap/>
            <w:hideMark/>
          </w:tcPr>
          <w:p w14:paraId="1E50EA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0.380</w:t>
            </w:r>
          </w:p>
        </w:tc>
        <w:tc>
          <w:tcPr>
            <w:tcW w:w="0" w:type="auto"/>
            <w:tcBorders>
              <w:top w:val="nil"/>
              <w:left w:val="nil"/>
              <w:bottom w:val="single" w:sz="4" w:space="0" w:color="auto"/>
              <w:right w:val="single" w:sz="4" w:space="0" w:color="auto"/>
            </w:tcBorders>
            <w:shd w:val="clear" w:color="auto" w:fill="auto"/>
            <w:noWrap/>
            <w:hideMark/>
          </w:tcPr>
          <w:p w14:paraId="215366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-0.011</w:t>
            </w:r>
          </w:p>
        </w:tc>
        <w:tc>
          <w:tcPr>
            <w:tcW w:w="0" w:type="auto"/>
            <w:tcBorders>
              <w:top w:val="nil"/>
              <w:left w:val="nil"/>
              <w:bottom w:val="single" w:sz="4" w:space="0" w:color="auto"/>
              <w:right w:val="single" w:sz="4" w:space="0" w:color="auto"/>
            </w:tcBorders>
            <w:shd w:val="clear" w:color="auto" w:fill="auto"/>
            <w:noWrap/>
            <w:hideMark/>
          </w:tcPr>
          <w:p w14:paraId="179C2C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-0.068</w:t>
            </w:r>
          </w:p>
        </w:tc>
        <w:tc>
          <w:tcPr>
            <w:tcW w:w="0" w:type="auto"/>
            <w:tcBorders>
              <w:top w:val="nil"/>
              <w:left w:val="nil"/>
              <w:bottom w:val="single" w:sz="4" w:space="0" w:color="auto"/>
              <w:right w:val="single" w:sz="4" w:space="0" w:color="auto"/>
            </w:tcBorders>
            <w:shd w:val="clear" w:color="auto" w:fill="auto"/>
            <w:noWrap/>
            <w:hideMark/>
          </w:tcPr>
          <w:p w14:paraId="5D5B7D2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-0.049</w:t>
            </w:r>
          </w:p>
        </w:tc>
        <w:tc>
          <w:tcPr>
            <w:tcW w:w="0" w:type="auto"/>
            <w:tcBorders>
              <w:top w:val="nil"/>
              <w:left w:val="nil"/>
              <w:bottom w:val="single" w:sz="4" w:space="0" w:color="auto"/>
              <w:right w:val="single" w:sz="4" w:space="0" w:color="auto"/>
            </w:tcBorders>
            <w:shd w:val="clear" w:color="auto" w:fill="auto"/>
            <w:noWrap/>
            <w:hideMark/>
          </w:tcPr>
          <w:p w14:paraId="19DD27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0.005</w:t>
            </w:r>
          </w:p>
        </w:tc>
        <w:tc>
          <w:tcPr>
            <w:tcW w:w="0" w:type="auto"/>
            <w:tcBorders>
              <w:top w:val="nil"/>
              <w:left w:val="nil"/>
              <w:bottom w:val="single" w:sz="4" w:space="0" w:color="auto"/>
              <w:right w:val="single" w:sz="4" w:space="0" w:color="auto"/>
            </w:tcBorders>
            <w:shd w:val="clear" w:color="auto" w:fill="auto"/>
            <w:noWrap/>
            <w:hideMark/>
          </w:tcPr>
          <w:p w14:paraId="543F17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0.023</w:t>
            </w:r>
          </w:p>
        </w:tc>
        <w:tc>
          <w:tcPr>
            <w:tcW w:w="0" w:type="auto"/>
            <w:tcBorders>
              <w:top w:val="nil"/>
              <w:left w:val="nil"/>
              <w:bottom w:val="single" w:sz="4" w:space="0" w:color="auto"/>
              <w:right w:val="single" w:sz="4" w:space="0" w:color="auto"/>
            </w:tcBorders>
            <w:shd w:val="clear" w:color="auto" w:fill="auto"/>
            <w:noWrap/>
            <w:hideMark/>
          </w:tcPr>
          <w:p w14:paraId="1385E5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0.095</w:t>
            </w:r>
          </w:p>
        </w:tc>
        <w:tc>
          <w:tcPr>
            <w:tcW w:w="0" w:type="auto"/>
            <w:tcBorders>
              <w:top w:val="nil"/>
              <w:left w:val="nil"/>
              <w:bottom w:val="single" w:sz="4" w:space="0" w:color="auto"/>
              <w:right w:val="single" w:sz="4" w:space="0" w:color="auto"/>
            </w:tcBorders>
            <w:shd w:val="clear" w:color="auto" w:fill="auto"/>
            <w:noWrap/>
            <w:hideMark/>
          </w:tcPr>
          <w:p w14:paraId="12BA544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-0.031</w:t>
            </w:r>
          </w:p>
        </w:tc>
        <w:tc>
          <w:tcPr>
            <w:tcW w:w="0" w:type="auto"/>
            <w:tcBorders>
              <w:top w:val="nil"/>
              <w:left w:val="nil"/>
              <w:bottom w:val="single" w:sz="4" w:space="0" w:color="auto"/>
              <w:right w:val="single" w:sz="4" w:space="0" w:color="auto"/>
            </w:tcBorders>
            <w:shd w:val="clear" w:color="auto" w:fill="auto"/>
            <w:noWrap/>
            <w:hideMark/>
          </w:tcPr>
          <w:p w14:paraId="1140D0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0.062</w:t>
            </w:r>
          </w:p>
        </w:tc>
        <w:tc>
          <w:tcPr>
            <w:tcW w:w="0" w:type="auto"/>
            <w:tcBorders>
              <w:top w:val="nil"/>
              <w:left w:val="nil"/>
              <w:bottom w:val="single" w:sz="4" w:space="0" w:color="auto"/>
              <w:right w:val="single" w:sz="4" w:space="0" w:color="auto"/>
            </w:tcBorders>
            <w:shd w:val="clear" w:color="auto" w:fill="auto"/>
            <w:noWrap/>
            <w:hideMark/>
          </w:tcPr>
          <w:p w14:paraId="7E8ED0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0.011</w:t>
            </w:r>
          </w:p>
        </w:tc>
        <w:tc>
          <w:tcPr>
            <w:tcW w:w="0" w:type="auto"/>
            <w:tcBorders>
              <w:top w:val="nil"/>
              <w:left w:val="nil"/>
              <w:bottom w:val="single" w:sz="4" w:space="0" w:color="auto"/>
              <w:right w:val="single" w:sz="4" w:space="0" w:color="auto"/>
            </w:tcBorders>
            <w:shd w:val="clear" w:color="auto" w:fill="auto"/>
            <w:noWrap/>
            <w:hideMark/>
          </w:tcPr>
          <w:p w14:paraId="47DAE51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-0.011</w:t>
            </w:r>
          </w:p>
        </w:tc>
      </w:tr>
      <w:tr w:rsidR="00943D0A" w:rsidRPr="00144673" w14:paraId="0EC20FFA" w14:textId="77777777" w:rsidTr="00656BE2">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ED452F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dominance_5</w:t>
            </w:r>
          </w:p>
        </w:tc>
        <w:tc>
          <w:tcPr>
            <w:tcW w:w="0" w:type="auto"/>
            <w:tcBorders>
              <w:top w:val="nil"/>
              <w:left w:val="nil"/>
              <w:bottom w:val="single" w:sz="4" w:space="0" w:color="auto"/>
              <w:right w:val="single" w:sz="4" w:space="0" w:color="auto"/>
            </w:tcBorders>
            <w:shd w:val="clear" w:color="auto" w:fill="auto"/>
            <w:noWrap/>
            <w:hideMark/>
          </w:tcPr>
          <w:p w14:paraId="2280B5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0.006</w:t>
            </w:r>
          </w:p>
        </w:tc>
        <w:tc>
          <w:tcPr>
            <w:tcW w:w="0" w:type="auto"/>
            <w:tcBorders>
              <w:top w:val="nil"/>
              <w:left w:val="nil"/>
              <w:bottom w:val="single" w:sz="4" w:space="0" w:color="auto"/>
              <w:right w:val="single" w:sz="4" w:space="0" w:color="auto"/>
            </w:tcBorders>
            <w:shd w:val="clear" w:color="auto" w:fill="FFFF00"/>
            <w:noWrap/>
            <w:hideMark/>
          </w:tcPr>
          <w:p w14:paraId="3EBE4BE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0.117</w:t>
            </w:r>
          </w:p>
        </w:tc>
        <w:tc>
          <w:tcPr>
            <w:tcW w:w="0" w:type="auto"/>
            <w:tcBorders>
              <w:top w:val="nil"/>
              <w:left w:val="nil"/>
              <w:bottom w:val="single" w:sz="4" w:space="0" w:color="auto"/>
              <w:right w:val="single" w:sz="4" w:space="0" w:color="auto"/>
            </w:tcBorders>
            <w:shd w:val="clear" w:color="auto" w:fill="auto"/>
            <w:noWrap/>
            <w:hideMark/>
          </w:tcPr>
          <w:p w14:paraId="2571D2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-0.045</w:t>
            </w:r>
          </w:p>
        </w:tc>
        <w:tc>
          <w:tcPr>
            <w:tcW w:w="0" w:type="auto"/>
            <w:tcBorders>
              <w:top w:val="nil"/>
              <w:left w:val="nil"/>
              <w:bottom w:val="single" w:sz="4" w:space="0" w:color="auto"/>
              <w:right w:val="single" w:sz="4" w:space="0" w:color="auto"/>
            </w:tcBorders>
            <w:shd w:val="clear" w:color="auto" w:fill="auto"/>
            <w:noWrap/>
            <w:hideMark/>
          </w:tcPr>
          <w:p w14:paraId="1AAC0BD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-0.005</w:t>
            </w:r>
          </w:p>
        </w:tc>
        <w:tc>
          <w:tcPr>
            <w:tcW w:w="0" w:type="auto"/>
            <w:tcBorders>
              <w:top w:val="nil"/>
              <w:left w:val="nil"/>
              <w:bottom w:val="single" w:sz="4" w:space="0" w:color="auto"/>
              <w:right w:val="single" w:sz="4" w:space="0" w:color="auto"/>
            </w:tcBorders>
            <w:shd w:val="clear" w:color="auto" w:fill="auto"/>
            <w:noWrap/>
            <w:hideMark/>
          </w:tcPr>
          <w:p w14:paraId="554E2A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-0.148</w:t>
            </w:r>
          </w:p>
        </w:tc>
        <w:tc>
          <w:tcPr>
            <w:tcW w:w="0" w:type="auto"/>
            <w:tcBorders>
              <w:top w:val="nil"/>
              <w:left w:val="nil"/>
              <w:bottom w:val="single" w:sz="4" w:space="0" w:color="auto"/>
              <w:right w:val="single" w:sz="4" w:space="0" w:color="auto"/>
            </w:tcBorders>
            <w:shd w:val="clear" w:color="000000" w:fill="FFFF00"/>
            <w:noWrap/>
            <w:hideMark/>
          </w:tcPr>
          <w:p w14:paraId="32AEB42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0.108</w:t>
            </w:r>
          </w:p>
        </w:tc>
        <w:tc>
          <w:tcPr>
            <w:tcW w:w="0" w:type="auto"/>
            <w:tcBorders>
              <w:top w:val="nil"/>
              <w:left w:val="nil"/>
              <w:bottom w:val="single" w:sz="4" w:space="0" w:color="auto"/>
              <w:right w:val="single" w:sz="4" w:space="0" w:color="auto"/>
            </w:tcBorders>
            <w:shd w:val="clear" w:color="auto" w:fill="auto"/>
            <w:noWrap/>
            <w:hideMark/>
          </w:tcPr>
          <w:p w14:paraId="7342B1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-0.111</w:t>
            </w:r>
          </w:p>
        </w:tc>
        <w:tc>
          <w:tcPr>
            <w:tcW w:w="0" w:type="auto"/>
            <w:tcBorders>
              <w:top w:val="nil"/>
              <w:left w:val="nil"/>
              <w:bottom w:val="single" w:sz="4" w:space="0" w:color="auto"/>
              <w:right w:val="single" w:sz="4" w:space="0" w:color="auto"/>
            </w:tcBorders>
            <w:shd w:val="clear" w:color="auto" w:fill="auto"/>
            <w:noWrap/>
            <w:hideMark/>
          </w:tcPr>
          <w:p w14:paraId="60AE0F6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0.008</w:t>
            </w:r>
          </w:p>
        </w:tc>
        <w:tc>
          <w:tcPr>
            <w:tcW w:w="0" w:type="auto"/>
            <w:tcBorders>
              <w:top w:val="nil"/>
              <w:left w:val="nil"/>
              <w:bottom w:val="single" w:sz="4" w:space="0" w:color="auto"/>
              <w:right w:val="single" w:sz="4" w:space="0" w:color="auto"/>
            </w:tcBorders>
            <w:shd w:val="clear" w:color="auto" w:fill="auto"/>
            <w:noWrap/>
            <w:hideMark/>
          </w:tcPr>
          <w:p w14:paraId="1091AB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-0.137</w:t>
            </w:r>
          </w:p>
        </w:tc>
        <w:tc>
          <w:tcPr>
            <w:tcW w:w="0" w:type="auto"/>
            <w:tcBorders>
              <w:top w:val="nil"/>
              <w:left w:val="nil"/>
              <w:bottom w:val="single" w:sz="4" w:space="0" w:color="auto"/>
              <w:right w:val="single" w:sz="4" w:space="0" w:color="auto"/>
            </w:tcBorders>
            <w:shd w:val="clear" w:color="auto" w:fill="auto"/>
            <w:noWrap/>
            <w:hideMark/>
          </w:tcPr>
          <w:p w14:paraId="3F609F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-0.045</w:t>
            </w:r>
          </w:p>
        </w:tc>
        <w:tc>
          <w:tcPr>
            <w:tcW w:w="0" w:type="auto"/>
            <w:tcBorders>
              <w:top w:val="nil"/>
              <w:left w:val="nil"/>
              <w:bottom w:val="single" w:sz="4" w:space="0" w:color="auto"/>
              <w:right w:val="single" w:sz="4" w:space="0" w:color="auto"/>
            </w:tcBorders>
            <w:shd w:val="clear" w:color="auto" w:fill="auto"/>
            <w:noWrap/>
            <w:hideMark/>
          </w:tcPr>
          <w:p w14:paraId="78C5C79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-0.001</w:t>
            </w:r>
          </w:p>
        </w:tc>
        <w:tc>
          <w:tcPr>
            <w:tcW w:w="0" w:type="auto"/>
            <w:tcBorders>
              <w:top w:val="nil"/>
              <w:left w:val="nil"/>
              <w:bottom w:val="single" w:sz="4" w:space="0" w:color="auto"/>
              <w:right w:val="single" w:sz="4" w:space="0" w:color="auto"/>
            </w:tcBorders>
            <w:shd w:val="clear" w:color="auto" w:fill="auto"/>
            <w:noWrap/>
            <w:hideMark/>
          </w:tcPr>
          <w:p w14:paraId="56880A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-0.127</w:t>
            </w:r>
          </w:p>
        </w:tc>
        <w:tc>
          <w:tcPr>
            <w:tcW w:w="0" w:type="auto"/>
            <w:tcBorders>
              <w:top w:val="nil"/>
              <w:left w:val="nil"/>
              <w:bottom w:val="single" w:sz="4" w:space="0" w:color="auto"/>
              <w:right w:val="single" w:sz="4" w:space="0" w:color="auto"/>
            </w:tcBorders>
            <w:shd w:val="clear" w:color="auto" w:fill="auto"/>
            <w:noWrap/>
            <w:hideMark/>
          </w:tcPr>
          <w:p w14:paraId="3C0DBE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-0.040</w:t>
            </w:r>
          </w:p>
        </w:tc>
        <w:tc>
          <w:tcPr>
            <w:tcW w:w="0" w:type="auto"/>
            <w:tcBorders>
              <w:top w:val="nil"/>
              <w:left w:val="nil"/>
              <w:bottom w:val="single" w:sz="4" w:space="0" w:color="auto"/>
              <w:right w:val="single" w:sz="4" w:space="0" w:color="auto"/>
            </w:tcBorders>
            <w:shd w:val="clear" w:color="auto" w:fill="auto"/>
            <w:noWrap/>
            <w:hideMark/>
          </w:tcPr>
          <w:p w14:paraId="76501F6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-0.065</w:t>
            </w:r>
          </w:p>
        </w:tc>
        <w:tc>
          <w:tcPr>
            <w:tcW w:w="0" w:type="auto"/>
            <w:tcBorders>
              <w:top w:val="nil"/>
              <w:left w:val="nil"/>
              <w:bottom w:val="single" w:sz="4" w:space="0" w:color="auto"/>
              <w:right w:val="single" w:sz="4" w:space="0" w:color="auto"/>
            </w:tcBorders>
            <w:shd w:val="clear" w:color="auto" w:fill="auto"/>
            <w:noWrap/>
            <w:hideMark/>
          </w:tcPr>
          <w:p w14:paraId="7AD2E7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-0.106</w:t>
            </w:r>
          </w:p>
        </w:tc>
        <w:tc>
          <w:tcPr>
            <w:tcW w:w="0" w:type="auto"/>
            <w:tcBorders>
              <w:top w:val="nil"/>
              <w:left w:val="nil"/>
              <w:bottom w:val="single" w:sz="4" w:space="0" w:color="auto"/>
              <w:right w:val="single" w:sz="4" w:space="0" w:color="auto"/>
            </w:tcBorders>
            <w:shd w:val="clear" w:color="auto" w:fill="auto"/>
            <w:noWrap/>
            <w:hideMark/>
          </w:tcPr>
          <w:p w14:paraId="0806FA6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0.000</w:t>
            </w:r>
          </w:p>
        </w:tc>
      </w:tr>
      <w:tr w:rsidR="00943D0A" w:rsidRPr="00144673" w14:paraId="7902FE5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5EB9E4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dominance_6</w:t>
            </w:r>
          </w:p>
        </w:tc>
        <w:tc>
          <w:tcPr>
            <w:tcW w:w="0" w:type="auto"/>
            <w:tcBorders>
              <w:top w:val="nil"/>
              <w:left w:val="nil"/>
              <w:bottom w:val="single" w:sz="4" w:space="0" w:color="auto"/>
              <w:right w:val="single" w:sz="4" w:space="0" w:color="auto"/>
            </w:tcBorders>
            <w:shd w:val="clear" w:color="auto" w:fill="auto"/>
            <w:noWrap/>
            <w:hideMark/>
          </w:tcPr>
          <w:p w14:paraId="7B239C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0.227</w:t>
            </w:r>
          </w:p>
        </w:tc>
        <w:tc>
          <w:tcPr>
            <w:tcW w:w="0" w:type="auto"/>
            <w:tcBorders>
              <w:top w:val="nil"/>
              <w:left w:val="nil"/>
              <w:bottom w:val="single" w:sz="4" w:space="0" w:color="auto"/>
              <w:right w:val="single" w:sz="4" w:space="0" w:color="auto"/>
            </w:tcBorders>
            <w:shd w:val="clear" w:color="auto" w:fill="auto"/>
            <w:noWrap/>
            <w:hideMark/>
          </w:tcPr>
          <w:p w14:paraId="203B8A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0.119</w:t>
            </w:r>
          </w:p>
        </w:tc>
        <w:tc>
          <w:tcPr>
            <w:tcW w:w="0" w:type="auto"/>
            <w:tcBorders>
              <w:top w:val="nil"/>
              <w:left w:val="nil"/>
              <w:bottom w:val="single" w:sz="4" w:space="0" w:color="auto"/>
              <w:right w:val="single" w:sz="4" w:space="0" w:color="auto"/>
            </w:tcBorders>
            <w:shd w:val="clear" w:color="auto" w:fill="auto"/>
            <w:noWrap/>
            <w:hideMark/>
          </w:tcPr>
          <w:p w14:paraId="272EC0D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0.264</w:t>
            </w:r>
          </w:p>
        </w:tc>
        <w:tc>
          <w:tcPr>
            <w:tcW w:w="0" w:type="auto"/>
            <w:tcBorders>
              <w:top w:val="nil"/>
              <w:left w:val="nil"/>
              <w:bottom w:val="single" w:sz="4" w:space="0" w:color="auto"/>
              <w:right w:val="single" w:sz="4" w:space="0" w:color="auto"/>
            </w:tcBorders>
            <w:shd w:val="clear" w:color="auto" w:fill="auto"/>
            <w:noWrap/>
            <w:hideMark/>
          </w:tcPr>
          <w:p w14:paraId="47A9FD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0.340</w:t>
            </w:r>
          </w:p>
        </w:tc>
        <w:tc>
          <w:tcPr>
            <w:tcW w:w="0" w:type="auto"/>
            <w:tcBorders>
              <w:top w:val="nil"/>
              <w:left w:val="nil"/>
              <w:bottom w:val="single" w:sz="4" w:space="0" w:color="auto"/>
              <w:right w:val="single" w:sz="4" w:space="0" w:color="auto"/>
            </w:tcBorders>
            <w:shd w:val="clear" w:color="auto" w:fill="auto"/>
            <w:noWrap/>
            <w:hideMark/>
          </w:tcPr>
          <w:p w14:paraId="5F669D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0.386</w:t>
            </w:r>
          </w:p>
        </w:tc>
        <w:tc>
          <w:tcPr>
            <w:tcW w:w="0" w:type="auto"/>
            <w:tcBorders>
              <w:top w:val="nil"/>
              <w:left w:val="nil"/>
              <w:bottom w:val="single" w:sz="4" w:space="0" w:color="auto"/>
              <w:right w:val="single" w:sz="4" w:space="0" w:color="auto"/>
            </w:tcBorders>
            <w:shd w:val="clear" w:color="auto" w:fill="auto"/>
            <w:noWrap/>
            <w:hideMark/>
          </w:tcPr>
          <w:p w14:paraId="7EC587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0.808</w:t>
            </w:r>
          </w:p>
        </w:tc>
        <w:tc>
          <w:tcPr>
            <w:tcW w:w="0" w:type="auto"/>
            <w:tcBorders>
              <w:top w:val="nil"/>
              <w:left w:val="nil"/>
              <w:bottom w:val="single" w:sz="4" w:space="0" w:color="auto"/>
              <w:right w:val="single" w:sz="4" w:space="0" w:color="auto"/>
            </w:tcBorders>
            <w:shd w:val="clear" w:color="auto" w:fill="auto"/>
            <w:noWrap/>
            <w:hideMark/>
          </w:tcPr>
          <w:p w14:paraId="7ADBFF6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0.288</w:t>
            </w:r>
          </w:p>
        </w:tc>
        <w:tc>
          <w:tcPr>
            <w:tcW w:w="0" w:type="auto"/>
            <w:tcBorders>
              <w:top w:val="nil"/>
              <w:left w:val="nil"/>
              <w:bottom w:val="single" w:sz="4" w:space="0" w:color="auto"/>
              <w:right w:val="single" w:sz="4" w:space="0" w:color="auto"/>
            </w:tcBorders>
            <w:shd w:val="clear" w:color="auto" w:fill="auto"/>
            <w:noWrap/>
            <w:hideMark/>
          </w:tcPr>
          <w:p w14:paraId="64E102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0.050</w:t>
            </w:r>
          </w:p>
        </w:tc>
        <w:tc>
          <w:tcPr>
            <w:tcW w:w="0" w:type="auto"/>
            <w:tcBorders>
              <w:top w:val="nil"/>
              <w:left w:val="nil"/>
              <w:bottom w:val="single" w:sz="4" w:space="0" w:color="auto"/>
              <w:right w:val="single" w:sz="4" w:space="0" w:color="auto"/>
            </w:tcBorders>
            <w:shd w:val="clear" w:color="auto" w:fill="auto"/>
            <w:noWrap/>
            <w:hideMark/>
          </w:tcPr>
          <w:p w14:paraId="272905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0.161</w:t>
            </w:r>
          </w:p>
        </w:tc>
        <w:tc>
          <w:tcPr>
            <w:tcW w:w="0" w:type="auto"/>
            <w:tcBorders>
              <w:top w:val="nil"/>
              <w:left w:val="nil"/>
              <w:bottom w:val="single" w:sz="4" w:space="0" w:color="auto"/>
              <w:right w:val="single" w:sz="4" w:space="0" w:color="auto"/>
            </w:tcBorders>
            <w:shd w:val="clear" w:color="auto" w:fill="auto"/>
            <w:noWrap/>
            <w:hideMark/>
          </w:tcPr>
          <w:p w14:paraId="6BBA1BB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0.262</w:t>
            </w:r>
          </w:p>
        </w:tc>
        <w:tc>
          <w:tcPr>
            <w:tcW w:w="0" w:type="auto"/>
            <w:tcBorders>
              <w:top w:val="nil"/>
              <w:left w:val="nil"/>
              <w:bottom w:val="single" w:sz="4" w:space="0" w:color="auto"/>
              <w:right w:val="single" w:sz="4" w:space="0" w:color="auto"/>
            </w:tcBorders>
            <w:shd w:val="clear" w:color="auto" w:fill="auto"/>
            <w:noWrap/>
            <w:hideMark/>
          </w:tcPr>
          <w:p w14:paraId="5DC55A2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0.347</w:t>
            </w:r>
          </w:p>
        </w:tc>
        <w:tc>
          <w:tcPr>
            <w:tcW w:w="0" w:type="auto"/>
            <w:tcBorders>
              <w:top w:val="nil"/>
              <w:left w:val="nil"/>
              <w:bottom w:val="single" w:sz="4" w:space="0" w:color="auto"/>
              <w:right w:val="single" w:sz="4" w:space="0" w:color="auto"/>
            </w:tcBorders>
            <w:shd w:val="clear" w:color="auto" w:fill="auto"/>
            <w:noWrap/>
            <w:hideMark/>
          </w:tcPr>
          <w:p w14:paraId="77203F9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0.304</w:t>
            </w:r>
          </w:p>
        </w:tc>
        <w:tc>
          <w:tcPr>
            <w:tcW w:w="0" w:type="auto"/>
            <w:tcBorders>
              <w:top w:val="nil"/>
              <w:left w:val="nil"/>
              <w:bottom w:val="single" w:sz="4" w:space="0" w:color="auto"/>
              <w:right w:val="single" w:sz="4" w:space="0" w:color="auto"/>
            </w:tcBorders>
            <w:shd w:val="clear" w:color="auto" w:fill="auto"/>
            <w:noWrap/>
            <w:hideMark/>
          </w:tcPr>
          <w:p w14:paraId="2B3471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0.309</w:t>
            </w:r>
          </w:p>
        </w:tc>
        <w:tc>
          <w:tcPr>
            <w:tcW w:w="0" w:type="auto"/>
            <w:tcBorders>
              <w:top w:val="nil"/>
              <w:left w:val="nil"/>
              <w:bottom w:val="single" w:sz="4" w:space="0" w:color="auto"/>
              <w:right w:val="single" w:sz="4" w:space="0" w:color="auto"/>
            </w:tcBorders>
            <w:shd w:val="clear" w:color="auto" w:fill="auto"/>
            <w:noWrap/>
            <w:hideMark/>
          </w:tcPr>
          <w:p w14:paraId="15E9859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0.141</w:t>
            </w:r>
          </w:p>
        </w:tc>
        <w:tc>
          <w:tcPr>
            <w:tcW w:w="0" w:type="auto"/>
            <w:tcBorders>
              <w:top w:val="nil"/>
              <w:left w:val="nil"/>
              <w:bottom w:val="single" w:sz="4" w:space="0" w:color="auto"/>
              <w:right w:val="single" w:sz="4" w:space="0" w:color="auto"/>
            </w:tcBorders>
            <w:shd w:val="clear" w:color="auto" w:fill="auto"/>
            <w:noWrap/>
            <w:hideMark/>
          </w:tcPr>
          <w:p w14:paraId="3AB67D1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0.328</w:t>
            </w:r>
          </w:p>
        </w:tc>
        <w:tc>
          <w:tcPr>
            <w:tcW w:w="0" w:type="auto"/>
            <w:tcBorders>
              <w:top w:val="nil"/>
              <w:left w:val="nil"/>
              <w:bottom w:val="single" w:sz="4" w:space="0" w:color="auto"/>
              <w:right w:val="single" w:sz="4" w:space="0" w:color="auto"/>
            </w:tcBorders>
            <w:shd w:val="clear" w:color="auto" w:fill="auto"/>
            <w:noWrap/>
            <w:hideMark/>
          </w:tcPr>
          <w:p w14:paraId="05E9E50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0.287</w:t>
            </w:r>
          </w:p>
        </w:tc>
      </w:tr>
      <w:tr w:rsidR="00943D0A" w:rsidRPr="00144673" w14:paraId="7B47A83D" w14:textId="77777777" w:rsidTr="005F3540">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2E3A161"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engagement_1</w:t>
            </w:r>
          </w:p>
        </w:tc>
        <w:tc>
          <w:tcPr>
            <w:tcW w:w="0" w:type="auto"/>
            <w:tcBorders>
              <w:top w:val="nil"/>
              <w:left w:val="nil"/>
              <w:bottom w:val="single" w:sz="4" w:space="0" w:color="auto"/>
              <w:right w:val="single" w:sz="4" w:space="0" w:color="auto"/>
            </w:tcBorders>
            <w:shd w:val="clear" w:color="auto" w:fill="auto"/>
            <w:noWrap/>
            <w:hideMark/>
          </w:tcPr>
          <w:p w14:paraId="71B2B7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0.201</w:t>
            </w:r>
          </w:p>
        </w:tc>
        <w:tc>
          <w:tcPr>
            <w:tcW w:w="0" w:type="auto"/>
            <w:tcBorders>
              <w:top w:val="nil"/>
              <w:left w:val="nil"/>
              <w:bottom w:val="single" w:sz="4" w:space="0" w:color="auto"/>
              <w:right w:val="single" w:sz="4" w:space="0" w:color="auto"/>
            </w:tcBorders>
            <w:shd w:val="clear" w:color="auto" w:fill="auto"/>
            <w:noWrap/>
            <w:hideMark/>
          </w:tcPr>
          <w:p w14:paraId="7023F7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0.198</w:t>
            </w:r>
          </w:p>
        </w:tc>
        <w:tc>
          <w:tcPr>
            <w:tcW w:w="0" w:type="auto"/>
            <w:tcBorders>
              <w:top w:val="nil"/>
              <w:left w:val="nil"/>
              <w:bottom w:val="single" w:sz="4" w:space="0" w:color="auto"/>
              <w:right w:val="single" w:sz="4" w:space="0" w:color="auto"/>
            </w:tcBorders>
            <w:shd w:val="clear" w:color="auto" w:fill="auto"/>
            <w:noWrap/>
            <w:hideMark/>
          </w:tcPr>
          <w:p w14:paraId="2EE6AB9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0.258</w:t>
            </w:r>
          </w:p>
        </w:tc>
        <w:tc>
          <w:tcPr>
            <w:tcW w:w="0" w:type="auto"/>
            <w:tcBorders>
              <w:top w:val="nil"/>
              <w:left w:val="nil"/>
              <w:bottom w:val="single" w:sz="4" w:space="0" w:color="auto"/>
              <w:right w:val="single" w:sz="4" w:space="0" w:color="auto"/>
            </w:tcBorders>
            <w:shd w:val="clear" w:color="auto" w:fill="auto"/>
            <w:noWrap/>
            <w:hideMark/>
          </w:tcPr>
          <w:p w14:paraId="6250E5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0.334</w:t>
            </w:r>
          </w:p>
        </w:tc>
        <w:tc>
          <w:tcPr>
            <w:tcW w:w="0" w:type="auto"/>
            <w:tcBorders>
              <w:top w:val="nil"/>
              <w:left w:val="nil"/>
              <w:bottom w:val="single" w:sz="4" w:space="0" w:color="auto"/>
              <w:right w:val="single" w:sz="4" w:space="0" w:color="auto"/>
            </w:tcBorders>
            <w:shd w:val="clear" w:color="auto" w:fill="auto"/>
            <w:noWrap/>
            <w:hideMark/>
          </w:tcPr>
          <w:p w14:paraId="54728B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494BC72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0.321</w:t>
            </w:r>
          </w:p>
        </w:tc>
        <w:tc>
          <w:tcPr>
            <w:tcW w:w="0" w:type="auto"/>
            <w:tcBorders>
              <w:top w:val="nil"/>
              <w:left w:val="nil"/>
              <w:bottom w:val="single" w:sz="4" w:space="0" w:color="auto"/>
              <w:right w:val="single" w:sz="4" w:space="0" w:color="auto"/>
            </w:tcBorders>
            <w:shd w:val="clear" w:color="auto" w:fill="auto"/>
            <w:noWrap/>
            <w:hideMark/>
          </w:tcPr>
          <w:p w14:paraId="7B23436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0.500</w:t>
            </w:r>
          </w:p>
        </w:tc>
        <w:tc>
          <w:tcPr>
            <w:tcW w:w="0" w:type="auto"/>
            <w:tcBorders>
              <w:top w:val="nil"/>
              <w:left w:val="nil"/>
              <w:bottom w:val="single" w:sz="4" w:space="0" w:color="auto"/>
              <w:right w:val="single" w:sz="4" w:space="0" w:color="auto"/>
            </w:tcBorders>
            <w:shd w:val="clear" w:color="auto" w:fill="auto"/>
            <w:noWrap/>
            <w:hideMark/>
          </w:tcPr>
          <w:p w14:paraId="12DDE7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0.089</w:t>
            </w:r>
          </w:p>
        </w:tc>
        <w:tc>
          <w:tcPr>
            <w:tcW w:w="0" w:type="auto"/>
            <w:tcBorders>
              <w:top w:val="nil"/>
              <w:left w:val="nil"/>
              <w:bottom w:val="single" w:sz="4" w:space="0" w:color="auto"/>
              <w:right w:val="single" w:sz="4" w:space="0" w:color="auto"/>
            </w:tcBorders>
            <w:shd w:val="clear" w:color="auto" w:fill="auto"/>
            <w:noWrap/>
            <w:hideMark/>
          </w:tcPr>
          <w:p w14:paraId="66101A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0.191</w:t>
            </w:r>
          </w:p>
        </w:tc>
        <w:tc>
          <w:tcPr>
            <w:tcW w:w="0" w:type="auto"/>
            <w:tcBorders>
              <w:top w:val="nil"/>
              <w:left w:val="nil"/>
              <w:bottom w:val="single" w:sz="4" w:space="0" w:color="auto"/>
              <w:right w:val="single" w:sz="4" w:space="0" w:color="auto"/>
            </w:tcBorders>
            <w:shd w:val="clear" w:color="auto" w:fill="auto"/>
            <w:noWrap/>
            <w:hideMark/>
          </w:tcPr>
          <w:p w14:paraId="12CF964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0.259</w:t>
            </w:r>
          </w:p>
        </w:tc>
        <w:tc>
          <w:tcPr>
            <w:tcW w:w="0" w:type="auto"/>
            <w:tcBorders>
              <w:top w:val="nil"/>
              <w:left w:val="nil"/>
              <w:bottom w:val="single" w:sz="4" w:space="0" w:color="auto"/>
              <w:right w:val="single" w:sz="4" w:space="0" w:color="auto"/>
            </w:tcBorders>
            <w:shd w:val="clear" w:color="auto" w:fill="auto"/>
            <w:noWrap/>
            <w:hideMark/>
          </w:tcPr>
          <w:p w14:paraId="40C4383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0.313</w:t>
            </w:r>
          </w:p>
        </w:tc>
        <w:tc>
          <w:tcPr>
            <w:tcW w:w="0" w:type="auto"/>
            <w:tcBorders>
              <w:top w:val="nil"/>
              <w:left w:val="nil"/>
              <w:bottom w:val="single" w:sz="4" w:space="0" w:color="auto"/>
              <w:right w:val="single" w:sz="4" w:space="0" w:color="auto"/>
            </w:tcBorders>
            <w:shd w:val="clear" w:color="auto" w:fill="auto"/>
            <w:noWrap/>
            <w:hideMark/>
          </w:tcPr>
          <w:p w14:paraId="42AD98C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0.154</w:t>
            </w:r>
          </w:p>
        </w:tc>
        <w:tc>
          <w:tcPr>
            <w:tcW w:w="0" w:type="auto"/>
            <w:tcBorders>
              <w:top w:val="nil"/>
              <w:left w:val="nil"/>
              <w:bottom w:val="single" w:sz="4" w:space="0" w:color="auto"/>
              <w:right w:val="single" w:sz="4" w:space="0" w:color="auto"/>
            </w:tcBorders>
            <w:shd w:val="clear" w:color="auto" w:fill="auto"/>
            <w:noWrap/>
            <w:hideMark/>
          </w:tcPr>
          <w:p w14:paraId="18CBF6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0.321</w:t>
            </w:r>
          </w:p>
        </w:tc>
        <w:tc>
          <w:tcPr>
            <w:tcW w:w="0" w:type="auto"/>
            <w:tcBorders>
              <w:top w:val="nil"/>
              <w:left w:val="nil"/>
              <w:bottom w:val="single" w:sz="4" w:space="0" w:color="auto"/>
              <w:right w:val="single" w:sz="4" w:space="0" w:color="auto"/>
            </w:tcBorders>
            <w:shd w:val="clear" w:color="auto" w:fill="auto"/>
            <w:noWrap/>
            <w:hideMark/>
          </w:tcPr>
          <w:p w14:paraId="63B1A4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-0.021</w:t>
            </w:r>
          </w:p>
        </w:tc>
        <w:tc>
          <w:tcPr>
            <w:tcW w:w="0" w:type="auto"/>
            <w:tcBorders>
              <w:top w:val="nil"/>
              <w:left w:val="nil"/>
              <w:bottom w:val="single" w:sz="4" w:space="0" w:color="auto"/>
              <w:right w:val="single" w:sz="4" w:space="0" w:color="auto"/>
            </w:tcBorders>
            <w:shd w:val="clear" w:color="auto" w:fill="auto"/>
            <w:noWrap/>
            <w:hideMark/>
          </w:tcPr>
          <w:p w14:paraId="3111D9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0.394</w:t>
            </w:r>
          </w:p>
        </w:tc>
        <w:tc>
          <w:tcPr>
            <w:tcW w:w="0" w:type="auto"/>
            <w:tcBorders>
              <w:top w:val="nil"/>
              <w:left w:val="nil"/>
              <w:bottom w:val="single" w:sz="4" w:space="0" w:color="auto"/>
              <w:right w:val="single" w:sz="4" w:space="0" w:color="auto"/>
            </w:tcBorders>
            <w:shd w:val="clear" w:color="auto" w:fill="auto"/>
            <w:noWrap/>
            <w:hideMark/>
          </w:tcPr>
          <w:p w14:paraId="14D645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0.288</w:t>
            </w:r>
          </w:p>
        </w:tc>
      </w:tr>
      <w:tr w:rsidR="00943D0A" w:rsidRPr="00144673" w14:paraId="78E5A4EA"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70E283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engagement_2</w:t>
            </w:r>
          </w:p>
        </w:tc>
        <w:tc>
          <w:tcPr>
            <w:tcW w:w="0" w:type="auto"/>
            <w:tcBorders>
              <w:top w:val="nil"/>
              <w:left w:val="nil"/>
              <w:bottom w:val="single" w:sz="4" w:space="0" w:color="auto"/>
              <w:right w:val="single" w:sz="4" w:space="0" w:color="auto"/>
            </w:tcBorders>
            <w:shd w:val="clear" w:color="auto" w:fill="auto"/>
            <w:noWrap/>
            <w:hideMark/>
          </w:tcPr>
          <w:p w14:paraId="452AA4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0.378</w:t>
            </w:r>
          </w:p>
        </w:tc>
        <w:tc>
          <w:tcPr>
            <w:tcW w:w="0" w:type="auto"/>
            <w:tcBorders>
              <w:top w:val="nil"/>
              <w:left w:val="nil"/>
              <w:bottom w:val="single" w:sz="4" w:space="0" w:color="auto"/>
              <w:right w:val="single" w:sz="4" w:space="0" w:color="auto"/>
            </w:tcBorders>
            <w:shd w:val="clear" w:color="auto" w:fill="auto"/>
            <w:noWrap/>
            <w:hideMark/>
          </w:tcPr>
          <w:p w14:paraId="0FF84A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0.135</w:t>
            </w:r>
          </w:p>
        </w:tc>
        <w:tc>
          <w:tcPr>
            <w:tcW w:w="0" w:type="auto"/>
            <w:tcBorders>
              <w:top w:val="nil"/>
              <w:left w:val="nil"/>
              <w:bottom w:val="single" w:sz="4" w:space="0" w:color="auto"/>
              <w:right w:val="single" w:sz="4" w:space="0" w:color="auto"/>
            </w:tcBorders>
            <w:shd w:val="clear" w:color="auto" w:fill="auto"/>
            <w:noWrap/>
            <w:hideMark/>
          </w:tcPr>
          <w:p w14:paraId="435E864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0.316</w:t>
            </w:r>
          </w:p>
        </w:tc>
        <w:tc>
          <w:tcPr>
            <w:tcW w:w="0" w:type="auto"/>
            <w:tcBorders>
              <w:top w:val="nil"/>
              <w:left w:val="nil"/>
              <w:bottom w:val="single" w:sz="4" w:space="0" w:color="auto"/>
              <w:right w:val="single" w:sz="4" w:space="0" w:color="auto"/>
            </w:tcBorders>
            <w:shd w:val="clear" w:color="auto" w:fill="auto"/>
            <w:noWrap/>
            <w:hideMark/>
          </w:tcPr>
          <w:p w14:paraId="1C51AC5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0.329</w:t>
            </w:r>
          </w:p>
        </w:tc>
        <w:tc>
          <w:tcPr>
            <w:tcW w:w="0" w:type="auto"/>
            <w:tcBorders>
              <w:top w:val="nil"/>
              <w:left w:val="nil"/>
              <w:bottom w:val="single" w:sz="4" w:space="0" w:color="auto"/>
              <w:right w:val="single" w:sz="4" w:space="0" w:color="auto"/>
            </w:tcBorders>
            <w:shd w:val="clear" w:color="auto" w:fill="auto"/>
            <w:noWrap/>
            <w:hideMark/>
          </w:tcPr>
          <w:p w14:paraId="044CF3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0.194</w:t>
            </w:r>
          </w:p>
        </w:tc>
        <w:tc>
          <w:tcPr>
            <w:tcW w:w="0" w:type="auto"/>
            <w:tcBorders>
              <w:top w:val="nil"/>
              <w:left w:val="nil"/>
              <w:bottom w:val="single" w:sz="4" w:space="0" w:color="auto"/>
              <w:right w:val="single" w:sz="4" w:space="0" w:color="auto"/>
            </w:tcBorders>
            <w:shd w:val="clear" w:color="auto" w:fill="auto"/>
            <w:noWrap/>
            <w:hideMark/>
          </w:tcPr>
          <w:p w14:paraId="171CA4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0.136</w:t>
            </w:r>
          </w:p>
        </w:tc>
        <w:tc>
          <w:tcPr>
            <w:tcW w:w="0" w:type="auto"/>
            <w:tcBorders>
              <w:top w:val="nil"/>
              <w:left w:val="nil"/>
              <w:bottom w:val="single" w:sz="4" w:space="0" w:color="auto"/>
              <w:right w:val="single" w:sz="4" w:space="0" w:color="auto"/>
            </w:tcBorders>
            <w:shd w:val="clear" w:color="auto" w:fill="auto"/>
            <w:noWrap/>
            <w:hideMark/>
          </w:tcPr>
          <w:p w14:paraId="40EC5D4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0.743</w:t>
            </w:r>
          </w:p>
        </w:tc>
        <w:tc>
          <w:tcPr>
            <w:tcW w:w="0" w:type="auto"/>
            <w:tcBorders>
              <w:top w:val="nil"/>
              <w:left w:val="nil"/>
              <w:bottom w:val="single" w:sz="4" w:space="0" w:color="auto"/>
              <w:right w:val="single" w:sz="4" w:space="0" w:color="auto"/>
            </w:tcBorders>
            <w:shd w:val="clear" w:color="auto" w:fill="auto"/>
            <w:noWrap/>
            <w:hideMark/>
          </w:tcPr>
          <w:p w14:paraId="46C2C40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0.239</w:t>
            </w:r>
          </w:p>
        </w:tc>
        <w:tc>
          <w:tcPr>
            <w:tcW w:w="0" w:type="auto"/>
            <w:tcBorders>
              <w:top w:val="nil"/>
              <w:left w:val="nil"/>
              <w:bottom w:val="single" w:sz="4" w:space="0" w:color="auto"/>
              <w:right w:val="single" w:sz="4" w:space="0" w:color="auto"/>
            </w:tcBorders>
            <w:shd w:val="clear" w:color="auto" w:fill="auto"/>
            <w:noWrap/>
            <w:hideMark/>
          </w:tcPr>
          <w:p w14:paraId="38E747F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0.297</w:t>
            </w:r>
          </w:p>
        </w:tc>
        <w:tc>
          <w:tcPr>
            <w:tcW w:w="0" w:type="auto"/>
            <w:tcBorders>
              <w:top w:val="nil"/>
              <w:left w:val="nil"/>
              <w:bottom w:val="single" w:sz="4" w:space="0" w:color="auto"/>
              <w:right w:val="single" w:sz="4" w:space="0" w:color="auto"/>
            </w:tcBorders>
            <w:shd w:val="clear" w:color="auto" w:fill="auto"/>
            <w:noWrap/>
            <w:hideMark/>
          </w:tcPr>
          <w:p w14:paraId="1BBFA4A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0.283</w:t>
            </w:r>
          </w:p>
        </w:tc>
        <w:tc>
          <w:tcPr>
            <w:tcW w:w="0" w:type="auto"/>
            <w:tcBorders>
              <w:top w:val="nil"/>
              <w:left w:val="nil"/>
              <w:bottom w:val="single" w:sz="4" w:space="0" w:color="auto"/>
              <w:right w:val="single" w:sz="4" w:space="0" w:color="auto"/>
            </w:tcBorders>
            <w:shd w:val="clear" w:color="auto" w:fill="auto"/>
            <w:noWrap/>
            <w:hideMark/>
          </w:tcPr>
          <w:p w14:paraId="221C1B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0.161</w:t>
            </w:r>
          </w:p>
        </w:tc>
        <w:tc>
          <w:tcPr>
            <w:tcW w:w="0" w:type="auto"/>
            <w:tcBorders>
              <w:top w:val="nil"/>
              <w:left w:val="nil"/>
              <w:bottom w:val="single" w:sz="4" w:space="0" w:color="auto"/>
              <w:right w:val="single" w:sz="4" w:space="0" w:color="auto"/>
            </w:tcBorders>
            <w:shd w:val="clear" w:color="auto" w:fill="auto"/>
            <w:noWrap/>
            <w:hideMark/>
          </w:tcPr>
          <w:p w14:paraId="2B51CA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0.339</w:t>
            </w:r>
          </w:p>
        </w:tc>
        <w:tc>
          <w:tcPr>
            <w:tcW w:w="0" w:type="auto"/>
            <w:tcBorders>
              <w:top w:val="nil"/>
              <w:left w:val="nil"/>
              <w:bottom w:val="single" w:sz="4" w:space="0" w:color="auto"/>
              <w:right w:val="single" w:sz="4" w:space="0" w:color="auto"/>
            </w:tcBorders>
            <w:shd w:val="clear" w:color="auto" w:fill="auto"/>
            <w:noWrap/>
            <w:hideMark/>
          </w:tcPr>
          <w:p w14:paraId="7BDDC70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0.324</w:t>
            </w:r>
          </w:p>
        </w:tc>
        <w:tc>
          <w:tcPr>
            <w:tcW w:w="0" w:type="auto"/>
            <w:tcBorders>
              <w:top w:val="nil"/>
              <w:left w:val="nil"/>
              <w:bottom w:val="single" w:sz="4" w:space="0" w:color="auto"/>
              <w:right w:val="single" w:sz="4" w:space="0" w:color="auto"/>
            </w:tcBorders>
            <w:shd w:val="clear" w:color="auto" w:fill="auto"/>
            <w:noWrap/>
            <w:hideMark/>
          </w:tcPr>
          <w:p w14:paraId="062A40D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0.418</w:t>
            </w:r>
          </w:p>
        </w:tc>
        <w:tc>
          <w:tcPr>
            <w:tcW w:w="0" w:type="auto"/>
            <w:tcBorders>
              <w:top w:val="nil"/>
              <w:left w:val="nil"/>
              <w:bottom w:val="single" w:sz="4" w:space="0" w:color="auto"/>
              <w:right w:val="single" w:sz="4" w:space="0" w:color="auto"/>
            </w:tcBorders>
            <w:shd w:val="clear" w:color="auto" w:fill="auto"/>
            <w:noWrap/>
            <w:hideMark/>
          </w:tcPr>
          <w:p w14:paraId="1E0699E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0.373</w:t>
            </w:r>
          </w:p>
        </w:tc>
        <w:tc>
          <w:tcPr>
            <w:tcW w:w="0" w:type="auto"/>
            <w:tcBorders>
              <w:top w:val="nil"/>
              <w:left w:val="nil"/>
              <w:bottom w:val="single" w:sz="4" w:space="0" w:color="auto"/>
              <w:right w:val="single" w:sz="4" w:space="0" w:color="auto"/>
            </w:tcBorders>
            <w:shd w:val="clear" w:color="auto" w:fill="auto"/>
            <w:noWrap/>
            <w:hideMark/>
          </w:tcPr>
          <w:p w14:paraId="7E4A066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0.347</w:t>
            </w:r>
          </w:p>
        </w:tc>
      </w:tr>
      <w:tr w:rsidR="00943D0A" w:rsidRPr="00144673" w14:paraId="7EC80E7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CF4A80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engagement_3</w:t>
            </w:r>
          </w:p>
        </w:tc>
        <w:tc>
          <w:tcPr>
            <w:tcW w:w="0" w:type="auto"/>
            <w:tcBorders>
              <w:top w:val="nil"/>
              <w:left w:val="nil"/>
              <w:bottom w:val="single" w:sz="4" w:space="0" w:color="auto"/>
              <w:right w:val="single" w:sz="4" w:space="0" w:color="auto"/>
            </w:tcBorders>
            <w:shd w:val="clear" w:color="auto" w:fill="auto"/>
            <w:noWrap/>
            <w:hideMark/>
          </w:tcPr>
          <w:p w14:paraId="70E015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0.449</w:t>
            </w:r>
          </w:p>
        </w:tc>
        <w:tc>
          <w:tcPr>
            <w:tcW w:w="0" w:type="auto"/>
            <w:tcBorders>
              <w:top w:val="nil"/>
              <w:left w:val="nil"/>
              <w:bottom w:val="single" w:sz="4" w:space="0" w:color="auto"/>
              <w:right w:val="single" w:sz="4" w:space="0" w:color="auto"/>
            </w:tcBorders>
            <w:shd w:val="clear" w:color="auto" w:fill="auto"/>
            <w:noWrap/>
            <w:hideMark/>
          </w:tcPr>
          <w:p w14:paraId="5FA3B9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0.239</w:t>
            </w:r>
          </w:p>
        </w:tc>
        <w:tc>
          <w:tcPr>
            <w:tcW w:w="0" w:type="auto"/>
            <w:tcBorders>
              <w:top w:val="nil"/>
              <w:left w:val="nil"/>
              <w:bottom w:val="single" w:sz="4" w:space="0" w:color="auto"/>
              <w:right w:val="single" w:sz="4" w:space="0" w:color="auto"/>
            </w:tcBorders>
            <w:shd w:val="clear" w:color="auto" w:fill="auto"/>
            <w:noWrap/>
            <w:hideMark/>
          </w:tcPr>
          <w:p w14:paraId="2722F7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0.519</w:t>
            </w:r>
          </w:p>
        </w:tc>
        <w:tc>
          <w:tcPr>
            <w:tcW w:w="0" w:type="auto"/>
            <w:tcBorders>
              <w:top w:val="nil"/>
              <w:left w:val="nil"/>
              <w:bottom w:val="single" w:sz="4" w:space="0" w:color="auto"/>
              <w:right w:val="single" w:sz="4" w:space="0" w:color="auto"/>
            </w:tcBorders>
            <w:shd w:val="clear" w:color="auto" w:fill="auto"/>
            <w:noWrap/>
            <w:hideMark/>
          </w:tcPr>
          <w:p w14:paraId="037432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0.489</w:t>
            </w:r>
          </w:p>
        </w:tc>
        <w:tc>
          <w:tcPr>
            <w:tcW w:w="0" w:type="auto"/>
            <w:tcBorders>
              <w:top w:val="nil"/>
              <w:left w:val="nil"/>
              <w:bottom w:val="single" w:sz="4" w:space="0" w:color="auto"/>
              <w:right w:val="single" w:sz="4" w:space="0" w:color="auto"/>
            </w:tcBorders>
            <w:shd w:val="clear" w:color="auto" w:fill="auto"/>
            <w:noWrap/>
            <w:hideMark/>
          </w:tcPr>
          <w:p w14:paraId="1BAF55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0.376</w:t>
            </w:r>
          </w:p>
        </w:tc>
        <w:tc>
          <w:tcPr>
            <w:tcW w:w="0" w:type="auto"/>
            <w:tcBorders>
              <w:top w:val="nil"/>
              <w:left w:val="nil"/>
              <w:bottom w:val="single" w:sz="4" w:space="0" w:color="auto"/>
              <w:right w:val="single" w:sz="4" w:space="0" w:color="auto"/>
            </w:tcBorders>
            <w:shd w:val="clear" w:color="auto" w:fill="auto"/>
            <w:noWrap/>
            <w:hideMark/>
          </w:tcPr>
          <w:p w14:paraId="307BD3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0.335</w:t>
            </w:r>
          </w:p>
        </w:tc>
        <w:tc>
          <w:tcPr>
            <w:tcW w:w="0" w:type="auto"/>
            <w:tcBorders>
              <w:top w:val="nil"/>
              <w:left w:val="nil"/>
              <w:bottom w:val="single" w:sz="4" w:space="0" w:color="auto"/>
              <w:right w:val="single" w:sz="4" w:space="0" w:color="auto"/>
            </w:tcBorders>
            <w:shd w:val="clear" w:color="auto" w:fill="auto"/>
            <w:noWrap/>
            <w:hideMark/>
          </w:tcPr>
          <w:p w14:paraId="1965D01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0.892</w:t>
            </w:r>
          </w:p>
        </w:tc>
        <w:tc>
          <w:tcPr>
            <w:tcW w:w="0" w:type="auto"/>
            <w:tcBorders>
              <w:top w:val="nil"/>
              <w:left w:val="nil"/>
              <w:bottom w:val="single" w:sz="4" w:space="0" w:color="auto"/>
              <w:right w:val="single" w:sz="4" w:space="0" w:color="auto"/>
            </w:tcBorders>
            <w:shd w:val="clear" w:color="auto" w:fill="auto"/>
            <w:noWrap/>
            <w:hideMark/>
          </w:tcPr>
          <w:p w14:paraId="71EC04A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0.234</w:t>
            </w:r>
          </w:p>
        </w:tc>
        <w:tc>
          <w:tcPr>
            <w:tcW w:w="0" w:type="auto"/>
            <w:tcBorders>
              <w:top w:val="nil"/>
              <w:left w:val="nil"/>
              <w:bottom w:val="single" w:sz="4" w:space="0" w:color="auto"/>
              <w:right w:val="single" w:sz="4" w:space="0" w:color="auto"/>
            </w:tcBorders>
            <w:shd w:val="clear" w:color="auto" w:fill="auto"/>
            <w:noWrap/>
            <w:hideMark/>
          </w:tcPr>
          <w:p w14:paraId="067A4F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0.446</w:t>
            </w:r>
          </w:p>
        </w:tc>
        <w:tc>
          <w:tcPr>
            <w:tcW w:w="0" w:type="auto"/>
            <w:tcBorders>
              <w:top w:val="nil"/>
              <w:left w:val="nil"/>
              <w:bottom w:val="single" w:sz="4" w:space="0" w:color="auto"/>
              <w:right w:val="single" w:sz="4" w:space="0" w:color="auto"/>
            </w:tcBorders>
            <w:shd w:val="clear" w:color="auto" w:fill="auto"/>
            <w:noWrap/>
            <w:hideMark/>
          </w:tcPr>
          <w:p w14:paraId="1D5852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0.358</w:t>
            </w:r>
          </w:p>
        </w:tc>
        <w:tc>
          <w:tcPr>
            <w:tcW w:w="0" w:type="auto"/>
            <w:tcBorders>
              <w:top w:val="nil"/>
              <w:left w:val="nil"/>
              <w:bottom w:val="single" w:sz="4" w:space="0" w:color="auto"/>
              <w:right w:val="single" w:sz="4" w:space="0" w:color="auto"/>
            </w:tcBorders>
            <w:shd w:val="clear" w:color="auto" w:fill="auto"/>
            <w:noWrap/>
            <w:hideMark/>
          </w:tcPr>
          <w:p w14:paraId="606C211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0.375</w:t>
            </w:r>
          </w:p>
        </w:tc>
        <w:tc>
          <w:tcPr>
            <w:tcW w:w="0" w:type="auto"/>
            <w:tcBorders>
              <w:top w:val="nil"/>
              <w:left w:val="nil"/>
              <w:bottom w:val="single" w:sz="4" w:space="0" w:color="auto"/>
              <w:right w:val="single" w:sz="4" w:space="0" w:color="auto"/>
            </w:tcBorders>
            <w:shd w:val="clear" w:color="auto" w:fill="auto"/>
            <w:noWrap/>
            <w:hideMark/>
          </w:tcPr>
          <w:p w14:paraId="2F3E3A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0162EDA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0.510</w:t>
            </w:r>
          </w:p>
        </w:tc>
        <w:tc>
          <w:tcPr>
            <w:tcW w:w="0" w:type="auto"/>
            <w:tcBorders>
              <w:top w:val="nil"/>
              <w:left w:val="nil"/>
              <w:bottom w:val="single" w:sz="4" w:space="0" w:color="auto"/>
              <w:right w:val="single" w:sz="4" w:space="0" w:color="auto"/>
            </w:tcBorders>
            <w:shd w:val="clear" w:color="auto" w:fill="auto"/>
            <w:noWrap/>
            <w:hideMark/>
          </w:tcPr>
          <w:p w14:paraId="4B4484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0.395</w:t>
            </w:r>
          </w:p>
        </w:tc>
        <w:tc>
          <w:tcPr>
            <w:tcW w:w="0" w:type="auto"/>
            <w:tcBorders>
              <w:top w:val="nil"/>
              <w:left w:val="nil"/>
              <w:bottom w:val="single" w:sz="4" w:space="0" w:color="auto"/>
              <w:right w:val="single" w:sz="4" w:space="0" w:color="auto"/>
            </w:tcBorders>
            <w:shd w:val="clear" w:color="auto" w:fill="auto"/>
            <w:noWrap/>
            <w:hideMark/>
          </w:tcPr>
          <w:p w14:paraId="1E8D92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0.542</w:t>
            </w:r>
          </w:p>
        </w:tc>
        <w:tc>
          <w:tcPr>
            <w:tcW w:w="0" w:type="auto"/>
            <w:tcBorders>
              <w:top w:val="nil"/>
              <w:left w:val="nil"/>
              <w:bottom w:val="single" w:sz="4" w:space="0" w:color="auto"/>
              <w:right w:val="single" w:sz="4" w:space="0" w:color="auto"/>
            </w:tcBorders>
            <w:shd w:val="clear" w:color="auto" w:fill="auto"/>
            <w:noWrap/>
            <w:hideMark/>
          </w:tcPr>
          <w:p w14:paraId="383FB3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0.461</w:t>
            </w:r>
          </w:p>
        </w:tc>
      </w:tr>
      <w:tr w:rsidR="00943D0A" w:rsidRPr="00144673" w14:paraId="0F9C917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BDFF9B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engagement_4</w:t>
            </w:r>
          </w:p>
        </w:tc>
        <w:tc>
          <w:tcPr>
            <w:tcW w:w="0" w:type="auto"/>
            <w:tcBorders>
              <w:top w:val="nil"/>
              <w:left w:val="nil"/>
              <w:bottom w:val="single" w:sz="4" w:space="0" w:color="auto"/>
              <w:right w:val="single" w:sz="4" w:space="0" w:color="auto"/>
            </w:tcBorders>
            <w:shd w:val="clear" w:color="auto" w:fill="auto"/>
            <w:noWrap/>
            <w:hideMark/>
          </w:tcPr>
          <w:p w14:paraId="3A7CDA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0.427</w:t>
            </w:r>
          </w:p>
        </w:tc>
        <w:tc>
          <w:tcPr>
            <w:tcW w:w="0" w:type="auto"/>
            <w:tcBorders>
              <w:top w:val="nil"/>
              <w:left w:val="nil"/>
              <w:bottom w:val="single" w:sz="4" w:space="0" w:color="auto"/>
              <w:right w:val="single" w:sz="4" w:space="0" w:color="auto"/>
            </w:tcBorders>
            <w:shd w:val="clear" w:color="auto" w:fill="auto"/>
            <w:noWrap/>
            <w:hideMark/>
          </w:tcPr>
          <w:p w14:paraId="62D51AE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0.282</w:t>
            </w:r>
          </w:p>
        </w:tc>
        <w:tc>
          <w:tcPr>
            <w:tcW w:w="0" w:type="auto"/>
            <w:tcBorders>
              <w:top w:val="nil"/>
              <w:left w:val="nil"/>
              <w:bottom w:val="single" w:sz="4" w:space="0" w:color="auto"/>
              <w:right w:val="single" w:sz="4" w:space="0" w:color="auto"/>
            </w:tcBorders>
            <w:shd w:val="clear" w:color="auto" w:fill="auto"/>
            <w:noWrap/>
            <w:hideMark/>
          </w:tcPr>
          <w:p w14:paraId="247537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0.589</w:t>
            </w:r>
          </w:p>
        </w:tc>
        <w:tc>
          <w:tcPr>
            <w:tcW w:w="0" w:type="auto"/>
            <w:tcBorders>
              <w:top w:val="nil"/>
              <w:left w:val="nil"/>
              <w:bottom w:val="single" w:sz="4" w:space="0" w:color="auto"/>
              <w:right w:val="single" w:sz="4" w:space="0" w:color="auto"/>
            </w:tcBorders>
            <w:shd w:val="clear" w:color="auto" w:fill="auto"/>
            <w:noWrap/>
            <w:hideMark/>
          </w:tcPr>
          <w:p w14:paraId="3FD67D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0.561</w:t>
            </w:r>
          </w:p>
        </w:tc>
        <w:tc>
          <w:tcPr>
            <w:tcW w:w="0" w:type="auto"/>
            <w:tcBorders>
              <w:top w:val="nil"/>
              <w:left w:val="nil"/>
              <w:bottom w:val="single" w:sz="4" w:space="0" w:color="auto"/>
              <w:right w:val="single" w:sz="4" w:space="0" w:color="auto"/>
            </w:tcBorders>
            <w:shd w:val="clear" w:color="auto" w:fill="auto"/>
            <w:noWrap/>
            <w:hideMark/>
          </w:tcPr>
          <w:p w14:paraId="228E08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0.608</w:t>
            </w:r>
          </w:p>
        </w:tc>
        <w:tc>
          <w:tcPr>
            <w:tcW w:w="0" w:type="auto"/>
            <w:tcBorders>
              <w:top w:val="nil"/>
              <w:left w:val="nil"/>
              <w:bottom w:val="single" w:sz="4" w:space="0" w:color="auto"/>
              <w:right w:val="single" w:sz="4" w:space="0" w:color="auto"/>
            </w:tcBorders>
            <w:shd w:val="clear" w:color="auto" w:fill="auto"/>
            <w:noWrap/>
            <w:hideMark/>
          </w:tcPr>
          <w:p w14:paraId="3DEE196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c>
          <w:tcPr>
            <w:tcW w:w="0" w:type="auto"/>
            <w:tcBorders>
              <w:top w:val="nil"/>
              <w:left w:val="nil"/>
              <w:bottom w:val="single" w:sz="4" w:space="0" w:color="auto"/>
              <w:right w:val="single" w:sz="4" w:space="0" w:color="auto"/>
            </w:tcBorders>
            <w:shd w:val="clear" w:color="auto" w:fill="auto"/>
            <w:noWrap/>
            <w:hideMark/>
          </w:tcPr>
          <w:p w14:paraId="7251432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0.877</w:t>
            </w:r>
          </w:p>
        </w:tc>
        <w:tc>
          <w:tcPr>
            <w:tcW w:w="0" w:type="auto"/>
            <w:tcBorders>
              <w:top w:val="nil"/>
              <w:left w:val="nil"/>
              <w:bottom w:val="single" w:sz="4" w:space="0" w:color="auto"/>
              <w:right w:val="single" w:sz="4" w:space="0" w:color="auto"/>
            </w:tcBorders>
            <w:shd w:val="clear" w:color="auto" w:fill="auto"/>
            <w:noWrap/>
            <w:hideMark/>
          </w:tcPr>
          <w:p w14:paraId="32894A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0.187</w:t>
            </w:r>
          </w:p>
        </w:tc>
        <w:tc>
          <w:tcPr>
            <w:tcW w:w="0" w:type="auto"/>
            <w:tcBorders>
              <w:top w:val="nil"/>
              <w:left w:val="nil"/>
              <w:bottom w:val="single" w:sz="4" w:space="0" w:color="auto"/>
              <w:right w:val="single" w:sz="4" w:space="0" w:color="auto"/>
            </w:tcBorders>
            <w:shd w:val="clear" w:color="auto" w:fill="auto"/>
            <w:noWrap/>
            <w:hideMark/>
          </w:tcPr>
          <w:p w14:paraId="57FA8C4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0.417</w:t>
            </w:r>
          </w:p>
        </w:tc>
        <w:tc>
          <w:tcPr>
            <w:tcW w:w="0" w:type="auto"/>
            <w:tcBorders>
              <w:top w:val="nil"/>
              <w:left w:val="nil"/>
              <w:bottom w:val="single" w:sz="4" w:space="0" w:color="auto"/>
              <w:right w:val="single" w:sz="4" w:space="0" w:color="auto"/>
            </w:tcBorders>
            <w:shd w:val="clear" w:color="auto" w:fill="auto"/>
            <w:noWrap/>
            <w:hideMark/>
          </w:tcPr>
          <w:p w14:paraId="41E439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0.463</w:t>
            </w:r>
          </w:p>
        </w:tc>
        <w:tc>
          <w:tcPr>
            <w:tcW w:w="0" w:type="auto"/>
            <w:tcBorders>
              <w:top w:val="nil"/>
              <w:left w:val="nil"/>
              <w:bottom w:val="single" w:sz="4" w:space="0" w:color="auto"/>
              <w:right w:val="single" w:sz="4" w:space="0" w:color="auto"/>
            </w:tcBorders>
            <w:shd w:val="clear" w:color="auto" w:fill="auto"/>
            <w:noWrap/>
            <w:hideMark/>
          </w:tcPr>
          <w:p w14:paraId="6B7E45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662A13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0.441</w:t>
            </w:r>
          </w:p>
        </w:tc>
        <w:tc>
          <w:tcPr>
            <w:tcW w:w="0" w:type="auto"/>
            <w:tcBorders>
              <w:top w:val="nil"/>
              <w:left w:val="nil"/>
              <w:bottom w:val="single" w:sz="4" w:space="0" w:color="auto"/>
              <w:right w:val="single" w:sz="4" w:space="0" w:color="auto"/>
            </w:tcBorders>
            <w:shd w:val="clear" w:color="auto" w:fill="auto"/>
            <w:noWrap/>
            <w:hideMark/>
          </w:tcPr>
          <w:p w14:paraId="774D24C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0.602</w:t>
            </w:r>
          </w:p>
        </w:tc>
        <w:tc>
          <w:tcPr>
            <w:tcW w:w="0" w:type="auto"/>
            <w:tcBorders>
              <w:top w:val="nil"/>
              <w:left w:val="nil"/>
              <w:bottom w:val="single" w:sz="4" w:space="0" w:color="auto"/>
              <w:right w:val="single" w:sz="4" w:space="0" w:color="auto"/>
            </w:tcBorders>
            <w:shd w:val="clear" w:color="auto" w:fill="auto"/>
            <w:noWrap/>
            <w:hideMark/>
          </w:tcPr>
          <w:p w14:paraId="6588C0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0.320</w:t>
            </w:r>
          </w:p>
        </w:tc>
        <w:tc>
          <w:tcPr>
            <w:tcW w:w="0" w:type="auto"/>
            <w:tcBorders>
              <w:top w:val="nil"/>
              <w:left w:val="nil"/>
              <w:bottom w:val="single" w:sz="4" w:space="0" w:color="auto"/>
              <w:right w:val="single" w:sz="4" w:space="0" w:color="auto"/>
            </w:tcBorders>
            <w:shd w:val="clear" w:color="auto" w:fill="auto"/>
            <w:noWrap/>
            <w:hideMark/>
          </w:tcPr>
          <w:p w14:paraId="4A53C9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0.645</w:t>
            </w:r>
          </w:p>
        </w:tc>
        <w:tc>
          <w:tcPr>
            <w:tcW w:w="0" w:type="auto"/>
            <w:tcBorders>
              <w:top w:val="nil"/>
              <w:left w:val="nil"/>
              <w:bottom w:val="single" w:sz="4" w:space="0" w:color="auto"/>
              <w:right w:val="single" w:sz="4" w:space="0" w:color="auto"/>
            </w:tcBorders>
            <w:shd w:val="clear" w:color="auto" w:fill="auto"/>
            <w:noWrap/>
            <w:hideMark/>
          </w:tcPr>
          <w:p w14:paraId="0B5D268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0.526</w:t>
            </w:r>
          </w:p>
        </w:tc>
      </w:tr>
      <w:tr w:rsidR="00943D0A" w:rsidRPr="00144673" w14:paraId="44AE665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04855C7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expertise_1</w:t>
            </w:r>
          </w:p>
        </w:tc>
        <w:tc>
          <w:tcPr>
            <w:tcW w:w="0" w:type="auto"/>
            <w:tcBorders>
              <w:top w:val="nil"/>
              <w:left w:val="nil"/>
              <w:bottom w:val="single" w:sz="4" w:space="0" w:color="auto"/>
              <w:right w:val="single" w:sz="4" w:space="0" w:color="auto"/>
            </w:tcBorders>
            <w:shd w:val="clear" w:color="auto" w:fill="auto"/>
            <w:noWrap/>
            <w:hideMark/>
          </w:tcPr>
          <w:p w14:paraId="0B384F9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0.310</w:t>
            </w:r>
          </w:p>
        </w:tc>
        <w:tc>
          <w:tcPr>
            <w:tcW w:w="0" w:type="auto"/>
            <w:tcBorders>
              <w:top w:val="nil"/>
              <w:left w:val="nil"/>
              <w:bottom w:val="single" w:sz="4" w:space="0" w:color="auto"/>
              <w:right w:val="single" w:sz="4" w:space="0" w:color="auto"/>
            </w:tcBorders>
            <w:shd w:val="clear" w:color="auto" w:fill="auto"/>
            <w:noWrap/>
            <w:hideMark/>
          </w:tcPr>
          <w:p w14:paraId="0A5132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0.131</w:t>
            </w:r>
          </w:p>
        </w:tc>
        <w:tc>
          <w:tcPr>
            <w:tcW w:w="0" w:type="auto"/>
            <w:tcBorders>
              <w:top w:val="nil"/>
              <w:left w:val="nil"/>
              <w:bottom w:val="single" w:sz="4" w:space="0" w:color="auto"/>
              <w:right w:val="single" w:sz="4" w:space="0" w:color="auto"/>
            </w:tcBorders>
            <w:shd w:val="clear" w:color="auto" w:fill="auto"/>
            <w:noWrap/>
            <w:hideMark/>
          </w:tcPr>
          <w:p w14:paraId="6809A8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0.400</w:t>
            </w:r>
          </w:p>
        </w:tc>
        <w:tc>
          <w:tcPr>
            <w:tcW w:w="0" w:type="auto"/>
            <w:tcBorders>
              <w:top w:val="nil"/>
              <w:left w:val="nil"/>
              <w:bottom w:val="single" w:sz="4" w:space="0" w:color="auto"/>
              <w:right w:val="single" w:sz="4" w:space="0" w:color="auto"/>
            </w:tcBorders>
            <w:shd w:val="clear" w:color="auto" w:fill="auto"/>
            <w:noWrap/>
            <w:hideMark/>
          </w:tcPr>
          <w:p w14:paraId="55A3EC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0.375</w:t>
            </w:r>
          </w:p>
        </w:tc>
        <w:tc>
          <w:tcPr>
            <w:tcW w:w="0" w:type="auto"/>
            <w:tcBorders>
              <w:top w:val="nil"/>
              <w:left w:val="nil"/>
              <w:bottom w:val="single" w:sz="4" w:space="0" w:color="auto"/>
              <w:right w:val="single" w:sz="4" w:space="0" w:color="auto"/>
            </w:tcBorders>
            <w:shd w:val="clear" w:color="auto" w:fill="auto"/>
            <w:noWrap/>
            <w:hideMark/>
          </w:tcPr>
          <w:p w14:paraId="0CAAB8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0.341</w:t>
            </w:r>
          </w:p>
        </w:tc>
        <w:tc>
          <w:tcPr>
            <w:tcW w:w="0" w:type="auto"/>
            <w:tcBorders>
              <w:top w:val="nil"/>
              <w:left w:val="nil"/>
              <w:bottom w:val="single" w:sz="4" w:space="0" w:color="auto"/>
              <w:right w:val="single" w:sz="4" w:space="0" w:color="auto"/>
            </w:tcBorders>
            <w:shd w:val="clear" w:color="auto" w:fill="auto"/>
            <w:noWrap/>
            <w:hideMark/>
          </w:tcPr>
          <w:p w14:paraId="0C6966C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0.185</w:t>
            </w:r>
          </w:p>
        </w:tc>
        <w:tc>
          <w:tcPr>
            <w:tcW w:w="0" w:type="auto"/>
            <w:tcBorders>
              <w:top w:val="nil"/>
              <w:left w:val="nil"/>
              <w:bottom w:val="single" w:sz="4" w:space="0" w:color="auto"/>
              <w:right w:val="single" w:sz="4" w:space="0" w:color="auto"/>
            </w:tcBorders>
            <w:shd w:val="clear" w:color="auto" w:fill="auto"/>
            <w:noWrap/>
            <w:hideMark/>
          </w:tcPr>
          <w:p w14:paraId="4298A9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0.366</w:t>
            </w:r>
          </w:p>
        </w:tc>
        <w:tc>
          <w:tcPr>
            <w:tcW w:w="0" w:type="auto"/>
            <w:tcBorders>
              <w:top w:val="nil"/>
              <w:left w:val="nil"/>
              <w:bottom w:val="single" w:sz="4" w:space="0" w:color="auto"/>
              <w:right w:val="single" w:sz="4" w:space="0" w:color="auto"/>
            </w:tcBorders>
            <w:shd w:val="clear" w:color="auto" w:fill="auto"/>
            <w:noWrap/>
            <w:hideMark/>
          </w:tcPr>
          <w:p w14:paraId="75AB58B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0.135</w:t>
            </w:r>
          </w:p>
        </w:tc>
        <w:tc>
          <w:tcPr>
            <w:tcW w:w="0" w:type="auto"/>
            <w:tcBorders>
              <w:top w:val="nil"/>
              <w:left w:val="nil"/>
              <w:bottom w:val="single" w:sz="4" w:space="0" w:color="auto"/>
              <w:right w:val="single" w:sz="4" w:space="0" w:color="auto"/>
            </w:tcBorders>
            <w:shd w:val="clear" w:color="auto" w:fill="auto"/>
            <w:noWrap/>
            <w:hideMark/>
          </w:tcPr>
          <w:p w14:paraId="4977F7D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0.885</w:t>
            </w:r>
          </w:p>
        </w:tc>
        <w:tc>
          <w:tcPr>
            <w:tcW w:w="0" w:type="auto"/>
            <w:tcBorders>
              <w:top w:val="nil"/>
              <w:left w:val="nil"/>
              <w:bottom w:val="single" w:sz="4" w:space="0" w:color="auto"/>
              <w:right w:val="single" w:sz="4" w:space="0" w:color="auto"/>
            </w:tcBorders>
            <w:shd w:val="clear" w:color="auto" w:fill="auto"/>
            <w:noWrap/>
            <w:hideMark/>
          </w:tcPr>
          <w:p w14:paraId="1A6BE1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0.293</w:t>
            </w:r>
          </w:p>
        </w:tc>
        <w:tc>
          <w:tcPr>
            <w:tcW w:w="0" w:type="auto"/>
            <w:tcBorders>
              <w:top w:val="nil"/>
              <w:left w:val="nil"/>
              <w:bottom w:val="single" w:sz="4" w:space="0" w:color="auto"/>
              <w:right w:val="single" w:sz="4" w:space="0" w:color="auto"/>
            </w:tcBorders>
            <w:shd w:val="clear" w:color="auto" w:fill="auto"/>
            <w:noWrap/>
            <w:hideMark/>
          </w:tcPr>
          <w:p w14:paraId="37B00E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0.350</w:t>
            </w:r>
          </w:p>
        </w:tc>
        <w:tc>
          <w:tcPr>
            <w:tcW w:w="0" w:type="auto"/>
            <w:tcBorders>
              <w:top w:val="nil"/>
              <w:left w:val="nil"/>
              <w:bottom w:val="single" w:sz="4" w:space="0" w:color="auto"/>
              <w:right w:val="single" w:sz="4" w:space="0" w:color="auto"/>
            </w:tcBorders>
            <w:shd w:val="clear" w:color="auto" w:fill="auto"/>
            <w:noWrap/>
            <w:hideMark/>
          </w:tcPr>
          <w:p w14:paraId="7825A3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0.233</w:t>
            </w:r>
          </w:p>
        </w:tc>
        <w:tc>
          <w:tcPr>
            <w:tcW w:w="0" w:type="auto"/>
            <w:tcBorders>
              <w:top w:val="nil"/>
              <w:left w:val="nil"/>
              <w:bottom w:val="single" w:sz="4" w:space="0" w:color="auto"/>
              <w:right w:val="single" w:sz="4" w:space="0" w:color="auto"/>
            </w:tcBorders>
            <w:shd w:val="clear" w:color="auto" w:fill="auto"/>
            <w:noWrap/>
            <w:hideMark/>
          </w:tcPr>
          <w:p w14:paraId="56F0837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c>
          <w:tcPr>
            <w:tcW w:w="0" w:type="auto"/>
            <w:tcBorders>
              <w:top w:val="nil"/>
              <w:left w:val="nil"/>
              <w:bottom w:val="single" w:sz="4" w:space="0" w:color="auto"/>
              <w:right w:val="single" w:sz="4" w:space="0" w:color="auto"/>
            </w:tcBorders>
            <w:shd w:val="clear" w:color="auto" w:fill="auto"/>
            <w:noWrap/>
            <w:hideMark/>
          </w:tcPr>
          <w:p w14:paraId="63F0D2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0.277</w:t>
            </w:r>
          </w:p>
        </w:tc>
        <w:tc>
          <w:tcPr>
            <w:tcW w:w="0" w:type="auto"/>
            <w:tcBorders>
              <w:top w:val="nil"/>
              <w:left w:val="nil"/>
              <w:bottom w:val="single" w:sz="4" w:space="0" w:color="auto"/>
              <w:right w:val="single" w:sz="4" w:space="0" w:color="auto"/>
            </w:tcBorders>
            <w:shd w:val="clear" w:color="auto" w:fill="auto"/>
            <w:noWrap/>
            <w:hideMark/>
          </w:tcPr>
          <w:p w14:paraId="28CD7F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0.359</w:t>
            </w:r>
          </w:p>
        </w:tc>
        <w:tc>
          <w:tcPr>
            <w:tcW w:w="0" w:type="auto"/>
            <w:tcBorders>
              <w:top w:val="nil"/>
              <w:left w:val="nil"/>
              <w:bottom w:val="single" w:sz="4" w:space="0" w:color="auto"/>
              <w:right w:val="single" w:sz="4" w:space="0" w:color="auto"/>
            </w:tcBorders>
            <w:shd w:val="clear" w:color="auto" w:fill="auto"/>
            <w:noWrap/>
            <w:hideMark/>
          </w:tcPr>
          <w:p w14:paraId="6EA4D5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r>
      <w:tr w:rsidR="00943D0A" w:rsidRPr="00144673" w14:paraId="5FF809AF"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19901A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expertise_2</w:t>
            </w:r>
          </w:p>
        </w:tc>
        <w:tc>
          <w:tcPr>
            <w:tcW w:w="0" w:type="auto"/>
            <w:tcBorders>
              <w:top w:val="nil"/>
              <w:left w:val="nil"/>
              <w:bottom w:val="single" w:sz="4" w:space="0" w:color="auto"/>
              <w:right w:val="single" w:sz="4" w:space="0" w:color="auto"/>
            </w:tcBorders>
            <w:shd w:val="clear" w:color="auto" w:fill="auto"/>
            <w:noWrap/>
            <w:hideMark/>
          </w:tcPr>
          <w:p w14:paraId="15E0582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0.337</w:t>
            </w:r>
          </w:p>
        </w:tc>
        <w:tc>
          <w:tcPr>
            <w:tcW w:w="0" w:type="auto"/>
            <w:tcBorders>
              <w:top w:val="nil"/>
              <w:left w:val="nil"/>
              <w:bottom w:val="single" w:sz="4" w:space="0" w:color="auto"/>
              <w:right w:val="single" w:sz="4" w:space="0" w:color="auto"/>
            </w:tcBorders>
            <w:shd w:val="clear" w:color="auto" w:fill="auto"/>
            <w:noWrap/>
            <w:hideMark/>
          </w:tcPr>
          <w:p w14:paraId="5AA2A1E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0.175</w:t>
            </w:r>
          </w:p>
        </w:tc>
        <w:tc>
          <w:tcPr>
            <w:tcW w:w="0" w:type="auto"/>
            <w:tcBorders>
              <w:top w:val="nil"/>
              <w:left w:val="nil"/>
              <w:bottom w:val="single" w:sz="4" w:space="0" w:color="auto"/>
              <w:right w:val="single" w:sz="4" w:space="0" w:color="auto"/>
            </w:tcBorders>
            <w:shd w:val="clear" w:color="auto" w:fill="auto"/>
            <w:noWrap/>
            <w:hideMark/>
          </w:tcPr>
          <w:p w14:paraId="2C2A6E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0.419</w:t>
            </w:r>
          </w:p>
        </w:tc>
        <w:tc>
          <w:tcPr>
            <w:tcW w:w="0" w:type="auto"/>
            <w:tcBorders>
              <w:top w:val="nil"/>
              <w:left w:val="nil"/>
              <w:bottom w:val="single" w:sz="4" w:space="0" w:color="auto"/>
              <w:right w:val="single" w:sz="4" w:space="0" w:color="auto"/>
            </w:tcBorders>
            <w:shd w:val="clear" w:color="auto" w:fill="auto"/>
            <w:noWrap/>
            <w:hideMark/>
          </w:tcPr>
          <w:p w14:paraId="72D8D6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0.416</w:t>
            </w:r>
          </w:p>
        </w:tc>
        <w:tc>
          <w:tcPr>
            <w:tcW w:w="0" w:type="auto"/>
            <w:tcBorders>
              <w:top w:val="nil"/>
              <w:left w:val="nil"/>
              <w:bottom w:val="single" w:sz="4" w:space="0" w:color="auto"/>
              <w:right w:val="single" w:sz="4" w:space="0" w:color="auto"/>
            </w:tcBorders>
            <w:shd w:val="clear" w:color="auto" w:fill="auto"/>
            <w:noWrap/>
            <w:hideMark/>
          </w:tcPr>
          <w:p w14:paraId="03A047B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0.407</w:t>
            </w:r>
          </w:p>
        </w:tc>
        <w:tc>
          <w:tcPr>
            <w:tcW w:w="0" w:type="auto"/>
            <w:tcBorders>
              <w:top w:val="nil"/>
              <w:left w:val="nil"/>
              <w:bottom w:val="single" w:sz="4" w:space="0" w:color="auto"/>
              <w:right w:val="single" w:sz="4" w:space="0" w:color="auto"/>
            </w:tcBorders>
            <w:shd w:val="clear" w:color="auto" w:fill="auto"/>
            <w:noWrap/>
            <w:hideMark/>
          </w:tcPr>
          <w:p w14:paraId="36ED0C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0.210</w:t>
            </w:r>
          </w:p>
        </w:tc>
        <w:tc>
          <w:tcPr>
            <w:tcW w:w="0" w:type="auto"/>
            <w:tcBorders>
              <w:top w:val="nil"/>
              <w:left w:val="nil"/>
              <w:bottom w:val="single" w:sz="4" w:space="0" w:color="auto"/>
              <w:right w:val="single" w:sz="4" w:space="0" w:color="auto"/>
            </w:tcBorders>
            <w:shd w:val="clear" w:color="auto" w:fill="auto"/>
            <w:noWrap/>
            <w:hideMark/>
          </w:tcPr>
          <w:p w14:paraId="3F0496F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2E2031C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0.112</w:t>
            </w:r>
          </w:p>
        </w:tc>
        <w:tc>
          <w:tcPr>
            <w:tcW w:w="0" w:type="auto"/>
            <w:tcBorders>
              <w:top w:val="nil"/>
              <w:left w:val="nil"/>
              <w:bottom w:val="single" w:sz="4" w:space="0" w:color="auto"/>
              <w:right w:val="single" w:sz="4" w:space="0" w:color="auto"/>
            </w:tcBorders>
            <w:shd w:val="clear" w:color="auto" w:fill="auto"/>
            <w:noWrap/>
            <w:hideMark/>
          </w:tcPr>
          <w:p w14:paraId="2421C9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0.936</w:t>
            </w:r>
          </w:p>
        </w:tc>
        <w:tc>
          <w:tcPr>
            <w:tcW w:w="0" w:type="auto"/>
            <w:tcBorders>
              <w:top w:val="nil"/>
              <w:left w:val="nil"/>
              <w:bottom w:val="single" w:sz="4" w:space="0" w:color="auto"/>
              <w:right w:val="single" w:sz="4" w:space="0" w:color="auto"/>
            </w:tcBorders>
            <w:shd w:val="clear" w:color="auto" w:fill="auto"/>
            <w:noWrap/>
            <w:hideMark/>
          </w:tcPr>
          <w:p w14:paraId="3F4A6D8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0.313</w:t>
            </w:r>
          </w:p>
        </w:tc>
        <w:tc>
          <w:tcPr>
            <w:tcW w:w="0" w:type="auto"/>
            <w:tcBorders>
              <w:top w:val="nil"/>
              <w:left w:val="nil"/>
              <w:bottom w:val="single" w:sz="4" w:space="0" w:color="auto"/>
              <w:right w:val="single" w:sz="4" w:space="0" w:color="auto"/>
            </w:tcBorders>
            <w:shd w:val="clear" w:color="auto" w:fill="auto"/>
            <w:noWrap/>
            <w:hideMark/>
          </w:tcPr>
          <w:p w14:paraId="2558444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0.393</w:t>
            </w:r>
          </w:p>
        </w:tc>
        <w:tc>
          <w:tcPr>
            <w:tcW w:w="0" w:type="auto"/>
            <w:tcBorders>
              <w:top w:val="nil"/>
              <w:left w:val="nil"/>
              <w:bottom w:val="single" w:sz="4" w:space="0" w:color="auto"/>
              <w:right w:val="single" w:sz="4" w:space="0" w:color="auto"/>
            </w:tcBorders>
            <w:shd w:val="clear" w:color="auto" w:fill="auto"/>
            <w:noWrap/>
            <w:hideMark/>
          </w:tcPr>
          <w:p w14:paraId="46415EF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0.256</w:t>
            </w:r>
          </w:p>
        </w:tc>
        <w:tc>
          <w:tcPr>
            <w:tcW w:w="0" w:type="auto"/>
            <w:tcBorders>
              <w:top w:val="nil"/>
              <w:left w:val="nil"/>
              <w:bottom w:val="single" w:sz="4" w:space="0" w:color="auto"/>
              <w:right w:val="single" w:sz="4" w:space="0" w:color="auto"/>
            </w:tcBorders>
            <w:shd w:val="clear" w:color="auto" w:fill="auto"/>
            <w:noWrap/>
            <w:hideMark/>
          </w:tcPr>
          <w:p w14:paraId="54E61D6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0.438</w:t>
            </w:r>
          </w:p>
        </w:tc>
        <w:tc>
          <w:tcPr>
            <w:tcW w:w="0" w:type="auto"/>
            <w:tcBorders>
              <w:top w:val="nil"/>
              <w:left w:val="nil"/>
              <w:bottom w:val="single" w:sz="4" w:space="0" w:color="auto"/>
              <w:right w:val="single" w:sz="4" w:space="0" w:color="auto"/>
            </w:tcBorders>
            <w:shd w:val="clear" w:color="auto" w:fill="auto"/>
            <w:noWrap/>
            <w:hideMark/>
          </w:tcPr>
          <w:p w14:paraId="1B01C3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c>
          <w:tcPr>
            <w:tcW w:w="0" w:type="auto"/>
            <w:tcBorders>
              <w:top w:val="nil"/>
              <w:left w:val="nil"/>
              <w:bottom w:val="single" w:sz="4" w:space="0" w:color="auto"/>
              <w:right w:val="single" w:sz="4" w:space="0" w:color="auto"/>
            </w:tcBorders>
            <w:shd w:val="clear" w:color="auto" w:fill="auto"/>
            <w:noWrap/>
            <w:hideMark/>
          </w:tcPr>
          <w:p w14:paraId="2DAED34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0.441</w:t>
            </w:r>
          </w:p>
        </w:tc>
        <w:tc>
          <w:tcPr>
            <w:tcW w:w="0" w:type="auto"/>
            <w:tcBorders>
              <w:top w:val="nil"/>
              <w:left w:val="nil"/>
              <w:bottom w:val="single" w:sz="4" w:space="0" w:color="auto"/>
              <w:right w:val="single" w:sz="4" w:space="0" w:color="auto"/>
            </w:tcBorders>
            <w:shd w:val="clear" w:color="auto" w:fill="auto"/>
            <w:noWrap/>
            <w:hideMark/>
          </w:tcPr>
          <w:p w14:paraId="26ECA8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0.358</w:t>
            </w:r>
          </w:p>
        </w:tc>
      </w:tr>
      <w:tr w:rsidR="00943D0A" w:rsidRPr="00144673" w14:paraId="18E52BD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9986E4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expertise_3</w:t>
            </w:r>
          </w:p>
        </w:tc>
        <w:tc>
          <w:tcPr>
            <w:tcW w:w="0" w:type="auto"/>
            <w:tcBorders>
              <w:top w:val="nil"/>
              <w:left w:val="nil"/>
              <w:bottom w:val="single" w:sz="4" w:space="0" w:color="auto"/>
              <w:right w:val="single" w:sz="4" w:space="0" w:color="auto"/>
            </w:tcBorders>
            <w:shd w:val="clear" w:color="auto" w:fill="auto"/>
            <w:noWrap/>
            <w:hideMark/>
          </w:tcPr>
          <w:p w14:paraId="77CC066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0.271</w:t>
            </w:r>
          </w:p>
        </w:tc>
        <w:tc>
          <w:tcPr>
            <w:tcW w:w="0" w:type="auto"/>
            <w:tcBorders>
              <w:top w:val="nil"/>
              <w:left w:val="nil"/>
              <w:bottom w:val="single" w:sz="4" w:space="0" w:color="auto"/>
              <w:right w:val="single" w:sz="4" w:space="0" w:color="auto"/>
            </w:tcBorders>
            <w:shd w:val="clear" w:color="auto" w:fill="auto"/>
            <w:noWrap/>
            <w:hideMark/>
          </w:tcPr>
          <w:p w14:paraId="691F022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0.123</w:t>
            </w:r>
          </w:p>
        </w:tc>
        <w:tc>
          <w:tcPr>
            <w:tcW w:w="0" w:type="auto"/>
            <w:tcBorders>
              <w:top w:val="nil"/>
              <w:left w:val="nil"/>
              <w:bottom w:val="single" w:sz="4" w:space="0" w:color="auto"/>
              <w:right w:val="single" w:sz="4" w:space="0" w:color="auto"/>
            </w:tcBorders>
            <w:shd w:val="clear" w:color="auto" w:fill="auto"/>
            <w:noWrap/>
            <w:hideMark/>
          </w:tcPr>
          <w:p w14:paraId="65A340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0.382</w:t>
            </w:r>
          </w:p>
        </w:tc>
        <w:tc>
          <w:tcPr>
            <w:tcW w:w="0" w:type="auto"/>
            <w:tcBorders>
              <w:top w:val="nil"/>
              <w:left w:val="nil"/>
              <w:bottom w:val="single" w:sz="4" w:space="0" w:color="auto"/>
              <w:right w:val="single" w:sz="4" w:space="0" w:color="auto"/>
            </w:tcBorders>
            <w:shd w:val="clear" w:color="auto" w:fill="auto"/>
            <w:noWrap/>
            <w:hideMark/>
          </w:tcPr>
          <w:p w14:paraId="42FFAA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0.452</w:t>
            </w:r>
          </w:p>
        </w:tc>
        <w:tc>
          <w:tcPr>
            <w:tcW w:w="0" w:type="auto"/>
            <w:tcBorders>
              <w:top w:val="nil"/>
              <w:left w:val="nil"/>
              <w:bottom w:val="single" w:sz="4" w:space="0" w:color="auto"/>
              <w:right w:val="single" w:sz="4" w:space="0" w:color="auto"/>
            </w:tcBorders>
            <w:shd w:val="clear" w:color="auto" w:fill="auto"/>
            <w:noWrap/>
            <w:hideMark/>
          </w:tcPr>
          <w:p w14:paraId="654A61B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0.386</w:t>
            </w:r>
          </w:p>
        </w:tc>
        <w:tc>
          <w:tcPr>
            <w:tcW w:w="0" w:type="auto"/>
            <w:tcBorders>
              <w:top w:val="nil"/>
              <w:left w:val="nil"/>
              <w:bottom w:val="single" w:sz="4" w:space="0" w:color="auto"/>
              <w:right w:val="single" w:sz="4" w:space="0" w:color="auto"/>
            </w:tcBorders>
            <w:shd w:val="clear" w:color="auto" w:fill="auto"/>
            <w:noWrap/>
            <w:hideMark/>
          </w:tcPr>
          <w:p w14:paraId="719347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0.268</w:t>
            </w:r>
          </w:p>
        </w:tc>
        <w:tc>
          <w:tcPr>
            <w:tcW w:w="0" w:type="auto"/>
            <w:tcBorders>
              <w:top w:val="nil"/>
              <w:left w:val="nil"/>
              <w:bottom w:val="single" w:sz="4" w:space="0" w:color="auto"/>
              <w:right w:val="single" w:sz="4" w:space="0" w:color="auto"/>
            </w:tcBorders>
            <w:shd w:val="clear" w:color="auto" w:fill="auto"/>
            <w:noWrap/>
            <w:hideMark/>
          </w:tcPr>
          <w:p w14:paraId="3A3A39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66AA2F0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0.175</w:t>
            </w:r>
          </w:p>
        </w:tc>
        <w:tc>
          <w:tcPr>
            <w:tcW w:w="0" w:type="auto"/>
            <w:tcBorders>
              <w:top w:val="nil"/>
              <w:left w:val="nil"/>
              <w:bottom w:val="single" w:sz="4" w:space="0" w:color="auto"/>
              <w:right w:val="single" w:sz="4" w:space="0" w:color="auto"/>
            </w:tcBorders>
            <w:shd w:val="clear" w:color="auto" w:fill="auto"/>
            <w:noWrap/>
            <w:hideMark/>
          </w:tcPr>
          <w:p w14:paraId="29DB4B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0.913</w:t>
            </w:r>
          </w:p>
        </w:tc>
        <w:tc>
          <w:tcPr>
            <w:tcW w:w="0" w:type="auto"/>
            <w:tcBorders>
              <w:top w:val="nil"/>
              <w:left w:val="nil"/>
              <w:bottom w:val="single" w:sz="4" w:space="0" w:color="auto"/>
              <w:right w:val="single" w:sz="4" w:space="0" w:color="auto"/>
            </w:tcBorders>
            <w:shd w:val="clear" w:color="auto" w:fill="auto"/>
            <w:noWrap/>
            <w:hideMark/>
          </w:tcPr>
          <w:p w14:paraId="5CE3C8E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0.323</w:t>
            </w:r>
          </w:p>
        </w:tc>
        <w:tc>
          <w:tcPr>
            <w:tcW w:w="0" w:type="auto"/>
            <w:tcBorders>
              <w:top w:val="nil"/>
              <w:left w:val="nil"/>
              <w:bottom w:val="single" w:sz="4" w:space="0" w:color="auto"/>
              <w:right w:val="single" w:sz="4" w:space="0" w:color="auto"/>
            </w:tcBorders>
            <w:shd w:val="clear" w:color="auto" w:fill="auto"/>
            <w:noWrap/>
            <w:hideMark/>
          </w:tcPr>
          <w:p w14:paraId="299FCF5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0.402</w:t>
            </w:r>
          </w:p>
        </w:tc>
        <w:tc>
          <w:tcPr>
            <w:tcW w:w="0" w:type="auto"/>
            <w:tcBorders>
              <w:top w:val="nil"/>
              <w:left w:val="nil"/>
              <w:bottom w:val="single" w:sz="4" w:space="0" w:color="auto"/>
              <w:right w:val="single" w:sz="4" w:space="0" w:color="auto"/>
            </w:tcBorders>
            <w:shd w:val="clear" w:color="auto" w:fill="auto"/>
            <w:noWrap/>
            <w:hideMark/>
          </w:tcPr>
          <w:p w14:paraId="72E1182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0.261</w:t>
            </w:r>
          </w:p>
        </w:tc>
        <w:tc>
          <w:tcPr>
            <w:tcW w:w="0" w:type="auto"/>
            <w:tcBorders>
              <w:top w:val="nil"/>
              <w:left w:val="nil"/>
              <w:bottom w:val="single" w:sz="4" w:space="0" w:color="auto"/>
              <w:right w:val="single" w:sz="4" w:space="0" w:color="auto"/>
            </w:tcBorders>
            <w:shd w:val="clear" w:color="auto" w:fill="auto"/>
            <w:noWrap/>
            <w:hideMark/>
          </w:tcPr>
          <w:p w14:paraId="4067DC0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0.424</w:t>
            </w:r>
          </w:p>
        </w:tc>
        <w:tc>
          <w:tcPr>
            <w:tcW w:w="0" w:type="auto"/>
            <w:tcBorders>
              <w:top w:val="nil"/>
              <w:left w:val="nil"/>
              <w:bottom w:val="single" w:sz="4" w:space="0" w:color="auto"/>
              <w:right w:val="single" w:sz="4" w:space="0" w:color="auto"/>
            </w:tcBorders>
            <w:shd w:val="clear" w:color="auto" w:fill="auto"/>
            <w:noWrap/>
            <w:hideMark/>
          </w:tcPr>
          <w:p w14:paraId="6B7075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0.248</w:t>
            </w:r>
          </w:p>
        </w:tc>
        <w:tc>
          <w:tcPr>
            <w:tcW w:w="0" w:type="auto"/>
            <w:tcBorders>
              <w:top w:val="nil"/>
              <w:left w:val="nil"/>
              <w:bottom w:val="single" w:sz="4" w:space="0" w:color="auto"/>
              <w:right w:val="single" w:sz="4" w:space="0" w:color="auto"/>
            </w:tcBorders>
            <w:shd w:val="clear" w:color="auto" w:fill="auto"/>
            <w:noWrap/>
            <w:hideMark/>
          </w:tcPr>
          <w:p w14:paraId="54576B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0.407</w:t>
            </w:r>
          </w:p>
        </w:tc>
        <w:tc>
          <w:tcPr>
            <w:tcW w:w="0" w:type="auto"/>
            <w:tcBorders>
              <w:top w:val="nil"/>
              <w:left w:val="nil"/>
              <w:bottom w:val="single" w:sz="4" w:space="0" w:color="auto"/>
              <w:right w:val="single" w:sz="4" w:space="0" w:color="auto"/>
            </w:tcBorders>
            <w:shd w:val="clear" w:color="auto" w:fill="auto"/>
            <w:noWrap/>
            <w:hideMark/>
          </w:tcPr>
          <w:p w14:paraId="38C92D8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0.396</w:t>
            </w:r>
          </w:p>
        </w:tc>
      </w:tr>
      <w:tr w:rsidR="00943D0A" w:rsidRPr="00144673" w14:paraId="4AA1145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ACF20EF"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expertise_4</w:t>
            </w:r>
          </w:p>
        </w:tc>
        <w:tc>
          <w:tcPr>
            <w:tcW w:w="0" w:type="auto"/>
            <w:tcBorders>
              <w:top w:val="nil"/>
              <w:left w:val="nil"/>
              <w:bottom w:val="single" w:sz="4" w:space="0" w:color="auto"/>
              <w:right w:val="single" w:sz="4" w:space="0" w:color="auto"/>
            </w:tcBorders>
            <w:shd w:val="clear" w:color="auto" w:fill="auto"/>
            <w:noWrap/>
            <w:hideMark/>
          </w:tcPr>
          <w:p w14:paraId="672F3E2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0.295</w:t>
            </w:r>
          </w:p>
        </w:tc>
        <w:tc>
          <w:tcPr>
            <w:tcW w:w="0" w:type="auto"/>
            <w:tcBorders>
              <w:top w:val="nil"/>
              <w:left w:val="nil"/>
              <w:bottom w:val="single" w:sz="4" w:space="0" w:color="auto"/>
              <w:right w:val="single" w:sz="4" w:space="0" w:color="auto"/>
            </w:tcBorders>
            <w:shd w:val="clear" w:color="auto" w:fill="auto"/>
            <w:noWrap/>
            <w:hideMark/>
          </w:tcPr>
          <w:p w14:paraId="1A70230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0.140</w:t>
            </w:r>
          </w:p>
        </w:tc>
        <w:tc>
          <w:tcPr>
            <w:tcW w:w="0" w:type="auto"/>
            <w:tcBorders>
              <w:top w:val="nil"/>
              <w:left w:val="nil"/>
              <w:bottom w:val="single" w:sz="4" w:space="0" w:color="auto"/>
              <w:right w:val="single" w:sz="4" w:space="0" w:color="auto"/>
            </w:tcBorders>
            <w:shd w:val="clear" w:color="auto" w:fill="auto"/>
            <w:noWrap/>
            <w:hideMark/>
          </w:tcPr>
          <w:p w14:paraId="5AFC9A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0.334</w:t>
            </w:r>
          </w:p>
        </w:tc>
        <w:tc>
          <w:tcPr>
            <w:tcW w:w="0" w:type="auto"/>
            <w:tcBorders>
              <w:top w:val="nil"/>
              <w:left w:val="nil"/>
              <w:bottom w:val="single" w:sz="4" w:space="0" w:color="auto"/>
              <w:right w:val="single" w:sz="4" w:space="0" w:color="auto"/>
            </w:tcBorders>
            <w:shd w:val="clear" w:color="auto" w:fill="auto"/>
            <w:noWrap/>
            <w:hideMark/>
          </w:tcPr>
          <w:p w14:paraId="27C42F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0.381</w:t>
            </w:r>
          </w:p>
        </w:tc>
        <w:tc>
          <w:tcPr>
            <w:tcW w:w="0" w:type="auto"/>
            <w:tcBorders>
              <w:top w:val="nil"/>
              <w:left w:val="nil"/>
              <w:bottom w:val="single" w:sz="4" w:space="0" w:color="auto"/>
              <w:right w:val="single" w:sz="4" w:space="0" w:color="auto"/>
            </w:tcBorders>
            <w:shd w:val="clear" w:color="auto" w:fill="auto"/>
            <w:noWrap/>
            <w:hideMark/>
          </w:tcPr>
          <w:p w14:paraId="2C4E2AD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c>
          <w:tcPr>
            <w:tcW w:w="0" w:type="auto"/>
            <w:tcBorders>
              <w:top w:val="nil"/>
              <w:left w:val="nil"/>
              <w:bottom w:val="single" w:sz="4" w:space="0" w:color="auto"/>
              <w:right w:val="single" w:sz="4" w:space="0" w:color="auto"/>
            </w:tcBorders>
            <w:shd w:val="clear" w:color="auto" w:fill="auto"/>
            <w:noWrap/>
            <w:hideMark/>
          </w:tcPr>
          <w:p w14:paraId="4DCF47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0.190</w:t>
            </w:r>
          </w:p>
        </w:tc>
        <w:tc>
          <w:tcPr>
            <w:tcW w:w="0" w:type="auto"/>
            <w:tcBorders>
              <w:top w:val="nil"/>
              <w:left w:val="nil"/>
              <w:bottom w:val="single" w:sz="4" w:space="0" w:color="auto"/>
              <w:right w:val="single" w:sz="4" w:space="0" w:color="auto"/>
            </w:tcBorders>
            <w:shd w:val="clear" w:color="auto" w:fill="auto"/>
            <w:noWrap/>
            <w:hideMark/>
          </w:tcPr>
          <w:p w14:paraId="23E419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0.400</w:t>
            </w:r>
          </w:p>
        </w:tc>
        <w:tc>
          <w:tcPr>
            <w:tcW w:w="0" w:type="auto"/>
            <w:tcBorders>
              <w:top w:val="nil"/>
              <w:left w:val="nil"/>
              <w:bottom w:val="single" w:sz="4" w:space="0" w:color="auto"/>
              <w:right w:val="single" w:sz="4" w:space="0" w:color="auto"/>
            </w:tcBorders>
            <w:shd w:val="clear" w:color="auto" w:fill="auto"/>
            <w:noWrap/>
            <w:hideMark/>
          </w:tcPr>
          <w:p w14:paraId="00A1F5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0.148</w:t>
            </w:r>
          </w:p>
        </w:tc>
        <w:tc>
          <w:tcPr>
            <w:tcW w:w="0" w:type="auto"/>
            <w:tcBorders>
              <w:top w:val="nil"/>
              <w:left w:val="nil"/>
              <w:bottom w:val="single" w:sz="4" w:space="0" w:color="auto"/>
              <w:right w:val="single" w:sz="4" w:space="0" w:color="auto"/>
            </w:tcBorders>
            <w:shd w:val="clear" w:color="auto" w:fill="auto"/>
            <w:noWrap/>
            <w:hideMark/>
          </w:tcPr>
          <w:p w14:paraId="6048411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0.914</w:t>
            </w:r>
          </w:p>
        </w:tc>
        <w:tc>
          <w:tcPr>
            <w:tcW w:w="0" w:type="auto"/>
            <w:tcBorders>
              <w:top w:val="nil"/>
              <w:left w:val="nil"/>
              <w:bottom w:val="single" w:sz="4" w:space="0" w:color="auto"/>
              <w:right w:val="single" w:sz="4" w:space="0" w:color="auto"/>
            </w:tcBorders>
            <w:shd w:val="clear" w:color="auto" w:fill="auto"/>
            <w:noWrap/>
            <w:hideMark/>
          </w:tcPr>
          <w:p w14:paraId="4EF656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5B5944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0.319</w:t>
            </w:r>
          </w:p>
        </w:tc>
        <w:tc>
          <w:tcPr>
            <w:tcW w:w="0" w:type="auto"/>
            <w:tcBorders>
              <w:top w:val="nil"/>
              <w:left w:val="nil"/>
              <w:bottom w:val="single" w:sz="4" w:space="0" w:color="auto"/>
              <w:right w:val="single" w:sz="4" w:space="0" w:color="auto"/>
            </w:tcBorders>
            <w:shd w:val="clear" w:color="auto" w:fill="auto"/>
            <w:noWrap/>
            <w:hideMark/>
          </w:tcPr>
          <w:p w14:paraId="0A929C2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357D4A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0.337</w:t>
            </w:r>
          </w:p>
        </w:tc>
        <w:tc>
          <w:tcPr>
            <w:tcW w:w="0" w:type="auto"/>
            <w:tcBorders>
              <w:top w:val="nil"/>
              <w:left w:val="nil"/>
              <w:bottom w:val="single" w:sz="4" w:space="0" w:color="auto"/>
              <w:right w:val="single" w:sz="4" w:space="0" w:color="auto"/>
            </w:tcBorders>
            <w:shd w:val="clear" w:color="auto" w:fill="auto"/>
            <w:noWrap/>
            <w:hideMark/>
          </w:tcPr>
          <w:p w14:paraId="228FA6C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0.232</w:t>
            </w:r>
          </w:p>
        </w:tc>
        <w:tc>
          <w:tcPr>
            <w:tcW w:w="0" w:type="auto"/>
            <w:tcBorders>
              <w:top w:val="nil"/>
              <w:left w:val="nil"/>
              <w:bottom w:val="single" w:sz="4" w:space="0" w:color="auto"/>
              <w:right w:val="single" w:sz="4" w:space="0" w:color="auto"/>
            </w:tcBorders>
            <w:shd w:val="clear" w:color="auto" w:fill="auto"/>
            <w:noWrap/>
            <w:hideMark/>
          </w:tcPr>
          <w:p w14:paraId="7BFECF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0.345</w:t>
            </w:r>
          </w:p>
        </w:tc>
        <w:tc>
          <w:tcPr>
            <w:tcW w:w="0" w:type="auto"/>
            <w:tcBorders>
              <w:top w:val="nil"/>
              <w:left w:val="nil"/>
              <w:bottom w:val="single" w:sz="4" w:space="0" w:color="auto"/>
              <w:right w:val="single" w:sz="4" w:space="0" w:color="auto"/>
            </w:tcBorders>
            <w:shd w:val="clear" w:color="auto" w:fill="auto"/>
            <w:noWrap/>
            <w:hideMark/>
          </w:tcPr>
          <w:p w14:paraId="796C4BB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0.350</w:t>
            </w:r>
          </w:p>
        </w:tc>
      </w:tr>
      <w:tr w:rsidR="00943D0A" w:rsidRPr="00144673" w14:paraId="570111C2"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095AF90"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expertise_5</w:t>
            </w:r>
          </w:p>
        </w:tc>
        <w:tc>
          <w:tcPr>
            <w:tcW w:w="0" w:type="auto"/>
            <w:tcBorders>
              <w:top w:val="nil"/>
              <w:left w:val="nil"/>
              <w:bottom w:val="single" w:sz="4" w:space="0" w:color="auto"/>
              <w:right w:val="single" w:sz="4" w:space="0" w:color="auto"/>
            </w:tcBorders>
            <w:shd w:val="clear" w:color="auto" w:fill="auto"/>
            <w:noWrap/>
            <w:hideMark/>
          </w:tcPr>
          <w:p w14:paraId="297CE1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0.281</w:t>
            </w:r>
          </w:p>
        </w:tc>
        <w:tc>
          <w:tcPr>
            <w:tcW w:w="0" w:type="auto"/>
            <w:tcBorders>
              <w:top w:val="nil"/>
              <w:left w:val="nil"/>
              <w:bottom w:val="single" w:sz="4" w:space="0" w:color="auto"/>
              <w:right w:val="single" w:sz="4" w:space="0" w:color="auto"/>
            </w:tcBorders>
            <w:shd w:val="clear" w:color="auto" w:fill="auto"/>
            <w:noWrap/>
            <w:hideMark/>
          </w:tcPr>
          <w:p w14:paraId="36D0DE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0.156</w:t>
            </w:r>
          </w:p>
        </w:tc>
        <w:tc>
          <w:tcPr>
            <w:tcW w:w="0" w:type="auto"/>
            <w:tcBorders>
              <w:top w:val="nil"/>
              <w:left w:val="nil"/>
              <w:bottom w:val="single" w:sz="4" w:space="0" w:color="auto"/>
              <w:right w:val="single" w:sz="4" w:space="0" w:color="auto"/>
            </w:tcBorders>
            <w:shd w:val="clear" w:color="auto" w:fill="auto"/>
            <w:noWrap/>
            <w:hideMark/>
          </w:tcPr>
          <w:p w14:paraId="05EDCC6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0.322</w:t>
            </w:r>
          </w:p>
        </w:tc>
        <w:tc>
          <w:tcPr>
            <w:tcW w:w="0" w:type="auto"/>
            <w:tcBorders>
              <w:top w:val="nil"/>
              <w:left w:val="nil"/>
              <w:bottom w:val="single" w:sz="4" w:space="0" w:color="auto"/>
              <w:right w:val="single" w:sz="4" w:space="0" w:color="auto"/>
            </w:tcBorders>
            <w:shd w:val="clear" w:color="auto" w:fill="auto"/>
            <w:noWrap/>
            <w:hideMark/>
          </w:tcPr>
          <w:p w14:paraId="0EC752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0.395</w:t>
            </w:r>
          </w:p>
        </w:tc>
        <w:tc>
          <w:tcPr>
            <w:tcW w:w="0" w:type="auto"/>
            <w:tcBorders>
              <w:top w:val="nil"/>
              <w:left w:val="nil"/>
              <w:bottom w:val="single" w:sz="4" w:space="0" w:color="auto"/>
              <w:right w:val="single" w:sz="4" w:space="0" w:color="auto"/>
            </w:tcBorders>
            <w:shd w:val="clear" w:color="auto" w:fill="auto"/>
            <w:noWrap/>
            <w:hideMark/>
          </w:tcPr>
          <w:p w14:paraId="0FB0073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0.394</w:t>
            </w:r>
          </w:p>
        </w:tc>
        <w:tc>
          <w:tcPr>
            <w:tcW w:w="0" w:type="auto"/>
            <w:tcBorders>
              <w:top w:val="nil"/>
              <w:left w:val="nil"/>
              <w:bottom w:val="single" w:sz="4" w:space="0" w:color="auto"/>
              <w:right w:val="single" w:sz="4" w:space="0" w:color="auto"/>
            </w:tcBorders>
            <w:shd w:val="clear" w:color="auto" w:fill="auto"/>
            <w:noWrap/>
            <w:hideMark/>
          </w:tcPr>
          <w:p w14:paraId="6F128B3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0.172</w:t>
            </w:r>
          </w:p>
        </w:tc>
        <w:tc>
          <w:tcPr>
            <w:tcW w:w="0" w:type="auto"/>
            <w:tcBorders>
              <w:top w:val="nil"/>
              <w:left w:val="nil"/>
              <w:bottom w:val="single" w:sz="4" w:space="0" w:color="auto"/>
              <w:right w:val="single" w:sz="4" w:space="0" w:color="auto"/>
            </w:tcBorders>
            <w:shd w:val="clear" w:color="auto" w:fill="auto"/>
            <w:noWrap/>
            <w:hideMark/>
          </w:tcPr>
          <w:p w14:paraId="3574D2C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0.435</w:t>
            </w:r>
          </w:p>
        </w:tc>
        <w:tc>
          <w:tcPr>
            <w:tcW w:w="0" w:type="auto"/>
            <w:tcBorders>
              <w:top w:val="nil"/>
              <w:left w:val="nil"/>
              <w:bottom w:val="single" w:sz="4" w:space="0" w:color="auto"/>
              <w:right w:val="single" w:sz="4" w:space="0" w:color="auto"/>
            </w:tcBorders>
            <w:shd w:val="clear" w:color="auto" w:fill="auto"/>
            <w:noWrap/>
            <w:hideMark/>
          </w:tcPr>
          <w:p w14:paraId="5DC786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0.181</w:t>
            </w:r>
          </w:p>
        </w:tc>
        <w:tc>
          <w:tcPr>
            <w:tcW w:w="0" w:type="auto"/>
            <w:tcBorders>
              <w:top w:val="nil"/>
              <w:left w:val="nil"/>
              <w:bottom w:val="single" w:sz="4" w:space="0" w:color="auto"/>
              <w:right w:val="single" w:sz="4" w:space="0" w:color="auto"/>
            </w:tcBorders>
            <w:shd w:val="clear" w:color="auto" w:fill="auto"/>
            <w:noWrap/>
            <w:hideMark/>
          </w:tcPr>
          <w:p w14:paraId="4A834EA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0.917</w:t>
            </w:r>
          </w:p>
        </w:tc>
        <w:tc>
          <w:tcPr>
            <w:tcW w:w="0" w:type="auto"/>
            <w:tcBorders>
              <w:top w:val="nil"/>
              <w:left w:val="nil"/>
              <w:bottom w:val="single" w:sz="4" w:space="0" w:color="auto"/>
              <w:right w:val="single" w:sz="4" w:space="0" w:color="auto"/>
            </w:tcBorders>
            <w:shd w:val="clear" w:color="auto" w:fill="auto"/>
            <w:noWrap/>
            <w:hideMark/>
          </w:tcPr>
          <w:p w14:paraId="2A6E64C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0.290</w:t>
            </w:r>
          </w:p>
        </w:tc>
        <w:tc>
          <w:tcPr>
            <w:tcW w:w="0" w:type="auto"/>
            <w:tcBorders>
              <w:top w:val="nil"/>
              <w:left w:val="nil"/>
              <w:bottom w:val="single" w:sz="4" w:space="0" w:color="auto"/>
              <w:right w:val="single" w:sz="4" w:space="0" w:color="auto"/>
            </w:tcBorders>
            <w:shd w:val="clear" w:color="auto" w:fill="auto"/>
            <w:noWrap/>
            <w:hideMark/>
          </w:tcPr>
          <w:p w14:paraId="681CA1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0.319</w:t>
            </w:r>
          </w:p>
        </w:tc>
        <w:tc>
          <w:tcPr>
            <w:tcW w:w="0" w:type="auto"/>
            <w:tcBorders>
              <w:top w:val="nil"/>
              <w:left w:val="nil"/>
              <w:bottom w:val="single" w:sz="4" w:space="0" w:color="auto"/>
              <w:right w:val="single" w:sz="4" w:space="0" w:color="auto"/>
            </w:tcBorders>
            <w:shd w:val="clear" w:color="auto" w:fill="auto"/>
            <w:noWrap/>
            <w:hideMark/>
          </w:tcPr>
          <w:p w14:paraId="2D60EDE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0.284</w:t>
            </w:r>
          </w:p>
        </w:tc>
        <w:tc>
          <w:tcPr>
            <w:tcW w:w="0" w:type="auto"/>
            <w:tcBorders>
              <w:top w:val="nil"/>
              <w:left w:val="nil"/>
              <w:bottom w:val="single" w:sz="4" w:space="0" w:color="auto"/>
              <w:right w:val="single" w:sz="4" w:space="0" w:color="auto"/>
            </w:tcBorders>
            <w:shd w:val="clear" w:color="auto" w:fill="auto"/>
            <w:noWrap/>
            <w:hideMark/>
          </w:tcPr>
          <w:p w14:paraId="7A92AE1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0.364</w:t>
            </w:r>
          </w:p>
        </w:tc>
        <w:tc>
          <w:tcPr>
            <w:tcW w:w="0" w:type="auto"/>
            <w:tcBorders>
              <w:top w:val="nil"/>
              <w:left w:val="nil"/>
              <w:bottom w:val="single" w:sz="4" w:space="0" w:color="auto"/>
              <w:right w:val="single" w:sz="4" w:space="0" w:color="auto"/>
            </w:tcBorders>
            <w:shd w:val="clear" w:color="auto" w:fill="auto"/>
            <w:noWrap/>
            <w:hideMark/>
          </w:tcPr>
          <w:p w14:paraId="682DDB5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0.270</w:t>
            </w:r>
          </w:p>
        </w:tc>
        <w:tc>
          <w:tcPr>
            <w:tcW w:w="0" w:type="auto"/>
            <w:tcBorders>
              <w:top w:val="nil"/>
              <w:left w:val="nil"/>
              <w:bottom w:val="single" w:sz="4" w:space="0" w:color="auto"/>
              <w:right w:val="single" w:sz="4" w:space="0" w:color="auto"/>
            </w:tcBorders>
            <w:shd w:val="clear" w:color="auto" w:fill="auto"/>
            <w:noWrap/>
            <w:hideMark/>
          </w:tcPr>
          <w:p w14:paraId="424530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0.388</w:t>
            </w:r>
          </w:p>
        </w:tc>
        <w:tc>
          <w:tcPr>
            <w:tcW w:w="0" w:type="auto"/>
            <w:tcBorders>
              <w:top w:val="nil"/>
              <w:left w:val="nil"/>
              <w:bottom w:val="single" w:sz="4" w:space="0" w:color="auto"/>
              <w:right w:val="single" w:sz="4" w:space="0" w:color="auto"/>
            </w:tcBorders>
            <w:shd w:val="clear" w:color="auto" w:fill="auto"/>
            <w:noWrap/>
            <w:hideMark/>
          </w:tcPr>
          <w:p w14:paraId="734FC9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0.361</w:t>
            </w:r>
          </w:p>
        </w:tc>
      </w:tr>
      <w:tr w:rsidR="00943D0A" w:rsidRPr="00144673" w14:paraId="16235FD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F1328E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info_1</w:t>
            </w:r>
          </w:p>
        </w:tc>
        <w:tc>
          <w:tcPr>
            <w:tcW w:w="0" w:type="auto"/>
            <w:tcBorders>
              <w:top w:val="nil"/>
              <w:left w:val="nil"/>
              <w:bottom w:val="single" w:sz="4" w:space="0" w:color="auto"/>
              <w:right w:val="single" w:sz="4" w:space="0" w:color="auto"/>
            </w:tcBorders>
            <w:shd w:val="clear" w:color="auto" w:fill="auto"/>
            <w:noWrap/>
            <w:hideMark/>
          </w:tcPr>
          <w:p w14:paraId="7D14EF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272943B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0.247</w:t>
            </w:r>
          </w:p>
        </w:tc>
        <w:tc>
          <w:tcPr>
            <w:tcW w:w="0" w:type="auto"/>
            <w:tcBorders>
              <w:top w:val="nil"/>
              <w:left w:val="nil"/>
              <w:bottom w:val="single" w:sz="4" w:space="0" w:color="auto"/>
              <w:right w:val="single" w:sz="4" w:space="0" w:color="auto"/>
            </w:tcBorders>
            <w:shd w:val="clear" w:color="auto" w:fill="auto"/>
            <w:noWrap/>
            <w:hideMark/>
          </w:tcPr>
          <w:p w14:paraId="75182C6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0.247</w:t>
            </w:r>
          </w:p>
        </w:tc>
        <w:tc>
          <w:tcPr>
            <w:tcW w:w="0" w:type="auto"/>
            <w:tcBorders>
              <w:top w:val="nil"/>
              <w:left w:val="nil"/>
              <w:bottom w:val="single" w:sz="4" w:space="0" w:color="auto"/>
              <w:right w:val="single" w:sz="4" w:space="0" w:color="auto"/>
            </w:tcBorders>
            <w:shd w:val="clear" w:color="auto" w:fill="auto"/>
            <w:noWrap/>
            <w:hideMark/>
          </w:tcPr>
          <w:p w14:paraId="3B6D6D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0.241</w:t>
            </w:r>
          </w:p>
        </w:tc>
        <w:tc>
          <w:tcPr>
            <w:tcW w:w="0" w:type="auto"/>
            <w:tcBorders>
              <w:top w:val="nil"/>
              <w:left w:val="nil"/>
              <w:bottom w:val="single" w:sz="4" w:space="0" w:color="auto"/>
              <w:right w:val="single" w:sz="4" w:space="0" w:color="auto"/>
            </w:tcBorders>
            <w:shd w:val="clear" w:color="auto" w:fill="auto"/>
            <w:noWrap/>
            <w:hideMark/>
          </w:tcPr>
          <w:p w14:paraId="700CA76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0.255</w:t>
            </w:r>
          </w:p>
        </w:tc>
        <w:tc>
          <w:tcPr>
            <w:tcW w:w="0" w:type="auto"/>
            <w:tcBorders>
              <w:top w:val="nil"/>
              <w:left w:val="nil"/>
              <w:bottom w:val="single" w:sz="4" w:space="0" w:color="auto"/>
              <w:right w:val="single" w:sz="4" w:space="0" w:color="auto"/>
            </w:tcBorders>
            <w:shd w:val="clear" w:color="auto" w:fill="auto"/>
            <w:noWrap/>
            <w:hideMark/>
          </w:tcPr>
          <w:p w14:paraId="307FC17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0.157</w:t>
            </w:r>
          </w:p>
        </w:tc>
        <w:tc>
          <w:tcPr>
            <w:tcW w:w="0" w:type="auto"/>
            <w:tcBorders>
              <w:top w:val="nil"/>
              <w:left w:val="nil"/>
              <w:bottom w:val="single" w:sz="4" w:space="0" w:color="auto"/>
              <w:right w:val="single" w:sz="4" w:space="0" w:color="auto"/>
            </w:tcBorders>
            <w:shd w:val="clear" w:color="auto" w:fill="auto"/>
            <w:noWrap/>
            <w:hideMark/>
          </w:tcPr>
          <w:p w14:paraId="302E979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0.376</w:t>
            </w:r>
          </w:p>
        </w:tc>
        <w:tc>
          <w:tcPr>
            <w:tcW w:w="0" w:type="auto"/>
            <w:tcBorders>
              <w:top w:val="nil"/>
              <w:left w:val="nil"/>
              <w:bottom w:val="single" w:sz="4" w:space="0" w:color="auto"/>
              <w:right w:val="single" w:sz="4" w:space="0" w:color="auto"/>
            </w:tcBorders>
            <w:shd w:val="clear" w:color="auto" w:fill="auto"/>
            <w:noWrap/>
            <w:hideMark/>
          </w:tcPr>
          <w:p w14:paraId="0679C0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0.095</w:t>
            </w:r>
          </w:p>
        </w:tc>
        <w:tc>
          <w:tcPr>
            <w:tcW w:w="0" w:type="auto"/>
            <w:tcBorders>
              <w:top w:val="nil"/>
              <w:left w:val="nil"/>
              <w:bottom w:val="single" w:sz="4" w:space="0" w:color="auto"/>
              <w:right w:val="single" w:sz="4" w:space="0" w:color="auto"/>
            </w:tcBorders>
            <w:shd w:val="clear" w:color="auto" w:fill="auto"/>
            <w:noWrap/>
            <w:hideMark/>
          </w:tcPr>
          <w:p w14:paraId="07EC800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0.172</w:t>
            </w:r>
          </w:p>
        </w:tc>
        <w:tc>
          <w:tcPr>
            <w:tcW w:w="0" w:type="auto"/>
            <w:tcBorders>
              <w:top w:val="nil"/>
              <w:left w:val="nil"/>
              <w:bottom w:val="single" w:sz="4" w:space="0" w:color="auto"/>
              <w:right w:val="single" w:sz="4" w:space="0" w:color="auto"/>
            </w:tcBorders>
            <w:shd w:val="clear" w:color="auto" w:fill="auto"/>
            <w:noWrap/>
            <w:hideMark/>
          </w:tcPr>
          <w:p w14:paraId="16F92E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0.176</w:t>
            </w:r>
          </w:p>
        </w:tc>
        <w:tc>
          <w:tcPr>
            <w:tcW w:w="0" w:type="auto"/>
            <w:tcBorders>
              <w:top w:val="nil"/>
              <w:left w:val="nil"/>
              <w:bottom w:val="single" w:sz="4" w:space="0" w:color="auto"/>
              <w:right w:val="single" w:sz="4" w:space="0" w:color="auto"/>
            </w:tcBorders>
            <w:shd w:val="clear" w:color="auto" w:fill="auto"/>
            <w:noWrap/>
            <w:hideMark/>
          </w:tcPr>
          <w:p w14:paraId="7080159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0.158</w:t>
            </w:r>
          </w:p>
        </w:tc>
        <w:tc>
          <w:tcPr>
            <w:tcW w:w="0" w:type="auto"/>
            <w:tcBorders>
              <w:top w:val="nil"/>
              <w:left w:val="nil"/>
              <w:bottom w:val="single" w:sz="4" w:space="0" w:color="auto"/>
              <w:right w:val="single" w:sz="4" w:space="0" w:color="auto"/>
            </w:tcBorders>
            <w:shd w:val="clear" w:color="auto" w:fill="auto"/>
            <w:noWrap/>
            <w:hideMark/>
          </w:tcPr>
          <w:p w14:paraId="7CC8EF8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0.792</w:t>
            </w:r>
          </w:p>
        </w:tc>
        <w:tc>
          <w:tcPr>
            <w:tcW w:w="0" w:type="auto"/>
            <w:tcBorders>
              <w:top w:val="nil"/>
              <w:left w:val="nil"/>
              <w:bottom w:val="single" w:sz="4" w:space="0" w:color="auto"/>
              <w:right w:val="single" w:sz="4" w:space="0" w:color="auto"/>
            </w:tcBorders>
            <w:shd w:val="clear" w:color="auto" w:fill="auto"/>
            <w:noWrap/>
            <w:hideMark/>
          </w:tcPr>
          <w:p w14:paraId="439B39A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0.298</w:t>
            </w:r>
          </w:p>
        </w:tc>
        <w:tc>
          <w:tcPr>
            <w:tcW w:w="0" w:type="auto"/>
            <w:tcBorders>
              <w:top w:val="nil"/>
              <w:left w:val="nil"/>
              <w:bottom w:val="single" w:sz="4" w:space="0" w:color="auto"/>
              <w:right w:val="single" w:sz="4" w:space="0" w:color="auto"/>
            </w:tcBorders>
            <w:shd w:val="clear" w:color="auto" w:fill="auto"/>
            <w:noWrap/>
            <w:hideMark/>
          </w:tcPr>
          <w:p w14:paraId="34FFD3D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0.420</w:t>
            </w:r>
          </w:p>
        </w:tc>
        <w:tc>
          <w:tcPr>
            <w:tcW w:w="0" w:type="auto"/>
            <w:tcBorders>
              <w:top w:val="nil"/>
              <w:left w:val="nil"/>
              <w:bottom w:val="single" w:sz="4" w:space="0" w:color="auto"/>
              <w:right w:val="single" w:sz="4" w:space="0" w:color="auto"/>
            </w:tcBorders>
            <w:shd w:val="clear" w:color="auto" w:fill="auto"/>
            <w:noWrap/>
            <w:hideMark/>
          </w:tcPr>
          <w:p w14:paraId="556F02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c>
          <w:tcPr>
            <w:tcW w:w="0" w:type="auto"/>
            <w:tcBorders>
              <w:top w:val="nil"/>
              <w:left w:val="nil"/>
              <w:bottom w:val="single" w:sz="4" w:space="0" w:color="auto"/>
              <w:right w:val="single" w:sz="4" w:space="0" w:color="auto"/>
            </w:tcBorders>
            <w:shd w:val="clear" w:color="auto" w:fill="auto"/>
            <w:noWrap/>
            <w:hideMark/>
          </w:tcPr>
          <w:p w14:paraId="1EB80E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0.258</w:t>
            </w:r>
          </w:p>
        </w:tc>
      </w:tr>
      <w:tr w:rsidR="00943D0A" w:rsidRPr="00144673" w14:paraId="473A7B2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6209ED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info_2</w:t>
            </w:r>
          </w:p>
        </w:tc>
        <w:tc>
          <w:tcPr>
            <w:tcW w:w="0" w:type="auto"/>
            <w:tcBorders>
              <w:top w:val="nil"/>
              <w:left w:val="nil"/>
              <w:bottom w:val="single" w:sz="4" w:space="0" w:color="auto"/>
              <w:right w:val="single" w:sz="4" w:space="0" w:color="auto"/>
            </w:tcBorders>
            <w:shd w:val="clear" w:color="auto" w:fill="auto"/>
            <w:noWrap/>
            <w:hideMark/>
          </w:tcPr>
          <w:p w14:paraId="0C7A488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0.157</w:t>
            </w:r>
          </w:p>
        </w:tc>
        <w:tc>
          <w:tcPr>
            <w:tcW w:w="0" w:type="auto"/>
            <w:tcBorders>
              <w:top w:val="nil"/>
              <w:left w:val="nil"/>
              <w:bottom w:val="single" w:sz="4" w:space="0" w:color="auto"/>
              <w:right w:val="single" w:sz="4" w:space="0" w:color="auto"/>
            </w:tcBorders>
            <w:shd w:val="clear" w:color="auto" w:fill="auto"/>
            <w:noWrap/>
            <w:hideMark/>
          </w:tcPr>
          <w:p w14:paraId="4A3CC2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0.167</w:t>
            </w:r>
          </w:p>
        </w:tc>
        <w:tc>
          <w:tcPr>
            <w:tcW w:w="0" w:type="auto"/>
            <w:tcBorders>
              <w:top w:val="nil"/>
              <w:left w:val="nil"/>
              <w:bottom w:val="single" w:sz="4" w:space="0" w:color="auto"/>
              <w:right w:val="single" w:sz="4" w:space="0" w:color="auto"/>
            </w:tcBorders>
            <w:shd w:val="clear" w:color="auto" w:fill="auto"/>
            <w:noWrap/>
            <w:hideMark/>
          </w:tcPr>
          <w:p w14:paraId="17FC8F1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0.227</w:t>
            </w:r>
          </w:p>
        </w:tc>
        <w:tc>
          <w:tcPr>
            <w:tcW w:w="0" w:type="auto"/>
            <w:tcBorders>
              <w:top w:val="nil"/>
              <w:left w:val="nil"/>
              <w:bottom w:val="single" w:sz="4" w:space="0" w:color="auto"/>
              <w:right w:val="single" w:sz="4" w:space="0" w:color="auto"/>
            </w:tcBorders>
            <w:shd w:val="clear" w:color="auto" w:fill="auto"/>
            <w:noWrap/>
            <w:hideMark/>
          </w:tcPr>
          <w:p w14:paraId="4F0A52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0.184</w:t>
            </w:r>
          </w:p>
        </w:tc>
        <w:tc>
          <w:tcPr>
            <w:tcW w:w="0" w:type="auto"/>
            <w:tcBorders>
              <w:top w:val="nil"/>
              <w:left w:val="nil"/>
              <w:bottom w:val="single" w:sz="4" w:space="0" w:color="auto"/>
              <w:right w:val="single" w:sz="4" w:space="0" w:color="auto"/>
            </w:tcBorders>
            <w:shd w:val="clear" w:color="auto" w:fill="auto"/>
            <w:noWrap/>
            <w:hideMark/>
          </w:tcPr>
          <w:p w14:paraId="5A1E10B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0.159</w:t>
            </w:r>
          </w:p>
        </w:tc>
        <w:tc>
          <w:tcPr>
            <w:tcW w:w="0" w:type="auto"/>
            <w:tcBorders>
              <w:top w:val="nil"/>
              <w:left w:val="nil"/>
              <w:bottom w:val="single" w:sz="4" w:space="0" w:color="auto"/>
              <w:right w:val="single" w:sz="4" w:space="0" w:color="auto"/>
            </w:tcBorders>
            <w:shd w:val="clear" w:color="auto" w:fill="auto"/>
            <w:noWrap/>
            <w:hideMark/>
          </w:tcPr>
          <w:p w14:paraId="4E73484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0.191</w:t>
            </w:r>
          </w:p>
        </w:tc>
        <w:tc>
          <w:tcPr>
            <w:tcW w:w="0" w:type="auto"/>
            <w:tcBorders>
              <w:top w:val="nil"/>
              <w:left w:val="nil"/>
              <w:bottom w:val="single" w:sz="4" w:space="0" w:color="auto"/>
              <w:right w:val="single" w:sz="4" w:space="0" w:color="auto"/>
            </w:tcBorders>
            <w:shd w:val="clear" w:color="auto" w:fill="auto"/>
            <w:noWrap/>
            <w:hideMark/>
          </w:tcPr>
          <w:p w14:paraId="37A83D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0.272</w:t>
            </w:r>
          </w:p>
        </w:tc>
        <w:tc>
          <w:tcPr>
            <w:tcW w:w="0" w:type="auto"/>
            <w:tcBorders>
              <w:top w:val="nil"/>
              <w:left w:val="nil"/>
              <w:bottom w:val="single" w:sz="4" w:space="0" w:color="auto"/>
              <w:right w:val="single" w:sz="4" w:space="0" w:color="auto"/>
            </w:tcBorders>
            <w:shd w:val="clear" w:color="auto" w:fill="auto"/>
            <w:noWrap/>
            <w:hideMark/>
          </w:tcPr>
          <w:p w14:paraId="4C3D1DE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0.092</w:t>
            </w:r>
          </w:p>
        </w:tc>
        <w:tc>
          <w:tcPr>
            <w:tcW w:w="0" w:type="auto"/>
            <w:tcBorders>
              <w:top w:val="nil"/>
              <w:left w:val="nil"/>
              <w:bottom w:val="single" w:sz="4" w:space="0" w:color="auto"/>
              <w:right w:val="single" w:sz="4" w:space="0" w:color="auto"/>
            </w:tcBorders>
            <w:shd w:val="clear" w:color="auto" w:fill="auto"/>
            <w:noWrap/>
            <w:hideMark/>
          </w:tcPr>
          <w:p w14:paraId="5FB22D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0.142</w:t>
            </w:r>
          </w:p>
        </w:tc>
        <w:tc>
          <w:tcPr>
            <w:tcW w:w="0" w:type="auto"/>
            <w:tcBorders>
              <w:top w:val="nil"/>
              <w:left w:val="nil"/>
              <w:bottom w:val="single" w:sz="4" w:space="0" w:color="auto"/>
              <w:right w:val="single" w:sz="4" w:space="0" w:color="auto"/>
            </w:tcBorders>
            <w:shd w:val="clear" w:color="auto" w:fill="auto"/>
            <w:noWrap/>
            <w:hideMark/>
          </w:tcPr>
          <w:p w14:paraId="518BFC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0.218</w:t>
            </w:r>
          </w:p>
        </w:tc>
        <w:tc>
          <w:tcPr>
            <w:tcW w:w="0" w:type="auto"/>
            <w:tcBorders>
              <w:top w:val="nil"/>
              <w:left w:val="nil"/>
              <w:bottom w:val="single" w:sz="4" w:space="0" w:color="auto"/>
              <w:right w:val="single" w:sz="4" w:space="0" w:color="auto"/>
            </w:tcBorders>
            <w:shd w:val="clear" w:color="auto" w:fill="auto"/>
            <w:noWrap/>
            <w:hideMark/>
          </w:tcPr>
          <w:p w14:paraId="02721E3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0.073</w:t>
            </w:r>
          </w:p>
        </w:tc>
        <w:tc>
          <w:tcPr>
            <w:tcW w:w="0" w:type="auto"/>
            <w:tcBorders>
              <w:top w:val="nil"/>
              <w:left w:val="nil"/>
              <w:bottom w:val="single" w:sz="4" w:space="0" w:color="auto"/>
              <w:right w:val="single" w:sz="4" w:space="0" w:color="auto"/>
            </w:tcBorders>
            <w:shd w:val="clear" w:color="auto" w:fill="auto"/>
            <w:noWrap/>
            <w:hideMark/>
          </w:tcPr>
          <w:p w14:paraId="6EFDAD7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0.745</w:t>
            </w:r>
          </w:p>
        </w:tc>
        <w:tc>
          <w:tcPr>
            <w:tcW w:w="0" w:type="auto"/>
            <w:tcBorders>
              <w:top w:val="nil"/>
              <w:left w:val="nil"/>
              <w:bottom w:val="single" w:sz="4" w:space="0" w:color="auto"/>
              <w:right w:val="single" w:sz="4" w:space="0" w:color="auto"/>
            </w:tcBorders>
            <w:shd w:val="clear" w:color="auto" w:fill="auto"/>
            <w:noWrap/>
            <w:hideMark/>
          </w:tcPr>
          <w:p w14:paraId="14F5BD9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32778D0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0.430</w:t>
            </w:r>
          </w:p>
        </w:tc>
        <w:tc>
          <w:tcPr>
            <w:tcW w:w="0" w:type="auto"/>
            <w:tcBorders>
              <w:top w:val="nil"/>
              <w:left w:val="nil"/>
              <w:bottom w:val="single" w:sz="4" w:space="0" w:color="auto"/>
              <w:right w:val="single" w:sz="4" w:space="0" w:color="auto"/>
            </w:tcBorders>
            <w:shd w:val="clear" w:color="auto" w:fill="auto"/>
            <w:noWrap/>
            <w:hideMark/>
          </w:tcPr>
          <w:p w14:paraId="2F6ABF8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0.162</w:t>
            </w:r>
          </w:p>
        </w:tc>
        <w:tc>
          <w:tcPr>
            <w:tcW w:w="0" w:type="auto"/>
            <w:tcBorders>
              <w:top w:val="nil"/>
              <w:left w:val="nil"/>
              <w:bottom w:val="single" w:sz="4" w:space="0" w:color="auto"/>
              <w:right w:val="single" w:sz="4" w:space="0" w:color="auto"/>
            </w:tcBorders>
            <w:shd w:val="clear" w:color="auto" w:fill="auto"/>
            <w:noWrap/>
            <w:hideMark/>
          </w:tcPr>
          <w:p w14:paraId="2D418F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0.209</w:t>
            </w:r>
          </w:p>
        </w:tc>
      </w:tr>
      <w:tr w:rsidR="00943D0A" w:rsidRPr="00144673" w14:paraId="7875348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993E9D4"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info_3</w:t>
            </w:r>
          </w:p>
        </w:tc>
        <w:tc>
          <w:tcPr>
            <w:tcW w:w="0" w:type="auto"/>
            <w:tcBorders>
              <w:top w:val="nil"/>
              <w:left w:val="nil"/>
              <w:bottom w:val="single" w:sz="4" w:space="0" w:color="auto"/>
              <w:right w:val="single" w:sz="4" w:space="0" w:color="auto"/>
            </w:tcBorders>
            <w:shd w:val="clear" w:color="auto" w:fill="auto"/>
            <w:noWrap/>
            <w:hideMark/>
          </w:tcPr>
          <w:p w14:paraId="2A7E2F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0.322</w:t>
            </w:r>
          </w:p>
        </w:tc>
        <w:tc>
          <w:tcPr>
            <w:tcW w:w="0" w:type="auto"/>
            <w:tcBorders>
              <w:top w:val="nil"/>
              <w:left w:val="nil"/>
              <w:bottom w:val="single" w:sz="4" w:space="0" w:color="auto"/>
              <w:right w:val="single" w:sz="4" w:space="0" w:color="auto"/>
            </w:tcBorders>
            <w:shd w:val="clear" w:color="auto" w:fill="auto"/>
            <w:noWrap/>
            <w:hideMark/>
          </w:tcPr>
          <w:p w14:paraId="45E77D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0.206</w:t>
            </w:r>
          </w:p>
        </w:tc>
        <w:tc>
          <w:tcPr>
            <w:tcW w:w="0" w:type="auto"/>
            <w:tcBorders>
              <w:top w:val="nil"/>
              <w:left w:val="nil"/>
              <w:bottom w:val="single" w:sz="4" w:space="0" w:color="auto"/>
              <w:right w:val="single" w:sz="4" w:space="0" w:color="auto"/>
            </w:tcBorders>
            <w:shd w:val="clear" w:color="auto" w:fill="auto"/>
            <w:noWrap/>
            <w:hideMark/>
          </w:tcPr>
          <w:p w14:paraId="5CD1C2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0.480</w:t>
            </w:r>
          </w:p>
        </w:tc>
        <w:tc>
          <w:tcPr>
            <w:tcW w:w="0" w:type="auto"/>
            <w:tcBorders>
              <w:top w:val="nil"/>
              <w:left w:val="nil"/>
              <w:bottom w:val="single" w:sz="4" w:space="0" w:color="auto"/>
              <w:right w:val="single" w:sz="4" w:space="0" w:color="auto"/>
            </w:tcBorders>
            <w:shd w:val="clear" w:color="auto" w:fill="auto"/>
            <w:noWrap/>
            <w:hideMark/>
          </w:tcPr>
          <w:p w14:paraId="762E7F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c>
          <w:tcPr>
            <w:tcW w:w="0" w:type="auto"/>
            <w:tcBorders>
              <w:top w:val="nil"/>
              <w:left w:val="nil"/>
              <w:bottom w:val="single" w:sz="4" w:space="0" w:color="auto"/>
              <w:right w:val="single" w:sz="4" w:space="0" w:color="auto"/>
            </w:tcBorders>
            <w:shd w:val="clear" w:color="auto" w:fill="auto"/>
            <w:noWrap/>
            <w:hideMark/>
          </w:tcPr>
          <w:p w14:paraId="70CF77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0.344</w:t>
            </w:r>
          </w:p>
        </w:tc>
        <w:tc>
          <w:tcPr>
            <w:tcW w:w="0" w:type="auto"/>
            <w:tcBorders>
              <w:top w:val="nil"/>
              <w:left w:val="nil"/>
              <w:bottom w:val="single" w:sz="4" w:space="0" w:color="auto"/>
              <w:right w:val="single" w:sz="4" w:space="0" w:color="auto"/>
            </w:tcBorders>
            <w:shd w:val="clear" w:color="auto" w:fill="auto"/>
            <w:noWrap/>
            <w:hideMark/>
          </w:tcPr>
          <w:p w14:paraId="6215BB7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0.369</w:t>
            </w:r>
          </w:p>
        </w:tc>
        <w:tc>
          <w:tcPr>
            <w:tcW w:w="0" w:type="auto"/>
            <w:tcBorders>
              <w:top w:val="nil"/>
              <w:left w:val="nil"/>
              <w:bottom w:val="single" w:sz="4" w:space="0" w:color="auto"/>
              <w:right w:val="single" w:sz="4" w:space="0" w:color="auto"/>
            </w:tcBorders>
            <w:shd w:val="clear" w:color="auto" w:fill="auto"/>
            <w:noWrap/>
            <w:hideMark/>
          </w:tcPr>
          <w:p w14:paraId="76C62E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0.477</w:t>
            </w:r>
          </w:p>
        </w:tc>
        <w:tc>
          <w:tcPr>
            <w:tcW w:w="0" w:type="auto"/>
            <w:tcBorders>
              <w:top w:val="nil"/>
              <w:left w:val="nil"/>
              <w:bottom w:val="single" w:sz="4" w:space="0" w:color="auto"/>
              <w:right w:val="single" w:sz="4" w:space="0" w:color="auto"/>
            </w:tcBorders>
            <w:shd w:val="clear" w:color="auto" w:fill="auto"/>
            <w:noWrap/>
            <w:hideMark/>
          </w:tcPr>
          <w:p w14:paraId="2BE8716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0.117</w:t>
            </w:r>
          </w:p>
        </w:tc>
        <w:tc>
          <w:tcPr>
            <w:tcW w:w="0" w:type="auto"/>
            <w:tcBorders>
              <w:top w:val="nil"/>
              <w:left w:val="nil"/>
              <w:bottom w:val="single" w:sz="4" w:space="0" w:color="auto"/>
              <w:right w:val="single" w:sz="4" w:space="0" w:color="auto"/>
            </w:tcBorders>
            <w:shd w:val="clear" w:color="auto" w:fill="auto"/>
            <w:noWrap/>
            <w:hideMark/>
          </w:tcPr>
          <w:p w14:paraId="0F52C8C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0.311</w:t>
            </w:r>
          </w:p>
        </w:tc>
        <w:tc>
          <w:tcPr>
            <w:tcW w:w="0" w:type="auto"/>
            <w:tcBorders>
              <w:top w:val="nil"/>
              <w:left w:val="nil"/>
              <w:bottom w:val="single" w:sz="4" w:space="0" w:color="auto"/>
              <w:right w:val="single" w:sz="4" w:space="0" w:color="auto"/>
            </w:tcBorders>
            <w:shd w:val="clear" w:color="auto" w:fill="auto"/>
            <w:noWrap/>
            <w:hideMark/>
          </w:tcPr>
          <w:p w14:paraId="75EDE7D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0.358</w:t>
            </w:r>
          </w:p>
        </w:tc>
        <w:tc>
          <w:tcPr>
            <w:tcW w:w="0" w:type="auto"/>
            <w:tcBorders>
              <w:top w:val="nil"/>
              <w:left w:val="nil"/>
              <w:bottom w:val="single" w:sz="4" w:space="0" w:color="auto"/>
              <w:right w:val="single" w:sz="4" w:space="0" w:color="auto"/>
            </w:tcBorders>
            <w:shd w:val="clear" w:color="auto" w:fill="auto"/>
            <w:noWrap/>
            <w:hideMark/>
          </w:tcPr>
          <w:p w14:paraId="42E30F1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0.381</w:t>
            </w:r>
          </w:p>
        </w:tc>
        <w:tc>
          <w:tcPr>
            <w:tcW w:w="0" w:type="auto"/>
            <w:tcBorders>
              <w:top w:val="nil"/>
              <w:left w:val="nil"/>
              <w:bottom w:val="single" w:sz="4" w:space="0" w:color="auto"/>
              <w:right w:val="single" w:sz="4" w:space="0" w:color="auto"/>
            </w:tcBorders>
            <w:shd w:val="clear" w:color="auto" w:fill="auto"/>
            <w:noWrap/>
            <w:hideMark/>
          </w:tcPr>
          <w:p w14:paraId="1BC7FC2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0.891</w:t>
            </w:r>
          </w:p>
        </w:tc>
        <w:tc>
          <w:tcPr>
            <w:tcW w:w="0" w:type="auto"/>
            <w:tcBorders>
              <w:top w:val="nil"/>
              <w:left w:val="nil"/>
              <w:bottom w:val="single" w:sz="4" w:space="0" w:color="auto"/>
              <w:right w:val="single" w:sz="4" w:space="0" w:color="auto"/>
            </w:tcBorders>
            <w:shd w:val="clear" w:color="auto" w:fill="auto"/>
            <w:noWrap/>
            <w:hideMark/>
          </w:tcPr>
          <w:p w14:paraId="6220CFC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0.411</w:t>
            </w:r>
          </w:p>
        </w:tc>
        <w:tc>
          <w:tcPr>
            <w:tcW w:w="0" w:type="auto"/>
            <w:tcBorders>
              <w:top w:val="nil"/>
              <w:left w:val="nil"/>
              <w:bottom w:val="single" w:sz="4" w:space="0" w:color="auto"/>
              <w:right w:val="single" w:sz="4" w:space="0" w:color="auto"/>
            </w:tcBorders>
            <w:shd w:val="clear" w:color="auto" w:fill="auto"/>
            <w:noWrap/>
            <w:hideMark/>
          </w:tcPr>
          <w:p w14:paraId="1FD042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0.475</w:t>
            </w:r>
          </w:p>
        </w:tc>
        <w:tc>
          <w:tcPr>
            <w:tcW w:w="0" w:type="auto"/>
            <w:tcBorders>
              <w:top w:val="nil"/>
              <w:left w:val="nil"/>
              <w:bottom w:val="single" w:sz="4" w:space="0" w:color="auto"/>
              <w:right w:val="single" w:sz="4" w:space="0" w:color="auto"/>
            </w:tcBorders>
            <w:shd w:val="clear" w:color="auto" w:fill="auto"/>
            <w:noWrap/>
            <w:hideMark/>
          </w:tcPr>
          <w:p w14:paraId="139941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0.380</w:t>
            </w:r>
          </w:p>
        </w:tc>
        <w:tc>
          <w:tcPr>
            <w:tcW w:w="0" w:type="auto"/>
            <w:tcBorders>
              <w:top w:val="nil"/>
              <w:left w:val="nil"/>
              <w:bottom w:val="single" w:sz="4" w:space="0" w:color="auto"/>
              <w:right w:val="single" w:sz="4" w:space="0" w:color="auto"/>
            </w:tcBorders>
            <w:shd w:val="clear" w:color="auto" w:fill="auto"/>
            <w:noWrap/>
            <w:hideMark/>
          </w:tcPr>
          <w:p w14:paraId="796A275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0.412</w:t>
            </w:r>
          </w:p>
        </w:tc>
      </w:tr>
      <w:tr w:rsidR="00943D0A" w:rsidRPr="00144673" w14:paraId="2D1F96C5"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36D617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invlv_1</w:t>
            </w:r>
          </w:p>
        </w:tc>
        <w:tc>
          <w:tcPr>
            <w:tcW w:w="0" w:type="auto"/>
            <w:tcBorders>
              <w:top w:val="nil"/>
              <w:left w:val="nil"/>
              <w:bottom w:val="single" w:sz="4" w:space="0" w:color="auto"/>
              <w:right w:val="single" w:sz="4" w:space="0" w:color="auto"/>
            </w:tcBorders>
            <w:shd w:val="clear" w:color="auto" w:fill="auto"/>
            <w:noWrap/>
            <w:hideMark/>
          </w:tcPr>
          <w:p w14:paraId="5641934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0.450</w:t>
            </w:r>
          </w:p>
        </w:tc>
        <w:tc>
          <w:tcPr>
            <w:tcW w:w="0" w:type="auto"/>
            <w:tcBorders>
              <w:top w:val="nil"/>
              <w:left w:val="nil"/>
              <w:bottom w:val="single" w:sz="4" w:space="0" w:color="auto"/>
              <w:right w:val="single" w:sz="4" w:space="0" w:color="auto"/>
            </w:tcBorders>
            <w:shd w:val="clear" w:color="auto" w:fill="auto"/>
            <w:noWrap/>
            <w:hideMark/>
          </w:tcPr>
          <w:p w14:paraId="2CBD1F8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0.278</w:t>
            </w:r>
          </w:p>
        </w:tc>
        <w:tc>
          <w:tcPr>
            <w:tcW w:w="0" w:type="auto"/>
            <w:tcBorders>
              <w:top w:val="nil"/>
              <w:left w:val="nil"/>
              <w:bottom w:val="single" w:sz="4" w:space="0" w:color="auto"/>
              <w:right w:val="single" w:sz="4" w:space="0" w:color="auto"/>
            </w:tcBorders>
            <w:shd w:val="clear" w:color="auto" w:fill="auto"/>
            <w:noWrap/>
            <w:hideMark/>
          </w:tcPr>
          <w:p w14:paraId="6E706C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0.530</w:t>
            </w:r>
          </w:p>
        </w:tc>
        <w:tc>
          <w:tcPr>
            <w:tcW w:w="0" w:type="auto"/>
            <w:tcBorders>
              <w:top w:val="nil"/>
              <w:left w:val="nil"/>
              <w:bottom w:val="single" w:sz="4" w:space="0" w:color="auto"/>
              <w:right w:val="single" w:sz="4" w:space="0" w:color="auto"/>
            </w:tcBorders>
            <w:shd w:val="clear" w:color="auto" w:fill="auto"/>
            <w:noWrap/>
            <w:hideMark/>
          </w:tcPr>
          <w:p w14:paraId="6A112C8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0.557</w:t>
            </w:r>
          </w:p>
        </w:tc>
        <w:tc>
          <w:tcPr>
            <w:tcW w:w="0" w:type="auto"/>
            <w:tcBorders>
              <w:top w:val="nil"/>
              <w:left w:val="nil"/>
              <w:bottom w:val="single" w:sz="4" w:space="0" w:color="auto"/>
              <w:right w:val="single" w:sz="4" w:space="0" w:color="auto"/>
            </w:tcBorders>
            <w:shd w:val="clear" w:color="auto" w:fill="auto"/>
            <w:noWrap/>
            <w:hideMark/>
          </w:tcPr>
          <w:p w14:paraId="2FE606F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0.589</w:t>
            </w:r>
          </w:p>
        </w:tc>
        <w:tc>
          <w:tcPr>
            <w:tcW w:w="0" w:type="auto"/>
            <w:tcBorders>
              <w:top w:val="nil"/>
              <w:left w:val="nil"/>
              <w:bottom w:val="single" w:sz="4" w:space="0" w:color="auto"/>
              <w:right w:val="single" w:sz="4" w:space="0" w:color="auto"/>
            </w:tcBorders>
            <w:shd w:val="clear" w:color="auto" w:fill="auto"/>
            <w:noWrap/>
            <w:hideMark/>
          </w:tcPr>
          <w:p w14:paraId="26A710D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0.325</w:t>
            </w:r>
          </w:p>
        </w:tc>
        <w:tc>
          <w:tcPr>
            <w:tcW w:w="0" w:type="auto"/>
            <w:tcBorders>
              <w:top w:val="nil"/>
              <w:left w:val="nil"/>
              <w:bottom w:val="single" w:sz="4" w:space="0" w:color="auto"/>
              <w:right w:val="single" w:sz="4" w:space="0" w:color="auto"/>
            </w:tcBorders>
            <w:shd w:val="clear" w:color="auto" w:fill="auto"/>
            <w:noWrap/>
            <w:hideMark/>
          </w:tcPr>
          <w:p w14:paraId="723E0EC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0.497</w:t>
            </w:r>
          </w:p>
        </w:tc>
        <w:tc>
          <w:tcPr>
            <w:tcW w:w="0" w:type="auto"/>
            <w:tcBorders>
              <w:top w:val="nil"/>
              <w:left w:val="nil"/>
              <w:bottom w:val="single" w:sz="4" w:space="0" w:color="auto"/>
              <w:right w:val="single" w:sz="4" w:space="0" w:color="auto"/>
            </w:tcBorders>
            <w:shd w:val="clear" w:color="auto" w:fill="auto"/>
            <w:noWrap/>
            <w:hideMark/>
          </w:tcPr>
          <w:p w14:paraId="51C8C5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0.177</w:t>
            </w:r>
          </w:p>
        </w:tc>
        <w:tc>
          <w:tcPr>
            <w:tcW w:w="0" w:type="auto"/>
            <w:tcBorders>
              <w:top w:val="nil"/>
              <w:left w:val="nil"/>
              <w:bottom w:val="single" w:sz="4" w:space="0" w:color="auto"/>
              <w:right w:val="single" w:sz="4" w:space="0" w:color="auto"/>
            </w:tcBorders>
            <w:shd w:val="clear" w:color="auto" w:fill="auto"/>
            <w:noWrap/>
            <w:hideMark/>
          </w:tcPr>
          <w:p w14:paraId="1E43F8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0.429</w:t>
            </w:r>
          </w:p>
        </w:tc>
        <w:tc>
          <w:tcPr>
            <w:tcW w:w="0" w:type="auto"/>
            <w:tcBorders>
              <w:top w:val="nil"/>
              <w:left w:val="nil"/>
              <w:bottom w:val="single" w:sz="4" w:space="0" w:color="auto"/>
              <w:right w:val="single" w:sz="4" w:space="0" w:color="auto"/>
            </w:tcBorders>
            <w:shd w:val="clear" w:color="auto" w:fill="auto"/>
            <w:noWrap/>
            <w:hideMark/>
          </w:tcPr>
          <w:p w14:paraId="30A10E9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0.385</w:t>
            </w:r>
          </w:p>
        </w:tc>
        <w:tc>
          <w:tcPr>
            <w:tcW w:w="0" w:type="auto"/>
            <w:tcBorders>
              <w:top w:val="nil"/>
              <w:left w:val="nil"/>
              <w:bottom w:val="single" w:sz="4" w:space="0" w:color="auto"/>
              <w:right w:val="single" w:sz="4" w:space="0" w:color="auto"/>
            </w:tcBorders>
            <w:shd w:val="clear" w:color="auto" w:fill="auto"/>
            <w:noWrap/>
            <w:hideMark/>
          </w:tcPr>
          <w:p w14:paraId="2DB939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0.548</w:t>
            </w:r>
          </w:p>
        </w:tc>
        <w:tc>
          <w:tcPr>
            <w:tcW w:w="0" w:type="auto"/>
            <w:tcBorders>
              <w:top w:val="nil"/>
              <w:left w:val="nil"/>
              <w:bottom w:val="single" w:sz="4" w:space="0" w:color="auto"/>
              <w:right w:val="single" w:sz="4" w:space="0" w:color="auto"/>
            </w:tcBorders>
            <w:shd w:val="clear" w:color="auto" w:fill="auto"/>
            <w:noWrap/>
            <w:hideMark/>
          </w:tcPr>
          <w:p w14:paraId="35F0241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0.342</w:t>
            </w:r>
          </w:p>
        </w:tc>
        <w:tc>
          <w:tcPr>
            <w:tcW w:w="0" w:type="auto"/>
            <w:tcBorders>
              <w:top w:val="nil"/>
              <w:left w:val="nil"/>
              <w:bottom w:val="single" w:sz="4" w:space="0" w:color="auto"/>
              <w:right w:val="single" w:sz="4" w:space="0" w:color="auto"/>
            </w:tcBorders>
            <w:shd w:val="clear" w:color="auto" w:fill="auto"/>
            <w:noWrap/>
            <w:hideMark/>
          </w:tcPr>
          <w:p w14:paraId="58A5953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0.825</w:t>
            </w:r>
          </w:p>
        </w:tc>
        <w:tc>
          <w:tcPr>
            <w:tcW w:w="0" w:type="auto"/>
            <w:tcBorders>
              <w:top w:val="nil"/>
              <w:left w:val="nil"/>
              <w:bottom w:val="single" w:sz="4" w:space="0" w:color="auto"/>
              <w:right w:val="single" w:sz="4" w:space="0" w:color="auto"/>
            </w:tcBorders>
            <w:shd w:val="clear" w:color="auto" w:fill="auto"/>
            <w:noWrap/>
            <w:hideMark/>
          </w:tcPr>
          <w:p w14:paraId="635B54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0.266</w:t>
            </w:r>
          </w:p>
        </w:tc>
        <w:tc>
          <w:tcPr>
            <w:tcW w:w="0" w:type="auto"/>
            <w:tcBorders>
              <w:top w:val="nil"/>
              <w:left w:val="nil"/>
              <w:bottom w:val="single" w:sz="4" w:space="0" w:color="auto"/>
              <w:right w:val="single" w:sz="4" w:space="0" w:color="auto"/>
            </w:tcBorders>
            <w:shd w:val="clear" w:color="auto" w:fill="auto"/>
            <w:noWrap/>
            <w:hideMark/>
          </w:tcPr>
          <w:p w14:paraId="41BCD8B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0.607</w:t>
            </w:r>
          </w:p>
        </w:tc>
        <w:tc>
          <w:tcPr>
            <w:tcW w:w="0" w:type="auto"/>
            <w:tcBorders>
              <w:top w:val="nil"/>
              <w:left w:val="nil"/>
              <w:bottom w:val="single" w:sz="4" w:space="0" w:color="auto"/>
              <w:right w:val="single" w:sz="4" w:space="0" w:color="auto"/>
            </w:tcBorders>
            <w:shd w:val="clear" w:color="auto" w:fill="auto"/>
            <w:noWrap/>
            <w:hideMark/>
          </w:tcPr>
          <w:p w14:paraId="04D2FC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0.461</w:t>
            </w:r>
          </w:p>
        </w:tc>
      </w:tr>
      <w:tr w:rsidR="00943D0A" w:rsidRPr="00144673" w14:paraId="4F1B759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FE7C50E"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invlv_10</w:t>
            </w:r>
          </w:p>
        </w:tc>
        <w:tc>
          <w:tcPr>
            <w:tcW w:w="0" w:type="auto"/>
            <w:tcBorders>
              <w:top w:val="nil"/>
              <w:left w:val="nil"/>
              <w:bottom w:val="single" w:sz="4" w:space="0" w:color="auto"/>
              <w:right w:val="single" w:sz="4" w:space="0" w:color="auto"/>
            </w:tcBorders>
            <w:shd w:val="clear" w:color="auto" w:fill="auto"/>
            <w:noWrap/>
            <w:hideMark/>
          </w:tcPr>
          <w:p w14:paraId="697F7A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0.414</w:t>
            </w:r>
          </w:p>
        </w:tc>
        <w:tc>
          <w:tcPr>
            <w:tcW w:w="0" w:type="auto"/>
            <w:tcBorders>
              <w:top w:val="nil"/>
              <w:left w:val="nil"/>
              <w:bottom w:val="single" w:sz="4" w:space="0" w:color="auto"/>
              <w:right w:val="single" w:sz="4" w:space="0" w:color="auto"/>
            </w:tcBorders>
            <w:shd w:val="clear" w:color="auto" w:fill="auto"/>
            <w:noWrap/>
            <w:hideMark/>
          </w:tcPr>
          <w:p w14:paraId="5A8ABD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0.286</w:t>
            </w:r>
          </w:p>
        </w:tc>
        <w:tc>
          <w:tcPr>
            <w:tcW w:w="0" w:type="auto"/>
            <w:tcBorders>
              <w:top w:val="nil"/>
              <w:left w:val="nil"/>
              <w:bottom w:val="single" w:sz="4" w:space="0" w:color="auto"/>
              <w:right w:val="single" w:sz="4" w:space="0" w:color="auto"/>
            </w:tcBorders>
            <w:shd w:val="clear" w:color="auto" w:fill="auto"/>
            <w:noWrap/>
            <w:hideMark/>
          </w:tcPr>
          <w:p w14:paraId="1783FCB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0.547</w:t>
            </w:r>
          </w:p>
        </w:tc>
        <w:tc>
          <w:tcPr>
            <w:tcW w:w="0" w:type="auto"/>
            <w:tcBorders>
              <w:top w:val="nil"/>
              <w:left w:val="nil"/>
              <w:bottom w:val="single" w:sz="4" w:space="0" w:color="auto"/>
              <w:right w:val="single" w:sz="4" w:space="0" w:color="auto"/>
            </w:tcBorders>
            <w:shd w:val="clear" w:color="auto" w:fill="auto"/>
            <w:noWrap/>
            <w:hideMark/>
          </w:tcPr>
          <w:p w14:paraId="3D837DA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0.536</w:t>
            </w:r>
          </w:p>
        </w:tc>
        <w:tc>
          <w:tcPr>
            <w:tcW w:w="0" w:type="auto"/>
            <w:tcBorders>
              <w:top w:val="nil"/>
              <w:left w:val="nil"/>
              <w:bottom w:val="single" w:sz="4" w:space="0" w:color="auto"/>
              <w:right w:val="single" w:sz="4" w:space="0" w:color="auto"/>
            </w:tcBorders>
            <w:shd w:val="clear" w:color="auto" w:fill="auto"/>
            <w:noWrap/>
            <w:hideMark/>
          </w:tcPr>
          <w:p w14:paraId="78795DB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0.631</w:t>
            </w:r>
          </w:p>
        </w:tc>
        <w:tc>
          <w:tcPr>
            <w:tcW w:w="0" w:type="auto"/>
            <w:tcBorders>
              <w:top w:val="nil"/>
              <w:left w:val="nil"/>
              <w:bottom w:val="single" w:sz="4" w:space="0" w:color="auto"/>
              <w:right w:val="single" w:sz="4" w:space="0" w:color="auto"/>
            </w:tcBorders>
            <w:shd w:val="clear" w:color="auto" w:fill="auto"/>
            <w:noWrap/>
            <w:hideMark/>
          </w:tcPr>
          <w:p w14:paraId="630C35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0.308</w:t>
            </w:r>
          </w:p>
        </w:tc>
        <w:tc>
          <w:tcPr>
            <w:tcW w:w="0" w:type="auto"/>
            <w:tcBorders>
              <w:top w:val="nil"/>
              <w:left w:val="nil"/>
              <w:bottom w:val="single" w:sz="4" w:space="0" w:color="auto"/>
              <w:right w:val="single" w:sz="4" w:space="0" w:color="auto"/>
            </w:tcBorders>
            <w:shd w:val="clear" w:color="auto" w:fill="auto"/>
            <w:noWrap/>
            <w:hideMark/>
          </w:tcPr>
          <w:p w14:paraId="6661E6E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0.498</w:t>
            </w:r>
          </w:p>
        </w:tc>
        <w:tc>
          <w:tcPr>
            <w:tcW w:w="0" w:type="auto"/>
            <w:tcBorders>
              <w:top w:val="nil"/>
              <w:left w:val="nil"/>
              <w:bottom w:val="single" w:sz="4" w:space="0" w:color="auto"/>
              <w:right w:val="single" w:sz="4" w:space="0" w:color="auto"/>
            </w:tcBorders>
            <w:shd w:val="clear" w:color="auto" w:fill="auto"/>
            <w:noWrap/>
            <w:hideMark/>
          </w:tcPr>
          <w:p w14:paraId="54E506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0.174</w:t>
            </w:r>
          </w:p>
        </w:tc>
        <w:tc>
          <w:tcPr>
            <w:tcW w:w="0" w:type="auto"/>
            <w:tcBorders>
              <w:top w:val="nil"/>
              <w:left w:val="nil"/>
              <w:bottom w:val="single" w:sz="4" w:space="0" w:color="auto"/>
              <w:right w:val="single" w:sz="4" w:space="0" w:color="auto"/>
            </w:tcBorders>
            <w:shd w:val="clear" w:color="auto" w:fill="auto"/>
            <w:noWrap/>
            <w:hideMark/>
          </w:tcPr>
          <w:p w14:paraId="713899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0.339</w:t>
            </w:r>
          </w:p>
        </w:tc>
        <w:tc>
          <w:tcPr>
            <w:tcW w:w="0" w:type="auto"/>
            <w:tcBorders>
              <w:top w:val="nil"/>
              <w:left w:val="nil"/>
              <w:bottom w:val="single" w:sz="4" w:space="0" w:color="auto"/>
              <w:right w:val="single" w:sz="4" w:space="0" w:color="auto"/>
            </w:tcBorders>
            <w:shd w:val="clear" w:color="auto" w:fill="auto"/>
            <w:noWrap/>
            <w:hideMark/>
          </w:tcPr>
          <w:p w14:paraId="2376D3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0.394</w:t>
            </w:r>
          </w:p>
        </w:tc>
        <w:tc>
          <w:tcPr>
            <w:tcW w:w="0" w:type="auto"/>
            <w:tcBorders>
              <w:top w:val="nil"/>
              <w:left w:val="nil"/>
              <w:bottom w:val="single" w:sz="4" w:space="0" w:color="auto"/>
              <w:right w:val="single" w:sz="4" w:space="0" w:color="auto"/>
            </w:tcBorders>
            <w:shd w:val="clear" w:color="auto" w:fill="auto"/>
            <w:noWrap/>
            <w:hideMark/>
          </w:tcPr>
          <w:p w14:paraId="209C8F4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0.503</w:t>
            </w:r>
          </w:p>
        </w:tc>
        <w:tc>
          <w:tcPr>
            <w:tcW w:w="0" w:type="auto"/>
            <w:tcBorders>
              <w:top w:val="nil"/>
              <w:left w:val="nil"/>
              <w:bottom w:val="single" w:sz="4" w:space="0" w:color="auto"/>
              <w:right w:val="single" w:sz="4" w:space="0" w:color="auto"/>
            </w:tcBorders>
            <w:shd w:val="clear" w:color="auto" w:fill="auto"/>
            <w:noWrap/>
            <w:hideMark/>
          </w:tcPr>
          <w:p w14:paraId="313125A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0.324</w:t>
            </w:r>
          </w:p>
        </w:tc>
        <w:tc>
          <w:tcPr>
            <w:tcW w:w="0" w:type="auto"/>
            <w:tcBorders>
              <w:top w:val="nil"/>
              <w:left w:val="nil"/>
              <w:bottom w:val="single" w:sz="4" w:space="0" w:color="auto"/>
              <w:right w:val="single" w:sz="4" w:space="0" w:color="auto"/>
            </w:tcBorders>
            <w:shd w:val="clear" w:color="auto" w:fill="auto"/>
            <w:noWrap/>
            <w:hideMark/>
          </w:tcPr>
          <w:p w14:paraId="457D69F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0.816</w:t>
            </w:r>
          </w:p>
        </w:tc>
        <w:tc>
          <w:tcPr>
            <w:tcW w:w="0" w:type="auto"/>
            <w:tcBorders>
              <w:top w:val="nil"/>
              <w:left w:val="nil"/>
              <w:bottom w:val="single" w:sz="4" w:space="0" w:color="auto"/>
              <w:right w:val="single" w:sz="4" w:space="0" w:color="auto"/>
            </w:tcBorders>
            <w:shd w:val="clear" w:color="auto" w:fill="auto"/>
            <w:noWrap/>
            <w:hideMark/>
          </w:tcPr>
          <w:p w14:paraId="7757898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0.200</w:t>
            </w:r>
          </w:p>
        </w:tc>
        <w:tc>
          <w:tcPr>
            <w:tcW w:w="0" w:type="auto"/>
            <w:tcBorders>
              <w:top w:val="nil"/>
              <w:left w:val="nil"/>
              <w:bottom w:val="single" w:sz="4" w:space="0" w:color="auto"/>
              <w:right w:val="single" w:sz="4" w:space="0" w:color="auto"/>
            </w:tcBorders>
            <w:shd w:val="clear" w:color="auto" w:fill="auto"/>
            <w:noWrap/>
            <w:hideMark/>
          </w:tcPr>
          <w:p w14:paraId="744363C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0.589</w:t>
            </w:r>
          </w:p>
        </w:tc>
        <w:tc>
          <w:tcPr>
            <w:tcW w:w="0" w:type="auto"/>
            <w:tcBorders>
              <w:top w:val="nil"/>
              <w:left w:val="nil"/>
              <w:bottom w:val="single" w:sz="4" w:space="0" w:color="auto"/>
              <w:right w:val="single" w:sz="4" w:space="0" w:color="auto"/>
            </w:tcBorders>
            <w:shd w:val="clear" w:color="auto" w:fill="auto"/>
            <w:noWrap/>
            <w:hideMark/>
          </w:tcPr>
          <w:p w14:paraId="585850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0.457</w:t>
            </w:r>
          </w:p>
        </w:tc>
      </w:tr>
      <w:tr w:rsidR="00943D0A" w:rsidRPr="00144673" w14:paraId="663CE6C4"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B7A9737"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invlv_2</w:t>
            </w:r>
          </w:p>
        </w:tc>
        <w:tc>
          <w:tcPr>
            <w:tcW w:w="0" w:type="auto"/>
            <w:tcBorders>
              <w:top w:val="nil"/>
              <w:left w:val="nil"/>
              <w:bottom w:val="single" w:sz="4" w:space="0" w:color="auto"/>
              <w:right w:val="single" w:sz="4" w:space="0" w:color="auto"/>
            </w:tcBorders>
            <w:shd w:val="clear" w:color="auto" w:fill="auto"/>
            <w:noWrap/>
            <w:hideMark/>
          </w:tcPr>
          <w:p w14:paraId="5907FAC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0.557</w:t>
            </w:r>
          </w:p>
        </w:tc>
        <w:tc>
          <w:tcPr>
            <w:tcW w:w="0" w:type="auto"/>
            <w:tcBorders>
              <w:top w:val="nil"/>
              <w:left w:val="nil"/>
              <w:bottom w:val="single" w:sz="4" w:space="0" w:color="auto"/>
              <w:right w:val="single" w:sz="4" w:space="0" w:color="auto"/>
            </w:tcBorders>
            <w:shd w:val="clear" w:color="auto" w:fill="auto"/>
            <w:noWrap/>
            <w:hideMark/>
          </w:tcPr>
          <w:p w14:paraId="222BE6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0.303</w:t>
            </w:r>
          </w:p>
        </w:tc>
        <w:tc>
          <w:tcPr>
            <w:tcW w:w="0" w:type="auto"/>
            <w:tcBorders>
              <w:top w:val="nil"/>
              <w:left w:val="nil"/>
              <w:bottom w:val="single" w:sz="4" w:space="0" w:color="auto"/>
              <w:right w:val="single" w:sz="4" w:space="0" w:color="auto"/>
            </w:tcBorders>
            <w:shd w:val="clear" w:color="auto" w:fill="auto"/>
            <w:noWrap/>
            <w:hideMark/>
          </w:tcPr>
          <w:p w14:paraId="092FF60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0.567</w:t>
            </w:r>
          </w:p>
        </w:tc>
        <w:tc>
          <w:tcPr>
            <w:tcW w:w="0" w:type="auto"/>
            <w:tcBorders>
              <w:top w:val="nil"/>
              <w:left w:val="nil"/>
              <w:bottom w:val="single" w:sz="4" w:space="0" w:color="auto"/>
              <w:right w:val="single" w:sz="4" w:space="0" w:color="auto"/>
            </w:tcBorders>
            <w:shd w:val="clear" w:color="auto" w:fill="auto"/>
            <w:noWrap/>
            <w:hideMark/>
          </w:tcPr>
          <w:p w14:paraId="0FFEA9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0.583</w:t>
            </w:r>
          </w:p>
        </w:tc>
        <w:tc>
          <w:tcPr>
            <w:tcW w:w="0" w:type="auto"/>
            <w:tcBorders>
              <w:top w:val="nil"/>
              <w:left w:val="nil"/>
              <w:bottom w:val="single" w:sz="4" w:space="0" w:color="auto"/>
              <w:right w:val="single" w:sz="4" w:space="0" w:color="auto"/>
            </w:tcBorders>
            <w:shd w:val="clear" w:color="auto" w:fill="auto"/>
            <w:noWrap/>
            <w:hideMark/>
          </w:tcPr>
          <w:p w14:paraId="37A9877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0.604</w:t>
            </w:r>
          </w:p>
        </w:tc>
        <w:tc>
          <w:tcPr>
            <w:tcW w:w="0" w:type="auto"/>
            <w:tcBorders>
              <w:top w:val="nil"/>
              <w:left w:val="nil"/>
              <w:bottom w:val="single" w:sz="4" w:space="0" w:color="auto"/>
              <w:right w:val="single" w:sz="4" w:space="0" w:color="auto"/>
            </w:tcBorders>
            <w:shd w:val="clear" w:color="auto" w:fill="auto"/>
            <w:noWrap/>
            <w:hideMark/>
          </w:tcPr>
          <w:p w14:paraId="7DBE84D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0.298</w:t>
            </w:r>
          </w:p>
        </w:tc>
        <w:tc>
          <w:tcPr>
            <w:tcW w:w="0" w:type="auto"/>
            <w:tcBorders>
              <w:top w:val="nil"/>
              <w:left w:val="nil"/>
              <w:bottom w:val="single" w:sz="4" w:space="0" w:color="auto"/>
              <w:right w:val="single" w:sz="4" w:space="0" w:color="auto"/>
            </w:tcBorders>
            <w:shd w:val="clear" w:color="auto" w:fill="auto"/>
            <w:noWrap/>
            <w:hideMark/>
          </w:tcPr>
          <w:p w14:paraId="10FC320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0.545</w:t>
            </w:r>
          </w:p>
        </w:tc>
        <w:tc>
          <w:tcPr>
            <w:tcW w:w="0" w:type="auto"/>
            <w:tcBorders>
              <w:top w:val="nil"/>
              <w:left w:val="nil"/>
              <w:bottom w:val="single" w:sz="4" w:space="0" w:color="auto"/>
              <w:right w:val="single" w:sz="4" w:space="0" w:color="auto"/>
            </w:tcBorders>
            <w:shd w:val="clear" w:color="auto" w:fill="auto"/>
            <w:noWrap/>
            <w:hideMark/>
          </w:tcPr>
          <w:p w14:paraId="361840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0.226</w:t>
            </w:r>
          </w:p>
        </w:tc>
        <w:tc>
          <w:tcPr>
            <w:tcW w:w="0" w:type="auto"/>
            <w:tcBorders>
              <w:top w:val="nil"/>
              <w:left w:val="nil"/>
              <w:bottom w:val="single" w:sz="4" w:space="0" w:color="auto"/>
              <w:right w:val="single" w:sz="4" w:space="0" w:color="auto"/>
            </w:tcBorders>
            <w:shd w:val="clear" w:color="auto" w:fill="auto"/>
            <w:noWrap/>
            <w:hideMark/>
          </w:tcPr>
          <w:p w14:paraId="5B747DF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0.379</w:t>
            </w:r>
          </w:p>
        </w:tc>
        <w:tc>
          <w:tcPr>
            <w:tcW w:w="0" w:type="auto"/>
            <w:tcBorders>
              <w:top w:val="nil"/>
              <w:left w:val="nil"/>
              <w:bottom w:val="single" w:sz="4" w:space="0" w:color="auto"/>
              <w:right w:val="single" w:sz="4" w:space="0" w:color="auto"/>
            </w:tcBorders>
            <w:shd w:val="clear" w:color="auto" w:fill="auto"/>
            <w:noWrap/>
            <w:hideMark/>
          </w:tcPr>
          <w:p w14:paraId="1F12256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0.399</w:t>
            </w:r>
          </w:p>
        </w:tc>
        <w:tc>
          <w:tcPr>
            <w:tcW w:w="0" w:type="auto"/>
            <w:tcBorders>
              <w:top w:val="nil"/>
              <w:left w:val="nil"/>
              <w:bottom w:val="single" w:sz="4" w:space="0" w:color="auto"/>
              <w:right w:val="single" w:sz="4" w:space="0" w:color="auto"/>
            </w:tcBorders>
            <w:shd w:val="clear" w:color="auto" w:fill="auto"/>
            <w:noWrap/>
            <w:hideMark/>
          </w:tcPr>
          <w:p w14:paraId="1631E01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0.561</w:t>
            </w:r>
          </w:p>
        </w:tc>
        <w:tc>
          <w:tcPr>
            <w:tcW w:w="0" w:type="auto"/>
            <w:tcBorders>
              <w:top w:val="nil"/>
              <w:left w:val="nil"/>
              <w:bottom w:val="single" w:sz="4" w:space="0" w:color="auto"/>
              <w:right w:val="single" w:sz="4" w:space="0" w:color="auto"/>
            </w:tcBorders>
            <w:shd w:val="clear" w:color="auto" w:fill="auto"/>
            <w:noWrap/>
            <w:hideMark/>
          </w:tcPr>
          <w:p w14:paraId="126EE6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0.371</w:t>
            </w:r>
          </w:p>
        </w:tc>
        <w:tc>
          <w:tcPr>
            <w:tcW w:w="0" w:type="auto"/>
            <w:tcBorders>
              <w:top w:val="nil"/>
              <w:left w:val="nil"/>
              <w:bottom w:val="single" w:sz="4" w:space="0" w:color="auto"/>
              <w:right w:val="single" w:sz="4" w:space="0" w:color="auto"/>
            </w:tcBorders>
            <w:shd w:val="clear" w:color="auto" w:fill="auto"/>
            <w:noWrap/>
            <w:hideMark/>
          </w:tcPr>
          <w:p w14:paraId="438767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0.863</w:t>
            </w:r>
          </w:p>
        </w:tc>
        <w:tc>
          <w:tcPr>
            <w:tcW w:w="0" w:type="auto"/>
            <w:tcBorders>
              <w:top w:val="nil"/>
              <w:left w:val="nil"/>
              <w:bottom w:val="single" w:sz="4" w:space="0" w:color="auto"/>
              <w:right w:val="single" w:sz="4" w:space="0" w:color="auto"/>
            </w:tcBorders>
            <w:shd w:val="clear" w:color="auto" w:fill="auto"/>
            <w:noWrap/>
            <w:hideMark/>
          </w:tcPr>
          <w:p w14:paraId="3C99A54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0.294</w:t>
            </w:r>
          </w:p>
        </w:tc>
        <w:tc>
          <w:tcPr>
            <w:tcW w:w="0" w:type="auto"/>
            <w:tcBorders>
              <w:top w:val="nil"/>
              <w:left w:val="nil"/>
              <w:bottom w:val="single" w:sz="4" w:space="0" w:color="auto"/>
              <w:right w:val="single" w:sz="4" w:space="0" w:color="auto"/>
            </w:tcBorders>
            <w:shd w:val="clear" w:color="auto" w:fill="auto"/>
            <w:noWrap/>
            <w:hideMark/>
          </w:tcPr>
          <w:p w14:paraId="6D66C5E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0.634</w:t>
            </w:r>
          </w:p>
        </w:tc>
        <w:tc>
          <w:tcPr>
            <w:tcW w:w="0" w:type="auto"/>
            <w:tcBorders>
              <w:top w:val="nil"/>
              <w:left w:val="nil"/>
              <w:bottom w:val="single" w:sz="4" w:space="0" w:color="auto"/>
              <w:right w:val="single" w:sz="4" w:space="0" w:color="auto"/>
            </w:tcBorders>
            <w:shd w:val="clear" w:color="auto" w:fill="auto"/>
            <w:noWrap/>
            <w:hideMark/>
          </w:tcPr>
          <w:p w14:paraId="1AC3D7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r>
      <w:tr w:rsidR="00943D0A" w:rsidRPr="00144673" w14:paraId="2686E066"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96DD0D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invlv_3</w:t>
            </w:r>
          </w:p>
        </w:tc>
        <w:tc>
          <w:tcPr>
            <w:tcW w:w="0" w:type="auto"/>
            <w:tcBorders>
              <w:top w:val="nil"/>
              <w:left w:val="nil"/>
              <w:bottom w:val="single" w:sz="4" w:space="0" w:color="auto"/>
              <w:right w:val="single" w:sz="4" w:space="0" w:color="auto"/>
            </w:tcBorders>
            <w:shd w:val="clear" w:color="auto" w:fill="auto"/>
            <w:noWrap/>
            <w:hideMark/>
          </w:tcPr>
          <w:p w14:paraId="14F251B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0.344</w:t>
            </w:r>
          </w:p>
        </w:tc>
        <w:tc>
          <w:tcPr>
            <w:tcW w:w="0" w:type="auto"/>
            <w:tcBorders>
              <w:top w:val="nil"/>
              <w:left w:val="nil"/>
              <w:bottom w:val="single" w:sz="4" w:space="0" w:color="auto"/>
              <w:right w:val="single" w:sz="4" w:space="0" w:color="auto"/>
            </w:tcBorders>
            <w:shd w:val="clear" w:color="auto" w:fill="auto"/>
            <w:noWrap/>
            <w:hideMark/>
          </w:tcPr>
          <w:p w14:paraId="2F3623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0.244</w:t>
            </w:r>
          </w:p>
        </w:tc>
        <w:tc>
          <w:tcPr>
            <w:tcW w:w="0" w:type="auto"/>
            <w:tcBorders>
              <w:top w:val="nil"/>
              <w:left w:val="nil"/>
              <w:bottom w:val="single" w:sz="4" w:space="0" w:color="auto"/>
              <w:right w:val="single" w:sz="4" w:space="0" w:color="auto"/>
            </w:tcBorders>
            <w:shd w:val="clear" w:color="auto" w:fill="auto"/>
            <w:noWrap/>
            <w:hideMark/>
          </w:tcPr>
          <w:p w14:paraId="4AF0C1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0.522</w:t>
            </w:r>
          </w:p>
        </w:tc>
        <w:tc>
          <w:tcPr>
            <w:tcW w:w="0" w:type="auto"/>
            <w:tcBorders>
              <w:top w:val="nil"/>
              <w:left w:val="nil"/>
              <w:bottom w:val="single" w:sz="4" w:space="0" w:color="auto"/>
              <w:right w:val="single" w:sz="4" w:space="0" w:color="auto"/>
            </w:tcBorders>
            <w:shd w:val="clear" w:color="auto" w:fill="auto"/>
            <w:noWrap/>
            <w:hideMark/>
          </w:tcPr>
          <w:p w14:paraId="1137710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0.471</w:t>
            </w:r>
          </w:p>
        </w:tc>
        <w:tc>
          <w:tcPr>
            <w:tcW w:w="0" w:type="auto"/>
            <w:tcBorders>
              <w:top w:val="nil"/>
              <w:left w:val="nil"/>
              <w:bottom w:val="single" w:sz="4" w:space="0" w:color="auto"/>
              <w:right w:val="single" w:sz="4" w:space="0" w:color="auto"/>
            </w:tcBorders>
            <w:shd w:val="clear" w:color="auto" w:fill="auto"/>
            <w:noWrap/>
            <w:hideMark/>
          </w:tcPr>
          <w:p w14:paraId="16F78AE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0.540</w:t>
            </w:r>
          </w:p>
        </w:tc>
        <w:tc>
          <w:tcPr>
            <w:tcW w:w="0" w:type="auto"/>
            <w:tcBorders>
              <w:top w:val="nil"/>
              <w:left w:val="nil"/>
              <w:bottom w:val="single" w:sz="4" w:space="0" w:color="auto"/>
              <w:right w:val="single" w:sz="4" w:space="0" w:color="auto"/>
            </w:tcBorders>
            <w:shd w:val="clear" w:color="auto" w:fill="auto"/>
            <w:noWrap/>
            <w:hideMark/>
          </w:tcPr>
          <w:p w14:paraId="3199BC8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0.225</w:t>
            </w:r>
          </w:p>
        </w:tc>
        <w:tc>
          <w:tcPr>
            <w:tcW w:w="0" w:type="auto"/>
            <w:tcBorders>
              <w:top w:val="nil"/>
              <w:left w:val="nil"/>
              <w:bottom w:val="single" w:sz="4" w:space="0" w:color="auto"/>
              <w:right w:val="single" w:sz="4" w:space="0" w:color="auto"/>
            </w:tcBorders>
            <w:shd w:val="clear" w:color="auto" w:fill="auto"/>
            <w:noWrap/>
            <w:hideMark/>
          </w:tcPr>
          <w:p w14:paraId="71E363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0.408</w:t>
            </w:r>
          </w:p>
        </w:tc>
        <w:tc>
          <w:tcPr>
            <w:tcW w:w="0" w:type="auto"/>
            <w:tcBorders>
              <w:top w:val="nil"/>
              <w:left w:val="nil"/>
              <w:bottom w:val="single" w:sz="4" w:space="0" w:color="auto"/>
              <w:right w:val="single" w:sz="4" w:space="0" w:color="auto"/>
            </w:tcBorders>
            <w:shd w:val="clear" w:color="auto" w:fill="auto"/>
            <w:noWrap/>
            <w:hideMark/>
          </w:tcPr>
          <w:p w14:paraId="3B62D1D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0.159</w:t>
            </w:r>
          </w:p>
        </w:tc>
        <w:tc>
          <w:tcPr>
            <w:tcW w:w="0" w:type="auto"/>
            <w:tcBorders>
              <w:top w:val="nil"/>
              <w:left w:val="nil"/>
              <w:bottom w:val="single" w:sz="4" w:space="0" w:color="auto"/>
              <w:right w:val="single" w:sz="4" w:space="0" w:color="auto"/>
            </w:tcBorders>
            <w:shd w:val="clear" w:color="auto" w:fill="auto"/>
            <w:noWrap/>
            <w:hideMark/>
          </w:tcPr>
          <w:p w14:paraId="5919AF7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0.309</w:t>
            </w:r>
          </w:p>
        </w:tc>
        <w:tc>
          <w:tcPr>
            <w:tcW w:w="0" w:type="auto"/>
            <w:tcBorders>
              <w:top w:val="nil"/>
              <w:left w:val="nil"/>
              <w:bottom w:val="single" w:sz="4" w:space="0" w:color="auto"/>
              <w:right w:val="single" w:sz="4" w:space="0" w:color="auto"/>
            </w:tcBorders>
            <w:shd w:val="clear" w:color="auto" w:fill="auto"/>
            <w:noWrap/>
            <w:hideMark/>
          </w:tcPr>
          <w:p w14:paraId="496DAA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0.336</w:t>
            </w:r>
          </w:p>
        </w:tc>
        <w:tc>
          <w:tcPr>
            <w:tcW w:w="0" w:type="auto"/>
            <w:tcBorders>
              <w:top w:val="nil"/>
              <w:left w:val="nil"/>
              <w:bottom w:val="single" w:sz="4" w:space="0" w:color="auto"/>
              <w:right w:val="single" w:sz="4" w:space="0" w:color="auto"/>
            </w:tcBorders>
            <w:shd w:val="clear" w:color="auto" w:fill="auto"/>
            <w:noWrap/>
            <w:hideMark/>
          </w:tcPr>
          <w:p w14:paraId="0F41E9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0.446</w:t>
            </w:r>
          </w:p>
        </w:tc>
        <w:tc>
          <w:tcPr>
            <w:tcW w:w="0" w:type="auto"/>
            <w:tcBorders>
              <w:top w:val="nil"/>
              <w:left w:val="nil"/>
              <w:bottom w:val="single" w:sz="4" w:space="0" w:color="auto"/>
              <w:right w:val="single" w:sz="4" w:space="0" w:color="auto"/>
            </w:tcBorders>
            <w:shd w:val="clear" w:color="auto" w:fill="auto"/>
            <w:noWrap/>
            <w:hideMark/>
          </w:tcPr>
          <w:p w14:paraId="6E9F640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0.289</w:t>
            </w:r>
          </w:p>
        </w:tc>
        <w:tc>
          <w:tcPr>
            <w:tcW w:w="0" w:type="auto"/>
            <w:tcBorders>
              <w:top w:val="nil"/>
              <w:left w:val="nil"/>
              <w:bottom w:val="single" w:sz="4" w:space="0" w:color="auto"/>
              <w:right w:val="single" w:sz="4" w:space="0" w:color="auto"/>
            </w:tcBorders>
            <w:shd w:val="clear" w:color="auto" w:fill="auto"/>
            <w:noWrap/>
            <w:hideMark/>
          </w:tcPr>
          <w:p w14:paraId="73CDE1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0.779</w:t>
            </w:r>
          </w:p>
        </w:tc>
        <w:tc>
          <w:tcPr>
            <w:tcW w:w="0" w:type="auto"/>
            <w:tcBorders>
              <w:top w:val="nil"/>
              <w:left w:val="nil"/>
              <w:bottom w:val="single" w:sz="4" w:space="0" w:color="auto"/>
              <w:right w:val="single" w:sz="4" w:space="0" w:color="auto"/>
            </w:tcBorders>
            <w:shd w:val="clear" w:color="auto" w:fill="auto"/>
            <w:noWrap/>
            <w:hideMark/>
          </w:tcPr>
          <w:p w14:paraId="3C5572B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0.272</w:t>
            </w:r>
          </w:p>
        </w:tc>
        <w:tc>
          <w:tcPr>
            <w:tcW w:w="0" w:type="auto"/>
            <w:tcBorders>
              <w:top w:val="nil"/>
              <w:left w:val="nil"/>
              <w:bottom w:val="single" w:sz="4" w:space="0" w:color="auto"/>
              <w:right w:val="single" w:sz="4" w:space="0" w:color="auto"/>
            </w:tcBorders>
            <w:shd w:val="clear" w:color="auto" w:fill="auto"/>
            <w:noWrap/>
            <w:hideMark/>
          </w:tcPr>
          <w:p w14:paraId="351DD9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0.533</w:t>
            </w:r>
          </w:p>
        </w:tc>
        <w:tc>
          <w:tcPr>
            <w:tcW w:w="0" w:type="auto"/>
            <w:tcBorders>
              <w:top w:val="nil"/>
              <w:left w:val="nil"/>
              <w:bottom w:val="single" w:sz="4" w:space="0" w:color="auto"/>
              <w:right w:val="single" w:sz="4" w:space="0" w:color="auto"/>
            </w:tcBorders>
            <w:shd w:val="clear" w:color="auto" w:fill="auto"/>
            <w:noWrap/>
            <w:hideMark/>
          </w:tcPr>
          <w:p w14:paraId="55367DD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0.397</w:t>
            </w:r>
          </w:p>
        </w:tc>
      </w:tr>
      <w:tr w:rsidR="00943D0A" w:rsidRPr="00144673" w14:paraId="2B63C22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F5B787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invlv_4</w:t>
            </w:r>
          </w:p>
        </w:tc>
        <w:tc>
          <w:tcPr>
            <w:tcW w:w="0" w:type="auto"/>
            <w:tcBorders>
              <w:top w:val="nil"/>
              <w:left w:val="nil"/>
              <w:bottom w:val="single" w:sz="4" w:space="0" w:color="auto"/>
              <w:right w:val="single" w:sz="4" w:space="0" w:color="auto"/>
            </w:tcBorders>
            <w:shd w:val="clear" w:color="auto" w:fill="auto"/>
            <w:noWrap/>
            <w:hideMark/>
          </w:tcPr>
          <w:p w14:paraId="1329CED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0.564</w:t>
            </w:r>
          </w:p>
        </w:tc>
        <w:tc>
          <w:tcPr>
            <w:tcW w:w="0" w:type="auto"/>
            <w:tcBorders>
              <w:top w:val="nil"/>
              <w:left w:val="nil"/>
              <w:bottom w:val="single" w:sz="4" w:space="0" w:color="auto"/>
              <w:right w:val="single" w:sz="4" w:space="0" w:color="auto"/>
            </w:tcBorders>
            <w:shd w:val="clear" w:color="auto" w:fill="auto"/>
            <w:noWrap/>
            <w:hideMark/>
          </w:tcPr>
          <w:p w14:paraId="45F0E4D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c>
          <w:tcPr>
            <w:tcW w:w="0" w:type="auto"/>
            <w:tcBorders>
              <w:top w:val="nil"/>
              <w:left w:val="nil"/>
              <w:bottom w:val="single" w:sz="4" w:space="0" w:color="auto"/>
              <w:right w:val="single" w:sz="4" w:space="0" w:color="auto"/>
            </w:tcBorders>
            <w:shd w:val="clear" w:color="auto" w:fill="auto"/>
            <w:noWrap/>
            <w:hideMark/>
          </w:tcPr>
          <w:p w14:paraId="458925E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0.560</w:t>
            </w:r>
          </w:p>
        </w:tc>
        <w:tc>
          <w:tcPr>
            <w:tcW w:w="0" w:type="auto"/>
            <w:tcBorders>
              <w:top w:val="nil"/>
              <w:left w:val="nil"/>
              <w:bottom w:val="single" w:sz="4" w:space="0" w:color="auto"/>
              <w:right w:val="single" w:sz="4" w:space="0" w:color="auto"/>
            </w:tcBorders>
            <w:shd w:val="clear" w:color="auto" w:fill="auto"/>
            <w:noWrap/>
            <w:hideMark/>
          </w:tcPr>
          <w:p w14:paraId="397F5E5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0.555</w:t>
            </w:r>
          </w:p>
        </w:tc>
        <w:tc>
          <w:tcPr>
            <w:tcW w:w="0" w:type="auto"/>
            <w:tcBorders>
              <w:top w:val="nil"/>
              <w:left w:val="nil"/>
              <w:bottom w:val="single" w:sz="4" w:space="0" w:color="auto"/>
              <w:right w:val="single" w:sz="4" w:space="0" w:color="auto"/>
            </w:tcBorders>
            <w:shd w:val="clear" w:color="auto" w:fill="auto"/>
            <w:noWrap/>
            <w:hideMark/>
          </w:tcPr>
          <w:p w14:paraId="6653FB0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0.558</w:t>
            </w:r>
          </w:p>
        </w:tc>
        <w:tc>
          <w:tcPr>
            <w:tcW w:w="0" w:type="auto"/>
            <w:tcBorders>
              <w:top w:val="nil"/>
              <w:left w:val="nil"/>
              <w:bottom w:val="single" w:sz="4" w:space="0" w:color="auto"/>
              <w:right w:val="single" w:sz="4" w:space="0" w:color="auto"/>
            </w:tcBorders>
            <w:shd w:val="clear" w:color="auto" w:fill="auto"/>
            <w:noWrap/>
            <w:hideMark/>
          </w:tcPr>
          <w:p w14:paraId="3ED18B2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0.243</w:t>
            </w:r>
          </w:p>
        </w:tc>
        <w:tc>
          <w:tcPr>
            <w:tcW w:w="0" w:type="auto"/>
            <w:tcBorders>
              <w:top w:val="nil"/>
              <w:left w:val="nil"/>
              <w:bottom w:val="single" w:sz="4" w:space="0" w:color="auto"/>
              <w:right w:val="single" w:sz="4" w:space="0" w:color="auto"/>
            </w:tcBorders>
            <w:shd w:val="clear" w:color="auto" w:fill="auto"/>
            <w:noWrap/>
            <w:hideMark/>
          </w:tcPr>
          <w:p w14:paraId="07D3B0E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0.521</w:t>
            </w:r>
          </w:p>
        </w:tc>
        <w:tc>
          <w:tcPr>
            <w:tcW w:w="0" w:type="auto"/>
            <w:tcBorders>
              <w:top w:val="nil"/>
              <w:left w:val="nil"/>
              <w:bottom w:val="single" w:sz="4" w:space="0" w:color="auto"/>
              <w:right w:val="single" w:sz="4" w:space="0" w:color="auto"/>
            </w:tcBorders>
            <w:shd w:val="clear" w:color="auto" w:fill="auto"/>
            <w:noWrap/>
            <w:hideMark/>
          </w:tcPr>
          <w:p w14:paraId="5F3588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0.209</w:t>
            </w:r>
          </w:p>
        </w:tc>
        <w:tc>
          <w:tcPr>
            <w:tcW w:w="0" w:type="auto"/>
            <w:tcBorders>
              <w:top w:val="nil"/>
              <w:left w:val="nil"/>
              <w:bottom w:val="single" w:sz="4" w:space="0" w:color="auto"/>
              <w:right w:val="single" w:sz="4" w:space="0" w:color="auto"/>
            </w:tcBorders>
            <w:shd w:val="clear" w:color="auto" w:fill="auto"/>
            <w:noWrap/>
            <w:hideMark/>
          </w:tcPr>
          <w:p w14:paraId="23C4306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0.342</w:t>
            </w:r>
          </w:p>
        </w:tc>
        <w:tc>
          <w:tcPr>
            <w:tcW w:w="0" w:type="auto"/>
            <w:tcBorders>
              <w:top w:val="nil"/>
              <w:left w:val="nil"/>
              <w:bottom w:val="single" w:sz="4" w:space="0" w:color="auto"/>
              <w:right w:val="single" w:sz="4" w:space="0" w:color="auto"/>
            </w:tcBorders>
            <w:shd w:val="clear" w:color="auto" w:fill="auto"/>
            <w:noWrap/>
            <w:hideMark/>
          </w:tcPr>
          <w:p w14:paraId="388205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0.371</w:t>
            </w:r>
          </w:p>
        </w:tc>
        <w:tc>
          <w:tcPr>
            <w:tcW w:w="0" w:type="auto"/>
            <w:tcBorders>
              <w:top w:val="nil"/>
              <w:left w:val="nil"/>
              <w:bottom w:val="single" w:sz="4" w:space="0" w:color="auto"/>
              <w:right w:val="single" w:sz="4" w:space="0" w:color="auto"/>
            </w:tcBorders>
            <w:shd w:val="clear" w:color="auto" w:fill="auto"/>
            <w:noWrap/>
            <w:hideMark/>
          </w:tcPr>
          <w:p w14:paraId="6F2986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0.541</w:t>
            </w:r>
          </w:p>
        </w:tc>
        <w:tc>
          <w:tcPr>
            <w:tcW w:w="0" w:type="auto"/>
            <w:tcBorders>
              <w:top w:val="nil"/>
              <w:left w:val="nil"/>
              <w:bottom w:val="single" w:sz="4" w:space="0" w:color="auto"/>
              <w:right w:val="single" w:sz="4" w:space="0" w:color="auto"/>
            </w:tcBorders>
            <w:shd w:val="clear" w:color="auto" w:fill="auto"/>
            <w:noWrap/>
            <w:hideMark/>
          </w:tcPr>
          <w:p w14:paraId="2713E1D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0.386</w:t>
            </w:r>
          </w:p>
        </w:tc>
        <w:tc>
          <w:tcPr>
            <w:tcW w:w="0" w:type="auto"/>
            <w:tcBorders>
              <w:top w:val="nil"/>
              <w:left w:val="nil"/>
              <w:bottom w:val="single" w:sz="4" w:space="0" w:color="auto"/>
              <w:right w:val="single" w:sz="4" w:space="0" w:color="auto"/>
            </w:tcBorders>
            <w:shd w:val="clear" w:color="auto" w:fill="auto"/>
            <w:noWrap/>
            <w:hideMark/>
          </w:tcPr>
          <w:p w14:paraId="40CBE9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0.854</w:t>
            </w:r>
          </w:p>
        </w:tc>
        <w:tc>
          <w:tcPr>
            <w:tcW w:w="0" w:type="auto"/>
            <w:tcBorders>
              <w:top w:val="nil"/>
              <w:left w:val="nil"/>
              <w:bottom w:val="single" w:sz="4" w:space="0" w:color="auto"/>
              <w:right w:val="single" w:sz="4" w:space="0" w:color="auto"/>
            </w:tcBorders>
            <w:shd w:val="clear" w:color="auto" w:fill="auto"/>
            <w:noWrap/>
            <w:hideMark/>
          </w:tcPr>
          <w:p w14:paraId="69C2BE1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0.323</w:t>
            </w:r>
          </w:p>
        </w:tc>
        <w:tc>
          <w:tcPr>
            <w:tcW w:w="0" w:type="auto"/>
            <w:tcBorders>
              <w:top w:val="nil"/>
              <w:left w:val="nil"/>
              <w:bottom w:val="single" w:sz="4" w:space="0" w:color="auto"/>
              <w:right w:val="single" w:sz="4" w:space="0" w:color="auto"/>
            </w:tcBorders>
            <w:shd w:val="clear" w:color="auto" w:fill="auto"/>
            <w:noWrap/>
            <w:hideMark/>
          </w:tcPr>
          <w:p w14:paraId="6F024C6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0.647</w:t>
            </w:r>
          </w:p>
        </w:tc>
        <w:tc>
          <w:tcPr>
            <w:tcW w:w="0" w:type="auto"/>
            <w:tcBorders>
              <w:top w:val="nil"/>
              <w:left w:val="nil"/>
              <w:bottom w:val="single" w:sz="4" w:space="0" w:color="auto"/>
              <w:right w:val="single" w:sz="4" w:space="0" w:color="auto"/>
            </w:tcBorders>
            <w:shd w:val="clear" w:color="auto" w:fill="auto"/>
            <w:noWrap/>
            <w:hideMark/>
          </w:tcPr>
          <w:p w14:paraId="46399DB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0.454</w:t>
            </w:r>
          </w:p>
        </w:tc>
      </w:tr>
      <w:tr w:rsidR="00943D0A" w:rsidRPr="00144673" w14:paraId="5A556F5A"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D1C421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invlv_5</w:t>
            </w:r>
          </w:p>
        </w:tc>
        <w:tc>
          <w:tcPr>
            <w:tcW w:w="0" w:type="auto"/>
            <w:tcBorders>
              <w:top w:val="nil"/>
              <w:left w:val="nil"/>
              <w:bottom w:val="single" w:sz="4" w:space="0" w:color="auto"/>
              <w:right w:val="single" w:sz="4" w:space="0" w:color="auto"/>
            </w:tcBorders>
            <w:shd w:val="clear" w:color="auto" w:fill="auto"/>
            <w:noWrap/>
            <w:hideMark/>
          </w:tcPr>
          <w:p w14:paraId="302114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0.467</w:t>
            </w:r>
          </w:p>
        </w:tc>
        <w:tc>
          <w:tcPr>
            <w:tcW w:w="0" w:type="auto"/>
            <w:tcBorders>
              <w:top w:val="nil"/>
              <w:left w:val="nil"/>
              <w:bottom w:val="single" w:sz="4" w:space="0" w:color="auto"/>
              <w:right w:val="single" w:sz="4" w:space="0" w:color="auto"/>
            </w:tcBorders>
            <w:shd w:val="clear" w:color="auto" w:fill="auto"/>
            <w:noWrap/>
            <w:hideMark/>
          </w:tcPr>
          <w:p w14:paraId="00129A3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0.259</w:t>
            </w:r>
          </w:p>
        </w:tc>
        <w:tc>
          <w:tcPr>
            <w:tcW w:w="0" w:type="auto"/>
            <w:tcBorders>
              <w:top w:val="nil"/>
              <w:left w:val="nil"/>
              <w:bottom w:val="single" w:sz="4" w:space="0" w:color="auto"/>
              <w:right w:val="single" w:sz="4" w:space="0" w:color="auto"/>
            </w:tcBorders>
            <w:shd w:val="clear" w:color="auto" w:fill="auto"/>
            <w:noWrap/>
            <w:hideMark/>
          </w:tcPr>
          <w:p w14:paraId="64B2137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0.534</w:t>
            </w:r>
          </w:p>
        </w:tc>
        <w:tc>
          <w:tcPr>
            <w:tcW w:w="0" w:type="auto"/>
            <w:tcBorders>
              <w:top w:val="nil"/>
              <w:left w:val="nil"/>
              <w:bottom w:val="single" w:sz="4" w:space="0" w:color="auto"/>
              <w:right w:val="single" w:sz="4" w:space="0" w:color="auto"/>
            </w:tcBorders>
            <w:shd w:val="clear" w:color="auto" w:fill="auto"/>
            <w:noWrap/>
            <w:hideMark/>
          </w:tcPr>
          <w:p w14:paraId="1EA138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0.528</w:t>
            </w:r>
          </w:p>
        </w:tc>
        <w:tc>
          <w:tcPr>
            <w:tcW w:w="0" w:type="auto"/>
            <w:tcBorders>
              <w:top w:val="nil"/>
              <w:left w:val="nil"/>
              <w:bottom w:val="single" w:sz="4" w:space="0" w:color="auto"/>
              <w:right w:val="single" w:sz="4" w:space="0" w:color="auto"/>
            </w:tcBorders>
            <w:shd w:val="clear" w:color="auto" w:fill="auto"/>
            <w:noWrap/>
            <w:hideMark/>
          </w:tcPr>
          <w:p w14:paraId="29F551E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0.612</w:t>
            </w:r>
          </w:p>
        </w:tc>
        <w:tc>
          <w:tcPr>
            <w:tcW w:w="0" w:type="auto"/>
            <w:tcBorders>
              <w:top w:val="nil"/>
              <w:left w:val="nil"/>
              <w:bottom w:val="single" w:sz="4" w:space="0" w:color="auto"/>
              <w:right w:val="single" w:sz="4" w:space="0" w:color="auto"/>
            </w:tcBorders>
            <w:shd w:val="clear" w:color="auto" w:fill="auto"/>
            <w:noWrap/>
            <w:hideMark/>
          </w:tcPr>
          <w:p w14:paraId="43538A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0.261</w:t>
            </w:r>
          </w:p>
        </w:tc>
        <w:tc>
          <w:tcPr>
            <w:tcW w:w="0" w:type="auto"/>
            <w:tcBorders>
              <w:top w:val="nil"/>
              <w:left w:val="nil"/>
              <w:bottom w:val="single" w:sz="4" w:space="0" w:color="auto"/>
              <w:right w:val="single" w:sz="4" w:space="0" w:color="auto"/>
            </w:tcBorders>
            <w:shd w:val="clear" w:color="auto" w:fill="auto"/>
            <w:noWrap/>
            <w:hideMark/>
          </w:tcPr>
          <w:p w14:paraId="76F3F3F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0.480</w:t>
            </w:r>
          </w:p>
        </w:tc>
        <w:tc>
          <w:tcPr>
            <w:tcW w:w="0" w:type="auto"/>
            <w:tcBorders>
              <w:top w:val="nil"/>
              <w:left w:val="nil"/>
              <w:bottom w:val="single" w:sz="4" w:space="0" w:color="auto"/>
              <w:right w:val="single" w:sz="4" w:space="0" w:color="auto"/>
            </w:tcBorders>
            <w:shd w:val="clear" w:color="auto" w:fill="auto"/>
            <w:noWrap/>
            <w:hideMark/>
          </w:tcPr>
          <w:p w14:paraId="07E3F4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0.187</w:t>
            </w:r>
          </w:p>
        </w:tc>
        <w:tc>
          <w:tcPr>
            <w:tcW w:w="0" w:type="auto"/>
            <w:tcBorders>
              <w:top w:val="nil"/>
              <w:left w:val="nil"/>
              <w:bottom w:val="single" w:sz="4" w:space="0" w:color="auto"/>
              <w:right w:val="single" w:sz="4" w:space="0" w:color="auto"/>
            </w:tcBorders>
            <w:shd w:val="clear" w:color="auto" w:fill="auto"/>
            <w:noWrap/>
            <w:hideMark/>
          </w:tcPr>
          <w:p w14:paraId="4F38BF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0.359</w:t>
            </w:r>
          </w:p>
        </w:tc>
        <w:tc>
          <w:tcPr>
            <w:tcW w:w="0" w:type="auto"/>
            <w:tcBorders>
              <w:top w:val="nil"/>
              <w:left w:val="nil"/>
              <w:bottom w:val="single" w:sz="4" w:space="0" w:color="auto"/>
              <w:right w:val="single" w:sz="4" w:space="0" w:color="auto"/>
            </w:tcBorders>
            <w:shd w:val="clear" w:color="auto" w:fill="auto"/>
            <w:noWrap/>
            <w:hideMark/>
          </w:tcPr>
          <w:p w14:paraId="4F065F7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0.385</w:t>
            </w:r>
          </w:p>
        </w:tc>
        <w:tc>
          <w:tcPr>
            <w:tcW w:w="0" w:type="auto"/>
            <w:tcBorders>
              <w:top w:val="nil"/>
              <w:left w:val="nil"/>
              <w:bottom w:val="single" w:sz="4" w:space="0" w:color="auto"/>
              <w:right w:val="single" w:sz="4" w:space="0" w:color="auto"/>
            </w:tcBorders>
            <w:shd w:val="clear" w:color="auto" w:fill="auto"/>
            <w:noWrap/>
            <w:hideMark/>
          </w:tcPr>
          <w:p w14:paraId="428846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0.490</w:t>
            </w:r>
          </w:p>
        </w:tc>
        <w:tc>
          <w:tcPr>
            <w:tcW w:w="0" w:type="auto"/>
            <w:tcBorders>
              <w:top w:val="nil"/>
              <w:left w:val="nil"/>
              <w:bottom w:val="single" w:sz="4" w:space="0" w:color="auto"/>
              <w:right w:val="single" w:sz="4" w:space="0" w:color="auto"/>
            </w:tcBorders>
            <w:shd w:val="clear" w:color="auto" w:fill="auto"/>
            <w:noWrap/>
            <w:hideMark/>
          </w:tcPr>
          <w:p w14:paraId="00FF851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0.294</w:t>
            </w:r>
          </w:p>
        </w:tc>
        <w:tc>
          <w:tcPr>
            <w:tcW w:w="0" w:type="auto"/>
            <w:tcBorders>
              <w:top w:val="nil"/>
              <w:left w:val="nil"/>
              <w:bottom w:val="single" w:sz="4" w:space="0" w:color="auto"/>
              <w:right w:val="single" w:sz="4" w:space="0" w:color="auto"/>
            </w:tcBorders>
            <w:shd w:val="clear" w:color="auto" w:fill="auto"/>
            <w:noWrap/>
            <w:hideMark/>
          </w:tcPr>
          <w:p w14:paraId="65A0DA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0.843</w:t>
            </w:r>
          </w:p>
        </w:tc>
        <w:tc>
          <w:tcPr>
            <w:tcW w:w="0" w:type="auto"/>
            <w:tcBorders>
              <w:top w:val="nil"/>
              <w:left w:val="nil"/>
              <w:bottom w:val="single" w:sz="4" w:space="0" w:color="auto"/>
              <w:right w:val="single" w:sz="4" w:space="0" w:color="auto"/>
            </w:tcBorders>
            <w:shd w:val="clear" w:color="auto" w:fill="auto"/>
            <w:noWrap/>
            <w:hideMark/>
          </w:tcPr>
          <w:p w14:paraId="66FDA80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0.237</w:t>
            </w:r>
          </w:p>
        </w:tc>
        <w:tc>
          <w:tcPr>
            <w:tcW w:w="0" w:type="auto"/>
            <w:tcBorders>
              <w:top w:val="nil"/>
              <w:left w:val="nil"/>
              <w:bottom w:val="single" w:sz="4" w:space="0" w:color="auto"/>
              <w:right w:val="single" w:sz="4" w:space="0" w:color="auto"/>
            </w:tcBorders>
            <w:shd w:val="clear" w:color="auto" w:fill="auto"/>
            <w:noWrap/>
            <w:hideMark/>
          </w:tcPr>
          <w:p w14:paraId="2C24CA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0.618</w:t>
            </w:r>
          </w:p>
        </w:tc>
        <w:tc>
          <w:tcPr>
            <w:tcW w:w="0" w:type="auto"/>
            <w:tcBorders>
              <w:top w:val="nil"/>
              <w:left w:val="nil"/>
              <w:bottom w:val="single" w:sz="4" w:space="0" w:color="auto"/>
              <w:right w:val="single" w:sz="4" w:space="0" w:color="auto"/>
            </w:tcBorders>
            <w:shd w:val="clear" w:color="auto" w:fill="auto"/>
            <w:noWrap/>
            <w:hideMark/>
          </w:tcPr>
          <w:p w14:paraId="1A661C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r>
      <w:tr w:rsidR="00943D0A" w:rsidRPr="00144673" w14:paraId="2478F3B7"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A9DB5D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invlv_6</w:t>
            </w:r>
          </w:p>
        </w:tc>
        <w:tc>
          <w:tcPr>
            <w:tcW w:w="0" w:type="auto"/>
            <w:tcBorders>
              <w:top w:val="nil"/>
              <w:left w:val="nil"/>
              <w:bottom w:val="single" w:sz="4" w:space="0" w:color="auto"/>
              <w:right w:val="single" w:sz="4" w:space="0" w:color="auto"/>
            </w:tcBorders>
            <w:shd w:val="clear" w:color="auto" w:fill="auto"/>
            <w:noWrap/>
            <w:hideMark/>
          </w:tcPr>
          <w:p w14:paraId="2F55293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0.506</w:t>
            </w:r>
          </w:p>
        </w:tc>
        <w:tc>
          <w:tcPr>
            <w:tcW w:w="0" w:type="auto"/>
            <w:tcBorders>
              <w:top w:val="nil"/>
              <w:left w:val="nil"/>
              <w:bottom w:val="single" w:sz="4" w:space="0" w:color="auto"/>
              <w:right w:val="single" w:sz="4" w:space="0" w:color="auto"/>
            </w:tcBorders>
            <w:shd w:val="clear" w:color="auto" w:fill="auto"/>
            <w:noWrap/>
            <w:hideMark/>
          </w:tcPr>
          <w:p w14:paraId="711BA48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c>
          <w:tcPr>
            <w:tcW w:w="0" w:type="auto"/>
            <w:tcBorders>
              <w:top w:val="nil"/>
              <w:left w:val="nil"/>
              <w:bottom w:val="single" w:sz="4" w:space="0" w:color="auto"/>
              <w:right w:val="single" w:sz="4" w:space="0" w:color="auto"/>
            </w:tcBorders>
            <w:shd w:val="clear" w:color="auto" w:fill="auto"/>
            <w:noWrap/>
            <w:hideMark/>
          </w:tcPr>
          <w:p w14:paraId="4C82F4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0.500</w:t>
            </w:r>
          </w:p>
        </w:tc>
        <w:tc>
          <w:tcPr>
            <w:tcW w:w="0" w:type="auto"/>
            <w:tcBorders>
              <w:top w:val="nil"/>
              <w:left w:val="nil"/>
              <w:bottom w:val="single" w:sz="4" w:space="0" w:color="auto"/>
              <w:right w:val="single" w:sz="4" w:space="0" w:color="auto"/>
            </w:tcBorders>
            <w:shd w:val="clear" w:color="auto" w:fill="auto"/>
            <w:noWrap/>
            <w:hideMark/>
          </w:tcPr>
          <w:p w14:paraId="56EBCF0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0.567</w:t>
            </w:r>
          </w:p>
        </w:tc>
        <w:tc>
          <w:tcPr>
            <w:tcW w:w="0" w:type="auto"/>
            <w:tcBorders>
              <w:top w:val="nil"/>
              <w:left w:val="nil"/>
              <w:bottom w:val="single" w:sz="4" w:space="0" w:color="auto"/>
              <w:right w:val="single" w:sz="4" w:space="0" w:color="auto"/>
            </w:tcBorders>
            <w:shd w:val="clear" w:color="auto" w:fill="auto"/>
            <w:noWrap/>
            <w:hideMark/>
          </w:tcPr>
          <w:p w14:paraId="2F7361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0.587</w:t>
            </w:r>
          </w:p>
        </w:tc>
        <w:tc>
          <w:tcPr>
            <w:tcW w:w="0" w:type="auto"/>
            <w:tcBorders>
              <w:top w:val="nil"/>
              <w:left w:val="nil"/>
              <w:bottom w:val="single" w:sz="4" w:space="0" w:color="auto"/>
              <w:right w:val="single" w:sz="4" w:space="0" w:color="auto"/>
            </w:tcBorders>
            <w:shd w:val="clear" w:color="auto" w:fill="auto"/>
            <w:noWrap/>
            <w:hideMark/>
          </w:tcPr>
          <w:p w14:paraId="786FFF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7BBB240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0.512</w:t>
            </w:r>
          </w:p>
        </w:tc>
        <w:tc>
          <w:tcPr>
            <w:tcW w:w="0" w:type="auto"/>
            <w:tcBorders>
              <w:top w:val="nil"/>
              <w:left w:val="nil"/>
              <w:bottom w:val="single" w:sz="4" w:space="0" w:color="auto"/>
              <w:right w:val="single" w:sz="4" w:space="0" w:color="auto"/>
            </w:tcBorders>
            <w:shd w:val="clear" w:color="auto" w:fill="auto"/>
            <w:noWrap/>
            <w:hideMark/>
          </w:tcPr>
          <w:p w14:paraId="5562326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0.193</w:t>
            </w:r>
          </w:p>
        </w:tc>
        <w:tc>
          <w:tcPr>
            <w:tcW w:w="0" w:type="auto"/>
            <w:tcBorders>
              <w:top w:val="nil"/>
              <w:left w:val="nil"/>
              <w:bottom w:val="single" w:sz="4" w:space="0" w:color="auto"/>
              <w:right w:val="single" w:sz="4" w:space="0" w:color="auto"/>
            </w:tcBorders>
            <w:shd w:val="clear" w:color="auto" w:fill="auto"/>
            <w:noWrap/>
            <w:hideMark/>
          </w:tcPr>
          <w:p w14:paraId="3335729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0.317</w:t>
            </w:r>
          </w:p>
        </w:tc>
        <w:tc>
          <w:tcPr>
            <w:tcW w:w="0" w:type="auto"/>
            <w:tcBorders>
              <w:top w:val="nil"/>
              <w:left w:val="nil"/>
              <w:bottom w:val="single" w:sz="4" w:space="0" w:color="auto"/>
              <w:right w:val="single" w:sz="4" w:space="0" w:color="auto"/>
            </w:tcBorders>
            <w:shd w:val="clear" w:color="auto" w:fill="auto"/>
            <w:noWrap/>
            <w:hideMark/>
          </w:tcPr>
          <w:p w14:paraId="247AC3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14BA711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0.564</w:t>
            </w:r>
          </w:p>
        </w:tc>
        <w:tc>
          <w:tcPr>
            <w:tcW w:w="0" w:type="auto"/>
            <w:tcBorders>
              <w:top w:val="nil"/>
              <w:left w:val="nil"/>
              <w:bottom w:val="single" w:sz="4" w:space="0" w:color="auto"/>
              <w:right w:val="single" w:sz="4" w:space="0" w:color="auto"/>
            </w:tcBorders>
            <w:shd w:val="clear" w:color="auto" w:fill="auto"/>
            <w:noWrap/>
            <w:hideMark/>
          </w:tcPr>
          <w:p w14:paraId="4F90BEE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0.306</w:t>
            </w:r>
          </w:p>
        </w:tc>
        <w:tc>
          <w:tcPr>
            <w:tcW w:w="0" w:type="auto"/>
            <w:tcBorders>
              <w:top w:val="nil"/>
              <w:left w:val="nil"/>
              <w:bottom w:val="single" w:sz="4" w:space="0" w:color="auto"/>
              <w:right w:val="single" w:sz="4" w:space="0" w:color="auto"/>
            </w:tcBorders>
            <w:shd w:val="clear" w:color="auto" w:fill="auto"/>
            <w:noWrap/>
            <w:hideMark/>
          </w:tcPr>
          <w:p w14:paraId="7EF90F1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0.794</w:t>
            </w:r>
          </w:p>
        </w:tc>
        <w:tc>
          <w:tcPr>
            <w:tcW w:w="0" w:type="auto"/>
            <w:tcBorders>
              <w:top w:val="nil"/>
              <w:left w:val="nil"/>
              <w:bottom w:val="single" w:sz="4" w:space="0" w:color="auto"/>
              <w:right w:val="single" w:sz="4" w:space="0" w:color="auto"/>
            </w:tcBorders>
            <w:shd w:val="clear" w:color="auto" w:fill="auto"/>
            <w:noWrap/>
            <w:hideMark/>
          </w:tcPr>
          <w:p w14:paraId="33C5D24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0.277</w:t>
            </w:r>
          </w:p>
        </w:tc>
        <w:tc>
          <w:tcPr>
            <w:tcW w:w="0" w:type="auto"/>
            <w:tcBorders>
              <w:top w:val="nil"/>
              <w:left w:val="nil"/>
              <w:bottom w:val="single" w:sz="4" w:space="0" w:color="auto"/>
              <w:right w:val="single" w:sz="4" w:space="0" w:color="auto"/>
            </w:tcBorders>
            <w:shd w:val="clear" w:color="auto" w:fill="auto"/>
            <w:noWrap/>
            <w:hideMark/>
          </w:tcPr>
          <w:p w14:paraId="471FF8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0.677</w:t>
            </w:r>
          </w:p>
        </w:tc>
        <w:tc>
          <w:tcPr>
            <w:tcW w:w="0" w:type="auto"/>
            <w:tcBorders>
              <w:top w:val="nil"/>
              <w:left w:val="nil"/>
              <w:bottom w:val="single" w:sz="4" w:space="0" w:color="auto"/>
              <w:right w:val="single" w:sz="4" w:space="0" w:color="auto"/>
            </w:tcBorders>
            <w:shd w:val="clear" w:color="auto" w:fill="auto"/>
            <w:noWrap/>
            <w:hideMark/>
          </w:tcPr>
          <w:p w14:paraId="3082C9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0.444</w:t>
            </w:r>
          </w:p>
        </w:tc>
      </w:tr>
      <w:tr w:rsidR="00943D0A" w:rsidRPr="00144673" w14:paraId="5D05EC82"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F2A8082"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invlv_7</w:t>
            </w:r>
          </w:p>
        </w:tc>
        <w:tc>
          <w:tcPr>
            <w:tcW w:w="0" w:type="auto"/>
            <w:tcBorders>
              <w:top w:val="nil"/>
              <w:left w:val="nil"/>
              <w:bottom w:val="single" w:sz="4" w:space="0" w:color="auto"/>
              <w:right w:val="single" w:sz="4" w:space="0" w:color="auto"/>
            </w:tcBorders>
            <w:shd w:val="clear" w:color="auto" w:fill="auto"/>
            <w:noWrap/>
            <w:hideMark/>
          </w:tcPr>
          <w:p w14:paraId="2C90CA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0.564</w:t>
            </w:r>
          </w:p>
        </w:tc>
        <w:tc>
          <w:tcPr>
            <w:tcW w:w="0" w:type="auto"/>
            <w:tcBorders>
              <w:top w:val="nil"/>
              <w:left w:val="nil"/>
              <w:bottom w:val="single" w:sz="4" w:space="0" w:color="auto"/>
              <w:right w:val="single" w:sz="4" w:space="0" w:color="auto"/>
            </w:tcBorders>
            <w:shd w:val="clear" w:color="auto" w:fill="auto"/>
            <w:noWrap/>
            <w:hideMark/>
          </w:tcPr>
          <w:p w14:paraId="49B850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0.271</w:t>
            </w:r>
          </w:p>
        </w:tc>
        <w:tc>
          <w:tcPr>
            <w:tcW w:w="0" w:type="auto"/>
            <w:tcBorders>
              <w:top w:val="nil"/>
              <w:left w:val="nil"/>
              <w:bottom w:val="single" w:sz="4" w:space="0" w:color="auto"/>
              <w:right w:val="single" w:sz="4" w:space="0" w:color="auto"/>
            </w:tcBorders>
            <w:shd w:val="clear" w:color="auto" w:fill="auto"/>
            <w:noWrap/>
            <w:hideMark/>
          </w:tcPr>
          <w:p w14:paraId="3F067B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0.458</w:t>
            </w:r>
          </w:p>
        </w:tc>
        <w:tc>
          <w:tcPr>
            <w:tcW w:w="0" w:type="auto"/>
            <w:tcBorders>
              <w:top w:val="nil"/>
              <w:left w:val="nil"/>
              <w:bottom w:val="single" w:sz="4" w:space="0" w:color="auto"/>
              <w:right w:val="single" w:sz="4" w:space="0" w:color="auto"/>
            </w:tcBorders>
            <w:shd w:val="clear" w:color="auto" w:fill="auto"/>
            <w:noWrap/>
            <w:hideMark/>
          </w:tcPr>
          <w:p w14:paraId="76BDD0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0.492</w:t>
            </w:r>
          </w:p>
        </w:tc>
        <w:tc>
          <w:tcPr>
            <w:tcW w:w="0" w:type="auto"/>
            <w:tcBorders>
              <w:top w:val="nil"/>
              <w:left w:val="nil"/>
              <w:bottom w:val="single" w:sz="4" w:space="0" w:color="auto"/>
              <w:right w:val="single" w:sz="4" w:space="0" w:color="auto"/>
            </w:tcBorders>
            <w:shd w:val="clear" w:color="auto" w:fill="auto"/>
            <w:noWrap/>
            <w:hideMark/>
          </w:tcPr>
          <w:p w14:paraId="6AF650E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0.502</w:t>
            </w:r>
          </w:p>
        </w:tc>
        <w:tc>
          <w:tcPr>
            <w:tcW w:w="0" w:type="auto"/>
            <w:tcBorders>
              <w:top w:val="nil"/>
              <w:left w:val="nil"/>
              <w:bottom w:val="single" w:sz="4" w:space="0" w:color="auto"/>
              <w:right w:val="single" w:sz="4" w:space="0" w:color="auto"/>
            </w:tcBorders>
            <w:shd w:val="clear" w:color="auto" w:fill="auto"/>
            <w:noWrap/>
            <w:hideMark/>
          </w:tcPr>
          <w:p w14:paraId="068B1AE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0.250</w:t>
            </w:r>
          </w:p>
        </w:tc>
        <w:tc>
          <w:tcPr>
            <w:tcW w:w="0" w:type="auto"/>
            <w:tcBorders>
              <w:top w:val="nil"/>
              <w:left w:val="nil"/>
              <w:bottom w:val="single" w:sz="4" w:space="0" w:color="auto"/>
              <w:right w:val="single" w:sz="4" w:space="0" w:color="auto"/>
            </w:tcBorders>
            <w:shd w:val="clear" w:color="auto" w:fill="auto"/>
            <w:noWrap/>
            <w:hideMark/>
          </w:tcPr>
          <w:p w14:paraId="2194713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0.447</w:t>
            </w:r>
          </w:p>
        </w:tc>
        <w:tc>
          <w:tcPr>
            <w:tcW w:w="0" w:type="auto"/>
            <w:tcBorders>
              <w:top w:val="nil"/>
              <w:left w:val="nil"/>
              <w:bottom w:val="single" w:sz="4" w:space="0" w:color="auto"/>
              <w:right w:val="single" w:sz="4" w:space="0" w:color="auto"/>
            </w:tcBorders>
            <w:shd w:val="clear" w:color="auto" w:fill="auto"/>
            <w:noWrap/>
            <w:hideMark/>
          </w:tcPr>
          <w:p w14:paraId="56C89F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0.216</w:t>
            </w:r>
          </w:p>
        </w:tc>
        <w:tc>
          <w:tcPr>
            <w:tcW w:w="0" w:type="auto"/>
            <w:tcBorders>
              <w:top w:val="nil"/>
              <w:left w:val="nil"/>
              <w:bottom w:val="single" w:sz="4" w:space="0" w:color="auto"/>
              <w:right w:val="single" w:sz="4" w:space="0" w:color="auto"/>
            </w:tcBorders>
            <w:shd w:val="clear" w:color="auto" w:fill="auto"/>
            <w:noWrap/>
            <w:hideMark/>
          </w:tcPr>
          <w:p w14:paraId="69952A8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0.294</w:t>
            </w:r>
          </w:p>
        </w:tc>
        <w:tc>
          <w:tcPr>
            <w:tcW w:w="0" w:type="auto"/>
            <w:tcBorders>
              <w:top w:val="nil"/>
              <w:left w:val="nil"/>
              <w:bottom w:val="single" w:sz="4" w:space="0" w:color="auto"/>
              <w:right w:val="single" w:sz="4" w:space="0" w:color="auto"/>
            </w:tcBorders>
            <w:shd w:val="clear" w:color="auto" w:fill="auto"/>
            <w:noWrap/>
            <w:hideMark/>
          </w:tcPr>
          <w:p w14:paraId="1A8CCAF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0.348</w:t>
            </w:r>
          </w:p>
        </w:tc>
        <w:tc>
          <w:tcPr>
            <w:tcW w:w="0" w:type="auto"/>
            <w:tcBorders>
              <w:top w:val="nil"/>
              <w:left w:val="nil"/>
              <w:bottom w:val="single" w:sz="4" w:space="0" w:color="auto"/>
              <w:right w:val="single" w:sz="4" w:space="0" w:color="auto"/>
            </w:tcBorders>
            <w:shd w:val="clear" w:color="auto" w:fill="auto"/>
            <w:noWrap/>
            <w:hideMark/>
          </w:tcPr>
          <w:p w14:paraId="26543F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0.460</w:t>
            </w:r>
          </w:p>
        </w:tc>
        <w:tc>
          <w:tcPr>
            <w:tcW w:w="0" w:type="auto"/>
            <w:tcBorders>
              <w:top w:val="nil"/>
              <w:left w:val="nil"/>
              <w:bottom w:val="single" w:sz="4" w:space="0" w:color="auto"/>
              <w:right w:val="single" w:sz="4" w:space="0" w:color="auto"/>
            </w:tcBorders>
            <w:shd w:val="clear" w:color="auto" w:fill="auto"/>
            <w:noWrap/>
            <w:hideMark/>
          </w:tcPr>
          <w:p w14:paraId="090A5C7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0.310</w:t>
            </w:r>
          </w:p>
        </w:tc>
        <w:tc>
          <w:tcPr>
            <w:tcW w:w="0" w:type="auto"/>
            <w:tcBorders>
              <w:top w:val="nil"/>
              <w:left w:val="nil"/>
              <w:bottom w:val="single" w:sz="4" w:space="0" w:color="auto"/>
              <w:right w:val="single" w:sz="4" w:space="0" w:color="auto"/>
            </w:tcBorders>
            <w:shd w:val="clear" w:color="auto" w:fill="auto"/>
            <w:noWrap/>
            <w:hideMark/>
          </w:tcPr>
          <w:p w14:paraId="6D8993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0.785</w:t>
            </w:r>
          </w:p>
        </w:tc>
        <w:tc>
          <w:tcPr>
            <w:tcW w:w="0" w:type="auto"/>
            <w:tcBorders>
              <w:top w:val="nil"/>
              <w:left w:val="nil"/>
              <w:bottom w:val="single" w:sz="4" w:space="0" w:color="auto"/>
              <w:right w:val="single" w:sz="4" w:space="0" w:color="auto"/>
            </w:tcBorders>
            <w:shd w:val="clear" w:color="auto" w:fill="auto"/>
            <w:noWrap/>
            <w:hideMark/>
          </w:tcPr>
          <w:p w14:paraId="51EA7D4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0.289</w:t>
            </w:r>
          </w:p>
        </w:tc>
        <w:tc>
          <w:tcPr>
            <w:tcW w:w="0" w:type="auto"/>
            <w:tcBorders>
              <w:top w:val="nil"/>
              <w:left w:val="nil"/>
              <w:bottom w:val="single" w:sz="4" w:space="0" w:color="auto"/>
              <w:right w:val="single" w:sz="4" w:space="0" w:color="auto"/>
            </w:tcBorders>
            <w:shd w:val="clear" w:color="auto" w:fill="auto"/>
            <w:noWrap/>
            <w:hideMark/>
          </w:tcPr>
          <w:p w14:paraId="2BD569E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0.606</w:t>
            </w:r>
          </w:p>
        </w:tc>
        <w:tc>
          <w:tcPr>
            <w:tcW w:w="0" w:type="auto"/>
            <w:tcBorders>
              <w:top w:val="nil"/>
              <w:left w:val="nil"/>
              <w:bottom w:val="single" w:sz="4" w:space="0" w:color="auto"/>
              <w:right w:val="single" w:sz="4" w:space="0" w:color="auto"/>
            </w:tcBorders>
            <w:shd w:val="clear" w:color="auto" w:fill="auto"/>
            <w:noWrap/>
            <w:hideMark/>
          </w:tcPr>
          <w:p w14:paraId="354CC3F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0.403</w:t>
            </w:r>
          </w:p>
        </w:tc>
      </w:tr>
      <w:tr w:rsidR="00943D0A" w:rsidRPr="00144673" w14:paraId="57323DB1"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74F300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invlv_8</w:t>
            </w:r>
          </w:p>
        </w:tc>
        <w:tc>
          <w:tcPr>
            <w:tcW w:w="0" w:type="auto"/>
            <w:tcBorders>
              <w:top w:val="nil"/>
              <w:left w:val="nil"/>
              <w:bottom w:val="single" w:sz="4" w:space="0" w:color="auto"/>
              <w:right w:val="single" w:sz="4" w:space="0" w:color="auto"/>
            </w:tcBorders>
            <w:shd w:val="clear" w:color="auto" w:fill="auto"/>
            <w:noWrap/>
            <w:hideMark/>
          </w:tcPr>
          <w:p w14:paraId="43F1B5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0.481</w:t>
            </w:r>
          </w:p>
        </w:tc>
        <w:tc>
          <w:tcPr>
            <w:tcW w:w="0" w:type="auto"/>
            <w:tcBorders>
              <w:top w:val="nil"/>
              <w:left w:val="nil"/>
              <w:bottom w:val="single" w:sz="4" w:space="0" w:color="auto"/>
              <w:right w:val="single" w:sz="4" w:space="0" w:color="auto"/>
            </w:tcBorders>
            <w:shd w:val="clear" w:color="auto" w:fill="auto"/>
            <w:noWrap/>
            <w:hideMark/>
          </w:tcPr>
          <w:p w14:paraId="2ACA55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0.231</w:t>
            </w:r>
          </w:p>
        </w:tc>
        <w:tc>
          <w:tcPr>
            <w:tcW w:w="0" w:type="auto"/>
            <w:tcBorders>
              <w:top w:val="nil"/>
              <w:left w:val="nil"/>
              <w:bottom w:val="single" w:sz="4" w:space="0" w:color="auto"/>
              <w:right w:val="single" w:sz="4" w:space="0" w:color="auto"/>
            </w:tcBorders>
            <w:shd w:val="clear" w:color="auto" w:fill="auto"/>
            <w:noWrap/>
            <w:hideMark/>
          </w:tcPr>
          <w:p w14:paraId="2F2E3CA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0.490</w:t>
            </w:r>
          </w:p>
        </w:tc>
        <w:tc>
          <w:tcPr>
            <w:tcW w:w="0" w:type="auto"/>
            <w:tcBorders>
              <w:top w:val="nil"/>
              <w:left w:val="nil"/>
              <w:bottom w:val="single" w:sz="4" w:space="0" w:color="auto"/>
              <w:right w:val="single" w:sz="4" w:space="0" w:color="auto"/>
            </w:tcBorders>
            <w:shd w:val="clear" w:color="auto" w:fill="auto"/>
            <w:noWrap/>
            <w:hideMark/>
          </w:tcPr>
          <w:p w14:paraId="1BDA87F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0.464</w:t>
            </w:r>
          </w:p>
        </w:tc>
        <w:tc>
          <w:tcPr>
            <w:tcW w:w="0" w:type="auto"/>
            <w:tcBorders>
              <w:top w:val="nil"/>
              <w:left w:val="nil"/>
              <w:bottom w:val="single" w:sz="4" w:space="0" w:color="auto"/>
              <w:right w:val="single" w:sz="4" w:space="0" w:color="auto"/>
            </w:tcBorders>
            <w:shd w:val="clear" w:color="auto" w:fill="auto"/>
            <w:noWrap/>
            <w:hideMark/>
          </w:tcPr>
          <w:p w14:paraId="299F2E1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0.591</w:t>
            </w:r>
          </w:p>
        </w:tc>
        <w:tc>
          <w:tcPr>
            <w:tcW w:w="0" w:type="auto"/>
            <w:tcBorders>
              <w:top w:val="nil"/>
              <w:left w:val="nil"/>
              <w:bottom w:val="single" w:sz="4" w:space="0" w:color="auto"/>
              <w:right w:val="single" w:sz="4" w:space="0" w:color="auto"/>
            </w:tcBorders>
            <w:shd w:val="clear" w:color="auto" w:fill="auto"/>
            <w:noWrap/>
            <w:hideMark/>
          </w:tcPr>
          <w:p w14:paraId="5AB882B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0.309</w:t>
            </w:r>
          </w:p>
        </w:tc>
        <w:tc>
          <w:tcPr>
            <w:tcW w:w="0" w:type="auto"/>
            <w:tcBorders>
              <w:top w:val="nil"/>
              <w:left w:val="nil"/>
              <w:bottom w:val="single" w:sz="4" w:space="0" w:color="auto"/>
              <w:right w:val="single" w:sz="4" w:space="0" w:color="auto"/>
            </w:tcBorders>
            <w:shd w:val="clear" w:color="auto" w:fill="auto"/>
            <w:noWrap/>
            <w:hideMark/>
          </w:tcPr>
          <w:p w14:paraId="737ACC0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0.451</w:t>
            </w:r>
          </w:p>
        </w:tc>
        <w:tc>
          <w:tcPr>
            <w:tcW w:w="0" w:type="auto"/>
            <w:tcBorders>
              <w:top w:val="nil"/>
              <w:left w:val="nil"/>
              <w:bottom w:val="single" w:sz="4" w:space="0" w:color="auto"/>
              <w:right w:val="single" w:sz="4" w:space="0" w:color="auto"/>
            </w:tcBorders>
            <w:shd w:val="clear" w:color="auto" w:fill="auto"/>
            <w:noWrap/>
            <w:hideMark/>
          </w:tcPr>
          <w:p w14:paraId="48F292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0.135</w:t>
            </w:r>
          </w:p>
        </w:tc>
        <w:tc>
          <w:tcPr>
            <w:tcW w:w="0" w:type="auto"/>
            <w:tcBorders>
              <w:top w:val="nil"/>
              <w:left w:val="nil"/>
              <w:bottom w:val="single" w:sz="4" w:space="0" w:color="auto"/>
              <w:right w:val="single" w:sz="4" w:space="0" w:color="auto"/>
            </w:tcBorders>
            <w:shd w:val="clear" w:color="auto" w:fill="auto"/>
            <w:noWrap/>
            <w:hideMark/>
          </w:tcPr>
          <w:p w14:paraId="1CEFA2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0.308</w:t>
            </w:r>
          </w:p>
        </w:tc>
        <w:tc>
          <w:tcPr>
            <w:tcW w:w="0" w:type="auto"/>
            <w:tcBorders>
              <w:top w:val="nil"/>
              <w:left w:val="nil"/>
              <w:bottom w:val="single" w:sz="4" w:space="0" w:color="auto"/>
              <w:right w:val="single" w:sz="4" w:space="0" w:color="auto"/>
            </w:tcBorders>
            <w:shd w:val="clear" w:color="auto" w:fill="auto"/>
            <w:noWrap/>
            <w:hideMark/>
          </w:tcPr>
          <w:p w14:paraId="303305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0.321</w:t>
            </w:r>
          </w:p>
        </w:tc>
        <w:tc>
          <w:tcPr>
            <w:tcW w:w="0" w:type="auto"/>
            <w:tcBorders>
              <w:top w:val="nil"/>
              <w:left w:val="nil"/>
              <w:bottom w:val="single" w:sz="4" w:space="0" w:color="auto"/>
              <w:right w:val="single" w:sz="4" w:space="0" w:color="auto"/>
            </w:tcBorders>
            <w:shd w:val="clear" w:color="auto" w:fill="auto"/>
            <w:noWrap/>
            <w:hideMark/>
          </w:tcPr>
          <w:p w14:paraId="3060EDD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0.457</w:t>
            </w:r>
          </w:p>
        </w:tc>
        <w:tc>
          <w:tcPr>
            <w:tcW w:w="0" w:type="auto"/>
            <w:tcBorders>
              <w:top w:val="nil"/>
              <w:left w:val="nil"/>
              <w:bottom w:val="single" w:sz="4" w:space="0" w:color="auto"/>
              <w:right w:val="single" w:sz="4" w:space="0" w:color="auto"/>
            </w:tcBorders>
            <w:shd w:val="clear" w:color="auto" w:fill="auto"/>
            <w:noWrap/>
            <w:hideMark/>
          </w:tcPr>
          <w:p w14:paraId="1191280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c>
          <w:tcPr>
            <w:tcW w:w="0" w:type="auto"/>
            <w:tcBorders>
              <w:top w:val="nil"/>
              <w:left w:val="nil"/>
              <w:bottom w:val="single" w:sz="4" w:space="0" w:color="auto"/>
              <w:right w:val="single" w:sz="4" w:space="0" w:color="auto"/>
            </w:tcBorders>
            <w:shd w:val="clear" w:color="auto" w:fill="auto"/>
            <w:noWrap/>
            <w:hideMark/>
          </w:tcPr>
          <w:p w14:paraId="08B93CA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0.809</w:t>
            </w:r>
          </w:p>
        </w:tc>
        <w:tc>
          <w:tcPr>
            <w:tcW w:w="0" w:type="auto"/>
            <w:tcBorders>
              <w:top w:val="nil"/>
              <w:left w:val="nil"/>
              <w:bottom w:val="single" w:sz="4" w:space="0" w:color="auto"/>
              <w:right w:val="single" w:sz="4" w:space="0" w:color="auto"/>
            </w:tcBorders>
            <w:shd w:val="clear" w:color="auto" w:fill="auto"/>
            <w:noWrap/>
            <w:hideMark/>
          </w:tcPr>
          <w:p w14:paraId="4557CD2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0.205</w:t>
            </w:r>
          </w:p>
        </w:tc>
        <w:tc>
          <w:tcPr>
            <w:tcW w:w="0" w:type="auto"/>
            <w:tcBorders>
              <w:top w:val="nil"/>
              <w:left w:val="nil"/>
              <w:bottom w:val="single" w:sz="4" w:space="0" w:color="auto"/>
              <w:right w:val="single" w:sz="4" w:space="0" w:color="auto"/>
            </w:tcBorders>
            <w:shd w:val="clear" w:color="auto" w:fill="auto"/>
            <w:noWrap/>
            <w:hideMark/>
          </w:tcPr>
          <w:p w14:paraId="5465EA6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0.587</w:t>
            </w:r>
          </w:p>
        </w:tc>
        <w:tc>
          <w:tcPr>
            <w:tcW w:w="0" w:type="auto"/>
            <w:tcBorders>
              <w:top w:val="nil"/>
              <w:left w:val="nil"/>
              <w:bottom w:val="single" w:sz="4" w:space="0" w:color="auto"/>
              <w:right w:val="single" w:sz="4" w:space="0" w:color="auto"/>
            </w:tcBorders>
            <w:shd w:val="clear" w:color="auto" w:fill="auto"/>
            <w:noWrap/>
            <w:hideMark/>
          </w:tcPr>
          <w:p w14:paraId="64DEEC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0.387</w:t>
            </w:r>
          </w:p>
        </w:tc>
      </w:tr>
      <w:tr w:rsidR="00943D0A" w:rsidRPr="00144673" w14:paraId="3F44C4C9"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3D7593D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invlv_9</w:t>
            </w:r>
          </w:p>
        </w:tc>
        <w:tc>
          <w:tcPr>
            <w:tcW w:w="0" w:type="auto"/>
            <w:tcBorders>
              <w:top w:val="nil"/>
              <w:left w:val="nil"/>
              <w:bottom w:val="single" w:sz="4" w:space="0" w:color="auto"/>
              <w:right w:val="single" w:sz="4" w:space="0" w:color="auto"/>
            </w:tcBorders>
            <w:shd w:val="clear" w:color="auto" w:fill="auto"/>
            <w:noWrap/>
            <w:hideMark/>
          </w:tcPr>
          <w:p w14:paraId="62B609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0.566</w:t>
            </w:r>
          </w:p>
        </w:tc>
        <w:tc>
          <w:tcPr>
            <w:tcW w:w="0" w:type="auto"/>
            <w:tcBorders>
              <w:top w:val="nil"/>
              <w:left w:val="nil"/>
              <w:bottom w:val="single" w:sz="4" w:space="0" w:color="auto"/>
              <w:right w:val="single" w:sz="4" w:space="0" w:color="auto"/>
            </w:tcBorders>
            <w:shd w:val="clear" w:color="auto" w:fill="auto"/>
            <w:noWrap/>
            <w:hideMark/>
          </w:tcPr>
          <w:p w14:paraId="7C8DF48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c>
          <w:tcPr>
            <w:tcW w:w="0" w:type="auto"/>
            <w:tcBorders>
              <w:top w:val="nil"/>
              <w:left w:val="nil"/>
              <w:bottom w:val="single" w:sz="4" w:space="0" w:color="auto"/>
              <w:right w:val="single" w:sz="4" w:space="0" w:color="auto"/>
            </w:tcBorders>
            <w:shd w:val="clear" w:color="auto" w:fill="auto"/>
            <w:noWrap/>
            <w:hideMark/>
          </w:tcPr>
          <w:p w14:paraId="6CE9D6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0.508</w:t>
            </w:r>
          </w:p>
        </w:tc>
        <w:tc>
          <w:tcPr>
            <w:tcW w:w="0" w:type="auto"/>
            <w:tcBorders>
              <w:top w:val="nil"/>
              <w:left w:val="nil"/>
              <w:bottom w:val="single" w:sz="4" w:space="0" w:color="auto"/>
              <w:right w:val="single" w:sz="4" w:space="0" w:color="auto"/>
            </w:tcBorders>
            <w:shd w:val="clear" w:color="auto" w:fill="auto"/>
            <w:noWrap/>
            <w:hideMark/>
          </w:tcPr>
          <w:p w14:paraId="61CF0E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0.539</w:t>
            </w:r>
          </w:p>
        </w:tc>
        <w:tc>
          <w:tcPr>
            <w:tcW w:w="0" w:type="auto"/>
            <w:tcBorders>
              <w:top w:val="nil"/>
              <w:left w:val="nil"/>
              <w:bottom w:val="single" w:sz="4" w:space="0" w:color="auto"/>
              <w:right w:val="single" w:sz="4" w:space="0" w:color="auto"/>
            </w:tcBorders>
            <w:shd w:val="clear" w:color="auto" w:fill="auto"/>
            <w:noWrap/>
            <w:hideMark/>
          </w:tcPr>
          <w:p w14:paraId="5F7C9A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0.498</w:t>
            </w:r>
          </w:p>
        </w:tc>
        <w:tc>
          <w:tcPr>
            <w:tcW w:w="0" w:type="auto"/>
            <w:tcBorders>
              <w:top w:val="nil"/>
              <w:left w:val="nil"/>
              <w:bottom w:val="single" w:sz="4" w:space="0" w:color="auto"/>
              <w:right w:val="single" w:sz="4" w:space="0" w:color="auto"/>
            </w:tcBorders>
            <w:shd w:val="clear" w:color="auto" w:fill="auto"/>
            <w:noWrap/>
            <w:hideMark/>
          </w:tcPr>
          <w:p w14:paraId="4A4F4C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0.267</w:t>
            </w:r>
          </w:p>
        </w:tc>
        <w:tc>
          <w:tcPr>
            <w:tcW w:w="0" w:type="auto"/>
            <w:tcBorders>
              <w:top w:val="nil"/>
              <w:left w:val="nil"/>
              <w:bottom w:val="single" w:sz="4" w:space="0" w:color="auto"/>
              <w:right w:val="single" w:sz="4" w:space="0" w:color="auto"/>
            </w:tcBorders>
            <w:shd w:val="clear" w:color="auto" w:fill="auto"/>
            <w:noWrap/>
            <w:hideMark/>
          </w:tcPr>
          <w:p w14:paraId="5F3ADB7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0.465</w:t>
            </w:r>
          </w:p>
        </w:tc>
        <w:tc>
          <w:tcPr>
            <w:tcW w:w="0" w:type="auto"/>
            <w:tcBorders>
              <w:top w:val="nil"/>
              <w:left w:val="nil"/>
              <w:bottom w:val="single" w:sz="4" w:space="0" w:color="auto"/>
              <w:right w:val="single" w:sz="4" w:space="0" w:color="auto"/>
            </w:tcBorders>
            <w:shd w:val="clear" w:color="auto" w:fill="auto"/>
            <w:noWrap/>
            <w:hideMark/>
          </w:tcPr>
          <w:p w14:paraId="7001E8B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0.269</w:t>
            </w:r>
          </w:p>
        </w:tc>
        <w:tc>
          <w:tcPr>
            <w:tcW w:w="0" w:type="auto"/>
            <w:tcBorders>
              <w:top w:val="nil"/>
              <w:left w:val="nil"/>
              <w:bottom w:val="single" w:sz="4" w:space="0" w:color="auto"/>
              <w:right w:val="single" w:sz="4" w:space="0" w:color="auto"/>
            </w:tcBorders>
            <w:shd w:val="clear" w:color="auto" w:fill="auto"/>
            <w:noWrap/>
            <w:hideMark/>
          </w:tcPr>
          <w:p w14:paraId="1449FD8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0.341</w:t>
            </w:r>
          </w:p>
        </w:tc>
        <w:tc>
          <w:tcPr>
            <w:tcW w:w="0" w:type="auto"/>
            <w:tcBorders>
              <w:top w:val="nil"/>
              <w:left w:val="nil"/>
              <w:bottom w:val="single" w:sz="4" w:space="0" w:color="auto"/>
              <w:right w:val="single" w:sz="4" w:space="0" w:color="auto"/>
            </w:tcBorders>
            <w:shd w:val="clear" w:color="auto" w:fill="auto"/>
            <w:noWrap/>
            <w:hideMark/>
          </w:tcPr>
          <w:p w14:paraId="758F719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0.406</w:t>
            </w:r>
          </w:p>
        </w:tc>
        <w:tc>
          <w:tcPr>
            <w:tcW w:w="0" w:type="auto"/>
            <w:tcBorders>
              <w:top w:val="nil"/>
              <w:left w:val="nil"/>
              <w:bottom w:val="single" w:sz="4" w:space="0" w:color="auto"/>
              <w:right w:val="single" w:sz="4" w:space="0" w:color="auto"/>
            </w:tcBorders>
            <w:shd w:val="clear" w:color="auto" w:fill="auto"/>
            <w:noWrap/>
            <w:hideMark/>
          </w:tcPr>
          <w:p w14:paraId="1B068A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0.477</w:t>
            </w:r>
          </w:p>
        </w:tc>
        <w:tc>
          <w:tcPr>
            <w:tcW w:w="0" w:type="auto"/>
            <w:tcBorders>
              <w:top w:val="nil"/>
              <w:left w:val="nil"/>
              <w:bottom w:val="single" w:sz="4" w:space="0" w:color="auto"/>
              <w:right w:val="single" w:sz="4" w:space="0" w:color="auto"/>
            </w:tcBorders>
            <w:shd w:val="clear" w:color="auto" w:fill="auto"/>
            <w:noWrap/>
            <w:hideMark/>
          </w:tcPr>
          <w:p w14:paraId="650A6A2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0.331</w:t>
            </w:r>
          </w:p>
        </w:tc>
        <w:tc>
          <w:tcPr>
            <w:tcW w:w="0" w:type="auto"/>
            <w:tcBorders>
              <w:top w:val="nil"/>
              <w:left w:val="nil"/>
              <w:bottom w:val="single" w:sz="4" w:space="0" w:color="auto"/>
              <w:right w:val="single" w:sz="4" w:space="0" w:color="auto"/>
            </w:tcBorders>
            <w:shd w:val="clear" w:color="auto" w:fill="auto"/>
            <w:noWrap/>
            <w:hideMark/>
          </w:tcPr>
          <w:p w14:paraId="5B9705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0.785</w:t>
            </w:r>
          </w:p>
        </w:tc>
        <w:tc>
          <w:tcPr>
            <w:tcW w:w="0" w:type="auto"/>
            <w:tcBorders>
              <w:top w:val="nil"/>
              <w:left w:val="nil"/>
              <w:bottom w:val="single" w:sz="4" w:space="0" w:color="auto"/>
              <w:right w:val="single" w:sz="4" w:space="0" w:color="auto"/>
            </w:tcBorders>
            <w:shd w:val="clear" w:color="auto" w:fill="auto"/>
            <w:noWrap/>
            <w:hideMark/>
          </w:tcPr>
          <w:p w14:paraId="4BAE73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0.316</w:t>
            </w:r>
          </w:p>
        </w:tc>
        <w:tc>
          <w:tcPr>
            <w:tcW w:w="0" w:type="auto"/>
            <w:tcBorders>
              <w:top w:val="nil"/>
              <w:left w:val="nil"/>
              <w:bottom w:val="single" w:sz="4" w:space="0" w:color="auto"/>
              <w:right w:val="single" w:sz="4" w:space="0" w:color="auto"/>
            </w:tcBorders>
            <w:shd w:val="clear" w:color="auto" w:fill="auto"/>
            <w:noWrap/>
            <w:hideMark/>
          </w:tcPr>
          <w:p w14:paraId="7E8756C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0.585</w:t>
            </w:r>
          </w:p>
        </w:tc>
        <w:tc>
          <w:tcPr>
            <w:tcW w:w="0" w:type="auto"/>
            <w:tcBorders>
              <w:top w:val="nil"/>
              <w:left w:val="nil"/>
              <w:bottom w:val="single" w:sz="4" w:space="0" w:color="auto"/>
              <w:right w:val="single" w:sz="4" w:space="0" w:color="auto"/>
            </w:tcBorders>
            <w:shd w:val="clear" w:color="auto" w:fill="auto"/>
            <w:noWrap/>
            <w:hideMark/>
          </w:tcPr>
          <w:p w14:paraId="291900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0.448</w:t>
            </w:r>
          </w:p>
        </w:tc>
      </w:tr>
      <w:tr w:rsidR="00943D0A" w:rsidRPr="00144673" w14:paraId="5DD2A226"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C3E1A3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norm_1</w:t>
            </w:r>
          </w:p>
        </w:tc>
        <w:tc>
          <w:tcPr>
            <w:tcW w:w="0" w:type="auto"/>
            <w:tcBorders>
              <w:top w:val="nil"/>
              <w:left w:val="nil"/>
              <w:bottom w:val="single" w:sz="4" w:space="0" w:color="auto"/>
              <w:right w:val="single" w:sz="4" w:space="0" w:color="auto"/>
            </w:tcBorders>
            <w:shd w:val="clear" w:color="auto" w:fill="auto"/>
            <w:noWrap/>
            <w:hideMark/>
          </w:tcPr>
          <w:p w14:paraId="058005C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0.291</w:t>
            </w:r>
          </w:p>
        </w:tc>
        <w:tc>
          <w:tcPr>
            <w:tcW w:w="0" w:type="auto"/>
            <w:tcBorders>
              <w:top w:val="nil"/>
              <w:left w:val="nil"/>
              <w:bottom w:val="single" w:sz="4" w:space="0" w:color="auto"/>
              <w:right w:val="single" w:sz="4" w:space="0" w:color="auto"/>
            </w:tcBorders>
            <w:shd w:val="clear" w:color="auto" w:fill="auto"/>
            <w:noWrap/>
            <w:hideMark/>
          </w:tcPr>
          <w:p w14:paraId="1B6B32D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0.051</w:t>
            </w:r>
          </w:p>
        </w:tc>
        <w:tc>
          <w:tcPr>
            <w:tcW w:w="0" w:type="auto"/>
            <w:tcBorders>
              <w:top w:val="nil"/>
              <w:left w:val="nil"/>
              <w:bottom w:val="single" w:sz="4" w:space="0" w:color="auto"/>
              <w:right w:val="single" w:sz="4" w:space="0" w:color="auto"/>
            </w:tcBorders>
            <w:shd w:val="clear" w:color="auto" w:fill="auto"/>
            <w:noWrap/>
            <w:hideMark/>
          </w:tcPr>
          <w:p w14:paraId="7A89F96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1A31F76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0.309</w:t>
            </w:r>
          </w:p>
        </w:tc>
        <w:tc>
          <w:tcPr>
            <w:tcW w:w="0" w:type="auto"/>
            <w:tcBorders>
              <w:top w:val="nil"/>
              <w:left w:val="nil"/>
              <w:bottom w:val="single" w:sz="4" w:space="0" w:color="auto"/>
              <w:right w:val="single" w:sz="4" w:space="0" w:color="auto"/>
            </w:tcBorders>
            <w:shd w:val="clear" w:color="auto" w:fill="auto"/>
            <w:noWrap/>
            <w:hideMark/>
          </w:tcPr>
          <w:p w14:paraId="09EDF9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0.106</w:t>
            </w:r>
          </w:p>
        </w:tc>
        <w:tc>
          <w:tcPr>
            <w:tcW w:w="0" w:type="auto"/>
            <w:tcBorders>
              <w:top w:val="nil"/>
              <w:left w:val="nil"/>
              <w:bottom w:val="single" w:sz="4" w:space="0" w:color="auto"/>
              <w:right w:val="single" w:sz="4" w:space="0" w:color="auto"/>
            </w:tcBorders>
            <w:shd w:val="clear" w:color="auto" w:fill="auto"/>
            <w:noWrap/>
            <w:hideMark/>
          </w:tcPr>
          <w:p w14:paraId="097B030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0.109</w:t>
            </w:r>
          </w:p>
        </w:tc>
        <w:tc>
          <w:tcPr>
            <w:tcW w:w="0" w:type="auto"/>
            <w:tcBorders>
              <w:top w:val="nil"/>
              <w:left w:val="nil"/>
              <w:bottom w:val="single" w:sz="4" w:space="0" w:color="auto"/>
              <w:right w:val="single" w:sz="4" w:space="0" w:color="auto"/>
            </w:tcBorders>
            <w:shd w:val="clear" w:color="auto" w:fill="auto"/>
            <w:noWrap/>
            <w:hideMark/>
          </w:tcPr>
          <w:p w14:paraId="4F2F61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0.306</w:t>
            </w:r>
          </w:p>
        </w:tc>
        <w:tc>
          <w:tcPr>
            <w:tcW w:w="0" w:type="auto"/>
            <w:tcBorders>
              <w:top w:val="nil"/>
              <w:left w:val="nil"/>
              <w:bottom w:val="single" w:sz="4" w:space="0" w:color="auto"/>
              <w:right w:val="single" w:sz="4" w:space="0" w:color="auto"/>
            </w:tcBorders>
            <w:shd w:val="clear" w:color="auto" w:fill="auto"/>
            <w:noWrap/>
            <w:hideMark/>
          </w:tcPr>
          <w:p w14:paraId="67B7B7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0.182</w:t>
            </w:r>
          </w:p>
        </w:tc>
        <w:tc>
          <w:tcPr>
            <w:tcW w:w="0" w:type="auto"/>
            <w:tcBorders>
              <w:top w:val="nil"/>
              <w:left w:val="nil"/>
              <w:bottom w:val="single" w:sz="4" w:space="0" w:color="auto"/>
              <w:right w:val="single" w:sz="4" w:space="0" w:color="auto"/>
            </w:tcBorders>
            <w:shd w:val="clear" w:color="auto" w:fill="auto"/>
            <w:noWrap/>
            <w:hideMark/>
          </w:tcPr>
          <w:p w14:paraId="0E08A87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0.164</w:t>
            </w:r>
          </w:p>
        </w:tc>
        <w:tc>
          <w:tcPr>
            <w:tcW w:w="0" w:type="auto"/>
            <w:tcBorders>
              <w:top w:val="nil"/>
              <w:left w:val="nil"/>
              <w:bottom w:val="single" w:sz="4" w:space="0" w:color="auto"/>
              <w:right w:val="single" w:sz="4" w:space="0" w:color="auto"/>
            </w:tcBorders>
            <w:shd w:val="clear" w:color="auto" w:fill="auto"/>
            <w:noWrap/>
            <w:hideMark/>
          </w:tcPr>
          <w:p w14:paraId="7D33785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0.283</w:t>
            </w:r>
          </w:p>
        </w:tc>
        <w:tc>
          <w:tcPr>
            <w:tcW w:w="0" w:type="auto"/>
            <w:tcBorders>
              <w:top w:val="nil"/>
              <w:left w:val="nil"/>
              <w:bottom w:val="single" w:sz="4" w:space="0" w:color="auto"/>
              <w:right w:val="single" w:sz="4" w:space="0" w:color="auto"/>
            </w:tcBorders>
            <w:shd w:val="clear" w:color="auto" w:fill="auto"/>
            <w:noWrap/>
            <w:hideMark/>
          </w:tcPr>
          <w:p w14:paraId="3A9D0B7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0.142</w:t>
            </w:r>
          </w:p>
        </w:tc>
        <w:tc>
          <w:tcPr>
            <w:tcW w:w="0" w:type="auto"/>
            <w:tcBorders>
              <w:top w:val="nil"/>
              <w:left w:val="nil"/>
              <w:bottom w:val="single" w:sz="4" w:space="0" w:color="auto"/>
              <w:right w:val="single" w:sz="4" w:space="0" w:color="auto"/>
            </w:tcBorders>
            <w:shd w:val="clear" w:color="auto" w:fill="auto"/>
            <w:noWrap/>
            <w:hideMark/>
          </w:tcPr>
          <w:p w14:paraId="35CD5D9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0.524</w:t>
            </w:r>
          </w:p>
        </w:tc>
        <w:tc>
          <w:tcPr>
            <w:tcW w:w="0" w:type="auto"/>
            <w:tcBorders>
              <w:top w:val="nil"/>
              <w:left w:val="nil"/>
              <w:bottom w:val="single" w:sz="4" w:space="0" w:color="auto"/>
              <w:right w:val="single" w:sz="4" w:space="0" w:color="auto"/>
            </w:tcBorders>
            <w:shd w:val="clear" w:color="auto" w:fill="auto"/>
            <w:noWrap/>
            <w:hideMark/>
          </w:tcPr>
          <w:p w14:paraId="228C851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0.213</w:t>
            </w:r>
          </w:p>
        </w:tc>
        <w:tc>
          <w:tcPr>
            <w:tcW w:w="0" w:type="auto"/>
            <w:tcBorders>
              <w:top w:val="nil"/>
              <w:left w:val="nil"/>
              <w:bottom w:val="single" w:sz="4" w:space="0" w:color="auto"/>
              <w:right w:val="single" w:sz="4" w:space="0" w:color="auto"/>
            </w:tcBorders>
            <w:shd w:val="clear" w:color="auto" w:fill="auto"/>
            <w:noWrap/>
            <w:hideMark/>
          </w:tcPr>
          <w:p w14:paraId="03DB44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0.787</w:t>
            </w:r>
          </w:p>
        </w:tc>
        <w:tc>
          <w:tcPr>
            <w:tcW w:w="0" w:type="auto"/>
            <w:tcBorders>
              <w:top w:val="nil"/>
              <w:left w:val="nil"/>
              <w:bottom w:val="single" w:sz="4" w:space="0" w:color="auto"/>
              <w:right w:val="single" w:sz="4" w:space="0" w:color="auto"/>
            </w:tcBorders>
            <w:shd w:val="clear" w:color="auto" w:fill="auto"/>
            <w:noWrap/>
            <w:hideMark/>
          </w:tcPr>
          <w:p w14:paraId="0DDD382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0.177</w:t>
            </w:r>
          </w:p>
        </w:tc>
        <w:tc>
          <w:tcPr>
            <w:tcW w:w="0" w:type="auto"/>
            <w:tcBorders>
              <w:top w:val="nil"/>
              <w:left w:val="nil"/>
              <w:bottom w:val="single" w:sz="4" w:space="0" w:color="auto"/>
              <w:right w:val="single" w:sz="4" w:space="0" w:color="auto"/>
            </w:tcBorders>
            <w:shd w:val="clear" w:color="auto" w:fill="auto"/>
            <w:noWrap/>
            <w:hideMark/>
          </w:tcPr>
          <w:p w14:paraId="7AC11F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r>
      <w:tr w:rsidR="00943D0A" w:rsidRPr="00144673" w14:paraId="73C8289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4A3821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norm_2</w:t>
            </w:r>
          </w:p>
        </w:tc>
        <w:tc>
          <w:tcPr>
            <w:tcW w:w="0" w:type="auto"/>
            <w:tcBorders>
              <w:top w:val="nil"/>
              <w:left w:val="nil"/>
              <w:bottom w:val="single" w:sz="4" w:space="0" w:color="auto"/>
              <w:right w:val="single" w:sz="4" w:space="0" w:color="auto"/>
            </w:tcBorders>
            <w:shd w:val="clear" w:color="auto" w:fill="auto"/>
            <w:noWrap/>
            <w:hideMark/>
          </w:tcPr>
          <w:p w14:paraId="3FC38B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0.322</w:t>
            </w:r>
          </w:p>
        </w:tc>
        <w:tc>
          <w:tcPr>
            <w:tcW w:w="0" w:type="auto"/>
            <w:tcBorders>
              <w:top w:val="nil"/>
              <w:left w:val="nil"/>
              <w:bottom w:val="single" w:sz="4" w:space="0" w:color="auto"/>
              <w:right w:val="single" w:sz="4" w:space="0" w:color="auto"/>
            </w:tcBorders>
            <w:shd w:val="clear" w:color="auto" w:fill="auto"/>
            <w:noWrap/>
            <w:hideMark/>
          </w:tcPr>
          <w:p w14:paraId="4BCA5B0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0.093</w:t>
            </w:r>
          </w:p>
        </w:tc>
        <w:tc>
          <w:tcPr>
            <w:tcW w:w="0" w:type="auto"/>
            <w:tcBorders>
              <w:top w:val="nil"/>
              <w:left w:val="nil"/>
              <w:bottom w:val="single" w:sz="4" w:space="0" w:color="auto"/>
              <w:right w:val="single" w:sz="4" w:space="0" w:color="auto"/>
            </w:tcBorders>
            <w:shd w:val="clear" w:color="auto" w:fill="auto"/>
            <w:noWrap/>
            <w:hideMark/>
          </w:tcPr>
          <w:p w14:paraId="2D12EC9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0.247</w:t>
            </w:r>
          </w:p>
        </w:tc>
        <w:tc>
          <w:tcPr>
            <w:tcW w:w="0" w:type="auto"/>
            <w:tcBorders>
              <w:top w:val="nil"/>
              <w:left w:val="nil"/>
              <w:bottom w:val="single" w:sz="4" w:space="0" w:color="auto"/>
              <w:right w:val="single" w:sz="4" w:space="0" w:color="auto"/>
            </w:tcBorders>
            <w:shd w:val="clear" w:color="auto" w:fill="auto"/>
            <w:noWrap/>
            <w:hideMark/>
          </w:tcPr>
          <w:p w14:paraId="4A0C31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0.380</w:t>
            </w:r>
          </w:p>
        </w:tc>
        <w:tc>
          <w:tcPr>
            <w:tcW w:w="0" w:type="auto"/>
            <w:tcBorders>
              <w:top w:val="nil"/>
              <w:left w:val="nil"/>
              <w:bottom w:val="single" w:sz="4" w:space="0" w:color="auto"/>
              <w:right w:val="single" w:sz="4" w:space="0" w:color="auto"/>
            </w:tcBorders>
            <w:shd w:val="clear" w:color="auto" w:fill="auto"/>
            <w:noWrap/>
            <w:hideMark/>
          </w:tcPr>
          <w:p w14:paraId="50D02B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0.136</w:t>
            </w:r>
          </w:p>
        </w:tc>
        <w:tc>
          <w:tcPr>
            <w:tcW w:w="0" w:type="auto"/>
            <w:tcBorders>
              <w:top w:val="nil"/>
              <w:left w:val="nil"/>
              <w:bottom w:val="single" w:sz="4" w:space="0" w:color="auto"/>
              <w:right w:val="single" w:sz="4" w:space="0" w:color="auto"/>
            </w:tcBorders>
            <w:shd w:val="clear" w:color="auto" w:fill="auto"/>
            <w:noWrap/>
            <w:hideMark/>
          </w:tcPr>
          <w:p w14:paraId="5D25EE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0.152</w:t>
            </w:r>
          </w:p>
        </w:tc>
        <w:tc>
          <w:tcPr>
            <w:tcW w:w="0" w:type="auto"/>
            <w:tcBorders>
              <w:top w:val="nil"/>
              <w:left w:val="nil"/>
              <w:bottom w:val="single" w:sz="4" w:space="0" w:color="auto"/>
              <w:right w:val="single" w:sz="4" w:space="0" w:color="auto"/>
            </w:tcBorders>
            <w:shd w:val="clear" w:color="auto" w:fill="auto"/>
            <w:noWrap/>
            <w:hideMark/>
          </w:tcPr>
          <w:p w14:paraId="1346A3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17FC84A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0.247</w:t>
            </w:r>
          </w:p>
        </w:tc>
        <w:tc>
          <w:tcPr>
            <w:tcW w:w="0" w:type="auto"/>
            <w:tcBorders>
              <w:top w:val="nil"/>
              <w:left w:val="nil"/>
              <w:bottom w:val="single" w:sz="4" w:space="0" w:color="auto"/>
              <w:right w:val="single" w:sz="4" w:space="0" w:color="auto"/>
            </w:tcBorders>
            <w:shd w:val="clear" w:color="auto" w:fill="auto"/>
            <w:noWrap/>
            <w:hideMark/>
          </w:tcPr>
          <w:p w14:paraId="4D7ACCB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0.209</w:t>
            </w:r>
          </w:p>
        </w:tc>
        <w:tc>
          <w:tcPr>
            <w:tcW w:w="0" w:type="auto"/>
            <w:tcBorders>
              <w:top w:val="nil"/>
              <w:left w:val="nil"/>
              <w:bottom w:val="single" w:sz="4" w:space="0" w:color="auto"/>
              <w:right w:val="single" w:sz="4" w:space="0" w:color="auto"/>
            </w:tcBorders>
            <w:shd w:val="clear" w:color="auto" w:fill="auto"/>
            <w:noWrap/>
            <w:hideMark/>
          </w:tcPr>
          <w:p w14:paraId="7B0D847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0.330</w:t>
            </w:r>
          </w:p>
        </w:tc>
        <w:tc>
          <w:tcPr>
            <w:tcW w:w="0" w:type="auto"/>
            <w:tcBorders>
              <w:top w:val="nil"/>
              <w:left w:val="nil"/>
              <w:bottom w:val="single" w:sz="4" w:space="0" w:color="auto"/>
              <w:right w:val="single" w:sz="4" w:space="0" w:color="auto"/>
            </w:tcBorders>
            <w:shd w:val="clear" w:color="auto" w:fill="auto"/>
            <w:noWrap/>
            <w:hideMark/>
          </w:tcPr>
          <w:p w14:paraId="509EC0B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0.215</w:t>
            </w:r>
          </w:p>
        </w:tc>
        <w:tc>
          <w:tcPr>
            <w:tcW w:w="0" w:type="auto"/>
            <w:tcBorders>
              <w:top w:val="nil"/>
              <w:left w:val="nil"/>
              <w:bottom w:val="single" w:sz="4" w:space="0" w:color="auto"/>
              <w:right w:val="single" w:sz="4" w:space="0" w:color="auto"/>
            </w:tcBorders>
            <w:shd w:val="clear" w:color="auto" w:fill="auto"/>
            <w:noWrap/>
            <w:hideMark/>
          </w:tcPr>
          <w:p w14:paraId="7553E20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0.399</w:t>
            </w:r>
          </w:p>
        </w:tc>
        <w:tc>
          <w:tcPr>
            <w:tcW w:w="0" w:type="auto"/>
            <w:tcBorders>
              <w:top w:val="nil"/>
              <w:left w:val="nil"/>
              <w:bottom w:val="single" w:sz="4" w:space="0" w:color="auto"/>
              <w:right w:val="single" w:sz="4" w:space="0" w:color="auto"/>
            </w:tcBorders>
            <w:shd w:val="clear" w:color="auto" w:fill="auto"/>
            <w:noWrap/>
            <w:hideMark/>
          </w:tcPr>
          <w:p w14:paraId="2E1408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0.273</w:t>
            </w:r>
          </w:p>
        </w:tc>
        <w:tc>
          <w:tcPr>
            <w:tcW w:w="0" w:type="auto"/>
            <w:tcBorders>
              <w:top w:val="nil"/>
              <w:left w:val="nil"/>
              <w:bottom w:val="single" w:sz="4" w:space="0" w:color="auto"/>
              <w:right w:val="single" w:sz="4" w:space="0" w:color="auto"/>
            </w:tcBorders>
            <w:shd w:val="clear" w:color="auto" w:fill="auto"/>
            <w:noWrap/>
            <w:hideMark/>
          </w:tcPr>
          <w:p w14:paraId="5185DA5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0.761</w:t>
            </w:r>
          </w:p>
        </w:tc>
        <w:tc>
          <w:tcPr>
            <w:tcW w:w="0" w:type="auto"/>
            <w:tcBorders>
              <w:top w:val="nil"/>
              <w:left w:val="nil"/>
              <w:bottom w:val="single" w:sz="4" w:space="0" w:color="auto"/>
              <w:right w:val="single" w:sz="4" w:space="0" w:color="auto"/>
            </w:tcBorders>
            <w:shd w:val="clear" w:color="auto" w:fill="auto"/>
            <w:noWrap/>
            <w:hideMark/>
          </w:tcPr>
          <w:p w14:paraId="171588C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0.163</w:t>
            </w:r>
          </w:p>
        </w:tc>
        <w:tc>
          <w:tcPr>
            <w:tcW w:w="0" w:type="auto"/>
            <w:tcBorders>
              <w:top w:val="nil"/>
              <w:left w:val="nil"/>
              <w:bottom w:val="single" w:sz="4" w:space="0" w:color="auto"/>
              <w:right w:val="single" w:sz="4" w:space="0" w:color="auto"/>
            </w:tcBorders>
            <w:shd w:val="clear" w:color="auto" w:fill="auto"/>
            <w:noWrap/>
            <w:hideMark/>
          </w:tcPr>
          <w:p w14:paraId="302E1AD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0.386</w:t>
            </w:r>
          </w:p>
        </w:tc>
      </w:tr>
      <w:tr w:rsidR="00943D0A" w:rsidRPr="00144673" w14:paraId="753B1E76"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0CAAA3C"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norm_3</w:t>
            </w:r>
          </w:p>
        </w:tc>
        <w:tc>
          <w:tcPr>
            <w:tcW w:w="0" w:type="auto"/>
            <w:tcBorders>
              <w:top w:val="nil"/>
              <w:left w:val="nil"/>
              <w:bottom w:val="single" w:sz="4" w:space="0" w:color="auto"/>
              <w:right w:val="single" w:sz="4" w:space="0" w:color="auto"/>
            </w:tcBorders>
            <w:shd w:val="clear" w:color="auto" w:fill="auto"/>
            <w:noWrap/>
            <w:hideMark/>
          </w:tcPr>
          <w:p w14:paraId="59F197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0.326</w:t>
            </w:r>
          </w:p>
        </w:tc>
        <w:tc>
          <w:tcPr>
            <w:tcW w:w="0" w:type="auto"/>
            <w:tcBorders>
              <w:top w:val="nil"/>
              <w:left w:val="nil"/>
              <w:bottom w:val="single" w:sz="4" w:space="0" w:color="auto"/>
              <w:right w:val="single" w:sz="4" w:space="0" w:color="auto"/>
            </w:tcBorders>
            <w:shd w:val="clear" w:color="auto" w:fill="auto"/>
            <w:noWrap/>
            <w:hideMark/>
          </w:tcPr>
          <w:p w14:paraId="2443D80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0.057</w:t>
            </w:r>
          </w:p>
        </w:tc>
        <w:tc>
          <w:tcPr>
            <w:tcW w:w="0" w:type="auto"/>
            <w:tcBorders>
              <w:top w:val="nil"/>
              <w:left w:val="nil"/>
              <w:bottom w:val="single" w:sz="4" w:space="0" w:color="auto"/>
              <w:right w:val="single" w:sz="4" w:space="0" w:color="auto"/>
            </w:tcBorders>
            <w:shd w:val="clear" w:color="auto" w:fill="auto"/>
            <w:noWrap/>
            <w:hideMark/>
          </w:tcPr>
          <w:p w14:paraId="59C3485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0.233</w:t>
            </w:r>
          </w:p>
        </w:tc>
        <w:tc>
          <w:tcPr>
            <w:tcW w:w="0" w:type="auto"/>
            <w:tcBorders>
              <w:top w:val="nil"/>
              <w:left w:val="nil"/>
              <w:bottom w:val="single" w:sz="4" w:space="0" w:color="auto"/>
              <w:right w:val="single" w:sz="4" w:space="0" w:color="auto"/>
            </w:tcBorders>
            <w:shd w:val="clear" w:color="auto" w:fill="auto"/>
            <w:noWrap/>
            <w:hideMark/>
          </w:tcPr>
          <w:p w14:paraId="33BB8D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0.378</w:t>
            </w:r>
          </w:p>
        </w:tc>
        <w:tc>
          <w:tcPr>
            <w:tcW w:w="0" w:type="auto"/>
            <w:tcBorders>
              <w:top w:val="nil"/>
              <w:left w:val="nil"/>
              <w:bottom w:val="single" w:sz="4" w:space="0" w:color="auto"/>
              <w:right w:val="single" w:sz="4" w:space="0" w:color="auto"/>
            </w:tcBorders>
            <w:shd w:val="clear" w:color="auto" w:fill="auto"/>
            <w:noWrap/>
            <w:hideMark/>
          </w:tcPr>
          <w:p w14:paraId="3D2865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0.152</w:t>
            </w:r>
          </w:p>
        </w:tc>
        <w:tc>
          <w:tcPr>
            <w:tcW w:w="0" w:type="auto"/>
            <w:tcBorders>
              <w:top w:val="nil"/>
              <w:left w:val="nil"/>
              <w:bottom w:val="single" w:sz="4" w:space="0" w:color="auto"/>
              <w:right w:val="single" w:sz="4" w:space="0" w:color="auto"/>
            </w:tcBorders>
            <w:shd w:val="clear" w:color="auto" w:fill="auto"/>
            <w:noWrap/>
            <w:hideMark/>
          </w:tcPr>
          <w:p w14:paraId="51DC87E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0.117</w:t>
            </w:r>
          </w:p>
        </w:tc>
        <w:tc>
          <w:tcPr>
            <w:tcW w:w="0" w:type="auto"/>
            <w:tcBorders>
              <w:top w:val="nil"/>
              <w:left w:val="nil"/>
              <w:bottom w:val="single" w:sz="4" w:space="0" w:color="auto"/>
              <w:right w:val="single" w:sz="4" w:space="0" w:color="auto"/>
            </w:tcBorders>
            <w:shd w:val="clear" w:color="auto" w:fill="auto"/>
            <w:noWrap/>
            <w:hideMark/>
          </w:tcPr>
          <w:p w14:paraId="145674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0.301</w:t>
            </w:r>
          </w:p>
        </w:tc>
        <w:tc>
          <w:tcPr>
            <w:tcW w:w="0" w:type="auto"/>
            <w:tcBorders>
              <w:top w:val="nil"/>
              <w:left w:val="nil"/>
              <w:bottom w:val="single" w:sz="4" w:space="0" w:color="auto"/>
              <w:right w:val="single" w:sz="4" w:space="0" w:color="auto"/>
            </w:tcBorders>
            <w:shd w:val="clear" w:color="auto" w:fill="auto"/>
            <w:noWrap/>
            <w:hideMark/>
          </w:tcPr>
          <w:p w14:paraId="53B5773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0.263</w:t>
            </w:r>
          </w:p>
        </w:tc>
        <w:tc>
          <w:tcPr>
            <w:tcW w:w="0" w:type="auto"/>
            <w:tcBorders>
              <w:top w:val="nil"/>
              <w:left w:val="nil"/>
              <w:bottom w:val="single" w:sz="4" w:space="0" w:color="auto"/>
              <w:right w:val="single" w:sz="4" w:space="0" w:color="auto"/>
            </w:tcBorders>
            <w:shd w:val="clear" w:color="auto" w:fill="auto"/>
            <w:noWrap/>
            <w:hideMark/>
          </w:tcPr>
          <w:p w14:paraId="73AC326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301692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0.316</w:t>
            </w:r>
          </w:p>
        </w:tc>
        <w:tc>
          <w:tcPr>
            <w:tcW w:w="0" w:type="auto"/>
            <w:tcBorders>
              <w:top w:val="nil"/>
              <w:left w:val="nil"/>
              <w:bottom w:val="single" w:sz="4" w:space="0" w:color="auto"/>
              <w:right w:val="single" w:sz="4" w:space="0" w:color="auto"/>
            </w:tcBorders>
            <w:shd w:val="clear" w:color="auto" w:fill="auto"/>
            <w:noWrap/>
            <w:hideMark/>
          </w:tcPr>
          <w:p w14:paraId="6CEDE7A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0.215</w:t>
            </w:r>
          </w:p>
        </w:tc>
        <w:tc>
          <w:tcPr>
            <w:tcW w:w="0" w:type="auto"/>
            <w:tcBorders>
              <w:top w:val="nil"/>
              <w:left w:val="nil"/>
              <w:bottom w:val="single" w:sz="4" w:space="0" w:color="auto"/>
              <w:right w:val="single" w:sz="4" w:space="0" w:color="auto"/>
            </w:tcBorders>
            <w:shd w:val="clear" w:color="auto" w:fill="auto"/>
            <w:noWrap/>
            <w:hideMark/>
          </w:tcPr>
          <w:p w14:paraId="7DDC867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0.438</w:t>
            </w:r>
          </w:p>
        </w:tc>
        <w:tc>
          <w:tcPr>
            <w:tcW w:w="0" w:type="auto"/>
            <w:tcBorders>
              <w:top w:val="nil"/>
              <w:left w:val="nil"/>
              <w:bottom w:val="single" w:sz="4" w:space="0" w:color="auto"/>
              <w:right w:val="single" w:sz="4" w:space="0" w:color="auto"/>
            </w:tcBorders>
            <w:shd w:val="clear" w:color="auto" w:fill="auto"/>
            <w:noWrap/>
            <w:hideMark/>
          </w:tcPr>
          <w:p w14:paraId="1020A32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0.255</w:t>
            </w:r>
          </w:p>
        </w:tc>
        <w:tc>
          <w:tcPr>
            <w:tcW w:w="0" w:type="auto"/>
            <w:tcBorders>
              <w:top w:val="nil"/>
              <w:left w:val="nil"/>
              <w:bottom w:val="single" w:sz="4" w:space="0" w:color="auto"/>
              <w:right w:val="single" w:sz="4" w:space="0" w:color="auto"/>
            </w:tcBorders>
            <w:shd w:val="clear" w:color="auto" w:fill="auto"/>
            <w:noWrap/>
            <w:hideMark/>
          </w:tcPr>
          <w:p w14:paraId="4F201A7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0.828</w:t>
            </w:r>
          </w:p>
        </w:tc>
        <w:tc>
          <w:tcPr>
            <w:tcW w:w="0" w:type="auto"/>
            <w:tcBorders>
              <w:top w:val="nil"/>
              <w:left w:val="nil"/>
              <w:bottom w:val="single" w:sz="4" w:space="0" w:color="auto"/>
              <w:right w:val="single" w:sz="4" w:space="0" w:color="auto"/>
            </w:tcBorders>
            <w:shd w:val="clear" w:color="auto" w:fill="auto"/>
            <w:noWrap/>
            <w:hideMark/>
          </w:tcPr>
          <w:p w14:paraId="1DA3EE0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0.196</w:t>
            </w:r>
          </w:p>
        </w:tc>
        <w:tc>
          <w:tcPr>
            <w:tcW w:w="0" w:type="auto"/>
            <w:tcBorders>
              <w:top w:val="nil"/>
              <w:left w:val="nil"/>
              <w:bottom w:val="single" w:sz="4" w:space="0" w:color="auto"/>
              <w:right w:val="single" w:sz="4" w:space="0" w:color="auto"/>
            </w:tcBorders>
            <w:shd w:val="clear" w:color="auto" w:fill="auto"/>
            <w:noWrap/>
            <w:hideMark/>
          </w:tcPr>
          <w:p w14:paraId="34EFF94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0.381</w:t>
            </w:r>
          </w:p>
        </w:tc>
      </w:tr>
      <w:tr w:rsidR="00943D0A" w:rsidRPr="00144673" w14:paraId="4ABA6E75"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780C96DD"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norm_4</w:t>
            </w:r>
          </w:p>
        </w:tc>
        <w:tc>
          <w:tcPr>
            <w:tcW w:w="0" w:type="auto"/>
            <w:tcBorders>
              <w:top w:val="nil"/>
              <w:left w:val="nil"/>
              <w:bottom w:val="single" w:sz="4" w:space="0" w:color="auto"/>
              <w:right w:val="single" w:sz="4" w:space="0" w:color="auto"/>
            </w:tcBorders>
            <w:shd w:val="clear" w:color="auto" w:fill="auto"/>
            <w:noWrap/>
            <w:hideMark/>
          </w:tcPr>
          <w:p w14:paraId="1604A22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0.305</w:t>
            </w:r>
          </w:p>
        </w:tc>
        <w:tc>
          <w:tcPr>
            <w:tcW w:w="0" w:type="auto"/>
            <w:tcBorders>
              <w:top w:val="nil"/>
              <w:left w:val="nil"/>
              <w:bottom w:val="single" w:sz="4" w:space="0" w:color="auto"/>
              <w:right w:val="single" w:sz="4" w:space="0" w:color="auto"/>
            </w:tcBorders>
            <w:shd w:val="clear" w:color="auto" w:fill="auto"/>
            <w:noWrap/>
            <w:hideMark/>
          </w:tcPr>
          <w:p w14:paraId="4ACEAF5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-0.038</w:t>
            </w:r>
          </w:p>
        </w:tc>
        <w:tc>
          <w:tcPr>
            <w:tcW w:w="0" w:type="auto"/>
            <w:tcBorders>
              <w:top w:val="nil"/>
              <w:left w:val="nil"/>
              <w:bottom w:val="single" w:sz="4" w:space="0" w:color="auto"/>
              <w:right w:val="single" w:sz="4" w:space="0" w:color="auto"/>
            </w:tcBorders>
            <w:shd w:val="clear" w:color="auto" w:fill="auto"/>
            <w:noWrap/>
            <w:hideMark/>
          </w:tcPr>
          <w:p w14:paraId="762903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0.201</w:t>
            </w:r>
          </w:p>
        </w:tc>
        <w:tc>
          <w:tcPr>
            <w:tcW w:w="0" w:type="auto"/>
            <w:tcBorders>
              <w:top w:val="nil"/>
              <w:left w:val="nil"/>
              <w:bottom w:val="single" w:sz="4" w:space="0" w:color="auto"/>
              <w:right w:val="single" w:sz="4" w:space="0" w:color="auto"/>
            </w:tcBorders>
            <w:shd w:val="clear" w:color="auto" w:fill="auto"/>
            <w:noWrap/>
            <w:hideMark/>
          </w:tcPr>
          <w:p w14:paraId="1E7B2B5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0.257</w:t>
            </w:r>
          </w:p>
        </w:tc>
        <w:tc>
          <w:tcPr>
            <w:tcW w:w="0" w:type="auto"/>
            <w:tcBorders>
              <w:top w:val="nil"/>
              <w:left w:val="nil"/>
              <w:bottom w:val="single" w:sz="4" w:space="0" w:color="auto"/>
              <w:right w:val="single" w:sz="4" w:space="0" w:color="auto"/>
            </w:tcBorders>
            <w:shd w:val="clear" w:color="auto" w:fill="auto"/>
            <w:noWrap/>
            <w:hideMark/>
          </w:tcPr>
          <w:p w14:paraId="763A9C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0.052</w:t>
            </w:r>
          </w:p>
        </w:tc>
        <w:tc>
          <w:tcPr>
            <w:tcW w:w="0" w:type="auto"/>
            <w:tcBorders>
              <w:top w:val="nil"/>
              <w:left w:val="nil"/>
              <w:bottom w:val="single" w:sz="4" w:space="0" w:color="auto"/>
              <w:right w:val="single" w:sz="4" w:space="0" w:color="auto"/>
            </w:tcBorders>
            <w:shd w:val="clear" w:color="auto" w:fill="auto"/>
            <w:noWrap/>
            <w:hideMark/>
          </w:tcPr>
          <w:p w14:paraId="418234D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0.118</w:t>
            </w:r>
          </w:p>
        </w:tc>
        <w:tc>
          <w:tcPr>
            <w:tcW w:w="0" w:type="auto"/>
            <w:tcBorders>
              <w:top w:val="nil"/>
              <w:left w:val="nil"/>
              <w:bottom w:val="single" w:sz="4" w:space="0" w:color="auto"/>
              <w:right w:val="single" w:sz="4" w:space="0" w:color="auto"/>
            </w:tcBorders>
            <w:shd w:val="clear" w:color="auto" w:fill="auto"/>
            <w:noWrap/>
            <w:hideMark/>
          </w:tcPr>
          <w:p w14:paraId="3B3298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0.264</w:t>
            </w:r>
          </w:p>
        </w:tc>
        <w:tc>
          <w:tcPr>
            <w:tcW w:w="0" w:type="auto"/>
            <w:tcBorders>
              <w:top w:val="nil"/>
              <w:left w:val="nil"/>
              <w:bottom w:val="single" w:sz="4" w:space="0" w:color="auto"/>
              <w:right w:val="single" w:sz="4" w:space="0" w:color="auto"/>
            </w:tcBorders>
            <w:shd w:val="clear" w:color="auto" w:fill="auto"/>
            <w:noWrap/>
            <w:hideMark/>
          </w:tcPr>
          <w:p w14:paraId="1F23FD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0.223</w:t>
            </w:r>
          </w:p>
        </w:tc>
        <w:tc>
          <w:tcPr>
            <w:tcW w:w="0" w:type="auto"/>
            <w:tcBorders>
              <w:top w:val="nil"/>
              <w:left w:val="nil"/>
              <w:bottom w:val="single" w:sz="4" w:space="0" w:color="auto"/>
              <w:right w:val="single" w:sz="4" w:space="0" w:color="auto"/>
            </w:tcBorders>
            <w:shd w:val="clear" w:color="auto" w:fill="auto"/>
            <w:noWrap/>
            <w:hideMark/>
          </w:tcPr>
          <w:p w14:paraId="42B463F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1D6BD28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0.238</w:t>
            </w:r>
          </w:p>
        </w:tc>
        <w:tc>
          <w:tcPr>
            <w:tcW w:w="0" w:type="auto"/>
            <w:tcBorders>
              <w:top w:val="nil"/>
              <w:left w:val="nil"/>
              <w:bottom w:val="single" w:sz="4" w:space="0" w:color="auto"/>
              <w:right w:val="single" w:sz="4" w:space="0" w:color="auto"/>
            </w:tcBorders>
            <w:shd w:val="clear" w:color="auto" w:fill="auto"/>
            <w:noWrap/>
            <w:hideMark/>
          </w:tcPr>
          <w:p w14:paraId="4C791A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0.128</w:t>
            </w:r>
          </w:p>
        </w:tc>
        <w:tc>
          <w:tcPr>
            <w:tcW w:w="0" w:type="auto"/>
            <w:tcBorders>
              <w:top w:val="nil"/>
              <w:left w:val="nil"/>
              <w:bottom w:val="single" w:sz="4" w:space="0" w:color="auto"/>
              <w:right w:val="single" w:sz="4" w:space="0" w:color="auto"/>
            </w:tcBorders>
            <w:shd w:val="clear" w:color="auto" w:fill="auto"/>
            <w:noWrap/>
            <w:hideMark/>
          </w:tcPr>
          <w:p w14:paraId="5CEF127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0.338</w:t>
            </w:r>
          </w:p>
        </w:tc>
        <w:tc>
          <w:tcPr>
            <w:tcW w:w="0" w:type="auto"/>
            <w:tcBorders>
              <w:top w:val="nil"/>
              <w:left w:val="nil"/>
              <w:bottom w:val="single" w:sz="4" w:space="0" w:color="auto"/>
              <w:right w:val="single" w:sz="4" w:space="0" w:color="auto"/>
            </w:tcBorders>
            <w:shd w:val="clear" w:color="auto" w:fill="auto"/>
            <w:noWrap/>
            <w:hideMark/>
          </w:tcPr>
          <w:p w14:paraId="5AA3FC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0.195</w:t>
            </w:r>
          </w:p>
        </w:tc>
        <w:tc>
          <w:tcPr>
            <w:tcW w:w="0" w:type="auto"/>
            <w:tcBorders>
              <w:top w:val="nil"/>
              <w:left w:val="nil"/>
              <w:bottom w:val="single" w:sz="4" w:space="0" w:color="auto"/>
              <w:right w:val="single" w:sz="4" w:space="0" w:color="auto"/>
            </w:tcBorders>
            <w:shd w:val="clear" w:color="auto" w:fill="auto"/>
            <w:noWrap/>
            <w:hideMark/>
          </w:tcPr>
          <w:p w14:paraId="602CE0E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0.792</w:t>
            </w:r>
          </w:p>
        </w:tc>
        <w:tc>
          <w:tcPr>
            <w:tcW w:w="0" w:type="auto"/>
            <w:tcBorders>
              <w:top w:val="nil"/>
              <w:left w:val="nil"/>
              <w:bottom w:val="single" w:sz="4" w:space="0" w:color="auto"/>
              <w:right w:val="single" w:sz="4" w:space="0" w:color="auto"/>
            </w:tcBorders>
            <w:shd w:val="clear" w:color="auto" w:fill="auto"/>
            <w:noWrap/>
            <w:hideMark/>
          </w:tcPr>
          <w:p w14:paraId="34BDE9B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0.164</w:t>
            </w:r>
          </w:p>
        </w:tc>
        <w:tc>
          <w:tcPr>
            <w:tcW w:w="0" w:type="auto"/>
            <w:tcBorders>
              <w:top w:val="nil"/>
              <w:left w:val="nil"/>
              <w:bottom w:val="single" w:sz="4" w:space="0" w:color="auto"/>
              <w:right w:val="single" w:sz="4" w:space="0" w:color="auto"/>
            </w:tcBorders>
            <w:shd w:val="clear" w:color="auto" w:fill="auto"/>
            <w:noWrap/>
            <w:hideMark/>
          </w:tcPr>
          <w:p w14:paraId="74BB265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0.252</w:t>
            </w:r>
          </w:p>
        </w:tc>
      </w:tr>
      <w:tr w:rsidR="00943D0A" w:rsidRPr="00144673" w14:paraId="480371E3"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D2C67C7"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norm_5</w:t>
            </w:r>
          </w:p>
        </w:tc>
        <w:tc>
          <w:tcPr>
            <w:tcW w:w="0" w:type="auto"/>
            <w:tcBorders>
              <w:top w:val="nil"/>
              <w:left w:val="nil"/>
              <w:bottom w:val="single" w:sz="4" w:space="0" w:color="auto"/>
              <w:right w:val="single" w:sz="4" w:space="0" w:color="auto"/>
            </w:tcBorders>
            <w:shd w:val="clear" w:color="auto" w:fill="auto"/>
            <w:noWrap/>
            <w:hideMark/>
          </w:tcPr>
          <w:p w14:paraId="5B961F0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0.342</w:t>
            </w:r>
          </w:p>
        </w:tc>
        <w:tc>
          <w:tcPr>
            <w:tcW w:w="0" w:type="auto"/>
            <w:tcBorders>
              <w:top w:val="nil"/>
              <w:left w:val="nil"/>
              <w:bottom w:val="single" w:sz="4" w:space="0" w:color="auto"/>
              <w:right w:val="single" w:sz="4" w:space="0" w:color="auto"/>
            </w:tcBorders>
            <w:shd w:val="clear" w:color="auto" w:fill="auto"/>
            <w:noWrap/>
            <w:hideMark/>
          </w:tcPr>
          <w:p w14:paraId="2930177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0.091</w:t>
            </w:r>
          </w:p>
        </w:tc>
        <w:tc>
          <w:tcPr>
            <w:tcW w:w="0" w:type="auto"/>
            <w:tcBorders>
              <w:top w:val="nil"/>
              <w:left w:val="nil"/>
              <w:bottom w:val="single" w:sz="4" w:space="0" w:color="auto"/>
              <w:right w:val="single" w:sz="4" w:space="0" w:color="auto"/>
            </w:tcBorders>
            <w:shd w:val="clear" w:color="auto" w:fill="auto"/>
            <w:noWrap/>
            <w:hideMark/>
          </w:tcPr>
          <w:p w14:paraId="35003F1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0.360</w:t>
            </w:r>
          </w:p>
        </w:tc>
        <w:tc>
          <w:tcPr>
            <w:tcW w:w="0" w:type="auto"/>
            <w:tcBorders>
              <w:top w:val="nil"/>
              <w:left w:val="nil"/>
              <w:bottom w:val="single" w:sz="4" w:space="0" w:color="auto"/>
              <w:right w:val="single" w:sz="4" w:space="0" w:color="auto"/>
            </w:tcBorders>
            <w:shd w:val="clear" w:color="auto" w:fill="auto"/>
            <w:noWrap/>
            <w:hideMark/>
          </w:tcPr>
          <w:p w14:paraId="6581248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0.394</w:t>
            </w:r>
          </w:p>
        </w:tc>
        <w:tc>
          <w:tcPr>
            <w:tcW w:w="0" w:type="auto"/>
            <w:tcBorders>
              <w:top w:val="nil"/>
              <w:left w:val="nil"/>
              <w:bottom w:val="single" w:sz="4" w:space="0" w:color="auto"/>
              <w:right w:val="single" w:sz="4" w:space="0" w:color="auto"/>
            </w:tcBorders>
            <w:shd w:val="clear" w:color="auto" w:fill="auto"/>
            <w:noWrap/>
            <w:hideMark/>
          </w:tcPr>
          <w:p w14:paraId="2664353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0.206</w:t>
            </w:r>
          </w:p>
        </w:tc>
        <w:tc>
          <w:tcPr>
            <w:tcW w:w="0" w:type="auto"/>
            <w:tcBorders>
              <w:top w:val="nil"/>
              <w:left w:val="nil"/>
              <w:bottom w:val="single" w:sz="4" w:space="0" w:color="auto"/>
              <w:right w:val="single" w:sz="4" w:space="0" w:color="auto"/>
            </w:tcBorders>
            <w:shd w:val="clear" w:color="auto" w:fill="auto"/>
            <w:noWrap/>
            <w:hideMark/>
          </w:tcPr>
          <w:p w14:paraId="6D59C8A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0.255</w:t>
            </w:r>
          </w:p>
        </w:tc>
        <w:tc>
          <w:tcPr>
            <w:tcW w:w="0" w:type="auto"/>
            <w:tcBorders>
              <w:top w:val="nil"/>
              <w:left w:val="nil"/>
              <w:bottom w:val="single" w:sz="4" w:space="0" w:color="auto"/>
              <w:right w:val="single" w:sz="4" w:space="0" w:color="auto"/>
            </w:tcBorders>
            <w:shd w:val="clear" w:color="auto" w:fill="auto"/>
            <w:noWrap/>
            <w:hideMark/>
          </w:tcPr>
          <w:p w14:paraId="2873BAC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0.403</w:t>
            </w:r>
          </w:p>
        </w:tc>
        <w:tc>
          <w:tcPr>
            <w:tcW w:w="0" w:type="auto"/>
            <w:tcBorders>
              <w:top w:val="nil"/>
              <w:left w:val="nil"/>
              <w:bottom w:val="single" w:sz="4" w:space="0" w:color="auto"/>
              <w:right w:val="single" w:sz="4" w:space="0" w:color="auto"/>
            </w:tcBorders>
            <w:shd w:val="clear" w:color="auto" w:fill="auto"/>
            <w:noWrap/>
            <w:hideMark/>
          </w:tcPr>
          <w:p w14:paraId="7AD17E4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0.319</w:t>
            </w:r>
          </w:p>
        </w:tc>
        <w:tc>
          <w:tcPr>
            <w:tcW w:w="0" w:type="auto"/>
            <w:tcBorders>
              <w:top w:val="nil"/>
              <w:left w:val="nil"/>
              <w:bottom w:val="single" w:sz="4" w:space="0" w:color="auto"/>
              <w:right w:val="single" w:sz="4" w:space="0" w:color="auto"/>
            </w:tcBorders>
            <w:shd w:val="clear" w:color="auto" w:fill="auto"/>
            <w:noWrap/>
            <w:hideMark/>
          </w:tcPr>
          <w:p w14:paraId="51E6015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0.272</w:t>
            </w:r>
          </w:p>
        </w:tc>
        <w:tc>
          <w:tcPr>
            <w:tcW w:w="0" w:type="auto"/>
            <w:tcBorders>
              <w:top w:val="nil"/>
              <w:left w:val="nil"/>
              <w:bottom w:val="single" w:sz="4" w:space="0" w:color="auto"/>
              <w:right w:val="single" w:sz="4" w:space="0" w:color="auto"/>
            </w:tcBorders>
            <w:shd w:val="clear" w:color="auto" w:fill="auto"/>
            <w:noWrap/>
            <w:hideMark/>
          </w:tcPr>
          <w:p w14:paraId="7FCD822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0.277</w:t>
            </w:r>
          </w:p>
        </w:tc>
        <w:tc>
          <w:tcPr>
            <w:tcW w:w="0" w:type="auto"/>
            <w:tcBorders>
              <w:top w:val="nil"/>
              <w:left w:val="nil"/>
              <w:bottom w:val="single" w:sz="4" w:space="0" w:color="auto"/>
              <w:right w:val="single" w:sz="4" w:space="0" w:color="auto"/>
            </w:tcBorders>
            <w:shd w:val="clear" w:color="auto" w:fill="auto"/>
            <w:noWrap/>
            <w:hideMark/>
          </w:tcPr>
          <w:p w14:paraId="0A05EF9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0.240</w:t>
            </w:r>
          </w:p>
        </w:tc>
        <w:tc>
          <w:tcPr>
            <w:tcW w:w="0" w:type="auto"/>
            <w:tcBorders>
              <w:top w:val="nil"/>
              <w:left w:val="nil"/>
              <w:bottom w:val="single" w:sz="4" w:space="0" w:color="auto"/>
              <w:right w:val="single" w:sz="4" w:space="0" w:color="auto"/>
            </w:tcBorders>
            <w:shd w:val="clear" w:color="auto" w:fill="auto"/>
            <w:noWrap/>
            <w:hideMark/>
          </w:tcPr>
          <w:p w14:paraId="20C4AE4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0.452</w:t>
            </w:r>
          </w:p>
        </w:tc>
        <w:tc>
          <w:tcPr>
            <w:tcW w:w="0" w:type="auto"/>
            <w:tcBorders>
              <w:top w:val="nil"/>
              <w:left w:val="nil"/>
              <w:bottom w:val="single" w:sz="4" w:space="0" w:color="auto"/>
              <w:right w:val="single" w:sz="4" w:space="0" w:color="auto"/>
            </w:tcBorders>
            <w:shd w:val="clear" w:color="auto" w:fill="auto"/>
            <w:noWrap/>
            <w:hideMark/>
          </w:tcPr>
          <w:p w14:paraId="345D8A8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0.346</w:t>
            </w:r>
          </w:p>
        </w:tc>
        <w:tc>
          <w:tcPr>
            <w:tcW w:w="0" w:type="auto"/>
            <w:tcBorders>
              <w:top w:val="nil"/>
              <w:left w:val="nil"/>
              <w:bottom w:val="single" w:sz="4" w:space="0" w:color="auto"/>
              <w:right w:val="single" w:sz="4" w:space="0" w:color="auto"/>
            </w:tcBorders>
            <w:shd w:val="clear" w:color="auto" w:fill="auto"/>
            <w:noWrap/>
            <w:hideMark/>
          </w:tcPr>
          <w:p w14:paraId="0398C04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0.832</w:t>
            </w:r>
          </w:p>
        </w:tc>
        <w:tc>
          <w:tcPr>
            <w:tcW w:w="0" w:type="auto"/>
            <w:tcBorders>
              <w:top w:val="nil"/>
              <w:left w:val="nil"/>
              <w:bottom w:val="single" w:sz="4" w:space="0" w:color="auto"/>
              <w:right w:val="single" w:sz="4" w:space="0" w:color="auto"/>
            </w:tcBorders>
            <w:shd w:val="clear" w:color="auto" w:fill="auto"/>
            <w:noWrap/>
            <w:hideMark/>
          </w:tcPr>
          <w:p w14:paraId="161620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0.239</w:t>
            </w:r>
          </w:p>
        </w:tc>
        <w:tc>
          <w:tcPr>
            <w:tcW w:w="0" w:type="auto"/>
            <w:tcBorders>
              <w:top w:val="nil"/>
              <w:left w:val="nil"/>
              <w:bottom w:val="single" w:sz="4" w:space="0" w:color="auto"/>
              <w:right w:val="single" w:sz="4" w:space="0" w:color="auto"/>
            </w:tcBorders>
            <w:shd w:val="clear" w:color="auto" w:fill="auto"/>
            <w:noWrap/>
            <w:hideMark/>
          </w:tcPr>
          <w:p w14:paraId="69ED19C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0.381</w:t>
            </w:r>
          </w:p>
        </w:tc>
      </w:tr>
      <w:tr w:rsidR="00943D0A" w:rsidRPr="00144673" w14:paraId="14AED148"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4734F5F2"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pleasure_1</w:t>
            </w:r>
          </w:p>
        </w:tc>
        <w:tc>
          <w:tcPr>
            <w:tcW w:w="0" w:type="auto"/>
            <w:tcBorders>
              <w:top w:val="nil"/>
              <w:left w:val="nil"/>
              <w:bottom w:val="single" w:sz="4" w:space="0" w:color="auto"/>
              <w:right w:val="single" w:sz="4" w:space="0" w:color="auto"/>
            </w:tcBorders>
            <w:shd w:val="clear" w:color="auto" w:fill="auto"/>
            <w:noWrap/>
            <w:hideMark/>
          </w:tcPr>
          <w:p w14:paraId="55CC0E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0.492</w:t>
            </w:r>
          </w:p>
        </w:tc>
        <w:tc>
          <w:tcPr>
            <w:tcW w:w="0" w:type="auto"/>
            <w:tcBorders>
              <w:top w:val="nil"/>
              <w:left w:val="nil"/>
              <w:bottom w:val="single" w:sz="4" w:space="0" w:color="auto"/>
              <w:right w:val="single" w:sz="4" w:space="0" w:color="auto"/>
            </w:tcBorders>
            <w:shd w:val="clear" w:color="auto" w:fill="auto"/>
            <w:noWrap/>
            <w:hideMark/>
          </w:tcPr>
          <w:p w14:paraId="105A9F9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0.343</w:t>
            </w:r>
          </w:p>
        </w:tc>
        <w:tc>
          <w:tcPr>
            <w:tcW w:w="0" w:type="auto"/>
            <w:tcBorders>
              <w:top w:val="nil"/>
              <w:left w:val="nil"/>
              <w:bottom w:val="single" w:sz="4" w:space="0" w:color="auto"/>
              <w:right w:val="single" w:sz="4" w:space="0" w:color="auto"/>
            </w:tcBorders>
            <w:shd w:val="clear" w:color="auto" w:fill="auto"/>
            <w:noWrap/>
            <w:hideMark/>
          </w:tcPr>
          <w:p w14:paraId="7FA940E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0.554</w:t>
            </w:r>
          </w:p>
        </w:tc>
        <w:tc>
          <w:tcPr>
            <w:tcW w:w="0" w:type="auto"/>
            <w:tcBorders>
              <w:top w:val="nil"/>
              <w:left w:val="nil"/>
              <w:bottom w:val="single" w:sz="4" w:space="0" w:color="auto"/>
              <w:right w:val="single" w:sz="4" w:space="0" w:color="auto"/>
            </w:tcBorders>
            <w:shd w:val="clear" w:color="auto" w:fill="auto"/>
            <w:noWrap/>
            <w:hideMark/>
          </w:tcPr>
          <w:p w14:paraId="1B2C41C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0.513</w:t>
            </w:r>
          </w:p>
        </w:tc>
        <w:tc>
          <w:tcPr>
            <w:tcW w:w="0" w:type="auto"/>
            <w:tcBorders>
              <w:top w:val="nil"/>
              <w:left w:val="nil"/>
              <w:bottom w:val="single" w:sz="4" w:space="0" w:color="auto"/>
              <w:right w:val="single" w:sz="4" w:space="0" w:color="auto"/>
            </w:tcBorders>
            <w:shd w:val="clear" w:color="auto" w:fill="auto"/>
            <w:noWrap/>
            <w:hideMark/>
          </w:tcPr>
          <w:p w14:paraId="0BE431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0.668</w:t>
            </w:r>
          </w:p>
        </w:tc>
        <w:tc>
          <w:tcPr>
            <w:tcW w:w="0" w:type="auto"/>
            <w:tcBorders>
              <w:top w:val="nil"/>
              <w:left w:val="nil"/>
              <w:bottom w:val="single" w:sz="4" w:space="0" w:color="auto"/>
              <w:right w:val="single" w:sz="4" w:space="0" w:color="auto"/>
            </w:tcBorders>
            <w:shd w:val="clear" w:color="auto" w:fill="auto"/>
            <w:noWrap/>
            <w:hideMark/>
          </w:tcPr>
          <w:p w14:paraId="4C38D8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0.347</w:t>
            </w:r>
          </w:p>
        </w:tc>
        <w:tc>
          <w:tcPr>
            <w:tcW w:w="0" w:type="auto"/>
            <w:tcBorders>
              <w:top w:val="nil"/>
              <w:left w:val="nil"/>
              <w:bottom w:val="single" w:sz="4" w:space="0" w:color="auto"/>
              <w:right w:val="single" w:sz="4" w:space="0" w:color="auto"/>
            </w:tcBorders>
            <w:shd w:val="clear" w:color="auto" w:fill="auto"/>
            <w:noWrap/>
            <w:hideMark/>
          </w:tcPr>
          <w:p w14:paraId="3BDCE1C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0.609</w:t>
            </w:r>
          </w:p>
        </w:tc>
        <w:tc>
          <w:tcPr>
            <w:tcW w:w="0" w:type="auto"/>
            <w:tcBorders>
              <w:top w:val="nil"/>
              <w:left w:val="nil"/>
              <w:bottom w:val="single" w:sz="4" w:space="0" w:color="auto"/>
              <w:right w:val="single" w:sz="4" w:space="0" w:color="auto"/>
            </w:tcBorders>
            <w:shd w:val="clear" w:color="auto" w:fill="auto"/>
            <w:noWrap/>
            <w:hideMark/>
          </w:tcPr>
          <w:p w14:paraId="23CE57F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0.154</w:t>
            </w:r>
          </w:p>
        </w:tc>
        <w:tc>
          <w:tcPr>
            <w:tcW w:w="0" w:type="auto"/>
            <w:tcBorders>
              <w:top w:val="nil"/>
              <w:left w:val="nil"/>
              <w:bottom w:val="single" w:sz="4" w:space="0" w:color="auto"/>
              <w:right w:val="single" w:sz="4" w:space="0" w:color="auto"/>
            </w:tcBorders>
            <w:shd w:val="clear" w:color="auto" w:fill="auto"/>
            <w:noWrap/>
            <w:hideMark/>
          </w:tcPr>
          <w:p w14:paraId="3E11CC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0.400</w:t>
            </w:r>
          </w:p>
        </w:tc>
        <w:tc>
          <w:tcPr>
            <w:tcW w:w="0" w:type="auto"/>
            <w:tcBorders>
              <w:top w:val="nil"/>
              <w:left w:val="nil"/>
              <w:bottom w:val="single" w:sz="4" w:space="0" w:color="auto"/>
              <w:right w:val="single" w:sz="4" w:space="0" w:color="auto"/>
            </w:tcBorders>
            <w:shd w:val="clear" w:color="auto" w:fill="auto"/>
            <w:noWrap/>
            <w:hideMark/>
          </w:tcPr>
          <w:p w14:paraId="4BE4799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171A1AD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0.481</w:t>
            </w:r>
          </w:p>
        </w:tc>
        <w:tc>
          <w:tcPr>
            <w:tcW w:w="0" w:type="auto"/>
            <w:tcBorders>
              <w:top w:val="nil"/>
              <w:left w:val="nil"/>
              <w:bottom w:val="single" w:sz="4" w:space="0" w:color="auto"/>
              <w:right w:val="single" w:sz="4" w:space="0" w:color="auto"/>
            </w:tcBorders>
            <w:shd w:val="clear" w:color="auto" w:fill="auto"/>
            <w:noWrap/>
            <w:hideMark/>
          </w:tcPr>
          <w:p w14:paraId="5F8429F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0.356</w:t>
            </w:r>
          </w:p>
        </w:tc>
        <w:tc>
          <w:tcPr>
            <w:tcW w:w="0" w:type="auto"/>
            <w:tcBorders>
              <w:top w:val="nil"/>
              <w:left w:val="nil"/>
              <w:bottom w:val="single" w:sz="4" w:space="0" w:color="auto"/>
              <w:right w:val="single" w:sz="4" w:space="0" w:color="auto"/>
            </w:tcBorders>
            <w:shd w:val="clear" w:color="auto" w:fill="auto"/>
            <w:noWrap/>
            <w:hideMark/>
          </w:tcPr>
          <w:p w14:paraId="6C4A67E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0.625</w:t>
            </w:r>
          </w:p>
        </w:tc>
        <w:tc>
          <w:tcPr>
            <w:tcW w:w="0" w:type="auto"/>
            <w:tcBorders>
              <w:top w:val="nil"/>
              <w:left w:val="nil"/>
              <w:bottom w:val="single" w:sz="4" w:space="0" w:color="auto"/>
              <w:right w:val="single" w:sz="4" w:space="0" w:color="auto"/>
            </w:tcBorders>
            <w:shd w:val="clear" w:color="auto" w:fill="auto"/>
            <w:noWrap/>
            <w:hideMark/>
          </w:tcPr>
          <w:p w14:paraId="7D81093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0.215</w:t>
            </w:r>
          </w:p>
        </w:tc>
        <w:tc>
          <w:tcPr>
            <w:tcW w:w="0" w:type="auto"/>
            <w:tcBorders>
              <w:top w:val="nil"/>
              <w:left w:val="nil"/>
              <w:bottom w:val="single" w:sz="4" w:space="0" w:color="auto"/>
              <w:right w:val="single" w:sz="4" w:space="0" w:color="auto"/>
            </w:tcBorders>
            <w:shd w:val="clear" w:color="auto" w:fill="auto"/>
            <w:noWrap/>
            <w:hideMark/>
          </w:tcPr>
          <w:p w14:paraId="5A4A9BC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0.879</w:t>
            </w:r>
          </w:p>
        </w:tc>
        <w:tc>
          <w:tcPr>
            <w:tcW w:w="0" w:type="auto"/>
            <w:tcBorders>
              <w:top w:val="nil"/>
              <w:left w:val="nil"/>
              <w:bottom w:val="single" w:sz="4" w:space="0" w:color="auto"/>
              <w:right w:val="single" w:sz="4" w:space="0" w:color="auto"/>
            </w:tcBorders>
            <w:shd w:val="clear" w:color="auto" w:fill="auto"/>
            <w:noWrap/>
            <w:hideMark/>
          </w:tcPr>
          <w:p w14:paraId="7B4803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0.416</w:t>
            </w:r>
          </w:p>
        </w:tc>
      </w:tr>
      <w:tr w:rsidR="00943D0A" w:rsidRPr="00144673" w14:paraId="6FBD6AFF"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119F7B6B"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pleasure_2</w:t>
            </w:r>
          </w:p>
        </w:tc>
        <w:tc>
          <w:tcPr>
            <w:tcW w:w="0" w:type="auto"/>
            <w:tcBorders>
              <w:top w:val="nil"/>
              <w:left w:val="nil"/>
              <w:bottom w:val="single" w:sz="4" w:space="0" w:color="auto"/>
              <w:right w:val="single" w:sz="4" w:space="0" w:color="auto"/>
            </w:tcBorders>
            <w:shd w:val="clear" w:color="auto" w:fill="auto"/>
            <w:noWrap/>
            <w:hideMark/>
          </w:tcPr>
          <w:p w14:paraId="2E4E7D8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0.483</w:t>
            </w:r>
          </w:p>
        </w:tc>
        <w:tc>
          <w:tcPr>
            <w:tcW w:w="0" w:type="auto"/>
            <w:tcBorders>
              <w:top w:val="nil"/>
              <w:left w:val="nil"/>
              <w:bottom w:val="single" w:sz="4" w:space="0" w:color="auto"/>
              <w:right w:val="single" w:sz="4" w:space="0" w:color="auto"/>
            </w:tcBorders>
            <w:shd w:val="clear" w:color="auto" w:fill="auto"/>
            <w:noWrap/>
            <w:hideMark/>
          </w:tcPr>
          <w:p w14:paraId="1433879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0.338</w:t>
            </w:r>
          </w:p>
        </w:tc>
        <w:tc>
          <w:tcPr>
            <w:tcW w:w="0" w:type="auto"/>
            <w:tcBorders>
              <w:top w:val="nil"/>
              <w:left w:val="nil"/>
              <w:bottom w:val="single" w:sz="4" w:space="0" w:color="auto"/>
              <w:right w:val="single" w:sz="4" w:space="0" w:color="auto"/>
            </w:tcBorders>
            <w:shd w:val="clear" w:color="auto" w:fill="auto"/>
            <w:noWrap/>
            <w:hideMark/>
          </w:tcPr>
          <w:p w14:paraId="17E50E3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0.558</w:t>
            </w:r>
          </w:p>
        </w:tc>
        <w:tc>
          <w:tcPr>
            <w:tcW w:w="0" w:type="auto"/>
            <w:tcBorders>
              <w:top w:val="nil"/>
              <w:left w:val="nil"/>
              <w:bottom w:val="single" w:sz="4" w:space="0" w:color="auto"/>
              <w:right w:val="single" w:sz="4" w:space="0" w:color="auto"/>
            </w:tcBorders>
            <w:shd w:val="clear" w:color="auto" w:fill="auto"/>
            <w:noWrap/>
            <w:hideMark/>
          </w:tcPr>
          <w:p w14:paraId="495DFD9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0.548</w:t>
            </w:r>
          </w:p>
        </w:tc>
        <w:tc>
          <w:tcPr>
            <w:tcW w:w="0" w:type="auto"/>
            <w:tcBorders>
              <w:top w:val="nil"/>
              <w:left w:val="nil"/>
              <w:bottom w:val="single" w:sz="4" w:space="0" w:color="auto"/>
              <w:right w:val="single" w:sz="4" w:space="0" w:color="auto"/>
            </w:tcBorders>
            <w:shd w:val="clear" w:color="auto" w:fill="auto"/>
            <w:noWrap/>
            <w:hideMark/>
          </w:tcPr>
          <w:p w14:paraId="35D7300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0.631</w:t>
            </w:r>
          </w:p>
        </w:tc>
        <w:tc>
          <w:tcPr>
            <w:tcW w:w="0" w:type="auto"/>
            <w:tcBorders>
              <w:top w:val="nil"/>
              <w:left w:val="nil"/>
              <w:bottom w:val="single" w:sz="4" w:space="0" w:color="auto"/>
              <w:right w:val="single" w:sz="4" w:space="0" w:color="auto"/>
            </w:tcBorders>
            <w:shd w:val="clear" w:color="auto" w:fill="auto"/>
            <w:noWrap/>
            <w:hideMark/>
          </w:tcPr>
          <w:p w14:paraId="1B5A34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0.370</w:t>
            </w:r>
          </w:p>
        </w:tc>
        <w:tc>
          <w:tcPr>
            <w:tcW w:w="0" w:type="auto"/>
            <w:tcBorders>
              <w:top w:val="nil"/>
              <w:left w:val="nil"/>
              <w:bottom w:val="single" w:sz="4" w:space="0" w:color="auto"/>
              <w:right w:val="single" w:sz="4" w:space="0" w:color="auto"/>
            </w:tcBorders>
            <w:shd w:val="clear" w:color="auto" w:fill="auto"/>
            <w:noWrap/>
            <w:hideMark/>
          </w:tcPr>
          <w:p w14:paraId="6EA3397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0.551</w:t>
            </w:r>
          </w:p>
        </w:tc>
        <w:tc>
          <w:tcPr>
            <w:tcW w:w="0" w:type="auto"/>
            <w:tcBorders>
              <w:top w:val="nil"/>
              <w:left w:val="nil"/>
              <w:bottom w:val="single" w:sz="4" w:space="0" w:color="auto"/>
              <w:right w:val="single" w:sz="4" w:space="0" w:color="auto"/>
            </w:tcBorders>
            <w:shd w:val="clear" w:color="auto" w:fill="auto"/>
            <w:noWrap/>
            <w:hideMark/>
          </w:tcPr>
          <w:p w14:paraId="06E0970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0.129</w:t>
            </w:r>
          </w:p>
        </w:tc>
        <w:tc>
          <w:tcPr>
            <w:tcW w:w="0" w:type="auto"/>
            <w:tcBorders>
              <w:top w:val="nil"/>
              <w:left w:val="nil"/>
              <w:bottom w:val="single" w:sz="4" w:space="0" w:color="auto"/>
              <w:right w:val="single" w:sz="4" w:space="0" w:color="auto"/>
            </w:tcBorders>
            <w:shd w:val="clear" w:color="auto" w:fill="auto"/>
            <w:noWrap/>
            <w:hideMark/>
          </w:tcPr>
          <w:p w14:paraId="710E805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0.373</w:t>
            </w:r>
          </w:p>
        </w:tc>
        <w:tc>
          <w:tcPr>
            <w:tcW w:w="0" w:type="auto"/>
            <w:tcBorders>
              <w:top w:val="nil"/>
              <w:left w:val="nil"/>
              <w:bottom w:val="single" w:sz="4" w:space="0" w:color="auto"/>
              <w:right w:val="single" w:sz="4" w:space="0" w:color="auto"/>
            </w:tcBorders>
            <w:shd w:val="clear" w:color="auto" w:fill="auto"/>
            <w:noWrap/>
            <w:hideMark/>
          </w:tcPr>
          <w:p w14:paraId="545E8E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0.453</w:t>
            </w:r>
          </w:p>
        </w:tc>
        <w:tc>
          <w:tcPr>
            <w:tcW w:w="0" w:type="auto"/>
            <w:tcBorders>
              <w:top w:val="nil"/>
              <w:left w:val="nil"/>
              <w:bottom w:val="single" w:sz="4" w:space="0" w:color="auto"/>
              <w:right w:val="single" w:sz="4" w:space="0" w:color="auto"/>
            </w:tcBorders>
            <w:shd w:val="clear" w:color="auto" w:fill="auto"/>
            <w:noWrap/>
            <w:hideMark/>
          </w:tcPr>
          <w:p w14:paraId="4A8EB3E0"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0.531</w:t>
            </w:r>
          </w:p>
        </w:tc>
        <w:tc>
          <w:tcPr>
            <w:tcW w:w="0" w:type="auto"/>
            <w:tcBorders>
              <w:top w:val="nil"/>
              <w:left w:val="nil"/>
              <w:bottom w:val="single" w:sz="4" w:space="0" w:color="auto"/>
              <w:right w:val="single" w:sz="4" w:space="0" w:color="auto"/>
            </w:tcBorders>
            <w:shd w:val="clear" w:color="auto" w:fill="auto"/>
            <w:noWrap/>
            <w:hideMark/>
          </w:tcPr>
          <w:p w14:paraId="5F9762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0.315</w:t>
            </w:r>
          </w:p>
        </w:tc>
        <w:tc>
          <w:tcPr>
            <w:tcW w:w="0" w:type="auto"/>
            <w:tcBorders>
              <w:top w:val="nil"/>
              <w:left w:val="nil"/>
              <w:bottom w:val="single" w:sz="4" w:space="0" w:color="auto"/>
              <w:right w:val="single" w:sz="4" w:space="0" w:color="auto"/>
            </w:tcBorders>
            <w:shd w:val="clear" w:color="auto" w:fill="auto"/>
            <w:noWrap/>
            <w:hideMark/>
          </w:tcPr>
          <w:p w14:paraId="4DA135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0.656</w:t>
            </w:r>
          </w:p>
        </w:tc>
        <w:tc>
          <w:tcPr>
            <w:tcW w:w="0" w:type="auto"/>
            <w:tcBorders>
              <w:top w:val="nil"/>
              <w:left w:val="nil"/>
              <w:bottom w:val="single" w:sz="4" w:space="0" w:color="auto"/>
              <w:right w:val="single" w:sz="4" w:space="0" w:color="auto"/>
            </w:tcBorders>
            <w:shd w:val="clear" w:color="auto" w:fill="auto"/>
            <w:noWrap/>
            <w:hideMark/>
          </w:tcPr>
          <w:p w14:paraId="3C82BA5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0.211</w:t>
            </w:r>
          </w:p>
        </w:tc>
        <w:tc>
          <w:tcPr>
            <w:tcW w:w="0" w:type="auto"/>
            <w:tcBorders>
              <w:top w:val="nil"/>
              <w:left w:val="nil"/>
              <w:bottom w:val="single" w:sz="4" w:space="0" w:color="auto"/>
              <w:right w:val="single" w:sz="4" w:space="0" w:color="auto"/>
            </w:tcBorders>
            <w:shd w:val="clear" w:color="auto" w:fill="auto"/>
            <w:noWrap/>
            <w:hideMark/>
          </w:tcPr>
          <w:p w14:paraId="7E33B37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0.889</w:t>
            </w:r>
          </w:p>
        </w:tc>
        <w:tc>
          <w:tcPr>
            <w:tcW w:w="0" w:type="auto"/>
            <w:tcBorders>
              <w:top w:val="nil"/>
              <w:left w:val="nil"/>
              <w:bottom w:val="single" w:sz="4" w:space="0" w:color="auto"/>
              <w:right w:val="single" w:sz="4" w:space="0" w:color="auto"/>
            </w:tcBorders>
            <w:shd w:val="clear" w:color="auto" w:fill="auto"/>
            <w:noWrap/>
            <w:hideMark/>
          </w:tcPr>
          <w:p w14:paraId="20797D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0.458</w:t>
            </w:r>
          </w:p>
        </w:tc>
      </w:tr>
      <w:tr w:rsidR="00943D0A" w:rsidRPr="00144673" w14:paraId="4B71D291"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50BEBE75"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pleasure_3</w:t>
            </w:r>
          </w:p>
        </w:tc>
        <w:tc>
          <w:tcPr>
            <w:tcW w:w="0" w:type="auto"/>
            <w:tcBorders>
              <w:top w:val="nil"/>
              <w:left w:val="nil"/>
              <w:bottom w:val="single" w:sz="4" w:space="0" w:color="auto"/>
              <w:right w:val="single" w:sz="4" w:space="0" w:color="auto"/>
            </w:tcBorders>
            <w:shd w:val="clear" w:color="auto" w:fill="auto"/>
            <w:noWrap/>
            <w:hideMark/>
          </w:tcPr>
          <w:p w14:paraId="409D783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0.488</w:t>
            </w:r>
          </w:p>
        </w:tc>
        <w:tc>
          <w:tcPr>
            <w:tcW w:w="0" w:type="auto"/>
            <w:tcBorders>
              <w:top w:val="nil"/>
              <w:left w:val="nil"/>
              <w:bottom w:val="single" w:sz="4" w:space="0" w:color="auto"/>
              <w:right w:val="single" w:sz="4" w:space="0" w:color="auto"/>
            </w:tcBorders>
            <w:shd w:val="clear" w:color="auto" w:fill="auto"/>
            <w:noWrap/>
            <w:hideMark/>
          </w:tcPr>
          <w:p w14:paraId="741A2E3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0.362</w:t>
            </w:r>
          </w:p>
        </w:tc>
        <w:tc>
          <w:tcPr>
            <w:tcW w:w="0" w:type="auto"/>
            <w:tcBorders>
              <w:top w:val="nil"/>
              <w:left w:val="nil"/>
              <w:bottom w:val="single" w:sz="4" w:space="0" w:color="auto"/>
              <w:right w:val="single" w:sz="4" w:space="0" w:color="auto"/>
            </w:tcBorders>
            <w:shd w:val="clear" w:color="auto" w:fill="auto"/>
            <w:noWrap/>
            <w:hideMark/>
          </w:tcPr>
          <w:p w14:paraId="2B6C22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0.515</w:t>
            </w:r>
          </w:p>
        </w:tc>
        <w:tc>
          <w:tcPr>
            <w:tcW w:w="0" w:type="auto"/>
            <w:tcBorders>
              <w:top w:val="nil"/>
              <w:left w:val="nil"/>
              <w:bottom w:val="single" w:sz="4" w:space="0" w:color="auto"/>
              <w:right w:val="single" w:sz="4" w:space="0" w:color="auto"/>
            </w:tcBorders>
            <w:shd w:val="clear" w:color="auto" w:fill="auto"/>
            <w:noWrap/>
            <w:hideMark/>
          </w:tcPr>
          <w:p w14:paraId="6E7F706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0.470</w:t>
            </w:r>
          </w:p>
        </w:tc>
        <w:tc>
          <w:tcPr>
            <w:tcW w:w="0" w:type="auto"/>
            <w:tcBorders>
              <w:top w:val="nil"/>
              <w:left w:val="nil"/>
              <w:bottom w:val="single" w:sz="4" w:space="0" w:color="auto"/>
              <w:right w:val="single" w:sz="4" w:space="0" w:color="auto"/>
            </w:tcBorders>
            <w:shd w:val="clear" w:color="auto" w:fill="auto"/>
            <w:noWrap/>
            <w:hideMark/>
          </w:tcPr>
          <w:p w14:paraId="2A0720A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0.625</w:t>
            </w:r>
          </w:p>
        </w:tc>
        <w:tc>
          <w:tcPr>
            <w:tcW w:w="0" w:type="auto"/>
            <w:tcBorders>
              <w:top w:val="nil"/>
              <w:left w:val="nil"/>
              <w:bottom w:val="single" w:sz="4" w:space="0" w:color="auto"/>
              <w:right w:val="single" w:sz="4" w:space="0" w:color="auto"/>
            </w:tcBorders>
            <w:shd w:val="clear" w:color="auto" w:fill="auto"/>
            <w:noWrap/>
            <w:hideMark/>
          </w:tcPr>
          <w:p w14:paraId="6E7C008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0.306</w:t>
            </w:r>
          </w:p>
        </w:tc>
        <w:tc>
          <w:tcPr>
            <w:tcW w:w="0" w:type="auto"/>
            <w:tcBorders>
              <w:top w:val="nil"/>
              <w:left w:val="nil"/>
              <w:bottom w:val="single" w:sz="4" w:space="0" w:color="auto"/>
              <w:right w:val="single" w:sz="4" w:space="0" w:color="auto"/>
            </w:tcBorders>
            <w:shd w:val="clear" w:color="auto" w:fill="auto"/>
            <w:noWrap/>
            <w:hideMark/>
          </w:tcPr>
          <w:p w14:paraId="262D29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0.549</w:t>
            </w:r>
          </w:p>
        </w:tc>
        <w:tc>
          <w:tcPr>
            <w:tcW w:w="0" w:type="auto"/>
            <w:tcBorders>
              <w:top w:val="nil"/>
              <w:left w:val="nil"/>
              <w:bottom w:val="single" w:sz="4" w:space="0" w:color="auto"/>
              <w:right w:val="single" w:sz="4" w:space="0" w:color="auto"/>
            </w:tcBorders>
            <w:shd w:val="clear" w:color="auto" w:fill="auto"/>
            <w:noWrap/>
            <w:hideMark/>
          </w:tcPr>
          <w:p w14:paraId="2DA8EFD8"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0.108</w:t>
            </w:r>
          </w:p>
        </w:tc>
        <w:tc>
          <w:tcPr>
            <w:tcW w:w="0" w:type="auto"/>
            <w:tcBorders>
              <w:top w:val="nil"/>
              <w:left w:val="nil"/>
              <w:bottom w:val="single" w:sz="4" w:space="0" w:color="auto"/>
              <w:right w:val="single" w:sz="4" w:space="0" w:color="auto"/>
            </w:tcBorders>
            <w:shd w:val="clear" w:color="auto" w:fill="auto"/>
            <w:noWrap/>
            <w:hideMark/>
          </w:tcPr>
          <w:p w14:paraId="4505F38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0.333</w:t>
            </w:r>
          </w:p>
        </w:tc>
        <w:tc>
          <w:tcPr>
            <w:tcW w:w="0" w:type="auto"/>
            <w:tcBorders>
              <w:top w:val="nil"/>
              <w:left w:val="nil"/>
              <w:bottom w:val="single" w:sz="4" w:space="0" w:color="auto"/>
              <w:right w:val="single" w:sz="4" w:space="0" w:color="auto"/>
            </w:tcBorders>
            <w:shd w:val="clear" w:color="auto" w:fill="auto"/>
            <w:noWrap/>
            <w:hideMark/>
          </w:tcPr>
          <w:p w14:paraId="105D705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0.499</w:t>
            </w:r>
          </w:p>
        </w:tc>
        <w:tc>
          <w:tcPr>
            <w:tcW w:w="0" w:type="auto"/>
            <w:tcBorders>
              <w:top w:val="nil"/>
              <w:left w:val="nil"/>
              <w:bottom w:val="single" w:sz="4" w:space="0" w:color="auto"/>
              <w:right w:val="single" w:sz="4" w:space="0" w:color="auto"/>
            </w:tcBorders>
            <w:shd w:val="clear" w:color="auto" w:fill="auto"/>
            <w:noWrap/>
            <w:hideMark/>
          </w:tcPr>
          <w:p w14:paraId="6BACA18F"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0.411</w:t>
            </w:r>
          </w:p>
        </w:tc>
        <w:tc>
          <w:tcPr>
            <w:tcW w:w="0" w:type="auto"/>
            <w:tcBorders>
              <w:top w:val="nil"/>
              <w:left w:val="nil"/>
              <w:bottom w:val="single" w:sz="4" w:space="0" w:color="auto"/>
              <w:right w:val="single" w:sz="4" w:space="0" w:color="auto"/>
            </w:tcBorders>
            <w:shd w:val="clear" w:color="auto" w:fill="auto"/>
            <w:noWrap/>
            <w:hideMark/>
          </w:tcPr>
          <w:p w14:paraId="58BEDBD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0.335</w:t>
            </w:r>
          </w:p>
        </w:tc>
        <w:tc>
          <w:tcPr>
            <w:tcW w:w="0" w:type="auto"/>
            <w:tcBorders>
              <w:top w:val="nil"/>
              <w:left w:val="nil"/>
              <w:bottom w:val="single" w:sz="4" w:space="0" w:color="auto"/>
              <w:right w:val="single" w:sz="4" w:space="0" w:color="auto"/>
            </w:tcBorders>
            <w:shd w:val="clear" w:color="auto" w:fill="auto"/>
            <w:noWrap/>
            <w:hideMark/>
          </w:tcPr>
          <w:p w14:paraId="2D05A34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0.600</w:t>
            </w:r>
          </w:p>
        </w:tc>
        <w:tc>
          <w:tcPr>
            <w:tcW w:w="0" w:type="auto"/>
            <w:tcBorders>
              <w:top w:val="nil"/>
              <w:left w:val="nil"/>
              <w:bottom w:val="single" w:sz="4" w:space="0" w:color="auto"/>
              <w:right w:val="single" w:sz="4" w:space="0" w:color="auto"/>
            </w:tcBorders>
            <w:shd w:val="clear" w:color="auto" w:fill="auto"/>
            <w:noWrap/>
            <w:hideMark/>
          </w:tcPr>
          <w:p w14:paraId="4C5677AB"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0.192</w:t>
            </w:r>
          </w:p>
        </w:tc>
        <w:tc>
          <w:tcPr>
            <w:tcW w:w="0" w:type="auto"/>
            <w:tcBorders>
              <w:top w:val="nil"/>
              <w:left w:val="nil"/>
              <w:bottom w:val="single" w:sz="4" w:space="0" w:color="auto"/>
              <w:right w:val="single" w:sz="4" w:space="0" w:color="auto"/>
            </w:tcBorders>
            <w:shd w:val="clear" w:color="auto" w:fill="auto"/>
            <w:noWrap/>
            <w:hideMark/>
          </w:tcPr>
          <w:p w14:paraId="2C39CBE4"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0.866</w:t>
            </w:r>
          </w:p>
        </w:tc>
        <w:tc>
          <w:tcPr>
            <w:tcW w:w="0" w:type="auto"/>
            <w:tcBorders>
              <w:top w:val="nil"/>
              <w:left w:val="nil"/>
              <w:bottom w:val="single" w:sz="4" w:space="0" w:color="auto"/>
              <w:right w:val="single" w:sz="4" w:space="0" w:color="auto"/>
            </w:tcBorders>
            <w:shd w:val="clear" w:color="auto" w:fill="auto"/>
            <w:noWrap/>
            <w:hideMark/>
          </w:tcPr>
          <w:p w14:paraId="404FAB77"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0.403</w:t>
            </w:r>
          </w:p>
        </w:tc>
      </w:tr>
      <w:tr w:rsidR="00943D0A" w:rsidRPr="00144673" w14:paraId="780995B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68A7D273"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pleasure_4</w:t>
            </w:r>
          </w:p>
        </w:tc>
        <w:tc>
          <w:tcPr>
            <w:tcW w:w="0" w:type="auto"/>
            <w:tcBorders>
              <w:top w:val="nil"/>
              <w:left w:val="nil"/>
              <w:bottom w:val="single" w:sz="4" w:space="0" w:color="auto"/>
              <w:right w:val="single" w:sz="4" w:space="0" w:color="auto"/>
            </w:tcBorders>
            <w:shd w:val="clear" w:color="auto" w:fill="auto"/>
            <w:noWrap/>
            <w:hideMark/>
          </w:tcPr>
          <w:p w14:paraId="0941747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0.484</w:t>
            </w:r>
          </w:p>
        </w:tc>
        <w:tc>
          <w:tcPr>
            <w:tcW w:w="0" w:type="auto"/>
            <w:tcBorders>
              <w:top w:val="nil"/>
              <w:left w:val="nil"/>
              <w:bottom w:val="single" w:sz="4" w:space="0" w:color="auto"/>
              <w:right w:val="single" w:sz="4" w:space="0" w:color="auto"/>
            </w:tcBorders>
            <w:shd w:val="clear" w:color="auto" w:fill="auto"/>
            <w:noWrap/>
            <w:hideMark/>
          </w:tcPr>
          <w:p w14:paraId="2F1D1E1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0.265</w:t>
            </w:r>
          </w:p>
        </w:tc>
        <w:tc>
          <w:tcPr>
            <w:tcW w:w="0" w:type="auto"/>
            <w:tcBorders>
              <w:top w:val="nil"/>
              <w:left w:val="nil"/>
              <w:bottom w:val="single" w:sz="4" w:space="0" w:color="auto"/>
              <w:right w:val="single" w:sz="4" w:space="0" w:color="auto"/>
            </w:tcBorders>
            <w:shd w:val="clear" w:color="auto" w:fill="auto"/>
            <w:noWrap/>
            <w:hideMark/>
          </w:tcPr>
          <w:p w14:paraId="0B1943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0.484</w:t>
            </w:r>
          </w:p>
        </w:tc>
        <w:tc>
          <w:tcPr>
            <w:tcW w:w="0" w:type="auto"/>
            <w:tcBorders>
              <w:top w:val="nil"/>
              <w:left w:val="nil"/>
              <w:bottom w:val="single" w:sz="4" w:space="0" w:color="auto"/>
              <w:right w:val="single" w:sz="4" w:space="0" w:color="auto"/>
            </w:tcBorders>
            <w:shd w:val="clear" w:color="auto" w:fill="auto"/>
            <w:noWrap/>
            <w:hideMark/>
          </w:tcPr>
          <w:p w14:paraId="6340A20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0.550</w:t>
            </w:r>
          </w:p>
        </w:tc>
        <w:tc>
          <w:tcPr>
            <w:tcW w:w="0" w:type="auto"/>
            <w:tcBorders>
              <w:top w:val="nil"/>
              <w:left w:val="nil"/>
              <w:bottom w:val="single" w:sz="4" w:space="0" w:color="auto"/>
              <w:right w:val="single" w:sz="4" w:space="0" w:color="auto"/>
            </w:tcBorders>
            <w:shd w:val="clear" w:color="auto" w:fill="auto"/>
            <w:noWrap/>
            <w:hideMark/>
          </w:tcPr>
          <w:p w14:paraId="4195D1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0.605</w:t>
            </w:r>
          </w:p>
        </w:tc>
        <w:tc>
          <w:tcPr>
            <w:tcW w:w="0" w:type="auto"/>
            <w:tcBorders>
              <w:top w:val="nil"/>
              <w:left w:val="nil"/>
              <w:bottom w:val="single" w:sz="4" w:space="0" w:color="auto"/>
              <w:right w:val="single" w:sz="4" w:space="0" w:color="auto"/>
            </w:tcBorders>
            <w:shd w:val="clear" w:color="auto" w:fill="auto"/>
            <w:noWrap/>
            <w:hideMark/>
          </w:tcPr>
          <w:p w14:paraId="2B8A2A45"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0.193</w:t>
            </w:r>
          </w:p>
        </w:tc>
        <w:tc>
          <w:tcPr>
            <w:tcW w:w="0" w:type="auto"/>
            <w:tcBorders>
              <w:top w:val="nil"/>
              <w:left w:val="nil"/>
              <w:bottom w:val="single" w:sz="4" w:space="0" w:color="auto"/>
              <w:right w:val="single" w:sz="4" w:space="0" w:color="auto"/>
            </w:tcBorders>
            <w:shd w:val="clear" w:color="auto" w:fill="auto"/>
            <w:noWrap/>
            <w:hideMark/>
          </w:tcPr>
          <w:p w14:paraId="6E84699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0.512</w:t>
            </w:r>
          </w:p>
        </w:tc>
        <w:tc>
          <w:tcPr>
            <w:tcW w:w="0" w:type="auto"/>
            <w:tcBorders>
              <w:top w:val="nil"/>
              <w:left w:val="nil"/>
              <w:bottom w:val="single" w:sz="4" w:space="0" w:color="auto"/>
              <w:right w:val="single" w:sz="4" w:space="0" w:color="auto"/>
            </w:tcBorders>
            <w:shd w:val="clear" w:color="auto" w:fill="auto"/>
            <w:noWrap/>
            <w:hideMark/>
          </w:tcPr>
          <w:p w14:paraId="68D48FF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0.244</w:t>
            </w:r>
          </w:p>
        </w:tc>
        <w:tc>
          <w:tcPr>
            <w:tcW w:w="0" w:type="auto"/>
            <w:tcBorders>
              <w:top w:val="nil"/>
              <w:left w:val="nil"/>
              <w:bottom w:val="single" w:sz="4" w:space="0" w:color="auto"/>
              <w:right w:val="single" w:sz="4" w:space="0" w:color="auto"/>
            </w:tcBorders>
            <w:shd w:val="clear" w:color="auto" w:fill="auto"/>
            <w:noWrap/>
            <w:hideMark/>
          </w:tcPr>
          <w:p w14:paraId="3DA4C2B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0.318</w:t>
            </w:r>
          </w:p>
        </w:tc>
        <w:tc>
          <w:tcPr>
            <w:tcW w:w="0" w:type="auto"/>
            <w:tcBorders>
              <w:top w:val="nil"/>
              <w:left w:val="nil"/>
              <w:bottom w:val="single" w:sz="4" w:space="0" w:color="auto"/>
              <w:right w:val="single" w:sz="4" w:space="0" w:color="auto"/>
            </w:tcBorders>
            <w:shd w:val="clear" w:color="auto" w:fill="auto"/>
            <w:noWrap/>
            <w:hideMark/>
          </w:tcPr>
          <w:p w14:paraId="74CFA0B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0.461</w:t>
            </w:r>
          </w:p>
        </w:tc>
        <w:tc>
          <w:tcPr>
            <w:tcW w:w="0" w:type="auto"/>
            <w:tcBorders>
              <w:top w:val="nil"/>
              <w:left w:val="nil"/>
              <w:bottom w:val="single" w:sz="4" w:space="0" w:color="auto"/>
              <w:right w:val="single" w:sz="4" w:space="0" w:color="auto"/>
            </w:tcBorders>
            <w:shd w:val="clear" w:color="auto" w:fill="auto"/>
            <w:noWrap/>
            <w:hideMark/>
          </w:tcPr>
          <w:p w14:paraId="5C55F82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0.481</w:t>
            </w:r>
          </w:p>
        </w:tc>
        <w:tc>
          <w:tcPr>
            <w:tcW w:w="0" w:type="auto"/>
            <w:tcBorders>
              <w:top w:val="nil"/>
              <w:left w:val="nil"/>
              <w:bottom w:val="single" w:sz="4" w:space="0" w:color="auto"/>
              <w:right w:val="single" w:sz="4" w:space="0" w:color="auto"/>
            </w:tcBorders>
            <w:shd w:val="clear" w:color="auto" w:fill="auto"/>
            <w:noWrap/>
            <w:hideMark/>
          </w:tcPr>
          <w:p w14:paraId="691CEDD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0.278</w:t>
            </w:r>
          </w:p>
        </w:tc>
        <w:tc>
          <w:tcPr>
            <w:tcW w:w="0" w:type="auto"/>
            <w:tcBorders>
              <w:top w:val="nil"/>
              <w:left w:val="nil"/>
              <w:bottom w:val="single" w:sz="4" w:space="0" w:color="auto"/>
              <w:right w:val="single" w:sz="4" w:space="0" w:color="auto"/>
            </w:tcBorders>
            <w:shd w:val="clear" w:color="auto" w:fill="auto"/>
            <w:noWrap/>
            <w:hideMark/>
          </w:tcPr>
          <w:p w14:paraId="15DE3C5C"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0.641</w:t>
            </w:r>
          </w:p>
        </w:tc>
        <w:tc>
          <w:tcPr>
            <w:tcW w:w="0" w:type="auto"/>
            <w:tcBorders>
              <w:top w:val="nil"/>
              <w:left w:val="nil"/>
              <w:bottom w:val="single" w:sz="4" w:space="0" w:color="auto"/>
              <w:right w:val="single" w:sz="4" w:space="0" w:color="auto"/>
            </w:tcBorders>
            <w:shd w:val="clear" w:color="auto" w:fill="auto"/>
            <w:noWrap/>
            <w:hideMark/>
          </w:tcPr>
          <w:p w14:paraId="09BE5FAE"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0.221</w:t>
            </w:r>
          </w:p>
        </w:tc>
        <w:tc>
          <w:tcPr>
            <w:tcW w:w="0" w:type="auto"/>
            <w:tcBorders>
              <w:top w:val="nil"/>
              <w:left w:val="nil"/>
              <w:bottom w:val="single" w:sz="4" w:space="0" w:color="auto"/>
              <w:right w:val="single" w:sz="4" w:space="0" w:color="auto"/>
            </w:tcBorders>
            <w:shd w:val="clear" w:color="auto" w:fill="auto"/>
            <w:noWrap/>
            <w:hideMark/>
          </w:tcPr>
          <w:p w14:paraId="676949E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0.813</w:t>
            </w:r>
          </w:p>
        </w:tc>
        <w:tc>
          <w:tcPr>
            <w:tcW w:w="0" w:type="auto"/>
            <w:tcBorders>
              <w:top w:val="nil"/>
              <w:left w:val="nil"/>
              <w:bottom w:val="single" w:sz="4" w:space="0" w:color="auto"/>
              <w:right w:val="single" w:sz="4" w:space="0" w:color="auto"/>
            </w:tcBorders>
            <w:shd w:val="clear" w:color="auto" w:fill="auto"/>
            <w:noWrap/>
            <w:hideMark/>
          </w:tcPr>
          <w:p w14:paraId="4D45563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0.460</w:t>
            </w:r>
          </w:p>
        </w:tc>
      </w:tr>
      <w:tr w:rsidR="00943D0A" w:rsidRPr="00144673" w14:paraId="5816790B" w14:textId="77777777" w:rsidTr="00924C29">
        <w:trPr>
          <w:trHeight w:val="300"/>
        </w:trPr>
        <w:tc>
          <w:tcPr>
            <w:tcW w:w="0" w:type="auto"/>
            <w:tcBorders>
              <w:top w:val="nil"/>
              <w:left w:val="single" w:sz="4" w:space="0" w:color="auto"/>
              <w:bottom w:val="single" w:sz="4" w:space="0" w:color="auto"/>
              <w:right w:val="single" w:sz="4" w:space="0" w:color="auto"/>
            </w:tcBorders>
            <w:shd w:val="clear" w:color="000000" w:fill="555555"/>
            <w:noWrap/>
            <w:hideMark/>
          </w:tcPr>
          <w:p w14:paraId="22C21CA6" w14:textId="77777777" w:rsidR="00144673" w:rsidRPr="00144673" w:rsidRDefault="00144673" w:rsidP="00943D0A">
            <w:pPr>
              <w:spacing w:after="0" w:line="240" w:lineRule="auto"/>
              <w:rPr>
                <w:rFonts w:ascii="Calibri" w:eastAsia="Times New Roman" w:hAnsi="Calibri" w:cs="Calibri"/>
                <w:color w:val="FFFFFF"/>
                <w:sz w:val="20"/>
                <w:szCs w:val="20"/>
                <w:lang w:eastAsia="en-GB"/>
              </w:rPr>
            </w:pPr>
            <w:r w:rsidRPr="00144673">
              <w:rPr>
                <w:rFonts w:ascii="Calibri" w:eastAsia="Times New Roman" w:hAnsi="Calibri" w:cs="Calibri"/>
                <w:color w:val="FFFFFF"/>
                <w:sz w:val="20"/>
                <w:szCs w:val="20"/>
                <w:lang w:eastAsia="en-GB"/>
              </w:rPr>
              <w:t>pleasure_5</w:t>
            </w:r>
          </w:p>
        </w:tc>
        <w:tc>
          <w:tcPr>
            <w:tcW w:w="0" w:type="auto"/>
            <w:tcBorders>
              <w:top w:val="nil"/>
              <w:left w:val="nil"/>
              <w:bottom w:val="single" w:sz="4" w:space="0" w:color="auto"/>
              <w:right w:val="single" w:sz="4" w:space="0" w:color="auto"/>
            </w:tcBorders>
            <w:shd w:val="clear" w:color="auto" w:fill="auto"/>
            <w:noWrap/>
            <w:hideMark/>
          </w:tcPr>
          <w:p w14:paraId="0BD1CD9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0.440</w:t>
            </w:r>
          </w:p>
        </w:tc>
        <w:tc>
          <w:tcPr>
            <w:tcW w:w="0" w:type="auto"/>
            <w:tcBorders>
              <w:top w:val="nil"/>
              <w:left w:val="nil"/>
              <w:bottom w:val="single" w:sz="4" w:space="0" w:color="auto"/>
              <w:right w:val="single" w:sz="4" w:space="0" w:color="auto"/>
            </w:tcBorders>
            <w:shd w:val="clear" w:color="auto" w:fill="auto"/>
            <w:noWrap/>
            <w:hideMark/>
          </w:tcPr>
          <w:p w14:paraId="0AC81589"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0.344</w:t>
            </w:r>
          </w:p>
        </w:tc>
        <w:tc>
          <w:tcPr>
            <w:tcW w:w="0" w:type="auto"/>
            <w:tcBorders>
              <w:top w:val="nil"/>
              <w:left w:val="nil"/>
              <w:bottom w:val="single" w:sz="4" w:space="0" w:color="auto"/>
              <w:right w:val="single" w:sz="4" w:space="0" w:color="auto"/>
            </w:tcBorders>
            <w:shd w:val="clear" w:color="auto" w:fill="auto"/>
            <w:noWrap/>
            <w:hideMark/>
          </w:tcPr>
          <w:p w14:paraId="38EEE4C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0.510</w:t>
            </w:r>
          </w:p>
        </w:tc>
        <w:tc>
          <w:tcPr>
            <w:tcW w:w="0" w:type="auto"/>
            <w:tcBorders>
              <w:top w:val="nil"/>
              <w:left w:val="nil"/>
              <w:bottom w:val="single" w:sz="4" w:space="0" w:color="auto"/>
              <w:right w:val="single" w:sz="4" w:space="0" w:color="auto"/>
            </w:tcBorders>
            <w:shd w:val="clear" w:color="auto" w:fill="auto"/>
            <w:noWrap/>
            <w:hideMark/>
          </w:tcPr>
          <w:p w14:paraId="3FCBDFD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0.537</w:t>
            </w:r>
          </w:p>
        </w:tc>
        <w:tc>
          <w:tcPr>
            <w:tcW w:w="0" w:type="auto"/>
            <w:tcBorders>
              <w:top w:val="nil"/>
              <w:left w:val="nil"/>
              <w:bottom w:val="single" w:sz="4" w:space="0" w:color="auto"/>
              <w:right w:val="single" w:sz="4" w:space="0" w:color="auto"/>
            </w:tcBorders>
            <w:shd w:val="clear" w:color="auto" w:fill="auto"/>
            <w:noWrap/>
            <w:hideMark/>
          </w:tcPr>
          <w:p w14:paraId="0B5624E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0.714</w:t>
            </w:r>
          </w:p>
        </w:tc>
        <w:tc>
          <w:tcPr>
            <w:tcW w:w="0" w:type="auto"/>
            <w:tcBorders>
              <w:top w:val="nil"/>
              <w:left w:val="nil"/>
              <w:bottom w:val="single" w:sz="4" w:space="0" w:color="auto"/>
              <w:right w:val="single" w:sz="4" w:space="0" w:color="auto"/>
            </w:tcBorders>
            <w:shd w:val="clear" w:color="auto" w:fill="auto"/>
            <w:noWrap/>
            <w:hideMark/>
          </w:tcPr>
          <w:p w14:paraId="02D177F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0.407</w:t>
            </w:r>
          </w:p>
        </w:tc>
        <w:tc>
          <w:tcPr>
            <w:tcW w:w="0" w:type="auto"/>
            <w:tcBorders>
              <w:top w:val="nil"/>
              <w:left w:val="nil"/>
              <w:bottom w:val="single" w:sz="4" w:space="0" w:color="auto"/>
              <w:right w:val="single" w:sz="4" w:space="0" w:color="auto"/>
            </w:tcBorders>
            <w:shd w:val="clear" w:color="auto" w:fill="auto"/>
            <w:noWrap/>
            <w:hideMark/>
          </w:tcPr>
          <w:p w14:paraId="38F35F3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0.566</w:t>
            </w:r>
          </w:p>
        </w:tc>
        <w:tc>
          <w:tcPr>
            <w:tcW w:w="0" w:type="auto"/>
            <w:tcBorders>
              <w:top w:val="nil"/>
              <w:left w:val="nil"/>
              <w:bottom w:val="single" w:sz="4" w:space="0" w:color="auto"/>
              <w:right w:val="single" w:sz="4" w:space="0" w:color="auto"/>
            </w:tcBorders>
            <w:shd w:val="clear" w:color="auto" w:fill="auto"/>
            <w:noWrap/>
            <w:hideMark/>
          </w:tcPr>
          <w:p w14:paraId="6B97EA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0.094</w:t>
            </w:r>
          </w:p>
        </w:tc>
        <w:tc>
          <w:tcPr>
            <w:tcW w:w="0" w:type="auto"/>
            <w:tcBorders>
              <w:top w:val="nil"/>
              <w:left w:val="nil"/>
              <w:bottom w:val="single" w:sz="4" w:space="0" w:color="auto"/>
              <w:right w:val="single" w:sz="4" w:space="0" w:color="auto"/>
            </w:tcBorders>
            <w:shd w:val="clear" w:color="auto" w:fill="auto"/>
            <w:noWrap/>
            <w:hideMark/>
          </w:tcPr>
          <w:p w14:paraId="3E126302"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0.396</w:t>
            </w:r>
          </w:p>
        </w:tc>
        <w:tc>
          <w:tcPr>
            <w:tcW w:w="0" w:type="auto"/>
            <w:tcBorders>
              <w:top w:val="nil"/>
              <w:left w:val="nil"/>
              <w:bottom w:val="single" w:sz="4" w:space="0" w:color="auto"/>
              <w:right w:val="single" w:sz="4" w:space="0" w:color="auto"/>
            </w:tcBorders>
            <w:shd w:val="clear" w:color="auto" w:fill="auto"/>
            <w:noWrap/>
            <w:hideMark/>
          </w:tcPr>
          <w:p w14:paraId="626D294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0.478</w:t>
            </w:r>
          </w:p>
        </w:tc>
        <w:tc>
          <w:tcPr>
            <w:tcW w:w="0" w:type="auto"/>
            <w:tcBorders>
              <w:top w:val="nil"/>
              <w:left w:val="nil"/>
              <w:bottom w:val="single" w:sz="4" w:space="0" w:color="auto"/>
              <w:right w:val="single" w:sz="4" w:space="0" w:color="auto"/>
            </w:tcBorders>
            <w:shd w:val="clear" w:color="auto" w:fill="auto"/>
            <w:noWrap/>
            <w:hideMark/>
          </w:tcPr>
          <w:p w14:paraId="10D4812D"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0.524</w:t>
            </w:r>
          </w:p>
        </w:tc>
        <w:tc>
          <w:tcPr>
            <w:tcW w:w="0" w:type="auto"/>
            <w:tcBorders>
              <w:top w:val="nil"/>
              <w:left w:val="nil"/>
              <w:bottom w:val="single" w:sz="4" w:space="0" w:color="auto"/>
              <w:right w:val="single" w:sz="4" w:space="0" w:color="auto"/>
            </w:tcBorders>
            <w:shd w:val="clear" w:color="auto" w:fill="auto"/>
            <w:noWrap/>
            <w:hideMark/>
          </w:tcPr>
          <w:p w14:paraId="436C57AA"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0.312</w:t>
            </w:r>
          </w:p>
        </w:tc>
        <w:tc>
          <w:tcPr>
            <w:tcW w:w="0" w:type="auto"/>
            <w:tcBorders>
              <w:top w:val="nil"/>
              <w:left w:val="nil"/>
              <w:bottom w:val="single" w:sz="4" w:space="0" w:color="auto"/>
              <w:right w:val="single" w:sz="4" w:space="0" w:color="auto"/>
            </w:tcBorders>
            <w:shd w:val="clear" w:color="auto" w:fill="auto"/>
            <w:noWrap/>
            <w:hideMark/>
          </w:tcPr>
          <w:p w14:paraId="2E6BF711"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0.672</w:t>
            </w:r>
          </w:p>
        </w:tc>
        <w:tc>
          <w:tcPr>
            <w:tcW w:w="0" w:type="auto"/>
            <w:tcBorders>
              <w:top w:val="nil"/>
              <w:left w:val="nil"/>
              <w:bottom w:val="single" w:sz="4" w:space="0" w:color="auto"/>
              <w:right w:val="single" w:sz="4" w:space="0" w:color="auto"/>
            </w:tcBorders>
            <w:shd w:val="clear" w:color="auto" w:fill="auto"/>
            <w:noWrap/>
            <w:hideMark/>
          </w:tcPr>
          <w:p w14:paraId="7EF206A3"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0.191</w:t>
            </w:r>
          </w:p>
        </w:tc>
        <w:tc>
          <w:tcPr>
            <w:tcW w:w="0" w:type="auto"/>
            <w:tcBorders>
              <w:top w:val="nil"/>
              <w:left w:val="nil"/>
              <w:bottom w:val="single" w:sz="4" w:space="0" w:color="auto"/>
              <w:right w:val="single" w:sz="4" w:space="0" w:color="auto"/>
            </w:tcBorders>
            <w:shd w:val="clear" w:color="auto" w:fill="auto"/>
            <w:noWrap/>
            <w:hideMark/>
          </w:tcPr>
          <w:p w14:paraId="25F595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0.835</w:t>
            </w:r>
          </w:p>
        </w:tc>
        <w:tc>
          <w:tcPr>
            <w:tcW w:w="0" w:type="auto"/>
            <w:tcBorders>
              <w:top w:val="nil"/>
              <w:left w:val="nil"/>
              <w:bottom w:val="single" w:sz="4" w:space="0" w:color="auto"/>
              <w:right w:val="single" w:sz="4" w:space="0" w:color="auto"/>
            </w:tcBorders>
            <w:shd w:val="clear" w:color="auto" w:fill="auto"/>
            <w:noWrap/>
            <w:hideMark/>
          </w:tcPr>
          <w:p w14:paraId="597AD3A6" w14:textId="77777777" w:rsidR="00144673" w:rsidRPr="00144673" w:rsidRDefault="00144673" w:rsidP="00943D0A">
            <w:pPr>
              <w:spacing w:after="0" w:line="240" w:lineRule="auto"/>
              <w:rPr>
                <w:rFonts w:ascii="Calibri" w:eastAsia="Times New Roman" w:hAnsi="Calibri" w:cs="Calibri"/>
                <w:color w:val="000000"/>
                <w:sz w:val="20"/>
                <w:szCs w:val="20"/>
                <w:lang w:eastAsia="en-GB"/>
              </w:rPr>
            </w:pPr>
            <w:r w:rsidRPr="00144673">
              <w:rPr>
                <w:rFonts w:ascii="Calibri" w:eastAsia="Times New Roman" w:hAnsi="Calibri" w:cs="Calibri"/>
                <w:color w:val="000000"/>
                <w:sz w:val="20"/>
                <w:szCs w:val="20"/>
                <w:lang w:eastAsia="en-GB"/>
              </w:rPr>
              <w:t>0.450</w:t>
            </w:r>
          </w:p>
        </w:tc>
      </w:tr>
    </w:tbl>
    <w:p w14:paraId="15F1C9E2" w14:textId="77777777" w:rsidR="00245D98" w:rsidRDefault="00245D98" w:rsidP="00856BBF">
      <w:pPr>
        <w:tabs>
          <w:tab w:val="center" w:pos="4513"/>
        </w:tabs>
        <w:rPr>
          <w:rFonts w:ascii="Cambria" w:eastAsia="Calibri" w:hAnsi="Cambria" w:cs="Adobe Devanagari"/>
        </w:rPr>
        <w:sectPr w:rsidR="00245D98" w:rsidSect="00245D98">
          <w:pgSz w:w="16838" w:h="11906" w:orient="landscape"/>
          <w:pgMar w:top="1440" w:right="1440" w:bottom="1440" w:left="1440" w:header="709" w:footer="709" w:gutter="0"/>
          <w:cols w:space="708"/>
          <w:docGrid w:linePitch="360"/>
        </w:sectPr>
      </w:pPr>
    </w:p>
    <w:p w14:paraId="537133C7" w14:textId="77777777" w:rsidR="0006259C" w:rsidRDefault="0006259C" w:rsidP="00856BBF">
      <w:pPr>
        <w:tabs>
          <w:tab w:val="center" w:pos="4513"/>
        </w:tabs>
        <w:rPr>
          <w:rFonts w:ascii="Cambria" w:eastAsia="Calibri" w:hAnsi="Cambria" w:cs="Adobe Devanagari"/>
        </w:rPr>
      </w:pPr>
    </w:p>
    <w:p w14:paraId="72D62EB1" w14:textId="77777777" w:rsidR="0006259C" w:rsidRDefault="0006259C" w:rsidP="00856BBF">
      <w:pPr>
        <w:tabs>
          <w:tab w:val="center" w:pos="4513"/>
        </w:tabs>
        <w:rPr>
          <w:rFonts w:ascii="Cambria" w:eastAsia="Calibri" w:hAnsi="Cambria" w:cs="Adobe Devanagari"/>
        </w:rPr>
      </w:pPr>
    </w:p>
    <w:p w14:paraId="31A08058" w14:textId="38DC347B" w:rsidR="00856BBF" w:rsidRPr="00856BBF" w:rsidRDefault="00856BBF" w:rsidP="00856BBF">
      <w:pPr>
        <w:tabs>
          <w:tab w:val="center" w:pos="4513"/>
        </w:tabs>
        <w:rPr>
          <w:rFonts w:ascii="Cambria" w:eastAsia="Calibri" w:hAnsi="Cambria" w:cs="Adobe Devanagari"/>
        </w:rPr>
        <w:sectPr w:rsidR="00856BBF" w:rsidRPr="00856BBF" w:rsidSect="0056783F">
          <w:pgSz w:w="11906" w:h="16838"/>
          <w:pgMar w:top="1440" w:right="1440" w:bottom="1440" w:left="1440" w:header="709" w:footer="709" w:gutter="0"/>
          <w:cols w:space="708"/>
          <w:docGrid w:linePitch="360"/>
        </w:sectPr>
      </w:pPr>
      <w:r>
        <w:rPr>
          <w:rFonts w:ascii="Cambria" w:eastAsia="Calibri" w:hAnsi="Cambria" w:cs="Adobe Devanagari"/>
        </w:rPr>
        <w:tab/>
      </w:r>
    </w:p>
    <w:p w14:paraId="647A0903" w14:textId="0B3A63DA" w:rsidR="00C7217E" w:rsidRPr="00530906" w:rsidRDefault="00F92532" w:rsidP="008756B1">
      <w:pPr>
        <w:pStyle w:val="Heading1"/>
        <w:jc w:val="both"/>
        <w:rPr>
          <w:rFonts w:eastAsia="Times New Roman"/>
          <w:lang w:val="en-US"/>
        </w:rPr>
      </w:pPr>
      <w:bookmarkStart w:id="135" w:name="_Toc115726290"/>
      <w:r w:rsidRPr="00530906">
        <w:rPr>
          <w:rFonts w:eastAsia="Times New Roman"/>
          <w:lang w:val="en-US"/>
        </w:rPr>
        <w:t>A</w:t>
      </w:r>
      <w:r w:rsidR="00C7217E" w:rsidRPr="00530906">
        <w:rPr>
          <w:rFonts w:eastAsia="Times New Roman"/>
          <w:lang w:val="en-US"/>
        </w:rPr>
        <w:t xml:space="preserve">ppendix </w:t>
      </w:r>
      <w:r w:rsidR="00ED1894">
        <w:rPr>
          <w:rFonts w:eastAsia="Times New Roman"/>
          <w:lang w:val="en-US"/>
        </w:rPr>
        <w:t>4</w:t>
      </w:r>
      <w:r w:rsidR="001E4D86" w:rsidRPr="00530906">
        <w:rPr>
          <w:rFonts w:eastAsia="Times New Roman"/>
          <w:lang w:val="en-US"/>
        </w:rPr>
        <w:t>: Result</w:t>
      </w:r>
      <w:bookmarkEnd w:id="135"/>
    </w:p>
    <w:p w14:paraId="0A2EF228" w14:textId="51FB3E4D" w:rsidR="007E6EF7" w:rsidRPr="00530906" w:rsidRDefault="007E6EF7" w:rsidP="008756B1">
      <w:pPr>
        <w:pStyle w:val="Heading2"/>
        <w:jc w:val="both"/>
        <w:rPr>
          <w:lang w:val="en-US"/>
        </w:rPr>
      </w:pPr>
      <w:bookmarkStart w:id="136" w:name="_Toc115726291"/>
      <w:r w:rsidRPr="00530906">
        <w:rPr>
          <w:lang w:val="en-US"/>
        </w:rPr>
        <w:t xml:space="preserve">Appendix </w:t>
      </w:r>
      <w:r w:rsidR="00ED1894">
        <w:rPr>
          <w:lang w:val="en-US"/>
        </w:rPr>
        <w:t>4</w:t>
      </w:r>
      <w:r w:rsidRPr="00530906">
        <w:rPr>
          <w:lang w:val="en-US"/>
        </w:rPr>
        <w:t>.1</w:t>
      </w:r>
      <w:bookmarkEnd w:id="136"/>
    </w:p>
    <w:p w14:paraId="38B896BA" w14:textId="34CFAD47" w:rsidR="00C7217E" w:rsidRPr="00530906" w:rsidRDefault="00C7217E" w:rsidP="008756B1">
      <w:pPr>
        <w:pStyle w:val="Heading3"/>
        <w:jc w:val="both"/>
        <w:rPr>
          <w:rFonts w:eastAsia="Times New Roman"/>
          <w:lang w:val="en-US"/>
        </w:rPr>
      </w:pPr>
      <w:bookmarkStart w:id="137" w:name="_Toc115726292"/>
      <w:r w:rsidRPr="00530906">
        <w:rPr>
          <w:rFonts w:eastAsia="Times New Roman"/>
          <w:lang w:val="en-US"/>
        </w:rPr>
        <w:t>One way MANOVA</w:t>
      </w:r>
      <w:bookmarkEnd w:id="137"/>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5"/>
        <w:gridCol w:w="1255"/>
        <w:gridCol w:w="1024"/>
        <w:gridCol w:w="1438"/>
        <w:gridCol w:w="1024"/>
      </w:tblGrid>
      <w:tr w:rsidR="00C7217E" w:rsidRPr="00530906" w14:paraId="3AA84FBE" w14:textId="77777777" w:rsidTr="00C7217E">
        <w:trPr>
          <w:cantSplit/>
        </w:trPr>
        <w:tc>
          <w:tcPr>
            <w:tcW w:w="6773" w:type="dxa"/>
            <w:gridSpan w:val="5"/>
            <w:tcBorders>
              <w:top w:val="nil"/>
              <w:left w:val="nil"/>
              <w:bottom w:val="nil"/>
              <w:right w:val="nil"/>
            </w:tcBorders>
            <w:shd w:val="clear" w:color="auto" w:fill="FFFFFF"/>
            <w:vAlign w:val="center"/>
          </w:tcPr>
          <w:p w14:paraId="1C7B20D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Descriptive Statistics</w:t>
            </w:r>
          </w:p>
        </w:tc>
      </w:tr>
      <w:tr w:rsidR="00C7217E" w:rsidRPr="00530906" w14:paraId="7A36CE29" w14:textId="77777777" w:rsidTr="00C7217E">
        <w:trPr>
          <w:cantSplit/>
        </w:trPr>
        <w:tc>
          <w:tcPr>
            <w:tcW w:w="2034" w:type="dxa"/>
          </w:tcPr>
          <w:p w14:paraId="66081239"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254" w:type="dxa"/>
            <w:tcBorders>
              <w:top w:val="nil"/>
              <w:left w:val="nil"/>
              <w:bottom w:val="single" w:sz="8" w:space="0" w:color="152935"/>
              <w:right w:val="nil"/>
            </w:tcBorders>
            <w:shd w:val="clear" w:color="auto" w:fill="FFFFFF"/>
            <w:vAlign w:val="bottom"/>
          </w:tcPr>
          <w:p w14:paraId="5EB00B9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024" w:type="dxa"/>
            <w:tcBorders>
              <w:top w:val="nil"/>
              <w:left w:val="nil"/>
              <w:bottom w:val="single" w:sz="8" w:space="0" w:color="152935"/>
              <w:right w:val="single" w:sz="8" w:space="0" w:color="E0E0E0"/>
            </w:tcBorders>
            <w:shd w:val="clear" w:color="auto" w:fill="FFFFFF"/>
            <w:vAlign w:val="bottom"/>
          </w:tcPr>
          <w:p w14:paraId="22BA90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6A40B2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Deviation</w:t>
            </w:r>
          </w:p>
        </w:tc>
        <w:tc>
          <w:tcPr>
            <w:tcW w:w="1024" w:type="dxa"/>
            <w:tcBorders>
              <w:top w:val="nil"/>
              <w:left w:val="single" w:sz="8" w:space="0" w:color="E0E0E0"/>
              <w:bottom w:val="single" w:sz="8" w:space="0" w:color="152935"/>
              <w:right w:val="nil"/>
            </w:tcBorders>
            <w:shd w:val="clear" w:color="auto" w:fill="FFFFFF"/>
            <w:vAlign w:val="bottom"/>
          </w:tcPr>
          <w:p w14:paraId="4F07D30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w:t>
            </w:r>
          </w:p>
        </w:tc>
      </w:tr>
      <w:tr w:rsidR="00C7217E" w:rsidRPr="00530906" w14:paraId="606F9B61" w14:textId="77777777" w:rsidTr="00C7217E">
        <w:trPr>
          <w:cantSplit/>
        </w:trPr>
        <w:tc>
          <w:tcPr>
            <w:tcW w:w="2034" w:type="dxa"/>
            <w:vMerge w:val="restart"/>
            <w:tcBorders>
              <w:top w:val="single" w:sz="8" w:space="0" w:color="152935"/>
              <w:left w:val="nil"/>
              <w:bottom w:val="nil"/>
              <w:right w:val="nil"/>
            </w:tcBorders>
            <w:shd w:val="clear" w:color="auto" w:fill="E0E0E0"/>
          </w:tcPr>
          <w:p w14:paraId="2390045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254" w:type="dxa"/>
            <w:tcBorders>
              <w:top w:val="single" w:sz="8" w:space="0" w:color="152935"/>
              <w:left w:val="nil"/>
              <w:bottom w:val="single" w:sz="8" w:space="0" w:color="AEAEAE"/>
              <w:right w:val="nil"/>
            </w:tcBorders>
            <w:shd w:val="clear" w:color="auto" w:fill="E0E0E0"/>
          </w:tcPr>
          <w:p w14:paraId="67024F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024" w:type="dxa"/>
            <w:tcBorders>
              <w:top w:val="single" w:sz="8" w:space="0" w:color="152935"/>
              <w:left w:val="nil"/>
              <w:bottom w:val="single" w:sz="8" w:space="0" w:color="AEAEAE"/>
              <w:right w:val="single" w:sz="8" w:space="0" w:color="E0E0E0"/>
            </w:tcBorders>
            <w:shd w:val="clear" w:color="auto" w:fill="FFFFFF"/>
          </w:tcPr>
          <w:p w14:paraId="5EC3C8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4.0164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7FB07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1.57712</w:t>
            </w:r>
          </w:p>
        </w:tc>
        <w:tc>
          <w:tcPr>
            <w:tcW w:w="1024" w:type="dxa"/>
            <w:tcBorders>
              <w:top w:val="single" w:sz="8" w:space="0" w:color="152935"/>
              <w:left w:val="single" w:sz="8" w:space="0" w:color="E0E0E0"/>
              <w:bottom w:val="single" w:sz="8" w:space="0" w:color="AEAEAE"/>
              <w:right w:val="nil"/>
            </w:tcBorders>
            <w:shd w:val="clear" w:color="auto" w:fill="FFFFFF"/>
          </w:tcPr>
          <w:p w14:paraId="146777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137</w:t>
            </w:r>
          </w:p>
        </w:tc>
      </w:tr>
      <w:tr w:rsidR="00C7217E" w:rsidRPr="00530906" w14:paraId="4D78ED00" w14:textId="77777777" w:rsidTr="00C7217E">
        <w:trPr>
          <w:cantSplit/>
        </w:trPr>
        <w:tc>
          <w:tcPr>
            <w:tcW w:w="2034" w:type="dxa"/>
            <w:vMerge/>
            <w:tcBorders>
              <w:top w:val="single" w:sz="8" w:space="0" w:color="152935"/>
              <w:left w:val="nil"/>
              <w:bottom w:val="nil"/>
              <w:right w:val="nil"/>
            </w:tcBorders>
            <w:shd w:val="clear" w:color="auto" w:fill="E0E0E0"/>
          </w:tcPr>
          <w:p w14:paraId="34A8B6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single" w:sz="8" w:space="0" w:color="AEAEAE"/>
              <w:right w:val="nil"/>
            </w:tcBorders>
            <w:shd w:val="clear" w:color="auto" w:fill="E0E0E0"/>
          </w:tcPr>
          <w:p w14:paraId="476E13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024" w:type="dxa"/>
            <w:tcBorders>
              <w:top w:val="single" w:sz="8" w:space="0" w:color="AEAEAE"/>
              <w:left w:val="nil"/>
              <w:bottom w:val="single" w:sz="8" w:space="0" w:color="AEAEAE"/>
              <w:right w:val="single" w:sz="8" w:space="0" w:color="E0E0E0"/>
            </w:tcBorders>
            <w:shd w:val="clear" w:color="auto" w:fill="FFFFFF"/>
          </w:tcPr>
          <w:p w14:paraId="64E78A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4.5246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1AAD1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1.39443</w:t>
            </w:r>
          </w:p>
        </w:tc>
        <w:tc>
          <w:tcPr>
            <w:tcW w:w="1024" w:type="dxa"/>
            <w:tcBorders>
              <w:top w:val="single" w:sz="8" w:space="0" w:color="AEAEAE"/>
              <w:left w:val="single" w:sz="8" w:space="0" w:color="E0E0E0"/>
              <w:bottom w:val="single" w:sz="8" w:space="0" w:color="AEAEAE"/>
              <w:right w:val="nil"/>
            </w:tcBorders>
            <w:shd w:val="clear" w:color="auto" w:fill="FFFFFF"/>
          </w:tcPr>
          <w:p w14:paraId="31455FC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46EB49F6" w14:textId="77777777" w:rsidTr="00C7217E">
        <w:trPr>
          <w:cantSplit/>
        </w:trPr>
        <w:tc>
          <w:tcPr>
            <w:tcW w:w="2034" w:type="dxa"/>
            <w:vMerge/>
            <w:tcBorders>
              <w:top w:val="single" w:sz="8" w:space="0" w:color="152935"/>
              <w:left w:val="nil"/>
              <w:bottom w:val="nil"/>
              <w:right w:val="nil"/>
            </w:tcBorders>
            <w:shd w:val="clear" w:color="auto" w:fill="E0E0E0"/>
          </w:tcPr>
          <w:p w14:paraId="3328F5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nil"/>
              <w:right w:val="nil"/>
            </w:tcBorders>
            <w:shd w:val="clear" w:color="auto" w:fill="E0E0E0"/>
          </w:tcPr>
          <w:p w14:paraId="4557CF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024" w:type="dxa"/>
            <w:tcBorders>
              <w:top w:val="single" w:sz="8" w:space="0" w:color="AEAEAE"/>
              <w:left w:val="nil"/>
              <w:bottom w:val="nil"/>
              <w:right w:val="single" w:sz="8" w:space="0" w:color="E0E0E0"/>
            </w:tcBorders>
            <w:shd w:val="clear" w:color="auto" w:fill="FFFFFF"/>
          </w:tcPr>
          <w:p w14:paraId="54C099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4.2751</w:t>
            </w:r>
          </w:p>
        </w:tc>
        <w:tc>
          <w:tcPr>
            <w:tcW w:w="1437" w:type="dxa"/>
            <w:tcBorders>
              <w:top w:val="single" w:sz="8" w:space="0" w:color="AEAEAE"/>
              <w:left w:val="single" w:sz="8" w:space="0" w:color="E0E0E0"/>
              <w:bottom w:val="nil"/>
              <w:right w:val="single" w:sz="8" w:space="0" w:color="E0E0E0"/>
            </w:tcBorders>
            <w:shd w:val="clear" w:color="auto" w:fill="FFFFFF"/>
          </w:tcPr>
          <w:p w14:paraId="7BBD487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1.50592</w:t>
            </w:r>
          </w:p>
        </w:tc>
        <w:tc>
          <w:tcPr>
            <w:tcW w:w="1024" w:type="dxa"/>
            <w:tcBorders>
              <w:top w:val="single" w:sz="8" w:space="0" w:color="AEAEAE"/>
              <w:left w:val="single" w:sz="8" w:space="0" w:color="E0E0E0"/>
              <w:bottom w:val="nil"/>
              <w:right w:val="nil"/>
            </w:tcBorders>
            <w:shd w:val="clear" w:color="auto" w:fill="FFFFFF"/>
          </w:tcPr>
          <w:p w14:paraId="2792D4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r>
      <w:tr w:rsidR="00C7217E" w:rsidRPr="00530906" w14:paraId="5B4C2CE5" w14:textId="77777777" w:rsidTr="00C7217E">
        <w:trPr>
          <w:cantSplit/>
        </w:trPr>
        <w:tc>
          <w:tcPr>
            <w:tcW w:w="2034" w:type="dxa"/>
            <w:vMerge w:val="restart"/>
            <w:tcBorders>
              <w:top w:val="single" w:sz="8" w:space="0" w:color="AEAEAE"/>
              <w:left w:val="nil"/>
              <w:bottom w:val="nil"/>
              <w:right w:val="nil"/>
            </w:tcBorders>
            <w:shd w:val="clear" w:color="auto" w:fill="E0E0E0"/>
          </w:tcPr>
          <w:p w14:paraId="4B8134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254" w:type="dxa"/>
            <w:tcBorders>
              <w:top w:val="single" w:sz="8" w:space="0" w:color="AEAEAE"/>
              <w:left w:val="nil"/>
              <w:bottom w:val="single" w:sz="8" w:space="0" w:color="AEAEAE"/>
              <w:right w:val="nil"/>
            </w:tcBorders>
            <w:shd w:val="clear" w:color="auto" w:fill="E0E0E0"/>
          </w:tcPr>
          <w:p w14:paraId="36C1BC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024" w:type="dxa"/>
            <w:tcBorders>
              <w:top w:val="single" w:sz="8" w:space="0" w:color="AEAEAE"/>
              <w:left w:val="nil"/>
              <w:bottom w:val="single" w:sz="8" w:space="0" w:color="AEAEAE"/>
              <w:right w:val="single" w:sz="8" w:space="0" w:color="E0E0E0"/>
            </w:tcBorders>
            <w:shd w:val="clear" w:color="auto" w:fill="FFFFFF"/>
          </w:tcPr>
          <w:p w14:paraId="416984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2.6314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81EEB5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1.28412</w:t>
            </w:r>
          </w:p>
        </w:tc>
        <w:tc>
          <w:tcPr>
            <w:tcW w:w="1024" w:type="dxa"/>
            <w:tcBorders>
              <w:top w:val="single" w:sz="8" w:space="0" w:color="AEAEAE"/>
              <w:left w:val="single" w:sz="8" w:space="0" w:color="E0E0E0"/>
              <w:bottom w:val="single" w:sz="8" w:space="0" w:color="AEAEAE"/>
              <w:right w:val="nil"/>
            </w:tcBorders>
            <w:shd w:val="clear" w:color="auto" w:fill="FFFFFF"/>
          </w:tcPr>
          <w:p w14:paraId="253773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137</w:t>
            </w:r>
          </w:p>
        </w:tc>
      </w:tr>
      <w:tr w:rsidR="00C7217E" w:rsidRPr="00530906" w14:paraId="50D68BB2" w14:textId="77777777" w:rsidTr="00C7217E">
        <w:trPr>
          <w:cantSplit/>
        </w:trPr>
        <w:tc>
          <w:tcPr>
            <w:tcW w:w="2034" w:type="dxa"/>
            <w:vMerge/>
            <w:tcBorders>
              <w:top w:val="single" w:sz="8" w:space="0" w:color="AEAEAE"/>
              <w:left w:val="nil"/>
              <w:bottom w:val="nil"/>
              <w:right w:val="nil"/>
            </w:tcBorders>
            <w:shd w:val="clear" w:color="auto" w:fill="E0E0E0"/>
          </w:tcPr>
          <w:p w14:paraId="146329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single" w:sz="8" w:space="0" w:color="AEAEAE"/>
              <w:right w:val="nil"/>
            </w:tcBorders>
            <w:shd w:val="clear" w:color="auto" w:fill="E0E0E0"/>
          </w:tcPr>
          <w:p w14:paraId="3B308B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024" w:type="dxa"/>
            <w:tcBorders>
              <w:top w:val="single" w:sz="8" w:space="0" w:color="AEAEAE"/>
              <w:left w:val="nil"/>
              <w:bottom w:val="single" w:sz="8" w:space="0" w:color="AEAEAE"/>
              <w:right w:val="single" w:sz="8" w:space="0" w:color="E0E0E0"/>
            </w:tcBorders>
            <w:shd w:val="clear" w:color="auto" w:fill="FFFFFF"/>
          </w:tcPr>
          <w:p w14:paraId="507118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2.5986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DD854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1.12985</w:t>
            </w:r>
          </w:p>
        </w:tc>
        <w:tc>
          <w:tcPr>
            <w:tcW w:w="1024" w:type="dxa"/>
            <w:tcBorders>
              <w:top w:val="single" w:sz="8" w:space="0" w:color="AEAEAE"/>
              <w:left w:val="single" w:sz="8" w:space="0" w:color="E0E0E0"/>
              <w:bottom w:val="single" w:sz="8" w:space="0" w:color="AEAEAE"/>
              <w:right w:val="nil"/>
            </w:tcBorders>
            <w:shd w:val="clear" w:color="auto" w:fill="FFFFFF"/>
          </w:tcPr>
          <w:p w14:paraId="0F33C9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73EE05B4" w14:textId="77777777" w:rsidTr="00C7217E">
        <w:trPr>
          <w:cantSplit/>
        </w:trPr>
        <w:tc>
          <w:tcPr>
            <w:tcW w:w="2034" w:type="dxa"/>
            <w:vMerge/>
            <w:tcBorders>
              <w:top w:val="single" w:sz="8" w:space="0" w:color="AEAEAE"/>
              <w:left w:val="nil"/>
              <w:bottom w:val="nil"/>
              <w:right w:val="nil"/>
            </w:tcBorders>
            <w:shd w:val="clear" w:color="auto" w:fill="E0E0E0"/>
          </w:tcPr>
          <w:p w14:paraId="51BA1C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nil"/>
              <w:right w:val="nil"/>
            </w:tcBorders>
            <w:shd w:val="clear" w:color="auto" w:fill="E0E0E0"/>
          </w:tcPr>
          <w:p w14:paraId="6BE46F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024" w:type="dxa"/>
            <w:tcBorders>
              <w:top w:val="single" w:sz="8" w:space="0" w:color="AEAEAE"/>
              <w:left w:val="nil"/>
              <w:bottom w:val="nil"/>
              <w:right w:val="single" w:sz="8" w:space="0" w:color="E0E0E0"/>
            </w:tcBorders>
            <w:shd w:val="clear" w:color="auto" w:fill="FFFFFF"/>
          </w:tcPr>
          <w:p w14:paraId="35A318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2.6147</w:t>
            </w:r>
          </w:p>
        </w:tc>
        <w:tc>
          <w:tcPr>
            <w:tcW w:w="1437" w:type="dxa"/>
            <w:tcBorders>
              <w:top w:val="single" w:sz="8" w:space="0" w:color="AEAEAE"/>
              <w:left w:val="single" w:sz="8" w:space="0" w:color="E0E0E0"/>
              <w:bottom w:val="nil"/>
              <w:right w:val="single" w:sz="8" w:space="0" w:color="E0E0E0"/>
            </w:tcBorders>
            <w:shd w:val="clear" w:color="auto" w:fill="FFFFFF"/>
          </w:tcPr>
          <w:p w14:paraId="4CF34D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1.20599</w:t>
            </w:r>
          </w:p>
        </w:tc>
        <w:tc>
          <w:tcPr>
            <w:tcW w:w="1024" w:type="dxa"/>
            <w:tcBorders>
              <w:top w:val="single" w:sz="8" w:space="0" w:color="AEAEAE"/>
              <w:left w:val="single" w:sz="8" w:space="0" w:color="E0E0E0"/>
              <w:bottom w:val="nil"/>
              <w:right w:val="nil"/>
            </w:tcBorders>
            <w:shd w:val="clear" w:color="auto" w:fill="FFFFFF"/>
          </w:tcPr>
          <w:p w14:paraId="2CEBFA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r>
      <w:tr w:rsidR="00C7217E" w:rsidRPr="00530906" w14:paraId="14D56666" w14:textId="77777777" w:rsidTr="00C7217E">
        <w:trPr>
          <w:cantSplit/>
        </w:trPr>
        <w:tc>
          <w:tcPr>
            <w:tcW w:w="2034" w:type="dxa"/>
            <w:vMerge w:val="restart"/>
            <w:tcBorders>
              <w:top w:val="single" w:sz="8" w:space="0" w:color="AEAEAE"/>
              <w:left w:val="nil"/>
              <w:bottom w:val="nil"/>
              <w:right w:val="nil"/>
            </w:tcBorders>
            <w:shd w:val="clear" w:color="auto" w:fill="E0E0E0"/>
          </w:tcPr>
          <w:p w14:paraId="0D5DD1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254" w:type="dxa"/>
            <w:tcBorders>
              <w:top w:val="single" w:sz="8" w:space="0" w:color="AEAEAE"/>
              <w:left w:val="nil"/>
              <w:bottom w:val="single" w:sz="8" w:space="0" w:color="AEAEAE"/>
              <w:right w:val="nil"/>
            </w:tcBorders>
            <w:shd w:val="clear" w:color="auto" w:fill="E0E0E0"/>
          </w:tcPr>
          <w:p w14:paraId="6331CF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024" w:type="dxa"/>
            <w:tcBorders>
              <w:top w:val="single" w:sz="8" w:space="0" w:color="AEAEAE"/>
              <w:left w:val="nil"/>
              <w:bottom w:val="single" w:sz="8" w:space="0" w:color="AEAEAE"/>
              <w:right w:val="single" w:sz="8" w:space="0" w:color="E0E0E0"/>
            </w:tcBorders>
            <w:shd w:val="clear" w:color="auto" w:fill="FFFFFF"/>
          </w:tcPr>
          <w:p w14:paraId="08EDA6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3.4044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018D29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1.52672</w:t>
            </w:r>
          </w:p>
        </w:tc>
        <w:tc>
          <w:tcPr>
            <w:tcW w:w="1024" w:type="dxa"/>
            <w:tcBorders>
              <w:top w:val="single" w:sz="8" w:space="0" w:color="AEAEAE"/>
              <w:left w:val="single" w:sz="8" w:space="0" w:color="E0E0E0"/>
              <w:bottom w:val="single" w:sz="8" w:space="0" w:color="AEAEAE"/>
              <w:right w:val="nil"/>
            </w:tcBorders>
            <w:shd w:val="clear" w:color="auto" w:fill="FFFFFF"/>
          </w:tcPr>
          <w:p w14:paraId="7354BCA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137</w:t>
            </w:r>
          </w:p>
        </w:tc>
      </w:tr>
      <w:tr w:rsidR="00C7217E" w:rsidRPr="00530906" w14:paraId="0686AB77" w14:textId="77777777" w:rsidTr="00C7217E">
        <w:trPr>
          <w:cantSplit/>
        </w:trPr>
        <w:tc>
          <w:tcPr>
            <w:tcW w:w="2034" w:type="dxa"/>
            <w:vMerge/>
            <w:tcBorders>
              <w:top w:val="single" w:sz="8" w:space="0" w:color="AEAEAE"/>
              <w:left w:val="nil"/>
              <w:bottom w:val="nil"/>
              <w:right w:val="nil"/>
            </w:tcBorders>
            <w:shd w:val="clear" w:color="auto" w:fill="E0E0E0"/>
          </w:tcPr>
          <w:p w14:paraId="59C61E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single" w:sz="8" w:space="0" w:color="AEAEAE"/>
              <w:right w:val="nil"/>
            </w:tcBorders>
            <w:shd w:val="clear" w:color="auto" w:fill="E0E0E0"/>
          </w:tcPr>
          <w:p w14:paraId="209CB1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024" w:type="dxa"/>
            <w:tcBorders>
              <w:top w:val="single" w:sz="8" w:space="0" w:color="AEAEAE"/>
              <w:left w:val="nil"/>
              <w:bottom w:val="single" w:sz="8" w:space="0" w:color="AEAEAE"/>
              <w:right w:val="single" w:sz="8" w:space="0" w:color="E0E0E0"/>
            </w:tcBorders>
            <w:shd w:val="clear" w:color="auto" w:fill="FFFFFF"/>
          </w:tcPr>
          <w:p w14:paraId="3661BBE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3.4817</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E72E7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1.35420</w:t>
            </w:r>
          </w:p>
        </w:tc>
        <w:tc>
          <w:tcPr>
            <w:tcW w:w="1024" w:type="dxa"/>
            <w:tcBorders>
              <w:top w:val="single" w:sz="8" w:space="0" w:color="AEAEAE"/>
              <w:left w:val="single" w:sz="8" w:space="0" w:color="E0E0E0"/>
              <w:bottom w:val="single" w:sz="8" w:space="0" w:color="AEAEAE"/>
              <w:right w:val="nil"/>
            </w:tcBorders>
            <w:shd w:val="clear" w:color="auto" w:fill="FFFFFF"/>
          </w:tcPr>
          <w:p w14:paraId="792474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10997D87" w14:textId="77777777" w:rsidTr="00C7217E">
        <w:trPr>
          <w:cantSplit/>
        </w:trPr>
        <w:tc>
          <w:tcPr>
            <w:tcW w:w="2034" w:type="dxa"/>
            <w:vMerge/>
            <w:tcBorders>
              <w:top w:val="single" w:sz="8" w:space="0" w:color="AEAEAE"/>
              <w:left w:val="nil"/>
              <w:bottom w:val="nil"/>
              <w:right w:val="nil"/>
            </w:tcBorders>
            <w:shd w:val="clear" w:color="auto" w:fill="E0E0E0"/>
          </w:tcPr>
          <w:p w14:paraId="776CB9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nil"/>
              <w:right w:val="nil"/>
            </w:tcBorders>
            <w:shd w:val="clear" w:color="auto" w:fill="E0E0E0"/>
          </w:tcPr>
          <w:p w14:paraId="211C7D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024" w:type="dxa"/>
            <w:tcBorders>
              <w:top w:val="single" w:sz="8" w:space="0" w:color="AEAEAE"/>
              <w:left w:val="nil"/>
              <w:bottom w:val="nil"/>
              <w:right w:val="single" w:sz="8" w:space="0" w:color="E0E0E0"/>
            </w:tcBorders>
            <w:shd w:val="clear" w:color="auto" w:fill="FFFFFF"/>
          </w:tcPr>
          <w:p w14:paraId="5D0320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3.4437</w:t>
            </w:r>
          </w:p>
        </w:tc>
        <w:tc>
          <w:tcPr>
            <w:tcW w:w="1437" w:type="dxa"/>
            <w:tcBorders>
              <w:top w:val="single" w:sz="8" w:space="0" w:color="AEAEAE"/>
              <w:left w:val="single" w:sz="8" w:space="0" w:color="E0E0E0"/>
              <w:bottom w:val="nil"/>
              <w:right w:val="single" w:sz="8" w:space="0" w:color="E0E0E0"/>
            </w:tcBorders>
            <w:shd w:val="clear" w:color="auto" w:fill="FFFFFF"/>
          </w:tcPr>
          <w:p w14:paraId="5C11DA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1.43941</w:t>
            </w:r>
          </w:p>
        </w:tc>
        <w:tc>
          <w:tcPr>
            <w:tcW w:w="1024" w:type="dxa"/>
            <w:tcBorders>
              <w:top w:val="single" w:sz="8" w:space="0" w:color="AEAEAE"/>
              <w:left w:val="single" w:sz="8" w:space="0" w:color="E0E0E0"/>
              <w:bottom w:val="nil"/>
              <w:right w:val="nil"/>
            </w:tcBorders>
            <w:shd w:val="clear" w:color="auto" w:fill="FFFFFF"/>
          </w:tcPr>
          <w:p w14:paraId="33F9C8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r>
      <w:tr w:rsidR="00C7217E" w:rsidRPr="00530906" w14:paraId="0E4F0F0E" w14:textId="77777777" w:rsidTr="00C7217E">
        <w:trPr>
          <w:cantSplit/>
        </w:trPr>
        <w:tc>
          <w:tcPr>
            <w:tcW w:w="2034" w:type="dxa"/>
            <w:vMerge w:val="restart"/>
            <w:tcBorders>
              <w:top w:val="single" w:sz="8" w:space="0" w:color="AEAEAE"/>
              <w:left w:val="nil"/>
              <w:bottom w:val="single" w:sz="8" w:space="0" w:color="152935"/>
              <w:right w:val="nil"/>
            </w:tcBorders>
            <w:shd w:val="clear" w:color="auto" w:fill="E0E0E0"/>
          </w:tcPr>
          <w:p w14:paraId="6B714C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254" w:type="dxa"/>
            <w:tcBorders>
              <w:top w:val="single" w:sz="8" w:space="0" w:color="AEAEAE"/>
              <w:left w:val="nil"/>
              <w:bottom w:val="single" w:sz="8" w:space="0" w:color="AEAEAE"/>
              <w:right w:val="nil"/>
            </w:tcBorders>
            <w:shd w:val="clear" w:color="auto" w:fill="E0E0E0"/>
          </w:tcPr>
          <w:p w14:paraId="74996D9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024" w:type="dxa"/>
            <w:tcBorders>
              <w:top w:val="single" w:sz="8" w:space="0" w:color="AEAEAE"/>
              <w:left w:val="nil"/>
              <w:bottom w:val="single" w:sz="8" w:space="0" w:color="AEAEAE"/>
              <w:right w:val="single" w:sz="8" w:space="0" w:color="E0E0E0"/>
            </w:tcBorders>
            <w:shd w:val="clear" w:color="auto" w:fill="FFFFFF"/>
          </w:tcPr>
          <w:p w14:paraId="3D0EE5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4.3212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F7B7B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1.61762</w:t>
            </w:r>
          </w:p>
        </w:tc>
        <w:tc>
          <w:tcPr>
            <w:tcW w:w="1024" w:type="dxa"/>
            <w:tcBorders>
              <w:top w:val="single" w:sz="8" w:space="0" w:color="AEAEAE"/>
              <w:left w:val="single" w:sz="8" w:space="0" w:color="E0E0E0"/>
              <w:bottom w:val="single" w:sz="8" w:space="0" w:color="AEAEAE"/>
              <w:right w:val="nil"/>
            </w:tcBorders>
            <w:shd w:val="clear" w:color="auto" w:fill="FFFFFF"/>
          </w:tcPr>
          <w:p w14:paraId="3F49D3C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137</w:t>
            </w:r>
          </w:p>
        </w:tc>
      </w:tr>
      <w:tr w:rsidR="00C7217E" w:rsidRPr="00530906" w14:paraId="4CF949F2" w14:textId="77777777" w:rsidTr="00C7217E">
        <w:trPr>
          <w:cantSplit/>
        </w:trPr>
        <w:tc>
          <w:tcPr>
            <w:tcW w:w="2034" w:type="dxa"/>
            <w:vMerge/>
            <w:tcBorders>
              <w:top w:val="single" w:sz="8" w:space="0" w:color="AEAEAE"/>
              <w:left w:val="nil"/>
              <w:bottom w:val="single" w:sz="8" w:space="0" w:color="152935"/>
              <w:right w:val="nil"/>
            </w:tcBorders>
            <w:shd w:val="clear" w:color="auto" w:fill="E0E0E0"/>
          </w:tcPr>
          <w:p w14:paraId="0A014C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single" w:sz="8" w:space="0" w:color="AEAEAE"/>
              <w:right w:val="nil"/>
            </w:tcBorders>
            <w:shd w:val="clear" w:color="auto" w:fill="E0E0E0"/>
          </w:tcPr>
          <w:p w14:paraId="6EE752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024" w:type="dxa"/>
            <w:tcBorders>
              <w:top w:val="single" w:sz="8" w:space="0" w:color="AEAEAE"/>
              <w:left w:val="nil"/>
              <w:bottom w:val="single" w:sz="8" w:space="0" w:color="AEAEAE"/>
              <w:right w:val="single" w:sz="8" w:space="0" w:color="E0E0E0"/>
            </w:tcBorders>
            <w:shd w:val="clear" w:color="auto" w:fill="FFFFFF"/>
          </w:tcPr>
          <w:p w14:paraId="3B4F27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4.4718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6B6CC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1.59206</w:t>
            </w:r>
          </w:p>
        </w:tc>
        <w:tc>
          <w:tcPr>
            <w:tcW w:w="1024" w:type="dxa"/>
            <w:tcBorders>
              <w:top w:val="single" w:sz="8" w:space="0" w:color="AEAEAE"/>
              <w:left w:val="single" w:sz="8" w:space="0" w:color="E0E0E0"/>
              <w:bottom w:val="single" w:sz="8" w:space="0" w:color="AEAEAE"/>
              <w:right w:val="nil"/>
            </w:tcBorders>
            <w:shd w:val="clear" w:color="auto" w:fill="FFFFFF"/>
          </w:tcPr>
          <w:p w14:paraId="0DDF5C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0300E98F" w14:textId="77777777" w:rsidTr="00C7217E">
        <w:trPr>
          <w:cantSplit/>
        </w:trPr>
        <w:tc>
          <w:tcPr>
            <w:tcW w:w="2034" w:type="dxa"/>
            <w:vMerge/>
            <w:tcBorders>
              <w:top w:val="single" w:sz="8" w:space="0" w:color="AEAEAE"/>
              <w:left w:val="nil"/>
              <w:bottom w:val="single" w:sz="8" w:space="0" w:color="152935"/>
              <w:right w:val="nil"/>
            </w:tcBorders>
            <w:shd w:val="clear" w:color="auto" w:fill="E0E0E0"/>
          </w:tcPr>
          <w:p w14:paraId="129698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254" w:type="dxa"/>
            <w:tcBorders>
              <w:top w:val="single" w:sz="8" w:space="0" w:color="AEAEAE"/>
              <w:left w:val="nil"/>
              <w:bottom w:val="single" w:sz="8" w:space="0" w:color="152935"/>
              <w:right w:val="nil"/>
            </w:tcBorders>
            <w:shd w:val="clear" w:color="auto" w:fill="E0E0E0"/>
          </w:tcPr>
          <w:p w14:paraId="365F09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024" w:type="dxa"/>
            <w:tcBorders>
              <w:top w:val="single" w:sz="8" w:space="0" w:color="AEAEAE"/>
              <w:left w:val="nil"/>
              <w:bottom w:val="single" w:sz="8" w:space="0" w:color="152935"/>
              <w:right w:val="single" w:sz="8" w:space="0" w:color="E0E0E0"/>
            </w:tcBorders>
            <w:shd w:val="clear" w:color="auto" w:fill="FFFFFF"/>
          </w:tcPr>
          <w:p w14:paraId="7706549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4.3978</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8E8A52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1.60355</w:t>
            </w:r>
          </w:p>
        </w:tc>
        <w:tc>
          <w:tcPr>
            <w:tcW w:w="1024" w:type="dxa"/>
            <w:tcBorders>
              <w:top w:val="single" w:sz="8" w:space="0" w:color="AEAEAE"/>
              <w:left w:val="single" w:sz="8" w:space="0" w:color="E0E0E0"/>
              <w:bottom w:val="single" w:sz="8" w:space="0" w:color="152935"/>
              <w:right w:val="nil"/>
            </w:tcBorders>
            <w:shd w:val="clear" w:color="auto" w:fill="FFFFFF"/>
          </w:tcPr>
          <w:p w14:paraId="2015E5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r>
    </w:tbl>
    <w:p w14:paraId="550CD183"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6"/>
        <w:gridCol w:w="1930"/>
        <w:gridCol w:w="1050"/>
        <w:gridCol w:w="1097"/>
        <w:gridCol w:w="1473"/>
        <w:gridCol w:w="1050"/>
        <w:gridCol w:w="1050"/>
        <w:gridCol w:w="1129"/>
      </w:tblGrid>
      <w:tr w:rsidR="00C7217E" w:rsidRPr="00530906" w14:paraId="78632046" w14:textId="77777777" w:rsidTr="00EE722D">
        <w:trPr>
          <w:cantSplit/>
        </w:trPr>
        <w:tc>
          <w:tcPr>
            <w:tcW w:w="10065" w:type="dxa"/>
            <w:gridSpan w:val="8"/>
            <w:tcBorders>
              <w:top w:val="nil"/>
              <w:left w:val="nil"/>
              <w:bottom w:val="nil"/>
              <w:right w:val="nil"/>
            </w:tcBorders>
            <w:shd w:val="clear" w:color="auto" w:fill="FFFFFF"/>
            <w:vAlign w:val="center"/>
          </w:tcPr>
          <w:p w14:paraId="67CE822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Multivariate Tests</w:t>
            </w:r>
            <w:r w:rsidRPr="00530906">
              <w:rPr>
                <w:rFonts w:ascii="Cambria" w:eastAsia="Times New Roman" w:hAnsi="Cambria" w:cs="Times New Roman"/>
                <w:color w:val="000000"/>
                <w:vertAlign w:val="superscript"/>
                <w:lang w:val="en-US"/>
              </w:rPr>
              <w:t>a</w:t>
            </w:r>
          </w:p>
        </w:tc>
      </w:tr>
      <w:tr w:rsidR="00C7217E" w:rsidRPr="00530906" w14:paraId="6BA21BCA" w14:textId="77777777" w:rsidTr="00EE722D">
        <w:trPr>
          <w:cantSplit/>
        </w:trPr>
        <w:tc>
          <w:tcPr>
            <w:tcW w:w="3216" w:type="dxa"/>
            <w:gridSpan w:val="2"/>
            <w:tcBorders>
              <w:top w:val="nil"/>
              <w:left w:val="nil"/>
              <w:bottom w:val="single" w:sz="8" w:space="0" w:color="152935"/>
              <w:right w:val="nil"/>
            </w:tcBorders>
            <w:shd w:val="clear" w:color="auto" w:fill="FFFFFF"/>
            <w:vAlign w:val="bottom"/>
          </w:tcPr>
          <w:p w14:paraId="0DDA1A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Effect</w:t>
            </w:r>
          </w:p>
        </w:tc>
        <w:tc>
          <w:tcPr>
            <w:tcW w:w="1050" w:type="dxa"/>
            <w:tcBorders>
              <w:top w:val="nil"/>
              <w:left w:val="nil"/>
              <w:bottom w:val="single" w:sz="8" w:space="0" w:color="152935"/>
              <w:right w:val="single" w:sz="8" w:space="0" w:color="E0E0E0"/>
            </w:tcBorders>
            <w:shd w:val="clear" w:color="auto" w:fill="FFFFFF"/>
            <w:vAlign w:val="bottom"/>
          </w:tcPr>
          <w:p w14:paraId="0325A7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Value</w:t>
            </w:r>
          </w:p>
        </w:tc>
        <w:tc>
          <w:tcPr>
            <w:tcW w:w="1097" w:type="dxa"/>
            <w:tcBorders>
              <w:top w:val="nil"/>
              <w:left w:val="single" w:sz="8" w:space="0" w:color="E0E0E0"/>
              <w:bottom w:val="single" w:sz="8" w:space="0" w:color="152935"/>
              <w:right w:val="single" w:sz="8" w:space="0" w:color="E0E0E0"/>
            </w:tcBorders>
            <w:shd w:val="clear" w:color="auto" w:fill="FFFFFF"/>
            <w:vAlign w:val="bottom"/>
          </w:tcPr>
          <w:p w14:paraId="56A370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5713BF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Hypothesis df</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2BB6B3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Error df</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1B0F20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129" w:type="dxa"/>
            <w:tcBorders>
              <w:top w:val="nil"/>
              <w:left w:val="single" w:sz="8" w:space="0" w:color="E0E0E0"/>
              <w:bottom w:val="single" w:sz="8" w:space="0" w:color="152935"/>
              <w:right w:val="nil"/>
            </w:tcBorders>
            <w:shd w:val="clear" w:color="auto" w:fill="FFFFFF"/>
            <w:vAlign w:val="bottom"/>
          </w:tcPr>
          <w:p w14:paraId="2E50C4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 Eta Squared</w:t>
            </w:r>
          </w:p>
        </w:tc>
      </w:tr>
      <w:tr w:rsidR="00C7217E" w:rsidRPr="00530906" w14:paraId="47992B05" w14:textId="77777777" w:rsidTr="00EE722D">
        <w:trPr>
          <w:cantSplit/>
        </w:trPr>
        <w:tc>
          <w:tcPr>
            <w:tcW w:w="1286" w:type="dxa"/>
            <w:vMerge w:val="restart"/>
            <w:tcBorders>
              <w:top w:val="single" w:sz="8" w:space="0" w:color="152935"/>
              <w:left w:val="nil"/>
              <w:bottom w:val="nil"/>
              <w:right w:val="nil"/>
            </w:tcBorders>
            <w:shd w:val="clear" w:color="auto" w:fill="E0E0E0"/>
          </w:tcPr>
          <w:p w14:paraId="4510F4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Intercept</w:t>
            </w:r>
          </w:p>
        </w:tc>
        <w:tc>
          <w:tcPr>
            <w:tcW w:w="1930" w:type="dxa"/>
            <w:tcBorders>
              <w:top w:val="single" w:sz="8" w:space="0" w:color="152935"/>
              <w:left w:val="nil"/>
              <w:bottom w:val="single" w:sz="8" w:space="0" w:color="AEAEAE"/>
              <w:right w:val="nil"/>
            </w:tcBorders>
            <w:shd w:val="clear" w:color="auto" w:fill="E0E0E0"/>
          </w:tcPr>
          <w:p w14:paraId="3675C8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1050" w:type="dxa"/>
            <w:tcBorders>
              <w:top w:val="single" w:sz="8" w:space="0" w:color="152935"/>
              <w:left w:val="nil"/>
              <w:bottom w:val="single" w:sz="8" w:space="0" w:color="AEAEAE"/>
              <w:right w:val="single" w:sz="8" w:space="0" w:color="E0E0E0"/>
            </w:tcBorders>
            <w:shd w:val="clear" w:color="auto" w:fill="FFFFFF"/>
          </w:tcPr>
          <w:p w14:paraId="5F8AA3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.929</w:t>
            </w:r>
          </w:p>
        </w:tc>
        <w:tc>
          <w:tcPr>
            <w:tcW w:w="1097" w:type="dxa"/>
            <w:tcBorders>
              <w:top w:val="single" w:sz="8" w:space="0" w:color="152935"/>
              <w:left w:val="single" w:sz="8" w:space="0" w:color="E0E0E0"/>
              <w:bottom w:val="single" w:sz="8" w:space="0" w:color="AEAEAE"/>
              <w:right w:val="single" w:sz="8" w:space="0" w:color="E0E0E0"/>
            </w:tcBorders>
            <w:shd w:val="clear" w:color="auto" w:fill="FFFFFF"/>
          </w:tcPr>
          <w:p w14:paraId="64B8E4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901.018</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152935"/>
              <w:left w:val="single" w:sz="8" w:space="0" w:color="E0E0E0"/>
              <w:bottom w:val="single" w:sz="8" w:space="0" w:color="AEAEAE"/>
              <w:right w:val="single" w:sz="8" w:space="0" w:color="E0E0E0"/>
            </w:tcBorders>
            <w:shd w:val="clear" w:color="auto" w:fill="FFFFFF"/>
          </w:tcPr>
          <w:p w14:paraId="242F57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74E1B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1A87EB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129" w:type="dxa"/>
            <w:tcBorders>
              <w:top w:val="single" w:sz="8" w:space="0" w:color="152935"/>
              <w:left w:val="single" w:sz="8" w:space="0" w:color="E0E0E0"/>
              <w:bottom w:val="single" w:sz="8" w:space="0" w:color="AEAEAE"/>
              <w:right w:val="nil"/>
            </w:tcBorders>
            <w:shd w:val="clear" w:color="auto" w:fill="FFFFFF"/>
          </w:tcPr>
          <w:p w14:paraId="6B5219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.929</w:t>
            </w:r>
          </w:p>
        </w:tc>
      </w:tr>
      <w:tr w:rsidR="00C7217E" w:rsidRPr="00530906" w14:paraId="43D47C96" w14:textId="77777777" w:rsidTr="00EE722D">
        <w:trPr>
          <w:cantSplit/>
        </w:trPr>
        <w:tc>
          <w:tcPr>
            <w:tcW w:w="1286" w:type="dxa"/>
            <w:vMerge/>
            <w:tcBorders>
              <w:top w:val="single" w:sz="8" w:space="0" w:color="152935"/>
              <w:left w:val="nil"/>
              <w:bottom w:val="nil"/>
              <w:right w:val="nil"/>
            </w:tcBorders>
            <w:shd w:val="clear" w:color="auto" w:fill="E0E0E0"/>
          </w:tcPr>
          <w:p w14:paraId="5A144A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single" w:sz="8" w:space="0" w:color="AEAEAE"/>
              <w:right w:val="nil"/>
            </w:tcBorders>
            <w:shd w:val="clear" w:color="auto" w:fill="E0E0E0"/>
          </w:tcPr>
          <w:p w14:paraId="5774B8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1050" w:type="dxa"/>
            <w:tcBorders>
              <w:top w:val="single" w:sz="8" w:space="0" w:color="AEAEAE"/>
              <w:left w:val="nil"/>
              <w:bottom w:val="single" w:sz="8" w:space="0" w:color="AEAEAE"/>
              <w:right w:val="single" w:sz="8" w:space="0" w:color="E0E0E0"/>
            </w:tcBorders>
            <w:shd w:val="clear" w:color="auto" w:fill="FFFFFF"/>
          </w:tcPr>
          <w:p w14:paraId="33CAAE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.071</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01A786B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901.018</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AEAEAE"/>
              <w:right w:val="single" w:sz="8" w:space="0" w:color="E0E0E0"/>
            </w:tcBorders>
            <w:shd w:val="clear" w:color="auto" w:fill="FFFFFF"/>
          </w:tcPr>
          <w:p w14:paraId="12E8B2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42576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C3E409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129" w:type="dxa"/>
            <w:tcBorders>
              <w:top w:val="single" w:sz="8" w:space="0" w:color="AEAEAE"/>
              <w:left w:val="single" w:sz="8" w:space="0" w:color="E0E0E0"/>
              <w:bottom w:val="single" w:sz="8" w:space="0" w:color="AEAEAE"/>
              <w:right w:val="nil"/>
            </w:tcBorders>
            <w:shd w:val="clear" w:color="auto" w:fill="FFFFFF"/>
          </w:tcPr>
          <w:p w14:paraId="6B4151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.929</w:t>
            </w:r>
          </w:p>
        </w:tc>
      </w:tr>
      <w:tr w:rsidR="00C7217E" w:rsidRPr="00530906" w14:paraId="15FDFD61" w14:textId="77777777" w:rsidTr="00EE722D">
        <w:trPr>
          <w:cantSplit/>
        </w:trPr>
        <w:tc>
          <w:tcPr>
            <w:tcW w:w="1286" w:type="dxa"/>
            <w:vMerge/>
            <w:tcBorders>
              <w:top w:val="single" w:sz="8" w:space="0" w:color="152935"/>
              <w:left w:val="nil"/>
              <w:bottom w:val="nil"/>
              <w:right w:val="nil"/>
            </w:tcBorders>
            <w:shd w:val="clear" w:color="auto" w:fill="E0E0E0"/>
          </w:tcPr>
          <w:p w14:paraId="49BC56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single" w:sz="8" w:space="0" w:color="AEAEAE"/>
              <w:right w:val="nil"/>
            </w:tcBorders>
            <w:shd w:val="clear" w:color="auto" w:fill="E0E0E0"/>
          </w:tcPr>
          <w:p w14:paraId="594180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1050" w:type="dxa"/>
            <w:tcBorders>
              <w:top w:val="single" w:sz="8" w:space="0" w:color="AEAEAE"/>
              <w:left w:val="nil"/>
              <w:bottom w:val="single" w:sz="8" w:space="0" w:color="AEAEAE"/>
              <w:right w:val="single" w:sz="8" w:space="0" w:color="E0E0E0"/>
            </w:tcBorders>
            <w:shd w:val="clear" w:color="auto" w:fill="FFFFFF"/>
          </w:tcPr>
          <w:p w14:paraId="40DDAF7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13.154</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13A1E9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901.018</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AEAEAE"/>
              <w:right w:val="single" w:sz="8" w:space="0" w:color="E0E0E0"/>
            </w:tcBorders>
            <w:shd w:val="clear" w:color="auto" w:fill="FFFFFF"/>
          </w:tcPr>
          <w:p w14:paraId="458EBC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FF204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52A06B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129" w:type="dxa"/>
            <w:tcBorders>
              <w:top w:val="single" w:sz="8" w:space="0" w:color="AEAEAE"/>
              <w:left w:val="single" w:sz="8" w:space="0" w:color="E0E0E0"/>
              <w:bottom w:val="single" w:sz="8" w:space="0" w:color="AEAEAE"/>
              <w:right w:val="nil"/>
            </w:tcBorders>
            <w:shd w:val="clear" w:color="auto" w:fill="FFFFFF"/>
          </w:tcPr>
          <w:p w14:paraId="6F4A71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.929</w:t>
            </w:r>
          </w:p>
        </w:tc>
      </w:tr>
      <w:tr w:rsidR="00C7217E" w:rsidRPr="00530906" w14:paraId="113031A8" w14:textId="77777777" w:rsidTr="00EE722D">
        <w:trPr>
          <w:cantSplit/>
        </w:trPr>
        <w:tc>
          <w:tcPr>
            <w:tcW w:w="1286" w:type="dxa"/>
            <w:vMerge/>
            <w:tcBorders>
              <w:top w:val="single" w:sz="8" w:space="0" w:color="152935"/>
              <w:left w:val="nil"/>
              <w:bottom w:val="nil"/>
              <w:right w:val="nil"/>
            </w:tcBorders>
            <w:shd w:val="clear" w:color="auto" w:fill="E0E0E0"/>
          </w:tcPr>
          <w:p w14:paraId="4BEE35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nil"/>
              <w:right w:val="nil"/>
            </w:tcBorders>
            <w:shd w:val="clear" w:color="auto" w:fill="E0E0E0"/>
          </w:tcPr>
          <w:p w14:paraId="0C8B13B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1050" w:type="dxa"/>
            <w:tcBorders>
              <w:top w:val="single" w:sz="8" w:space="0" w:color="AEAEAE"/>
              <w:left w:val="nil"/>
              <w:bottom w:val="nil"/>
              <w:right w:val="single" w:sz="8" w:space="0" w:color="E0E0E0"/>
            </w:tcBorders>
            <w:shd w:val="clear" w:color="auto" w:fill="FFFFFF"/>
          </w:tcPr>
          <w:p w14:paraId="4E80F5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13.154</w:t>
            </w:r>
          </w:p>
        </w:tc>
        <w:tc>
          <w:tcPr>
            <w:tcW w:w="1097" w:type="dxa"/>
            <w:tcBorders>
              <w:top w:val="single" w:sz="8" w:space="0" w:color="AEAEAE"/>
              <w:left w:val="single" w:sz="8" w:space="0" w:color="E0E0E0"/>
              <w:bottom w:val="nil"/>
              <w:right w:val="single" w:sz="8" w:space="0" w:color="E0E0E0"/>
            </w:tcBorders>
            <w:shd w:val="clear" w:color="auto" w:fill="FFFFFF"/>
          </w:tcPr>
          <w:p w14:paraId="44525B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901.018</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nil"/>
              <w:right w:val="single" w:sz="8" w:space="0" w:color="E0E0E0"/>
            </w:tcBorders>
            <w:shd w:val="clear" w:color="auto" w:fill="FFFFFF"/>
          </w:tcPr>
          <w:p w14:paraId="268014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nil"/>
              <w:right w:val="single" w:sz="8" w:space="0" w:color="E0E0E0"/>
            </w:tcBorders>
            <w:shd w:val="clear" w:color="auto" w:fill="FFFFFF"/>
          </w:tcPr>
          <w:p w14:paraId="1A98AB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nil"/>
              <w:right w:val="single" w:sz="8" w:space="0" w:color="E0E0E0"/>
            </w:tcBorders>
            <w:shd w:val="clear" w:color="auto" w:fill="FFFFFF"/>
          </w:tcPr>
          <w:p w14:paraId="6DFB87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129" w:type="dxa"/>
            <w:tcBorders>
              <w:top w:val="single" w:sz="8" w:space="0" w:color="AEAEAE"/>
              <w:left w:val="single" w:sz="8" w:space="0" w:color="E0E0E0"/>
              <w:bottom w:val="nil"/>
              <w:right w:val="nil"/>
            </w:tcBorders>
            <w:shd w:val="clear" w:color="auto" w:fill="FFFFFF"/>
          </w:tcPr>
          <w:p w14:paraId="6597F21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.929</w:t>
            </w:r>
          </w:p>
        </w:tc>
      </w:tr>
      <w:tr w:rsidR="00C7217E" w:rsidRPr="00530906" w14:paraId="108A0342" w14:textId="77777777" w:rsidTr="00EE722D">
        <w:trPr>
          <w:cantSplit/>
        </w:trPr>
        <w:tc>
          <w:tcPr>
            <w:tcW w:w="1286" w:type="dxa"/>
            <w:vMerge w:val="restart"/>
            <w:tcBorders>
              <w:top w:val="single" w:sz="8" w:space="0" w:color="AEAEAE"/>
              <w:left w:val="nil"/>
              <w:bottom w:val="single" w:sz="8" w:space="0" w:color="152935"/>
              <w:right w:val="nil"/>
            </w:tcBorders>
            <w:shd w:val="clear" w:color="auto" w:fill="E0E0E0"/>
          </w:tcPr>
          <w:p w14:paraId="00EDBB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930" w:type="dxa"/>
            <w:tcBorders>
              <w:top w:val="single" w:sz="8" w:space="0" w:color="AEAEAE"/>
              <w:left w:val="nil"/>
              <w:bottom w:val="single" w:sz="8" w:space="0" w:color="AEAEAE"/>
              <w:right w:val="nil"/>
            </w:tcBorders>
            <w:shd w:val="clear" w:color="auto" w:fill="E0E0E0"/>
          </w:tcPr>
          <w:p w14:paraId="3B4B2D3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1050" w:type="dxa"/>
            <w:tcBorders>
              <w:top w:val="single" w:sz="8" w:space="0" w:color="AEAEAE"/>
              <w:left w:val="nil"/>
              <w:bottom w:val="single" w:sz="8" w:space="0" w:color="AEAEAE"/>
              <w:right w:val="single" w:sz="8" w:space="0" w:color="E0E0E0"/>
            </w:tcBorders>
            <w:shd w:val="clear" w:color="auto" w:fill="FFFFFF"/>
          </w:tcPr>
          <w:p w14:paraId="4E11C3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1A7511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2.476</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AEAEAE"/>
              <w:right w:val="single" w:sz="8" w:space="0" w:color="E0E0E0"/>
            </w:tcBorders>
            <w:shd w:val="clear" w:color="auto" w:fill="FFFFFF"/>
          </w:tcPr>
          <w:p w14:paraId="1826BF8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18E42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9A3E6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c>
          <w:tcPr>
            <w:tcW w:w="1129" w:type="dxa"/>
            <w:tcBorders>
              <w:top w:val="single" w:sz="8" w:space="0" w:color="AEAEAE"/>
              <w:left w:val="single" w:sz="8" w:space="0" w:color="E0E0E0"/>
              <w:bottom w:val="single" w:sz="8" w:space="0" w:color="AEAEAE"/>
              <w:right w:val="nil"/>
            </w:tcBorders>
            <w:shd w:val="clear" w:color="auto" w:fill="FFFFFF"/>
          </w:tcPr>
          <w:p w14:paraId="4FCD42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r>
      <w:tr w:rsidR="00C7217E" w:rsidRPr="00530906" w14:paraId="53EB32B1" w14:textId="77777777" w:rsidTr="00EE722D">
        <w:trPr>
          <w:cantSplit/>
        </w:trPr>
        <w:tc>
          <w:tcPr>
            <w:tcW w:w="1286" w:type="dxa"/>
            <w:vMerge/>
            <w:tcBorders>
              <w:top w:val="single" w:sz="8" w:space="0" w:color="AEAEAE"/>
              <w:left w:val="nil"/>
              <w:bottom w:val="single" w:sz="8" w:space="0" w:color="152935"/>
              <w:right w:val="nil"/>
            </w:tcBorders>
            <w:shd w:val="clear" w:color="auto" w:fill="E0E0E0"/>
          </w:tcPr>
          <w:p w14:paraId="19ABA3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single" w:sz="8" w:space="0" w:color="AEAEAE"/>
              <w:right w:val="nil"/>
            </w:tcBorders>
            <w:shd w:val="clear" w:color="auto" w:fill="E0E0E0"/>
          </w:tcPr>
          <w:p w14:paraId="68AF9C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1050" w:type="dxa"/>
            <w:tcBorders>
              <w:top w:val="single" w:sz="8" w:space="0" w:color="AEAEAE"/>
              <w:left w:val="nil"/>
              <w:bottom w:val="single" w:sz="8" w:space="0" w:color="AEAEAE"/>
              <w:right w:val="single" w:sz="8" w:space="0" w:color="E0E0E0"/>
            </w:tcBorders>
            <w:shd w:val="clear" w:color="auto" w:fill="FFFFFF"/>
          </w:tcPr>
          <w:p w14:paraId="34162F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.965</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5234D6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2.476</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AEAEAE"/>
              <w:right w:val="single" w:sz="8" w:space="0" w:color="E0E0E0"/>
            </w:tcBorders>
            <w:shd w:val="clear" w:color="auto" w:fill="FFFFFF"/>
          </w:tcPr>
          <w:p w14:paraId="50146A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3A55C0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6D87B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c>
          <w:tcPr>
            <w:tcW w:w="1129" w:type="dxa"/>
            <w:tcBorders>
              <w:top w:val="single" w:sz="8" w:space="0" w:color="AEAEAE"/>
              <w:left w:val="single" w:sz="8" w:space="0" w:color="E0E0E0"/>
              <w:bottom w:val="single" w:sz="8" w:space="0" w:color="AEAEAE"/>
              <w:right w:val="nil"/>
            </w:tcBorders>
            <w:shd w:val="clear" w:color="auto" w:fill="FFFFFF"/>
          </w:tcPr>
          <w:p w14:paraId="39FA57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r>
      <w:tr w:rsidR="00C7217E" w:rsidRPr="00530906" w14:paraId="6BDA0910" w14:textId="77777777" w:rsidTr="00EE722D">
        <w:trPr>
          <w:cantSplit/>
        </w:trPr>
        <w:tc>
          <w:tcPr>
            <w:tcW w:w="1286" w:type="dxa"/>
            <w:vMerge/>
            <w:tcBorders>
              <w:top w:val="single" w:sz="8" w:space="0" w:color="AEAEAE"/>
              <w:left w:val="nil"/>
              <w:bottom w:val="single" w:sz="8" w:space="0" w:color="152935"/>
              <w:right w:val="nil"/>
            </w:tcBorders>
            <w:shd w:val="clear" w:color="auto" w:fill="E0E0E0"/>
          </w:tcPr>
          <w:p w14:paraId="010492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single" w:sz="8" w:space="0" w:color="AEAEAE"/>
              <w:right w:val="nil"/>
            </w:tcBorders>
            <w:shd w:val="clear" w:color="auto" w:fill="E0E0E0"/>
          </w:tcPr>
          <w:p w14:paraId="27708A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1050" w:type="dxa"/>
            <w:tcBorders>
              <w:top w:val="single" w:sz="8" w:space="0" w:color="AEAEAE"/>
              <w:left w:val="nil"/>
              <w:bottom w:val="single" w:sz="8" w:space="0" w:color="AEAEAE"/>
              <w:right w:val="single" w:sz="8" w:space="0" w:color="E0E0E0"/>
            </w:tcBorders>
            <w:shd w:val="clear" w:color="auto" w:fill="FFFFFF"/>
          </w:tcPr>
          <w:p w14:paraId="237F17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.036</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5DA690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2.476</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AEAEAE"/>
              <w:right w:val="single" w:sz="8" w:space="0" w:color="E0E0E0"/>
            </w:tcBorders>
            <w:shd w:val="clear" w:color="auto" w:fill="FFFFFF"/>
          </w:tcPr>
          <w:p w14:paraId="59F358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7A386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763DD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c>
          <w:tcPr>
            <w:tcW w:w="1129" w:type="dxa"/>
            <w:tcBorders>
              <w:top w:val="single" w:sz="8" w:space="0" w:color="AEAEAE"/>
              <w:left w:val="single" w:sz="8" w:space="0" w:color="E0E0E0"/>
              <w:bottom w:val="single" w:sz="8" w:space="0" w:color="AEAEAE"/>
              <w:right w:val="nil"/>
            </w:tcBorders>
            <w:shd w:val="clear" w:color="auto" w:fill="FFFFFF"/>
          </w:tcPr>
          <w:p w14:paraId="1D4143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r>
      <w:tr w:rsidR="00C7217E" w:rsidRPr="00530906" w14:paraId="553E3E26" w14:textId="77777777" w:rsidTr="00EE722D">
        <w:trPr>
          <w:cantSplit/>
        </w:trPr>
        <w:tc>
          <w:tcPr>
            <w:tcW w:w="1286" w:type="dxa"/>
            <w:vMerge/>
            <w:tcBorders>
              <w:top w:val="single" w:sz="8" w:space="0" w:color="AEAEAE"/>
              <w:left w:val="nil"/>
              <w:bottom w:val="single" w:sz="8" w:space="0" w:color="152935"/>
              <w:right w:val="nil"/>
            </w:tcBorders>
            <w:shd w:val="clear" w:color="auto" w:fill="E0E0E0"/>
          </w:tcPr>
          <w:p w14:paraId="269AA7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930" w:type="dxa"/>
            <w:tcBorders>
              <w:top w:val="single" w:sz="8" w:space="0" w:color="AEAEAE"/>
              <w:left w:val="nil"/>
              <w:bottom w:val="single" w:sz="8" w:space="0" w:color="152935"/>
              <w:right w:val="nil"/>
            </w:tcBorders>
            <w:shd w:val="clear" w:color="auto" w:fill="E0E0E0"/>
          </w:tcPr>
          <w:p w14:paraId="1629AF9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1050" w:type="dxa"/>
            <w:tcBorders>
              <w:top w:val="single" w:sz="8" w:space="0" w:color="AEAEAE"/>
              <w:left w:val="nil"/>
              <w:bottom w:val="single" w:sz="8" w:space="0" w:color="152935"/>
              <w:right w:val="single" w:sz="8" w:space="0" w:color="E0E0E0"/>
            </w:tcBorders>
            <w:shd w:val="clear" w:color="auto" w:fill="FFFFFF"/>
          </w:tcPr>
          <w:p w14:paraId="584191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.036</w:t>
            </w:r>
          </w:p>
        </w:tc>
        <w:tc>
          <w:tcPr>
            <w:tcW w:w="1097" w:type="dxa"/>
            <w:tcBorders>
              <w:top w:val="single" w:sz="8" w:space="0" w:color="AEAEAE"/>
              <w:left w:val="single" w:sz="8" w:space="0" w:color="E0E0E0"/>
              <w:bottom w:val="single" w:sz="8" w:space="0" w:color="152935"/>
              <w:right w:val="single" w:sz="8" w:space="0" w:color="E0E0E0"/>
            </w:tcBorders>
            <w:shd w:val="clear" w:color="auto" w:fill="FFFFFF"/>
          </w:tcPr>
          <w:p w14:paraId="666DAE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2.476</w:t>
            </w:r>
            <w:r w:rsidRPr="00530906">
              <w:rPr>
                <w:rFonts w:ascii="Cambria" w:eastAsia="Times New Roman" w:hAnsi="Cambria" w:cs="Times New Roman"/>
                <w:color w:val="000000"/>
                <w:sz w:val="18"/>
                <w:szCs w:val="18"/>
                <w:vertAlign w:val="superscript"/>
                <w:lang w:val="en-US"/>
              </w:rPr>
              <w:t>b</w:t>
            </w:r>
          </w:p>
        </w:tc>
        <w:tc>
          <w:tcPr>
            <w:tcW w:w="1473" w:type="dxa"/>
            <w:tcBorders>
              <w:top w:val="single" w:sz="8" w:space="0" w:color="AEAEAE"/>
              <w:left w:val="single" w:sz="8" w:space="0" w:color="E0E0E0"/>
              <w:bottom w:val="single" w:sz="8" w:space="0" w:color="152935"/>
              <w:right w:val="single" w:sz="8" w:space="0" w:color="E0E0E0"/>
            </w:tcBorders>
            <w:shd w:val="clear" w:color="auto" w:fill="FFFFFF"/>
          </w:tcPr>
          <w:p w14:paraId="18BEAB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14:paraId="65BC2F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274.000</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14:paraId="7F6EBB1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c>
          <w:tcPr>
            <w:tcW w:w="1129" w:type="dxa"/>
            <w:tcBorders>
              <w:top w:val="single" w:sz="8" w:space="0" w:color="AEAEAE"/>
              <w:left w:val="single" w:sz="8" w:space="0" w:color="E0E0E0"/>
              <w:bottom w:val="single" w:sz="8" w:space="0" w:color="152935"/>
              <w:right w:val="nil"/>
            </w:tcBorders>
            <w:shd w:val="clear" w:color="auto" w:fill="FFFFFF"/>
          </w:tcPr>
          <w:p w14:paraId="560D3F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r>
      <w:tr w:rsidR="00C7217E" w:rsidRPr="00530906" w14:paraId="578CFD11" w14:textId="77777777" w:rsidTr="00EE722D">
        <w:trPr>
          <w:cantSplit/>
        </w:trPr>
        <w:tc>
          <w:tcPr>
            <w:tcW w:w="10065" w:type="dxa"/>
            <w:gridSpan w:val="8"/>
            <w:tcBorders>
              <w:top w:val="nil"/>
              <w:left w:val="nil"/>
              <w:bottom w:val="nil"/>
              <w:right w:val="nil"/>
            </w:tcBorders>
            <w:shd w:val="clear" w:color="auto" w:fill="FFFFFF"/>
          </w:tcPr>
          <w:p w14:paraId="4FE321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Design: Intercept + caption_cat</w:t>
            </w:r>
          </w:p>
        </w:tc>
      </w:tr>
      <w:tr w:rsidR="00C7217E" w:rsidRPr="00530906" w14:paraId="50E33703" w14:textId="77777777" w:rsidTr="00EE722D">
        <w:trPr>
          <w:cantSplit/>
        </w:trPr>
        <w:tc>
          <w:tcPr>
            <w:tcW w:w="10065" w:type="dxa"/>
            <w:gridSpan w:val="8"/>
            <w:tcBorders>
              <w:top w:val="nil"/>
              <w:left w:val="nil"/>
              <w:bottom w:val="nil"/>
              <w:right w:val="nil"/>
            </w:tcBorders>
            <w:shd w:val="clear" w:color="auto" w:fill="FFFFFF"/>
          </w:tcPr>
          <w:p w14:paraId="56D553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Exact statistic</w:t>
            </w:r>
          </w:p>
        </w:tc>
      </w:tr>
    </w:tbl>
    <w:p w14:paraId="37C24B00"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9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2138"/>
        <w:gridCol w:w="1541"/>
        <w:gridCol w:w="745"/>
        <w:gridCol w:w="1477"/>
        <w:gridCol w:w="885"/>
        <w:gridCol w:w="567"/>
        <w:gridCol w:w="654"/>
        <w:gridCol w:w="16"/>
      </w:tblGrid>
      <w:tr w:rsidR="00C7217E" w:rsidRPr="00530906" w14:paraId="0652B243" w14:textId="77777777" w:rsidTr="00EE722D">
        <w:trPr>
          <w:cantSplit/>
        </w:trPr>
        <w:tc>
          <w:tcPr>
            <w:tcW w:w="9553" w:type="dxa"/>
            <w:gridSpan w:val="9"/>
            <w:tcBorders>
              <w:top w:val="nil"/>
              <w:left w:val="nil"/>
              <w:bottom w:val="nil"/>
              <w:right w:val="nil"/>
            </w:tcBorders>
            <w:shd w:val="clear" w:color="auto" w:fill="FFFFFF"/>
            <w:vAlign w:val="center"/>
          </w:tcPr>
          <w:p w14:paraId="33C421D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Tests of Between–Subjects Effects</w:t>
            </w:r>
          </w:p>
        </w:tc>
      </w:tr>
      <w:tr w:rsidR="00C7217E" w:rsidRPr="00530906" w14:paraId="0C5F48C3" w14:textId="77777777" w:rsidTr="00EE722D">
        <w:trPr>
          <w:gridAfter w:val="1"/>
          <w:wAfter w:w="16" w:type="dxa"/>
          <w:cantSplit/>
        </w:trPr>
        <w:tc>
          <w:tcPr>
            <w:tcW w:w="1530" w:type="dxa"/>
            <w:tcBorders>
              <w:top w:val="nil"/>
              <w:left w:val="nil"/>
              <w:bottom w:val="single" w:sz="8" w:space="0" w:color="152935"/>
              <w:right w:val="nil"/>
            </w:tcBorders>
            <w:shd w:val="clear" w:color="auto" w:fill="FFFFFF"/>
            <w:vAlign w:val="bottom"/>
          </w:tcPr>
          <w:p w14:paraId="2D8D6B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Source</w:t>
            </w:r>
          </w:p>
        </w:tc>
        <w:tc>
          <w:tcPr>
            <w:tcW w:w="2138" w:type="dxa"/>
            <w:tcBorders>
              <w:top w:val="nil"/>
              <w:left w:val="nil"/>
              <w:bottom w:val="single" w:sz="8" w:space="0" w:color="152935"/>
              <w:right w:val="nil"/>
            </w:tcBorders>
            <w:shd w:val="clear" w:color="auto" w:fill="FFFFFF"/>
            <w:vAlign w:val="bottom"/>
          </w:tcPr>
          <w:p w14:paraId="256448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Dependent Variable</w:t>
            </w:r>
          </w:p>
        </w:tc>
        <w:tc>
          <w:tcPr>
            <w:tcW w:w="1541" w:type="dxa"/>
            <w:tcBorders>
              <w:top w:val="nil"/>
              <w:left w:val="nil"/>
              <w:bottom w:val="single" w:sz="8" w:space="0" w:color="152935"/>
              <w:right w:val="single" w:sz="8" w:space="0" w:color="E0E0E0"/>
            </w:tcBorders>
            <w:shd w:val="clear" w:color="auto" w:fill="FFFFFF"/>
            <w:vAlign w:val="bottom"/>
          </w:tcPr>
          <w:p w14:paraId="13300B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Type III Sum of Squares</w:t>
            </w:r>
          </w:p>
        </w:tc>
        <w:tc>
          <w:tcPr>
            <w:tcW w:w="745" w:type="dxa"/>
            <w:tcBorders>
              <w:top w:val="nil"/>
              <w:left w:val="single" w:sz="8" w:space="0" w:color="E0E0E0"/>
              <w:bottom w:val="single" w:sz="8" w:space="0" w:color="152935"/>
              <w:right w:val="single" w:sz="8" w:space="0" w:color="E0E0E0"/>
            </w:tcBorders>
            <w:shd w:val="clear" w:color="auto" w:fill="FFFFFF"/>
            <w:vAlign w:val="bottom"/>
          </w:tcPr>
          <w:p w14:paraId="353634D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477" w:type="dxa"/>
            <w:tcBorders>
              <w:top w:val="nil"/>
              <w:left w:val="single" w:sz="8" w:space="0" w:color="E0E0E0"/>
              <w:bottom w:val="single" w:sz="8" w:space="0" w:color="152935"/>
              <w:right w:val="single" w:sz="8" w:space="0" w:color="E0E0E0"/>
            </w:tcBorders>
            <w:shd w:val="clear" w:color="auto" w:fill="FFFFFF"/>
            <w:vAlign w:val="bottom"/>
          </w:tcPr>
          <w:p w14:paraId="7B9537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885" w:type="dxa"/>
            <w:tcBorders>
              <w:top w:val="nil"/>
              <w:left w:val="single" w:sz="8" w:space="0" w:color="E0E0E0"/>
              <w:bottom w:val="single" w:sz="8" w:space="0" w:color="152935"/>
              <w:right w:val="single" w:sz="8" w:space="0" w:color="E0E0E0"/>
            </w:tcBorders>
            <w:shd w:val="clear" w:color="auto" w:fill="FFFFFF"/>
            <w:vAlign w:val="bottom"/>
          </w:tcPr>
          <w:p w14:paraId="26899E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89E83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654" w:type="dxa"/>
            <w:tcBorders>
              <w:top w:val="nil"/>
              <w:left w:val="single" w:sz="8" w:space="0" w:color="E0E0E0"/>
              <w:bottom w:val="single" w:sz="8" w:space="0" w:color="152935"/>
              <w:right w:val="nil"/>
            </w:tcBorders>
            <w:shd w:val="clear" w:color="auto" w:fill="FFFFFF"/>
            <w:vAlign w:val="bottom"/>
          </w:tcPr>
          <w:p w14:paraId="4422F6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 Eta Squared</w:t>
            </w:r>
          </w:p>
        </w:tc>
      </w:tr>
      <w:tr w:rsidR="00C7217E" w:rsidRPr="00530906" w14:paraId="6BE1C3DF" w14:textId="77777777" w:rsidTr="00EE722D">
        <w:trPr>
          <w:gridAfter w:val="1"/>
          <w:wAfter w:w="16" w:type="dxa"/>
          <w:cantSplit/>
        </w:trPr>
        <w:tc>
          <w:tcPr>
            <w:tcW w:w="1530" w:type="dxa"/>
            <w:vMerge w:val="restart"/>
            <w:tcBorders>
              <w:top w:val="single" w:sz="8" w:space="0" w:color="152935"/>
              <w:left w:val="nil"/>
              <w:bottom w:val="nil"/>
              <w:right w:val="nil"/>
            </w:tcBorders>
            <w:shd w:val="clear" w:color="auto" w:fill="E0E0E0"/>
          </w:tcPr>
          <w:p w14:paraId="3E770D7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Model</w:t>
            </w:r>
          </w:p>
        </w:tc>
        <w:tc>
          <w:tcPr>
            <w:tcW w:w="2138" w:type="dxa"/>
            <w:tcBorders>
              <w:top w:val="single" w:sz="8" w:space="0" w:color="152935"/>
              <w:left w:val="nil"/>
              <w:bottom w:val="single" w:sz="8" w:space="0" w:color="AEAEAE"/>
              <w:right w:val="nil"/>
            </w:tcBorders>
            <w:shd w:val="clear" w:color="auto" w:fill="E0E0E0"/>
          </w:tcPr>
          <w:p w14:paraId="784DA4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152935"/>
              <w:left w:val="nil"/>
              <w:bottom w:val="single" w:sz="8" w:space="0" w:color="AEAEAE"/>
              <w:right w:val="single" w:sz="8" w:space="0" w:color="E0E0E0"/>
            </w:tcBorders>
            <w:shd w:val="clear" w:color="auto" w:fill="FFFFFF"/>
          </w:tcPr>
          <w:p w14:paraId="55BAA9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18.010</w:t>
            </w:r>
            <w:r w:rsidRPr="00530906">
              <w:rPr>
                <w:rFonts w:ascii="Cambria" w:eastAsia="Times New Roman" w:hAnsi="Cambria" w:cs="Times New Roman"/>
                <w:color w:val="000000"/>
                <w:sz w:val="18"/>
                <w:szCs w:val="18"/>
                <w:vertAlign w:val="superscript"/>
                <w:lang w:val="en-US"/>
              </w:rPr>
              <w:t>a</w:t>
            </w:r>
          </w:p>
        </w:tc>
        <w:tc>
          <w:tcPr>
            <w:tcW w:w="745" w:type="dxa"/>
            <w:tcBorders>
              <w:top w:val="single" w:sz="8" w:space="0" w:color="152935"/>
              <w:left w:val="single" w:sz="8" w:space="0" w:color="E0E0E0"/>
              <w:bottom w:val="single" w:sz="8" w:space="0" w:color="AEAEAE"/>
              <w:right w:val="single" w:sz="8" w:space="0" w:color="E0E0E0"/>
            </w:tcBorders>
            <w:shd w:val="clear" w:color="auto" w:fill="FFFFFF"/>
          </w:tcPr>
          <w:p w14:paraId="750266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152935"/>
              <w:left w:val="single" w:sz="8" w:space="0" w:color="E0E0E0"/>
              <w:bottom w:val="single" w:sz="8" w:space="0" w:color="AEAEAE"/>
              <w:right w:val="single" w:sz="8" w:space="0" w:color="E0E0E0"/>
            </w:tcBorders>
            <w:shd w:val="clear" w:color="auto" w:fill="FFFFFF"/>
          </w:tcPr>
          <w:p w14:paraId="7831AC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18.010</w:t>
            </w:r>
          </w:p>
        </w:tc>
        <w:tc>
          <w:tcPr>
            <w:tcW w:w="885" w:type="dxa"/>
            <w:tcBorders>
              <w:top w:val="single" w:sz="8" w:space="0" w:color="152935"/>
              <w:left w:val="single" w:sz="8" w:space="0" w:color="E0E0E0"/>
              <w:bottom w:val="single" w:sz="8" w:space="0" w:color="AEAEAE"/>
              <w:right w:val="single" w:sz="8" w:space="0" w:color="E0E0E0"/>
            </w:tcBorders>
            <w:shd w:val="clear" w:color="auto" w:fill="FFFFFF"/>
          </w:tcPr>
          <w:p w14:paraId="24C64B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8.146</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648E6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.005</w:t>
            </w:r>
          </w:p>
        </w:tc>
        <w:tc>
          <w:tcPr>
            <w:tcW w:w="654" w:type="dxa"/>
            <w:tcBorders>
              <w:top w:val="single" w:sz="8" w:space="0" w:color="152935"/>
              <w:left w:val="single" w:sz="8" w:space="0" w:color="E0E0E0"/>
              <w:bottom w:val="single" w:sz="8" w:space="0" w:color="AEAEAE"/>
              <w:right w:val="nil"/>
            </w:tcBorders>
            <w:shd w:val="clear" w:color="auto" w:fill="FFFFFF"/>
          </w:tcPr>
          <w:p w14:paraId="15B8C1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.029</w:t>
            </w:r>
          </w:p>
        </w:tc>
      </w:tr>
      <w:tr w:rsidR="00C7217E" w:rsidRPr="00530906" w14:paraId="73EA552A" w14:textId="77777777" w:rsidTr="00EE722D">
        <w:trPr>
          <w:gridAfter w:val="1"/>
          <w:wAfter w:w="16" w:type="dxa"/>
          <w:cantSplit/>
        </w:trPr>
        <w:tc>
          <w:tcPr>
            <w:tcW w:w="1530" w:type="dxa"/>
            <w:vMerge/>
            <w:tcBorders>
              <w:top w:val="single" w:sz="8" w:space="0" w:color="152935"/>
              <w:left w:val="nil"/>
              <w:bottom w:val="nil"/>
              <w:right w:val="nil"/>
            </w:tcBorders>
            <w:shd w:val="clear" w:color="auto" w:fill="E0E0E0"/>
          </w:tcPr>
          <w:p w14:paraId="4F2428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392796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3EC69C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.075</w:t>
            </w:r>
            <w:r w:rsidRPr="00530906">
              <w:rPr>
                <w:rFonts w:ascii="Cambria" w:eastAsia="Times New Roman" w:hAnsi="Cambria" w:cs="Times New Roman"/>
                <w:color w:val="000000"/>
                <w:sz w:val="18"/>
                <w:szCs w:val="18"/>
                <w:vertAlign w:val="superscript"/>
                <w:lang w:val="en-US"/>
              </w:rPr>
              <w:t>b</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6481C8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61EE91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.075</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1852F5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9CBA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.821</w:t>
            </w:r>
          </w:p>
        </w:tc>
        <w:tc>
          <w:tcPr>
            <w:tcW w:w="654" w:type="dxa"/>
            <w:tcBorders>
              <w:top w:val="single" w:sz="8" w:space="0" w:color="AEAEAE"/>
              <w:left w:val="single" w:sz="8" w:space="0" w:color="E0E0E0"/>
              <w:bottom w:val="single" w:sz="8" w:space="0" w:color="AEAEAE"/>
              <w:right w:val="nil"/>
            </w:tcBorders>
            <w:shd w:val="clear" w:color="auto" w:fill="FFFFFF"/>
          </w:tcPr>
          <w:p w14:paraId="349930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37DC730F" w14:textId="77777777" w:rsidTr="00EE722D">
        <w:trPr>
          <w:gridAfter w:val="1"/>
          <w:wAfter w:w="16" w:type="dxa"/>
          <w:cantSplit/>
        </w:trPr>
        <w:tc>
          <w:tcPr>
            <w:tcW w:w="1530" w:type="dxa"/>
            <w:vMerge/>
            <w:tcBorders>
              <w:top w:val="single" w:sz="8" w:space="0" w:color="152935"/>
              <w:left w:val="nil"/>
              <w:bottom w:val="nil"/>
              <w:right w:val="nil"/>
            </w:tcBorders>
            <w:shd w:val="clear" w:color="auto" w:fill="E0E0E0"/>
          </w:tcPr>
          <w:p w14:paraId="7FD228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3C6B03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706BF1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.417</w:t>
            </w:r>
            <w:r w:rsidRPr="00530906">
              <w:rPr>
                <w:rFonts w:ascii="Cambria" w:eastAsia="Times New Roman" w:hAnsi="Cambria" w:cs="Times New Roman"/>
                <w:color w:val="000000"/>
                <w:sz w:val="18"/>
                <w:szCs w:val="18"/>
                <w:vertAlign w:val="superscript"/>
                <w:lang w:val="en-US"/>
              </w:rPr>
              <w:t>c</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780F49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7D7510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.417</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0EF716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2705B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.655</w:t>
            </w:r>
          </w:p>
        </w:tc>
        <w:tc>
          <w:tcPr>
            <w:tcW w:w="654" w:type="dxa"/>
            <w:tcBorders>
              <w:top w:val="single" w:sz="8" w:space="0" w:color="AEAEAE"/>
              <w:left w:val="single" w:sz="8" w:space="0" w:color="E0E0E0"/>
              <w:bottom w:val="single" w:sz="8" w:space="0" w:color="AEAEAE"/>
              <w:right w:val="nil"/>
            </w:tcBorders>
            <w:shd w:val="clear" w:color="auto" w:fill="FFFFFF"/>
          </w:tcPr>
          <w:p w14:paraId="4C140A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.001</w:t>
            </w:r>
          </w:p>
        </w:tc>
      </w:tr>
      <w:tr w:rsidR="00C7217E" w:rsidRPr="00530906" w14:paraId="3DC33863" w14:textId="77777777" w:rsidTr="00EE722D">
        <w:trPr>
          <w:gridAfter w:val="1"/>
          <w:wAfter w:w="16" w:type="dxa"/>
          <w:cantSplit/>
        </w:trPr>
        <w:tc>
          <w:tcPr>
            <w:tcW w:w="1530" w:type="dxa"/>
            <w:vMerge/>
            <w:tcBorders>
              <w:top w:val="single" w:sz="8" w:space="0" w:color="152935"/>
              <w:left w:val="nil"/>
              <w:bottom w:val="nil"/>
              <w:right w:val="nil"/>
            </w:tcBorders>
            <w:shd w:val="clear" w:color="auto" w:fill="E0E0E0"/>
          </w:tcPr>
          <w:p w14:paraId="1F36D1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nil"/>
              <w:right w:val="nil"/>
            </w:tcBorders>
            <w:shd w:val="clear" w:color="auto" w:fill="E0E0E0"/>
          </w:tcPr>
          <w:p w14:paraId="1516C1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nil"/>
              <w:right w:val="single" w:sz="8" w:space="0" w:color="E0E0E0"/>
            </w:tcBorders>
            <w:shd w:val="clear" w:color="auto" w:fill="FFFFFF"/>
          </w:tcPr>
          <w:p w14:paraId="2514A0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1.583</w:t>
            </w:r>
            <w:r w:rsidRPr="00530906">
              <w:rPr>
                <w:rFonts w:ascii="Cambria" w:eastAsia="Times New Roman" w:hAnsi="Cambria" w:cs="Times New Roman"/>
                <w:color w:val="000000"/>
                <w:sz w:val="18"/>
                <w:szCs w:val="18"/>
                <w:vertAlign w:val="superscript"/>
                <w:lang w:val="en-US"/>
              </w:rPr>
              <w:t>d</w:t>
            </w:r>
          </w:p>
        </w:tc>
        <w:tc>
          <w:tcPr>
            <w:tcW w:w="745" w:type="dxa"/>
            <w:tcBorders>
              <w:top w:val="single" w:sz="8" w:space="0" w:color="AEAEAE"/>
              <w:left w:val="single" w:sz="8" w:space="0" w:color="E0E0E0"/>
              <w:bottom w:val="nil"/>
              <w:right w:val="single" w:sz="8" w:space="0" w:color="E0E0E0"/>
            </w:tcBorders>
            <w:shd w:val="clear" w:color="auto" w:fill="FFFFFF"/>
          </w:tcPr>
          <w:p w14:paraId="235655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nil"/>
              <w:right w:val="single" w:sz="8" w:space="0" w:color="E0E0E0"/>
            </w:tcBorders>
            <w:shd w:val="clear" w:color="auto" w:fill="FFFFFF"/>
          </w:tcPr>
          <w:p w14:paraId="421B24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1.583</w:t>
            </w:r>
          </w:p>
        </w:tc>
        <w:tc>
          <w:tcPr>
            <w:tcW w:w="885" w:type="dxa"/>
            <w:tcBorders>
              <w:top w:val="single" w:sz="8" w:space="0" w:color="AEAEAE"/>
              <w:left w:val="single" w:sz="8" w:space="0" w:color="E0E0E0"/>
              <w:bottom w:val="nil"/>
              <w:right w:val="single" w:sz="8" w:space="0" w:color="E0E0E0"/>
            </w:tcBorders>
            <w:shd w:val="clear" w:color="auto" w:fill="FFFFFF"/>
          </w:tcPr>
          <w:p w14:paraId="2646FA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.615</w:t>
            </w:r>
          </w:p>
        </w:tc>
        <w:tc>
          <w:tcPr>
            <w:tcW w:w="567" w:type="dxa"/>
            <w:tcBorders>
              <w:top w:val="single" w:sz="8" w:space="0" w:color="AEAEAE"/>
              <w:left w:val="single" w:sz="8" w:space="0" w:color="E0E0E0"/>
              <w:bottom w:val="nil"/>
              <w:right w:val="single" w:sz="8" w:space="0" w:color="E0E0E0"/>
            </w:tcBorders>
            <w:shd w:val="clear" w:color="auto" w:fill="FFFFFF"/>
          </w:tcPr>
          <w:p w14:paraId="0C0EB1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.434</w:t>
            </w:r>
          </w:p>
        </w:tc>
        <w:tc>
          <w:tcPr>
            <w:tcW w:w="654" w:type="dxa"/>
            <w:tcBorders>
              <w:top w:val="single" w:sz="8" w:space="0" w:color="AEAEAE"/>
              <w:left w:val="single" w:sz="8" w:space="0" w:color="E0E0E0"/>
              <w:bottom w:val="nil"/>
              <w:right w:val="nil"/>
            </w:tcBorders>
            <w:shd w:val="clear" w:color="auto" w:fill="FFFFFF"/>
          </w:tcPr>
          <w:p w14:paraId="2AB6B1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r>
      <w:tr w:rsidR="00C7217E" w:rsidRPr="00530906" w14:paraId="0AD45715" w14:textId="77777777" w:rsidTr="00EE722D">
        <w:trPr>
          <w:gridAfter w:val="1"/>
          <w:wAfter w:w="16" w:type="dxa"/>
          <w:cantSplit/>
        </w:trPr>
        <w:tc>
          <w:tcPr>
            <w:tcW w:w="1530" w:type="dxa"/>
            <w:vMerge w:val="restart"/>
            <w:tcBorders>
              <w:top w:val="single" w:sz="8" w:space="0" w:color="AEAEAE"/>
              <w:left w:val="nil"/>
              <w:bottom w:val="nil"/>
              <w:right w:val="nil"/>
            </w:tcBorders>
            <w:shd w:val="clear" w:color="auto" w:fill="E0E0E0"/>
          </w:tcPr>
          <w:p w14:paraId="055708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Intercept</w:t>
            </w:r>
          </w:p>
        </w:tc>
        <w:tc>
          <w:tcPr>
            <w:tcW w:w="2138" w:type="dxa"/>
            <w:tcBorders>
              <w:top w:val="single" w:sz="8" w:space="0" w:color="AEAEAE"/>
              <w:left w:val="nil"/>
              <w:bottom w:val="single" w:sz="8" w:space="0" w:color="AEAEAE"/>
              <w:right w:val="nil"/>
            </w:tcBorders>
            <w:shd w:val="clear" w:color="auto" w:fill="E0E0E0"/>
          </w:tcPr>
          <w:p w14:paraId="76DEBA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AEAEAE"/>
              <w:left w:val="nil"/>
              <w:bottom w:val="single" w:sz="8" w:space="0" w:color="AEAEAE"/>
              <w:right w:val="single" w:sz="8" w:space="0" w:color="E0E0E0"/>
            </w:tcBorders>
            <w:shd w:val="clear" w:color="auto" w:fill="FFFFFF"/>
          </w:tcPr>
          <w:p w14:paraId="59B86B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5086.621</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12F4938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4BCBCD3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5086.621</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648CEC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2300.627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4F7C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654" w:type="dxa"/>
            <w:tcBorders>
              <w:top w:val="single" w:sz="8" w:space="0" w:color="AEAEAE"/>
              <w:left w:val="single" w:sz="8" w:space="0" w:color="E0E0E0"/>
              <w:bottom w:val="single" w:sz="8" w:space="0" w:color="AEAEAE"/>
              <w:right w:val="nil"/>
            </w:tcBorders>
            <w:shd w:val="clear" w:color="auto" w:fill="FFFFFF"/>
          </w:tcPr>
          <w:p w14:paraId="3D5BEE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.893</w:t>
            </w:r>
          </w:p>
        </w:tc>
      </w:tr>
      <w:tr w:rsidR="00C7217E" w:rsidRPr="00530906" w14:paraId="318BA996"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0F1D66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75EB19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573589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1907.236</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3BDCF2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265F09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1907.236</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270499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1306.860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7282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654" w:type="dxa"/>
            <w:tcBorders>
              <w:top w:val="single" w:sz="8" w:space="0" w:color="AEAEAE"/>
              <w:left w:val="single" w:sz="8" w:space="0" w:color="E0E0E0"/>
              <w:bottom w:val="single" w:sz="8" w:space="0" w:color="AEAEAE"/>
              <w:right w:val="nil"/>
            </w:tcBorders>
            <w:shd w:val="clear" w:color="auto" w:fill="FFFFFF"/>
          </w:tcPr>
          <w:p w14:paraId="220B96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.825</w:t>
            </w:r>
          </w:p>
        </w:tc>
      </w:tr>
      <w:tr w:rsidR="00C7217E" w:rsidRPr="00530906" w14:paraId="43A3529A"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55F5B6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4E63A8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6047AF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3306.340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39330A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762100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3306.340</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6B24C3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1591.217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66EB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654" w:type="dxa"/>
            <w:tcBorders>
              <w:top w:val="single" w:sz="8" w:space="0" w:color="AEAEAE"/>
              <w:left w:val="single" w:sz="8" w:space="0" w:color="E0E0E0"/>
              <w:bottom w:val="single" w:sz="8" w:space="0" w:color="AEAEAE"/>
              <w:right w:val="nil"/>
            </w:tcBorders>
            <w:shd w:val="clear" w:color="auto" w:fill="FFFFFF"/>
          </w:tcPr>
          <w:p w14:paraId="136924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.852</w:t>
            </w:r>
          </w:p>
        </w:tc>
      </w:tr>
      <w:tr w:rsidR="00C7217E" w:rsidRPr="00530906" w14:paraId="7BAF6197"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6BA4BE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nil"/>
              <w:right w:val="nil"/>
            </w:tcBorders>
            <w:shd w:val="clear" w:color="auto" w:fill="E0E0E0"/>
          </w:tcPr>
          <w:p w14:paraId="2A30FF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nil"/>
              <w:right w:val="single" w:sz="8" w:space="0" w:color="E0E0E0"/>
            </w:tcBorders>
            <w:shd w:val="clear" w:color="auto" w:fill="FFFFFF"/>
          </w:tcPr>
          <w:p w14:paraId="34D6E2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5391.117</w:t>
            </w:r>
          </w:p>
        </w:tc>
        <w:tc>
          <w:tcPr>
            <w:tcW w:w="745" w:type="dxa"/>
            <w:tcBorders>
              <w:top w:val="single" w:sz="8" w:space="0" w:color="AEAEAE"/>
              <w:left w:val="single" w:sz="8" w:space="0" w:color="E0E0E0"/>
              <w:bottom w:val="nil"/>
              <w:right w:val="single" w:sz="8" w:space="0" w:color="E0E0E0"/>
            </w:tcBorders>
            <w:shd w:val="clear" w:color="auto" w:fill="FFFFFF"/>
          </w:tcPr>
          <w:p w14:paraId="32C83C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nil"/>
              <w:right w:val="single" w:sz="8" w:space="0" w:color="E0E0E0"/>
            </w:tcBorders>
            <w:shd w:val="clear" w:color="auto" w:fill="FFFFFF"/>
          </w:tcPr>
          <w:p w14:paraId="46D331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5391.117</w:t>
            </w:r>
          </w:p>
        </w:tc>
        <w:tc>
          <w:tcPr>
            <w:tcW w:w="885" w:type="dxa"/>
            <w:tcBorders>
              <w:top w:val="single" w:sz="8" w:space="0" w:color="AEAEAE"/>
              <w:left w:val="single" w:sz="8" w:space="0" w:color="E0E0E0"/>
              <w:bottom w:val="nil"/>
              <w:right w:val="single" w:sz="8" w:space="0" w:color="E0E0E0"/>
            </w:tcBorders>
            <w:shd w:val="clear" w:color="auto" w:fill="FFFFFF"/>
          </w:tcPr>
          <w:p w14:paraId="2F15CE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2093.694</w:t>
            </w:r>
          </w:p>
        </w:tc>
        <w:tc>
          <w:tcPr>
            <w:tcW w:w="567" w:type="dxa"/>
            <w:tcBorders>
              <w:top w:val="single" w:sz="8" w:space="0" w:color="AEAEAE"/>
              <w:left w:val="single" w:sz="8" w:space="0" w:color="E0E0E0"/>
              <w:bottom w:val="nil"/>
              <w:right w:val="single" w:sz="8" w:space="0" w:color="E0E0E0"/>
            </w:tcBorders>
            <w:shd w:val="clear" w:color="auto" w:fill="FFFFFF"/>
          </w:tcPr>
          <w:p w14:paraId="72AA70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654" w:type="dxa"/>
            <w:tcBorders>
              <w:top w:val="single" w:sz="8" w:space="0" w:color="AEAEAE"/>
              <w:left w:val="single" w:sz="8" w:space="0" w:color="E0E0E0"/>
              <w:bottom w:val="nil"/>
              <w:right w:val="nil"/>
            </w:tcBorders>
            <w:shd w:val="clear" w:color="auto" w:fill="FFFFFF"/>
          </w:tcPr>
          <w:p w14:paraId="0FA302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.883</w:t>
            </w:r>
          </w:p>
        </w:tc>
      </w:tr>
      <w:tr w:rsidR="00C7217E" w:rsidRPr="00530906" w14:paraId="0B4FBA1A" w14:textId="77777777" w:rsidTr="00EE722D">
        <w:trPr>
          <w:gridAfter w:val="1"/>
          <w:wAfter w:w="16" w:type="dxa"/>
          <w:cantSplit/>
        </w:trPr>
        <w:tc>
          <w:tcPr>
            <w:tcW w:w="1530" w:type="dxa"/>
            <w:vMerge w:val="restart"/>
            <w:tcBorders>
              <w:top w:val="single" w:sz="8" w:space="0" w:color="AEAEAE"/>
              <w:left w:val="nil"/>
              <w:bottom w:val="nil"/>
              <w:right w:val="nil"/>
            </w:tcBorders>
            <w:shd w:val="clear" w:color="auto" w:fill="E0E0E0"/>
          </w:tcPr>
          <w:p w14:paraId="123FC60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2138" w:type="dxa"/>
            <w:tcBorders>
              <w:top w:val="single" w:sz="8" w:space="0" w:color="AEAEAE"/>
              <w:left w:val="nil"/>
              <w:bottom w:val="single" w:sz="8" w:space="0" w:color="AEAEAE"/>
              <w:right w:val="nil"/>
            </w:tcBorders>
            <w:shd w:val="clear" w:color="auto" w:fill="E0E0E0"/>
          </w:tcPr>
          <w:p w14:paraId="339C00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AEAEAE"/>
              <w:left w:val="nil"/>
              <w:bottom w:val="single" w:sz="8" w:space="0" w:color="AEAEAE"/>
              <w:right w:val="single" w:sz="8" w:space="0" w:color="E0E0E0"/>
            </w:tcBorders>
            <w:shd w:val="clear" w:color="auto" w:fill="FFFFFF"/>
          </w:tcPr>
          <w:p w14:paraId="02D6F2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18.010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0B218C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211B34E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18.010</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2BC96D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8098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.005</w:t>
            </w:r>
          </w:p>
        </w:tc>
        <w:tc>
          <w:tcPr>
            <w:tcW w:w="654" w:type="dxa"/>
            <w:tcBorders>
              <w:top w:val="single" w:sz="8" w:space="0" w:color="AEAEAE"/>
              <w:left w:val="single" w:sz="8" w:space="0" w:color="E0E0E0"/>
              <w:bottom w:val="single" w:sz="8" w:space="0" w:color="AEAEAE"/>
              <w:right w:val="nil"/>
            </w:tcBorders>
            <w:shd w:val="clear" w:color="auto" w:fill="FFFFFF"/>
          </w:tcPr>
          <w:p w14:paraId="055E3C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.029</w:t>
            </w:r>
          </w:p>
        </w:tc>
      </w:tr>
      <w:tr w:rsidR="00C7217E" w:rsidRPr="00530906" w14:paraId="3AC10110"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0CA336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6C675D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54845B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.075</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74B911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7AD20D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.075</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675625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DC61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.821</w:t>
            </w:r>
          </w:p>
        </w:tc>
        <w:tc>
          <w:tcPr>
            <w:tcW w:w="654" w:type="dxa"/>
            <w:tcBorders>
              <w:top w:val="single" w:sz="8" w:space="0" w:color="AEAEAE"/>
              <w:left w:val="single" w:sz="8" w:space="0" w:color="E0E0E0"/>
              <w:bottom w:val="single" w:sz="8" w:space="0" w:color="AEAEAE"/>
              <w:right w:val="nil"/>
            </w:tcBorders>
            <w:shd w:val="clear" w:color="auto" w:fill="FFFFFF"/>
          </w:tcPr>
          <w:p w14:paraId="1783EA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61728449"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1952A2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single" w:sz="8" w:space="0" w:color="AEAEAE"/>
              <w:right w:val="nil"/>
            </w:tcBorders>
            <w:shd w:val="clear" w:color="auto" w:fill="E0E0E0"/>
          </w:tcPr>
          <w:p w14:paraId="12281A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2792DCC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.417</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482D42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0B4C7C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.417</w:t>
            </w:r>
          </w:p>
        </w:tc>
        <w:tc>
          <w:tcPr>
            <w:tcW w:w="885" w:type="dxa"/>
            <w:tcBorders>
              <w:top w:val="single" w:sz="8" w:space="0" w:color="AEAEAE"/>
              <w:left w:val="single" w:sz="8" w:space="0" w:color="E0E0E0"/>
              <w:bottom w:val="single" w:sz="8" w:space="0" w:color="AEAEAE"/>
              <w:right w:val="single" w:sz="8" w:space="0" w:color="E0E0E0"/>
            </w:tcBorders>
            <w:shd w:val="clear" w:color="auto" w:fill="FFFFFF"/>
          </w:tcPr>
          <w:p w14:paraId="105939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0350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.655</w:t>
            </w:r>
          </w:p>
        </w:tc>
        <w:tc>
          <w:tcPr>
            <w:tcW w:w="654" w:type="dxa"/>
            <w:tcBorders>
              <w:top w:val="single" w:sz="8" w:space="0" w:color="AEAEAE"/>
              <w:left w:val="single" w:sz="8" w:space="0" w:color="E0E0E0"/>
              <w:bottom w:val="single" w:sz="8" w:space="0" w:color="AEAEAE"/>
              <w:right w:val="nil"/>
            </w:tcBorders>
            <w:shd w:val="clear" w:color="auto" w:fill="FFFFFF"/>
          </w:tcPr>
          <w:p w14:paraId="7C2639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.001</w:t>
            </w:r>
          </w:p>
        </w:tc>
      </w:tr>
      <w:tr w:rsidR="00C7217E" w:rsidRPr="00530906" w14:paraId="3FB7AA4B"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0149E20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2138" w:type="dxa"/>
            <w:tcBorders>
              <w:top w:val="single" w:sz="8" w:space="0" w:color="AEAEAE"/>
              <w:left w:val="nil"/>
              <w:bottom w:val="nil"/>
              <w:right w:val="nil"/>
            </w:tcBorders>
            <w:shd w:val="clear" w:color="auto" w:fill="E0E0E0"/>
          </w:tcPr>
          <w:p w14:paraId="0A70E3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nil"/>
              <w:right w:val="single" w:sz="8" w:space="0" w:color="E0E0E0"/>
            </w:tcBorders>
            <w:shd w:val="clear" w:color="auto" w:fill="FFFFFF"/>
          </w:tcPr>
          <w:p w14:paraId="27D5D3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1.583</w:t>
            </w:r>
          </w:p>
        </w:tc>
        <w:tc>
          <w:tcPr>
            <w:tcW w:w="745" w:type="dxa"/>
            <w:tcBorders>
              <w:top w:val="single" w:sz="8" w:space="0" w:color="AEAEAE"/>
              <w:left w:val="single" w:sz="8" w:space="0" w:color="E0E0E0"/>
              <w:bottom w:val="nil"/>
              <w:right w:val="single" w:sz="8" w:space="0" w:color="E0E0E0"/>
            </w:tcBorders>
            <w:shd w:val="clear" w:color="auto" w:fill="FFFFFF"/>
          </w:tcPr>
          <w:p w14:paraId="510EFF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77" w:type="dxa"/>
            <w:tcBorders>
              <w:top w:val="single" w:sz="8" w:space="0" w:color="AEAEAE"/>
              <w:left w:val="single" w:sz="8" w:space="0" w:color="E0E0E0"/>
              <w:bottom w:val="nil"/>
              <w:right w:val="single" w:sz="8" w:space="0" w:color="E0E0E0"/>
            </w:tcBorders>
            <w:shd w:val="clear" w:color="auto" w:fill="FFFFFF"/>
          </w:tcPr>
          <w:p w14:paraId="47696B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1.583</w:t>
            </w:r>
          </w:p>
        </w:tc>
        <w:tc>
          <w:tcPr>
            <w:tcW w:w="885" w:type="dxa"/>
            <w:tcBorders>
              <w:top w:val="single" w:sz="8" w:space="0" w:color="AEAEAE"/>
              <w:left w:val="single" w:sz="8" w:space="0" w:color="E0E0E0"/>
              <w:bottom w:val="nil"/>
              <w:right w:val="single" w:sz="8" w:space="0" w:color="E0E0E0"/>
            </w:tcBorders>
            <w:shd w:val="clear" w:color="auto" w:fill="FFFFFF"/>
          </w:tcPr>
          <w:p w14:paraId="3251A5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.615</w:t>
            </w:r>
          </w:p>
        </w:tc>
        <w:tc>
          <w:tcPr>
            <w:tcW w:w="567" w:type="dxa"/>
            <w:tcBorders>
              <w:top w:val="single" w:sz="8" w:space="0" w:color="AEAEAE"/>
              <w:left w:val="single" w:sz="8" w:space="0" w:color="E0E0E0"/>
              <w:bottom w:val="nil"/>
              <w:right w:val="single" w:sz="8" w:space="0" w:color="E0E0E0"/>
            </w:tcBorders>
            <w:shd w:val="clear" w:color="auto" w:fill="FFFFFF"/>
          </w:tcPr>
          <w:p w14:paraId="01562F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.434</w:t>
            </w:r>
          </w:p>
        </w:tc>
        <w:tc>
          <w:tcPr>
            <w:tcW w:w="654" w:type="dxa"/>
            <w:tcBorders>
              <w:top w:val="single" w:sz="8" w:space="0" w:color="AEAEAE"/>
              <w:left w:val="single" w:sz="8" w:space="0" w:color="E0E0E0"/>
              <w:bottom w:val="nil"/>
              <w:right w:val="nil"/>
            </w:tcBorders>
            <w:shd w:val="clear" w:color="auto" w:fill="FFFFFF"/>
          </w:tcPr>
          <w:p w14:paraId="62750E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r>
      <w:tr w:rsidR="00C7217E" w:rsidRPr="00530906" w14:paraId="03DE258F" w14:textId="77777777" w:rsidTr="00EE722D">
        <w:trPr>
          <w:gridAfter w:val="1"/>
          <w:wAfter w:w="16" w:type="dxa"/>
          <w:cantSplit/>
        </w:trPr>
        <w:tc>
          <w:tcPr>
            <w:tcW w:w="1530" w:type="dxa"/>
            <w:vMerge w:val="restart"/>
            <w:tcBorders>
              <w:top w:val="single" w:sz="8" w:space="0" w:color="AEAEAE"/>
              <w:left w:val="nil"/>
              <w:bottom w:val="nil"/>
              <w:right w:val="nil"/>
            </w:tcBorders>
            <w:shd w:val="clear" w:color="auto" w:fill="E0E0E0"/>
          </w:tcPr>
          <w:p w14:paraId="040CC8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Error</w:t>
            </w:r>
          </w:p>
        </w:tc>
        <w:tc>
          <w:tcPr>
            <w:tcW w:w="2138" w:type="dxa"/>
            <w:tcBorders>
              <w:top w:val="single" w:sz="8" w:space="0" w:color="AEAEAE"/>
              <w:left w:val="nil"/>
              <w:bottom w:val="single" w:sz="8" w:space="0" w:color="AEAEAE"/>
              <w:right w:val="nil"/>
            </w:tcBorders>
            <w:shd w:val="clear" w:color="auto" w:fill="E0E0E0"/>
          </w:tcPr>
          <w:p w14:paraId="797E4E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AEAEAE"/>
              <w:left w:val="nil"/>
              <w:bottom w:val="single" w:sz="8" w:space="0" w:color="AEAEAE"/>
              <w:right w:val="single" w:sz="8" w:space="0" w:color="E0E0E0"/>
            </w:tcBorders>
            <w:shd w:val="clear" w:color="auto" w:fill="FFFFFF"/>
          </w:tcPr>
          <w:p w14:paraId="7DA410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612.439</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1A2C5CE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32F4DD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2.211</w:t>
            </w: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D5668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CB33D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558FAC9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C24933A"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7C53919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2D0592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49D970B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404.255</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35C6AD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21F5DD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1.459</w:t>
            </w: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40002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527A8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1134A82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E0A20C6"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1230D97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771433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5D07A9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575.570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09FCDB2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446F2A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2.078</w:t>
            </w: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BE3C1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1495D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28C58EF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CDFD9A4"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2598289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nil"/>
              <w:right w:val="nil"/>
            </w:tcBorders>
            <w:shd w:val="clear" w:color="auto" w:fill="E0E0E0"/>
          </w:tcPr>
          <w:p w14:paraId="595B03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nil"/>
              <w:right w:val="single" w:sz="8" w:space="0" w:color="E0E0E0"/>
            </w:tcBorders>
            <w:shd w:val="clear" w:color="auto" w:fill="FFFFFF"/>
          </w:tcPr>
          <w:p w14:paraId="139B5D6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713.256</w:t>
            </w:r>
          </w:p>
        </w:tc>
        <w:tc>
          <w:tcPr>
            <w:tcW w:w="745" w:type="dxa"/>
            <w:tcBorders>
              <w:top w:val="single" w:sz="8" w:space="0" w:color="AEAEAE"/>
              <w:left w:val="single" w:sz="8" w:space="0" w:color="E0E0E0"/>
              <w:bottom w:val="nil"/>
              <w:right w:val="single" w:sz="8" w:space="0" w:color="E0E0E0"/>
            </w:tcBorders>
            <w:shd w:val="clear" w:color="auto" w:fill="FFFFFF"/>
          </w:tcPr>
          <w:p w14:paraId="4A5AC8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477" w:type="dxa"/>
            <w:tcBorders>
              <w:top w:val="single" w:sz="8" w:space="0" w:color="AEAEAE"/>
              <w:left w:val="single" w:sz="8" w:space="0" w:color="E0E0E0"/>
              <w:bottom w:val="nil"/>
              <w:right w:val="single" w:sz="8" w:space="0" w:color="E0E0E0"/>
            </w:tcBorders>
            <w:shd w:val="clear" w:color="auto" w:fill="FFFFFF"/>
          </w:tcPr>
          <w:p w14:paraId="17BD5F8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2.575</w:t>
            </w:r>
          </w:p>
        </w:tc>
        <w:tc>
          <w:tcPr>
            <w:tcW w:w="885" w:type="dxa"/>
            <w:tcBorders>
              <w:top w:val="single" w:sz="8" w:space="0" w:color="AEAEAE"/>
              <w:left w:val="single" w:sz="8" w:space="0" w:color="E0E0E0"/>
              <w:bottom w:val="nil"/>
              <w:right w:val="single" w:sz="8" w:space="0" w:color="E0E0E0"/>
            </w:tcBorders>
            <w:shd w:val="clear" w:color="auto" w:fill="FFFFFF"/>
            <w:vAlign w:val="center"/>
          </w:tcPr>
          <w:p w14:paraId="570786D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nil"/>
              <w:right w:val="single" w:sz="8" w:space="0" w:color="E0E0E0"/>
            </w:tcBorders>
            <w:shd w:val="clear" w:color="auto" w:fill="FFFFFF"/>
            <w:vAlign w:val="center"/>
          </w:tcPr>
          <w:p w14:paraId="56CC4E5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nil"/>
              <w:right w:val="nil"/>
            </w:tcBorders>
            <w:shd w:val="clear" w:color="auto" w:fill="FFFFFF"/>
            <w:vAlign w:val="center"/>
          </w:tcPr>
          <w:p w14:paraId="76E6BCA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CC36651" w14:textId="77777777" w:rsidTr="00EE722D">
        <w:trPr>
          <w:gridAfter w:val="1"/>
          <w:wAfter w:w="16" w:type="dxa"/>
          <w:cantSplit/>
        </w:trPr>
        <w:tc>
          <w:tcPr>
            <w:tcW w:w="1530" w:type="dxa"/>
            <w:vMerge w:val="restart"/>
            <w:tcBorders>
              <w:top w:val="single" w:sz="8" w:space="0" w:color="AEAEAE"/>
              <w:left w:val="nil"/>
              <w:bottom w:val="nil"/>
              <w:right w:val="nil"/>
            </w:tcBorders>
            <w:shd w:val="clear" w:color="auto" w:fill="E0E0E0"/>
          </w:tcPr>
          <w:p w14:paraId="02AD180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2138" w:type="dxa"/>
            <w:tcBorders>
              <w:top w:val="single" w:sz="8" w:space="0" w:color="AEAEAE"/>
              <w:left w:val="nil"/>
              <w:bottom w:val="single" w:sz="8" w:space="0" w:color="AEAEAE"/>
              <w:right w:val="nil"/>
            </w:tcBorders>
            <w:shd w:val="clear" w:color="auto" w:fill="E0E0E0"/>
          </w:tcPr>
          <w:p w14:paraId="457EDDB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AEAEAE"/>
              <w:left w:val="nil"/>
              <w:bottom w:val="single" w:sz="8" w:space="0" w:color="AEAEAE"/>
              <w:right w:val="single" w:sz="8" w:space="0" w:color="E0E0E0"/>
            </w:tcBorders>
            <w:shd w:val="clear" w:color="auto" w:fill="FFFFFF"/>
          </w:tcPr>
          <w:p w14:paraId="2F0D93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5729.563</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36EAE3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36E27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9C157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EFCB9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606278D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AE97B52"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2F38F57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372D870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68A13B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2311.750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0C6468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1A0CD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6B453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49F4F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07469C5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95AE1D4"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2A2CC2F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124077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4E2957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3884.720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2300A6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FB370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7A909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0A89C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7653D68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E951A38" w14:textId="77777777" w:rsidTr="00EE722D">
        <w:trPr>
          <w:gridAfter w:val="1"/>
          <w:wAfter w:w="16" w:type="dxa"/>
          <w:cantSplit/>
        </w:trPr>
        <w:tc>
          <w:tcPr>
            <w:tcW w:w="1530" w:type="dxa"/>
            <w:vMerge/>
            <w:tcBorders>
              <w:top w:val="single" w:sz="8" w:space="0" w:color="AEAEAE"/>
              <w:left w:val="nil"/>
              <w:bottom w:val="nil"/>
              <w:right w:val="nil"/>
            </w:tcBorders>
            <w:shd w:val="clear" w:color="auto" w:fill="E0E0E0"/>
          </w:tcPr>
          <w:p w14:paraId="7E96263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nil"/>
              <w:right w:val="nil"/>
            </w:tcBorders>
            <w:shd w:val="clear" w:color="auto" w:fill="E0E0E0"/>
          </w:tcPr>
          <w:p w14:paraId="61448E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nil"/>
              <w:right w:val="single" w:sz="8" w:space="0" w:color="E0E0E0"/>
            </w:tcBorders>
            <w:shd w:val="clear" w:color="auto" w:fill="FFFFFF"/>
          </w:tcPr>
          <w:p w14:paraId="1E2831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6111.000</w:t>
            </w:r>
          </w:p>
        </w:tc>
        <w:tc>
          <w:tcPr>
            <w:tcW w:w="745" w:type="dxa"/>
            <w:tcBorders>
              <w:top w:val="single" w:sz="8" w:space="0" w:color="AEAEAE"/>
              <w:left w:val="single" w:sz="8" w:space="0" w:color="E0E0E0"/>
              <w:bottom w:val="nil"/>
              <w:right w:val="single" w:sz="8" w:space="0" w:color="E0E0E0"/>
            </w:tcBorders>
            <w:shd w:val="clear" w:color="auto" w:fill="FFFFFF"/>
          </w:tcPr>
          <w:p w14:paraId="06F68D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c>
          <w:tcPr>
            <w:tcW w:w="1477" w:type="dxa"/>
            <w:tcBorders>
              <w:top w:val="single" w:sz="8" w:space="0" w:color="AEAEAE"/>
              <w:left w:val="single" w:sz="8" w:space="0" w:color="E0E0E0"/>
              <w:bottom w:val="nil"/>
              <w:right w:val="single" w:sz="8" w:space="0" w:color="E0E0E0"/>
            </w:tcBorders>
            <w:shd w:val="clear" w:color="auto" w:fill="FFFFFF"/>
            <w:vAlign w:val="center"/>
          </w:tcPr>
          <w:p w14:paraId="3B9CE11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nil"/>
              <w:right w:val="single" w:sz="8" w:space="0" w:color="E0E0E0"/>
            </w:tcBorders>
            <w:shd w:val="clear" w:color="auto" w:fill="FFFFFF"/>
            <w:vAlign w:val="center"/>
          </w:tcPr>
          <w:p w14:paraId="0C73522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nil"/>
              <w:right w:val="single" w:sz="8" w:space="0" w:color="E0E0E0"/>
            </w:tcBorders>
            <w:shd w:val="clear" w:color="auto" w:fill="FFFFFF"/>
            <w:vAlign w:val="center"/>
          </w:tcPr>
          <w:p w14:paraId="3F2330C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nil"/>
              <w:right w:val="nil"/>
            </w:tcBorders>
            <w:shd w:val="clear" w:color="auto" w:fill="FFFFFF"/>
            <w:vAlign w:val="center"/>
          </w:tcPr>
          <w:p w14:paraId="44132C3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8C444FE" w14:textId="77777777" w:rsidTr="00EE722D">
        <w:trPr>
          <w:gridAfter w:val="1"/>
          <w:wAfter w:w="16" w:type="dxa"/>
          <w:cantSplit/>
        </w:trPr>
        <w:tc>
          <w:tcPr>
            <w:tcW w:w="1530" w:type="dxa"/>
            <w:vMerge w:val="restart"/>
            <w:tcBorders>
              <w:top w:val="single" w:sz="8" w:space="0" w:color="AEAEAE"/>
              <w:left w:val="nil"/>
              <w:bottom w:val="single" w:sz="8" w:space="0" w:color="152935"/>
              <w:right w:val="nil"/>
            </w:tcBorders>
            <w:shd w:val="clear" w:color="auto" w:fill="E0E0E0"/>
          </w:tcPr>
          <w:p w14:paraId="291BAC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Total</w:t>
            </w:r>
          </w:p>
        </w:tc>
        <w:tc>
          <w:tcPr>
            <w:tcW w:w="2138" w:type="dxa"/>
            <w:tcBorders>
              <w:top w:val="single" w:sz="8" w:space="0" w:color="AEAEAE"/>
              <w:left w:val="nil"/>
              <w:bottom w:val="single" w:sz="8" w:space="0" w:color="AEAEAE"/>
              <w:right w:val="nil"/>
            </w:tcBorders>
            <w:shd w:val="clear" w:color="auto" w:fill="E0E0E0"/>
          </w:tcPr>
          <w:p w14:paraId="25A4B3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541" w:type="dxa"/>
            <w:tcBorders>
              <w:top w:val="single" w:sz="8" w:space="0" w:color="AEAEAE"/>
              <w:left w:val="nil"/>
              <w:bottom w:val="single" w:sz="8" w:space="0" w:color="AEAEAE"/>
              <w:right w:val="single" w:sz="8" w:space="0" w:color="E0E0E0"/>
            </w:tcBorders>
            <w:shd w:val="clear" w:color="auto" w:fill="FFFFFF"/>
          </w:tcPr>
          <w:p w14:paraId="3A94D4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630.449</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7AB429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A3C8C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5A34A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A3246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42B8DB5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E89563D" w14:textId="77777777" w:rsidTr="00EE722D">
        <w:trPr>
          <w:gridAfter w:val="1"/>
          <w:wAfter w:w="16" w:type="dxa"/>
          <w:cantSplit/>
        </w:trPr>
        <w:tc>
          <w:tcPr>
            <w:tcW w:w="1530" w:type="dxa"/>
            <w:vMerge/>
            <w:tcBorders>
              <w:top w:val="single" w:sz="8" w:space="0" w:color="AEAEAE"/>
              <w:left w:val="nil"/>
              <w:bottom w:val="single" w:sz="8" w:space="0" w:color="152935"/>
              <w:right w:val="nil"/>
            </w:tcBorders>
            <w:shd w:val="clear" w:color="auto" w:fill="E0E0E0"/>
          </w:tcPr>
          <w:p w14:paraId="2C97A5A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50BBE3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541" w:type="dxa"/>
            <w:tcBorders>
              <w:top w:val="single" w:sz="8" w:space="0" w:color="AEAEAE"/>
              <w:left w:val="nil"/>
              <w:bottom w:val="single" w:sz="8" w:space="0" w:color="AEAEAE"/>
              <w:right w:val="single" w:sz="8" w:space="0" w:color="E0E0E0"/>
            </w:tcBorders>
            <w:shd w:val="clear" w:color="auto" w:fill="FFFFFF"/>
          </w:tcPr>
          <w:p w14:paraId="5305E1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404.330</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23AC9E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4F07A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E5076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59D8A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1CDA520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C0C31B0" w14:textId="77777777" w:rsidTr="00EE722D">
        <w:trPr>
          <w:gridAfter w:val="1"/>
          <w:wAfter w:w="16" w:type="dxa"/>
          <w:cantSplit/>
        </w:trPr>
        <w:tc>
          <w:tcPr>
            <w:tcW w:w="1530" w:type="dxa"/>
            <w:vMerge/>
            <w:tcBorders>
              <w:top w:val="single" w:sz="8" w:space="0" w:color="AEAEAE"/>
              <w:left w:val="nil"/>
              <w:bottom w:val="single" w:sz="8" w:space="0" w:color="152935"/>
              <w:right w:val="nil"/>
            </w:tcBorders>
            <w:shd w:val="clear" w:color="auto" w:fill="E0E0E0"/>
          </w:tcPr>
          <w:p w14:paraId="75BE6CD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AEAEAE"/>
              <w:right w:val="nil"/>
            </w:tcBorders>
            <w:shd w:val="clear" w:color="auto" w:fill="E0E0E0"/>
          </w:tcPr>
          <w:p w14:paraId="2562C9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541" w:type="dxa"/>
            <w:tcBorders>
              <w:top w:val="single" w:sz="8" w:space="0" w:color="AEAEAE"/>
              <w:left w:val="nil"/>
              <w:bottom w:val="single" w:sz="8" w:space="0" w:color="AEAEAE"/>
              <w:right w:val="single" w:sz="8" w:space="0" w:color="E0E0E0"/>
            </w:tcBorders>
            <w:shd w:val="clear" w:color="auto" w:fill="FFFFFF"/>
          </w:tcPr>
          <w:p w14:paraId="59D639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575.987</w:t>
            </w:r>
          </w:p>
        </w:tc>
        <w:tc>
          <w:tcPr>
            <w:tcW w:w="745" w:type="dxa"/>
            <w:tcBorders>
              <w:top w:val="single" w:sz="8" w:space="0" w:color="AEAEAE"/>
              <w:left w:val="single" w:sz="8" w:space="0" w:color="E0E0E0"/>
              <w:bottom w:val="single" w:sz="8" w:space="0" w:color="AEAEAE"/>
              <w:right w:val="single" w:sz="8" w:space="0" w:color="E0E0E0"/>
            </w:tcBorders>
            <w:shd w:val="clear" w:color="auto" w:fill="FFFFFF"/>
          </w:tcPr>
          <w:p w14:paraId="0A69F5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4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FE896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E90F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07633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AEAEAE"/>
              <w:right w:val="nil"/>
            </w:tcBorders>
            <w:shd w:val="clear" w:color="auto" w:fill="FFFFFF"/>
            <w:vAlign w:val="center"/>
          </w:tcPr>
          <w:p w14:paraId="2676865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E3744D4" w14:textId="77777777" w:rsidTr="00EE722D">
        <w:trPr>
          <w:gridAfter w:val="1"/>
          <w:wAfter w:w="16" w:type="dxa"/>
          <w:cantSplit/>
        </w:trPr>
        <w:tc>
          <w:tcPr>
            <w:tcW w:w="1530" w:type="dxa"/>
            <w:vMerge/>
            <w:tcBorders>
              <w:top w:val="single" w:sz="8" w:space="0" w:color="AEAEAE"/>
              <w:left w:val="nil"/>
              <w:bottom w:val="single" w:sz="8" w:space="0" w:color="152935"/>
              <w:right w:val="nil"/>
            </w:tcBorders>
            <w:shd w:val="clear" w:color="auto" w:fill="E0E0E0"/>
          </w:tcPr>
          <w:p w14:paraId="6ADAF95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2138" w:type="dxa"/>
            <w:tcBorders>
              <w:top w:val="single" w:sz="8" w:space="0" w:color="AEAEAE"/>
              <w:left w:val="nil"/>
              <w:bottom w:val="single" w:sz="8" w:space="0" w:color="152935"/>
              <w:right w:val="nil"/>
            </w:tcBorders>
            <w:shd w:val="clear" w:color="auto" w:fill="E0E0E0"/>
          </w:tcPr>
          <w:p w14:paraId="6D9D491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541" w:type="dxa"/>
            <w:tcBorders>
              <w:top w:val="single" w:sz="8" w:space="0" w:color="AEAEAE"/>
              <w:left w:val="nil"/>
              <w:bottom w:val="single" w:sz="8" w:space="0" w:color="152935"/>
              <w:right w:val="single" w:sz="8" w:space="0" w:color="E0E0E0"/>
            </w:tcBorders>
            <w:shd w:val="clear" w:color="auto" w:fill="FFFFFF"/>
          </w:tcPr>
          <w:p w14:paraId="460ABF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714.839</w:t>
            </w:r>
          </w:p>
        </w:tc>
        <w:tc>
          <w:tcPr>
            <w:tcW w:w="745" w:type="dxa"/>
            <w:tcBorders>
              <w:top w:val="single" w:sz="8" w:space="0" w:color="AEAEAE"/>
              <w:left w:val="single" w:sz="8" w:space="0" w:color="E0E0E0"/>
              <w:bottom w:val="single" w:sz="8" w:space="0" w:color="152935"/>
              <w:right w:val="single" w:sz="8" w:space="0" w:color="E0E0E0"/>
            </w:tcBorders>
            <w:shd w:val="clear" w:color="auto" w:fill="FFFFFF"/>
          </w:tcPr>
          <w:p w14:paraId="256BA1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4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119AE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6F511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862D9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54" w:type="dxa"/>
            <w:tcBorders>
              <w:top w:val="single" w:sz="8" w:space="0" w:color="AEAEAE"/>
              <w:left w:val="single" w:sz="8" w:space="0" w:color="E0E0E0"/>
              <w:bottom w:val="single" w:sz="8" w:space="0" w:color="152935"/>
              <w:right w:val="nil"/>
            </w:tcBorders>
            <w:shd w:val="clear" w:color="auto" w:fill="FFFFFF"/>
            <w:vAlign w:val="center"/>
          </w:tcPr>
          <w:p w14:paraId="4A9055C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59954E14" w14:textId="77777777" w:rsidTr="00EE722D">
        <w:trPr>
          <w:cantSplit/>
        </w:trPr>
        <w:tc>
          <w:tcPr>
            <w:tcW w:w="9553" w:type="dxa"/>
            <w:gridSpan w:val="9"/>
            <w:tcBorders>
              <w:top w:val="nil"/>
              <w:left w:val="nil"/>
              <w:bottom w:val="nil"/>
              <w:right w:val="nil"/>
            </w:tcBorders>
            <w:shd w:val="clear" w:color="auto" w:fill="FFFFFF"/>
          </w:tcPr>
          <w:p w14:paraId="49583F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R Squared = .029 (Adjusted R Squared = .025)</w:t>
            </w:r>
          </w:p>
        </w:tc>
      </w:tr>
      <w:tr w:rsidR="00C7217E" w:rsidRPr="00530906" w14:paraId="0E6B5E61" w14:textId="77777777" w:rsidTr="00EE722D">
        <w:trPr>
          <w:cantSplit/>
        </w:trPr>
        <w:tc>
          <w:tcPr>
            <w:tcW w:w="9553" w:type="dxa"/>
            <w:gridSpan w:val="9"/>
            <w:tcBorders>
              <w:top w:val="nil"/>
              <w:left w:val="nil"/>
              <w:bottom w:val="nil"/>
              <w:right w:val="nil"/>
            </w:tcBorders>
            <w:shd w:val="clear" w:color="auto" w:fill="FFFFFF"/>
          </w:tcPr>
          <w:p w14:paraId="4FE139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R Squared = .000 (Adjusted R Squared = –.003)</w:t>
            </w:r>
          </w:p>
        </w:tc>
      </w:tr>
      <w:tr w:rsidR="00C7217E" w:rsidRPr="00530906" w14:paraId="375D1B84" w14:textId="77777777" w:rsidTr="00EE722D">
        <w:trPr>
          <w:cantSplit/>
        </w:trPr>
        <w:tc>
          <w:tcPr>
            <w:tcW w:w="9553" w:type="dxa"/>
            <w:gridSpan w:val="9"/>
            <w:tcBorders>
              <w:top w:val="nil"/>
              <w:left w:val="nil"/>
              <w:bottom w:val="nil"/>
              <w:right w:val="nil"/>
            </w:tcBorders>
            <w:shd w:val="clear" w:color="auto" w:fill="FFFFFF"/>
          </w:tcPr>
          <w:p w14:paraId="481060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 R Squared = .001 (Adjusted R Squared = –.003)</w:t>
            </w:r>
          </w:p>
        </w:tc>
      </w:tr>
      <w:tr w:rsidR="00C7217E" w:rsidRPr="00530906" w14:paraId="26B2FBE8" w14:textId="77777777" w:rsidTr="00EE722D">
        <w:trPr>
          <w:cantSplit/>
        </w:trPr>
        <w:tc>
          <w:tcPr>
            <w:tcW w:w="9553" w:type="dxa"/>
            <w:gridSpan w:val="9"/>
            <w:tcBorders>
              <w:top w:val="nil"/>
              <w:left w:val="nil"/>
              <w:bottom w:val="nil"/>
              <w:right w:val="nil"/>
            </w:tcBorders>
            <w:shd w:val="clear" w:color="auto" w:fill="FFFFFF"/>
          </w:tcPr>
          <w:p w14:paraId="09F568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 R Squared = .002 (Adjusted R Squared = –.001)</w:t>
            </w:r>
          </w:p>
        </w:tc>
      </w:tr>
    </w:tbl>
    <w:p w14:paraId="3B76A782" w14:textId="46B863E3" w:rsidR="00C7217E" w:rsidRPr="00530906" w:rsidRDefault="00C7217E" w:rsidP="008756B1">
      <w:pPr>
        <w:pStyle w:val="Heading3"/>
        <w:jc w:val="both"/>
        <w:rPr>
          <w:rFonts w:eastAsia="Times New Roman"/>
          <w:lang w:val="en-US"/>
        </w:rPr>
      </w:pPr>
      <w:bookmarkStart w:id="138" w:name="_Toc115726293"/>
      <w:r w:rsidRPr="00530906">
        <w:rPr>
          <w:rFonts w:eastAsia="Times New Roman"/>
          <w:lang w:val="en-US"/>
        </w:rPr>
        <w:t>Discriminant analysis</w:t>
      </w:r>
      <w:bookmarkEnd w:id="138"/>
    </w:p>
    <w:p w14:paraId="5204F0DB"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8"/>
        <w:gridCol w:w="843"/>
        <w:gridCol w:w="381"/>
        <w:gridCol w:w="1088"/>
        <w:gridCol w:w="350"/>
        <w:gridCol w:w="890"/>
        <w:gridCol w:w="564"/>
        <w:gridCol w:w="460"/>
        <w:gridCol w:w="1009"/>
        <w:gridCol w:w="15"/>
      </w:tblGrid>
      <w:tr w:rsidR="00C7217E" w:rsidRPr="00530906" w14:paraId="5CA72F6A" w14:textId="77777777" w:rsidTr="00C7217E">
        <w:trPr>
          <w:gridAfter w:val="1"/>
          <w:wAfter w:w="15" w:type="dxa"/>
          <w:cantSplit/>
        </w:trPr>
        <w:tc>
          <w:tcPr>
            <w:tcW w:w="6593" w:type="dxa"/>
            <w:gridSpan w:val="9"/>
            <w:tcBorders>
              <w:top w:val="nil"/>
              <w:left w:val="nil"/>
              <w:bottom w:val="nil"/>
              <w:right w:val="nil"/>
            </w:tcBorders>
            <w:shd w:val="clear" w:color="auto" w:fill="FFFFFF"/>
            <w:vAlign w:val="center"/>
          </w:tcPr>
          <w:p w14:paraId="2298D81A"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Eigenvalues</w:t>
            </w:r>
          </w:p>
        </w:tc>
      </w:tr>
      <w:tr w:rsidR="00C7217E" w:rsidRPr="00530906" w14:paraId="6CC637EA" w14:textId="77777777" w:rsidTr="00C7217E">
        <w:trPr>
          <w:gridAfter w:val="1"/>
          <w:wAfter w:w="15" w:type="dxa"/>
          <w:cantSplit/>
        </w:trPr>
        <w:tc>
          <w:tcPr>
            <w:tcW w:w="1008" w:type="dxa"/>
            <w:tcBorders>
              <w:top w:val="nil"/>
              <w:left w:val="nil"/>
              <w:bottom w:val="single" w:sz="8" w:space="0" w:color="152935"/>
              <w:right w:val="nil"/>
            </w:tcBorders>
            <w:shd w:val="clear" w:color="auto" w:fill="FFFFFF"/>
            <w:vAlign w:val="bottom"/>
          </w:tcPr>
          <w:p w14:paraId="14D2EA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Function</w:t>
            </w:r>
          </w:p>
        </w:tc>
        <w:tc>
          <w:tcPr>
            <w:tcW w:w="1224" w:type="dxa"/>
            <w:gridSpan w:val="2"/>
            <w:tcBorders>
              <w:top w:val="nil"/>
              <w:left w:val="nil"/>
              <w:bottom w:val="single" w:sz="8" w:space="0" w:color="152935"/>
              <w:right w:val="single" w:sz="8" w:space="0" w:color="E0E0E0"/>
            </w:tcBorders>
            <w:shd w:val="clear" w:color="auto" w:fill="FFFFFF"/>
            <w:vAlign w:val="bottom"/>
          </w:tcPr>
          <w:p w14:paraId="7A856B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Eigenvalue</w:t>
            </w:r>
          </w:p>
        </w:tc>
        <w:tc>
          <w:tcPr>
            <w:tcW w:w="1438" w:type="dxa"/>
            <w:gridSpan w:val="2"/>
            <w:tcBorders>
              <w:top w:val="nil"/>
              <w:left w:val="single" w:sz="8" w:space="0" w:color="E0E0E0"/>
              <w:bottom w:val="single" w:sz="8" w:space="0" w:color="152935"/>
              <w:right w:val="single" w:sz="8" w:space="0" w:color="E0E0E0"/>
            </w:tcBorders>
            <w:shd w:val="clear" w:color="auto" w:fill="FFFFFF"/>
            <w:vAlign w:val="bottom"/>
          </w:tcPr>
          <w:p w14:paraId="6B8072B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 of Variance</w:t>
            </w:r>
          </w:p>
        </w:tc>
        <w:tc>
          <w:tcPr>
            <w:tcW w:w="1454" w:type="dxa"/>
            <w:gridSpan w:val="2"/>
            <w:tcBorders>
              <w:top w:val="nil"/>
              <w:left w:val="single" w:sz="8" w:space="0" w:color="E0E0E0"/>
              <w:bottom w:val="single" w:sz="8" w:space="0" w:color="152935"/>
              <w:right w:val="single" w:sz="8" w:space="0" w:color="E0E0E0"/>
            </w:tcBorders>
            <w:shd w:val="clear" w:color="auto" w:fill="FFFFFF"/>
            <w:vAlign w:val="bottom"/>
          </w:tcPr>
          <w:p w14:paraId="39BE7A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Cumulative %</w:t>
            </w:r>
          </w:p>
        </w:tc>
        <w:tc>
          <w:tcPr>
            <w:tcW w:w="1469" w:type="dxa"/>
            <w:gridSpan w:val="2"/>
            <w:tcBorders>
              <w:top w:val="nil"/>
              <w:left w:val="single" w:sz="8" w:space="0" w:color="E0E0E0"/>
              <w:bottom w:val="single" w:sz="8" w:space="0" w:color="152935"/>
              <w:right w:val="nil"/>
            </w:tcBorders>
            <w:shd w:val="clear" w:color="auto" w:fill="FFFFFF"/>
            <w:vAlign w:val="bottom"/>
          </w:tcPr>
          <w:p w14:paraId="5B732E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Canonical Correlation</w:t>
            </w:r>
          </w:p>
        </w:tc>
      </w:tr>
      <w:tr w:rsidR="00C7217E" w:rsidRPr="00530906" w14:paraId="4B16026C" w14:textId="77777777" w:rsidTr="00C7217E">
        <w:trPr>
          <w:gridAfter w:val="1"/>
          <w:wAfter w:w="15" w:type="dxa"/>
          <w:cantSplit/>
        </w:trPr>
        <w:tc>
          <w:tcPr>
            <w:tcW w:w="1008" w:type="dxa"/>
            <w:tcBorders>
              <w:top w:val="single" w:sz="8" w:space="0" w:color="152935"/>
              <w:left w:val="nil"/>
              <w:bottom w:val="single" w:sz="8" w:space="0" w:color="152935"/>
              <w:right w:val="nil"/>
            </w:tcBorders>
            <w:shd w:val="clear" w:color="auto" w:fill="E0E0E0"/>
          </w:tcPr>
          <w:p w14:paraId="0B5C0A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224" w:type="dxa"/>
            <w:gridSpan w:val="2"/>
            <w:tcBorders>
              <w:top w:val="single" w:sz="8" w:space="0" w:color="152935"/>
              <w:left w:val="nil"/>
              <w:bottom w:val="single" w:sz="8" w:space="0" w:color="152935"/>
              <w:right w:val="single" w:sz="8" w:space="0" w:color="E0E0E0"/>
            </w:tcBorders>
            <w:shd w:val="clear" w:color="auto" w:fill="FFFFFF"/>
          </w:tcPr>
          <w:p w14:paraId="650E08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.036</w:t>
            </w:r>
            <w:r w:rsidRPr="00530906">
              <w:rPr>
                <w:rFonts w:ascii="Cambria" w:eastAsia="Times New Roman" w:hAnsi="Cambria" w:cs="Times New Roman"/>
                <w:color w:val="000000"/>
                <w:sz w:val="18"/>
                <w:szCs w:val="18"/>
                <w:vertAlign w:val="superscript"/>
                <w:lang w:val="en-US"/>
              </w:rPr>
              <w:t>a</w:t>
            </w:r>
          </w:p>
        </w:tc>
        <w:tc>
          <w:tcPr>
            <w:tcW w:w="1438" w:type="dxa"/>
            <w:gridSpan w:val="2"/>
            <w:tcBorders>
              <w:top w:val="single" w:sz="8" w:space="0" w:color="152935"/>
              <w:left w:val="single" w:sz="8" w:space="0" w:color="E0E0E0"/>
              <w:bottom w:val="single" w:sz="8" w:space="0" w:color="152935"/>
              <w:right w:val="single" w:sz="8" w:space="0" w:color="E0E0E0"/>
            </w:tcBorders>
            <w:shd w:val="clear" w:color="auto" w:fill="FFFFFF"/>
          </w:tcPr>
          <w:p w14:paraId="665DC78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1454" w:type="dxa"/>
            <w:gridSpan w:val="2"/>
            <w:tcBorders>
              <w:top w:val="single" w:sz="8" w:space="0" w:color="152935"/>
              <w:left w:val="single" w:sz="8" w:space="0" w:color="E0E0E0"/>
              <w:bottom w:val="single" w:sz="8" w:space="0" w:color="152935"/>
              <w:right w:val="single" w:sz="8" w:space="0" w:color="E0E0E0"/>
            </w:tcBorders>
            <w:shd w:val="clear" w:color="auto" w:fill="FFFFFF"/>
          </w:tcPr>
          <w:p w14:paraId="36BD2E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1469" w:type="dxa"/>
            <w:gridSpan w:val="2"/>
            <w:tcBorders>
              <w:top w:val="single" w:sz="8" w:space="0" w:color="152935"/>
              <w:left w:val="single" w:sz="8" w:space="0" w:color="E0E0E0"/>
              <w:bottom w:val="single" w:sz="8" w:space="0" w:color="152935"/>
              <w:right w:val="nil"/>
            </w:tcBorders>
            <w:shd w:val="clear" w:color="auto" w:fill="FFFFFF"/>
          </w:tcPr>
          <w:p w14:paraId="129DCE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.187</w:t>
            </w:r>
          </w:p>
        </w:tc>
      </w:tr>
      <w:tr w:rsidR="00C7217E" w:rsidRPr="00530906" w14:paraId="78FDBBAE" w14:textId="77777777" w:rsidTr="00C7217E">
        <w:trPr>
          <w:gridAfter w:val="1"/>
          <w:wAfter w:w="15" w:type="dxa"/>
          <w:cantSplit/>
        </w:trPr>
        <w:tc>
          <w:tcPr>
            <w:tcW w:w="6593" w:type="dxa"/>
            <w:gridSpan w:val="9"/>
            <w:tcBorders>
              <w:top w:val="nil"/>
              <w:left w:val="nil"/>
              <w:bottom w:val="nil"/>
              <w:right w:val="nil"/>
            </w:tcBorders>
            <w:shd w:val="clear" w:color="auto" w:fill="FFFFFF"/>
          </w:tcPr>
          <w:p w14:paraId="2667D90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First 1 canonical discriminant functions were used in the analysis.</w:t>
            </w:r>
          </w:p>
        </w:tc>
      </w:tr>
      <w:tr w:rsidR="00C7217E" w:rsidRPr="00530906" w14:paraId="04837512" w14:textId="77777777" w:rsidTr="00C7217E">
        <w:trPr>
          <w:cantSplit/>
        </w:trPr>
        <w:tc>
          <w:tcPr>
            <w:tcW w:w="6608" w:type="dxa"/>
            <w:gridSpan w:val="10"/>
            <w:tcBorders>
              <w:top w:val="nil"/>
              <w:left w:val="nil"/>
              <w:bottom w:val="nil"/>
              <w:right w:val="nil"/>
            </w:tcBorders>
            <w:shd w:val="clear" w:color="auto" w:fill="FFFFFF"/>
            <w:vAlign w:val="center"/>
          </w:tcPr>
          <w:p w14:paraId="3915EFC2"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99BAE89"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Wilks' Lambda</w:t>
            </w:r>
          </w:p>
        </w:tc>
      </w:tr>
      <w:tr w:rsidR="00C7217E" w:rsidRPr="00530906" w14:paraId="77898F46" w14:textId="77777777" w:rsidTr="00C7217E">
        <w:trPr>
          <w:cantSplit/>
        </w:trPr>
        <w:tc>
          <w:tcPr>
            <w:tcW w:w="1851" w:type="dxa"/>
            <w:gridSpan w:val="2"/>
            <w:tcBorders>
              <w:top w:val="nil"/>
              <w:left w:val="nil"/>
              <w:bottom w:val="single" w:sz="8" w:space="0" w:color="152935"/>
              <w:right w:val="nil"/>
            </w:tcBorders>
            <w:shd w:val="clear" w:color="auto" w:fill="FFFFFF"/>
            <w:vAlign w:val="bottom"/>
          </w:tcPr>
          <w:p w14:paraId="422EE8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Test of Function(s)</w:t>
            </w:r>
          </w:p>
        </w:tc>
        <w:tc>
          <w:tcPr>
            <w:tcW w:w="1469" w:type="dxa"/>
            <w:gridSpan w:val="2"/>
            <w:tcBorders>
              <w:top w:val="nil"/>
              <w:left w:val="nil"/>
              <w:bottom w:val="single" w:sz="8" w:space="0" w:color="152935"/>
              <w:right w:val="single" w:sz="8" w:space="0" w:color="E0E0E0"/>
            </w:tcBorders>
            <w:shd w:val="clear" w:color="auto" w:fill="FFFFFF"/>
            <w:vAlign w:val="bottom"/>
          </w:tcPr>
          <w:p w14:paraId="1CAC12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1240" w:type="dxa"/>
            <w:gridSpan w:val="2"/>
            <w:tcBorders>
              <w:top w:val="nil"/>
              <w:left w:val="single" w:sz="8" w:space="0" w:color="E0E0E0"/>
              <w:bottom w:val="single" w:sz="8" w:space="0" w:color="152935"/>
              <w:right w:val="single" w:sz="8" w:space="0" w:color="E0E0E0"/>
            </w:tcBorders>
            <w:shd w:val="clear" w:color="auto" w:fill="FFFFFF"/>
            <w:vAlign w:val="bottom"/>
          </w:tcPr>
          <w:p w14:paraId="1058A4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Chi–square</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339F03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024" w:type="dxa"/>
            <w:gridSpan w:val="2"/>
            <w:tcBorders>
              <w:top w:val="nil"/>
              <w:left w:val="single" w:sz="8" w:space="0" w:color="E0E0E0"/>
              <w:bottom w:val="single" w:sz="8" w:space="0" w:color="152935"/>
              <w:right w:val="nil"/>
            </w:tcBorders>
            <w:shd w:val="clear" w:color="auto" w:fill="FFFFFF"/>
            <w:vAlign w:val="bottom"/>
          </w:tcPr>
          <w:p w14:paraId="7667648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4E2D2CD3" w14:textId="77777777" w:rsidTr="00C7217E">
        <w:trPr>
          <w:cantSplit/>
        </w:trPr>
        <w:tc>
          <w:tcPr>
            <w:tcW w:w="1851" w:type="dxa"/>
            <w:gridSpan w:val="2"/>
            <w:tcBorders>
              <w:top w:val="single" w:sz="8" w:space="0" w:color="152935"/>
              <w:left w:val="nil"/>
              <w:bottom w:val="single" w:sz="8" w:space="0" w:color="152935"/>
              <w:right w:val="nil"/>
            </w:tcBorders>
            <w:shd w:val="clear" w:color="auto" w:fill="E0E0E0"/>
          </w:tcPr>
          <w:p w14:paraId="734A5B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69" w:type="dxa"/>
            <w:gridSpan w:val="2"/>
            <w:tcBorders>
              <w:top w:val="single" w:sz="8" w:space="0" w:color="152935"/>
              <w:left w:val="nil"/>
              <w:bottom w:val="single" w:sz="8" w:space="0" w:color="152935"/>
              <w:right w:val="single" w:sz="8" w:space="0" w:color="E0E0E0"/>
            </w:tcBorders>
            <w:shd w:val="clear" w:color="auto" w:fill="FFFFFF"/>
          </w:tcPr>
          <w:p w14:paraId="06AAEC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.965</w:t>
            </w:r>
          </w:p>
        </w:tc>
        <w:tc>
          <w:tcPr>
            <w:tcW w:w="1240" w:type="dxa"/>
            <w:gridSpan w:val="2"/>
            <w:tcBorders>
              <w:top w:val="single" w:sz="8" w:space="0" w:color="152935"/>
              <w:left w:val="single" w:sz="8" w:space="0" w:color="E0E0E0"/>
              <w:bottom w:val="single" w:sz="8" w:space="0" w:color="152935"/>
              <w:right w:val="single" w:sz="8" w:space="0" w:color="E0E0E0"/>
            </w:tcBorders>
            <w:shd w:val="clear" w:color="auto" w:fill="FFFFFF"/>
          </w:tcPr>
          <w:p w14:paraId="664BA4A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9.763</w:t>
            </w:r>
          </w:p>
        </w:tc>
        <w:tc>
          <w:tcPr>
            <w:tcW w:w="1024" w:type="dxa"/>
            <w:gridSpan w:val="2"/>
            <w:tcBorders>
              <w:top w:val="single" w:sz="8" w:space="0" w:color="152935"/>
              <w:left w:val="single" w:sz="8" w:space="0" w:color="E0E0E0"/>
              <w:bottom w:val="single" w:sz="8" w:space="0" w:color="152935"/>
              <w:right w:val="single" w:sz="8" w:space="0" w:color="E0E0E0"/>
            </w:tcBorders>
            <w:shd w:val="clear" w:color="auto" w:fill="FFFFFF"/>
          </w:tcPr>
          <w:p w14:paraId="7EF78F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w:t>
            </w:r>
          </w:p>
        </w:tc>
        <w:tc>
          <w:tcPr>
            <w:tcW w:w="1024" w:type="dxa"/>
            <w:gridSpan w:val="2"/>
            <w:tcBorders>
              <w:top w:val="single" w:sz="8" w:space="0" w:color="152935"/>
              <w:left w:val="single" w:sz="8" w:space="0" w:color="E0E0E0"/>
              <w:bottom w:val="single" w:sz="8" w:space="0" w:color="152935"/>
              <w:right w:val="nil"/>
            </w:tcBorders>
            <w:shd w:val="clear" w:color="auto" w:fill="FFFFFF"/>
          </w:tcPr>
          <w:p w14:paraId="7A529B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r>
    </w:tbl>
    <w:p w14:paraId="361D770A"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3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5"/>
        <w:gridCol w:w="1024"/>
      </w:tblGrid>
      <w:tr w:rsidR="00C7217E" w:rsidRPr="00530906" w14:paraId="17521A17" w14:textId="77777777" w:rsidTr="00C7217E">
        <w:trPr>
          <w:cantSplit/>
        </w:trPr>
        <w:tc>
          <w:tcPr>
            <w:tcW w:w="3058" w:type="dxa"/>
            <w:gridSpan w:val="2"/>
            <w:tcBorders>
              <w:top w:val="nil"/>
              <w:left w:val="nil"/>
              <w:bottom w:val="nil"/>
              <w:right w:val="nil"/>
            </w:tcBorders>
            <w:shd w:val="clear" w:color="auto" w:fill="FFFFFF"/>
            <w:vAlign w:val="center"/>
          </w:tcPr>
          <w:p w14:paraId="236C930D"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lang w:val="en-US"/>
              </w:rPr>
            </w:pPr>
            <w:r w:rsidRPr="00530906">
              <w:rPr>
                <w:rFonts w:ascii="Cambria" w:eastAsia="Times New Roman" w:hAnsi="Cambria" w:cs="Arial"/>
                <w:b/>
                <w:bCs/>
                <w:color w:val="000000"/>
                <w:lang w:val="en-US"/>
              </w:rPr>
              <w:t>Structure Matrix</w:t>
            </w:r>
          </w:p>
        </w:tc>
      </w:tr>
      <w:tr w:rsidR="00C7217E" w:rsidRPr="00530906" w14:paraId="61663878" w14:textId="77777777" w:rsidTr="00C7217E">
        <w:trPr>
          <w:cantSplit/>
        </w:trPr>
        <w:tc>
          <w:tcPr>
            <w:tcW w:w="2034" w:type="dxa"/>
            <w:vMerge w:val="restart"/>
            <w:tcBorders>
              <w:top w:val="nil"/>
              <w:left w:val="nil"/>
              <w:bottom w:val="nil"/>
              <w:right w:val="nil"/>
            </w:tcBorders>
            <w:shd w:val="clear" w:color="auto" w:fill="FFFFFF"/>
            <w:vAlign w:val="bottom"/>
          </w:tcPr>
          <w:p w14:paraId="43BF98F5"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c>
        <w:tc>
          <w:tcPr>
            <w:tcW w:w="1024" w:type="dxa"/>
            <w:tcBorders>
              <w:top w:val="nil"/>
              <w:left w:val="nil"/>
              <w:bottom w:val="nil"/>
              <w:right w:val="nil"/>
            </w:tcBorders>
            <w:shd w:val="clear" w:color="auto" w:fill="FFFFFF"/>
            <w:vAlign w:val="bottom"/>
          </w:tcPr>
          <w:p w14:paraId="285BB61D"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Function</w:t>
            </w:r>
          </w:p>
        </w:tc>
      </w:tr>
      <w:tr w:rsidR="00C7217E" w:rsidRPr="00530906" w14:paraId="4EFFDCCB" w14:textId="77777777" w:rsidTr="00C7217E">
        <w:trPr>
          <w:cantSplit/>
        </w:trPr>
        <w:tc>
          <w:tcPr>
            <w:tcW w:w="2034" w:type="dxa"/>
            <w:vMerge/>
            <w:tcBorders>
              <w:top w:val="nil"/>
              <w:left w:val="nil"/>
              <w:bottom w:val="nil"/>
              <w:right w:val="nil"/>
            </w:tcBorders>
            <w:shd w:val="clear" w:color="auto" w:fill="FFFFFF"/>
            <w:vAlign w:val="bottom"/>
          </w:tcPr>
          <w:p w14:paraId="29914DCE" w14:textId="77777777" w:rsidR="00C7217E" w:rsidRPr="00530906" w:rsidRDefault="00C7217E" w:rsidP="008756B1">
            <w:pPr>
              <w:autoSpaceDE w:val="0"/>
              <w:autoSpaceDN w:val="0"/>
              <w:adjustRightInd w:val="0"/>
              <w:spacing w:after="0" w:line="240" w:lineRule="auto"/>
              <w:jc w:val="both"/>
              <w:rPr>
                <w:rFonts w:ascii="Cambria" w:eastAsia="Times New Roman" w:hAnsi="Cambria" w:cs="Arial"/>
                <w:color w:val="000000"/>
                <w:sz w:val="18"/>
                <w:szCs w:val="18"/>
                <w:lang w:val="en-US"/>
              </w:rPr>
            </w:pPr>
          </w:p>
        </w:tc>
        <w:tc>
          <w:tcPr>
            <w:tcW w:w="1024" w:type="dxa"/>
            <w:tcBorders>
              <w:top w:val="nil"/>
              <w:left w:val="nil"/>
              <w:bottom w:val="single" w:sz="8" w:space="0" w:color="152935"/>
              <w:right w:val="nil"/>
            </w:tcBorders>
            <w:shd w:val="clear" w:color="auto" w:fill="FFFFFF"/>
            <w:vAlign w:val="bottom"/>
          </w:tcPr>
          <w:p w14:paraId="46629521"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1</w:t>
            </w:r>
          </w:p>
        </w:tc>
      </w:tr>
      <w:tr w:rsidR="00C7217E" w:rsidRPr="00530906" w14:paraId="3323705A" w14:textId="77777777" w:rsidTr="00C7217E">
        <w:trPr>
          <w:cantSplit/>
        </w:trPr>
        <w:tc>
          <w:tcPr>
            <w:tcW w:w="2034" w:type="dxa"/>
            <w:tcBorders>
              <w:top w:val="single" w:sz="8" w:space="0" w:color="152935"/>
              <w:left w:val="nil"/>
              <w:bottom w:val="single" w:sz="8" w:space="0" w:color="AEAEAE"/>
              <w:right w:val="nil"/>
            </w:tcBorders>
            <w:shd w:val="clear" w:color="auto" w:fill="E0E0E0"/>
          </w:tcPr>
          <w:p w14:paraId="48C62E5D"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Image quality</w:t>
            </w:r>
          </w:p>
        </w:tc>
        <w:tc>
          <w:tcPr>
            <w:tcW w:w="1024" w:type="dxa"/>
            <w:tcBorders>
              <w:top w:val="single" w:sz="8" w:space="0" w:color="152935"/>
              <w:left w:val="nil"/>
              <w:bottom w:val="single" w:sz="8" w:space="0" w:color="AEAEAE"/>
              <w:right w:val="nil"/>
            </w:tcBorders>
            <w:shd w:val="clear" w:color="auto" w:fill="FFFFFF"/>
          </w:tcPr>
          <w:p w14:paraId="75ED7EB9"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.902</w:t>
            </w:r>
          </w:p>
        </w:tc>
      </w:tr>
      <w:tr w:rsidR="00C7217E" w:rsidRPr="00530906" w14:paraId="46959BD3" w14:textId="77777777" w:rsidTr="00C7217E">
        <w:trPr>
          <w:cantSplit/>
        </w:trPr>
        <w:tc>
          <w:tcPr>
            <w:tcW w:w="2034" w:type="dxa"/>
            <w:tcBorders>
              <w:top w:val="single" w:sz="8" w:space="0" w:color="AEAEAE"/>
              <w:left w:val="nil"/>
              <w:bottom w:val="single" w:sz="8" w:space="0" w:color="AEAEAE"/>
              <w:right w:val="nil"/>
            </w:tcBorders>
            <w:shd w:val="clear" w:color="auto" w:fill="E0E0E0"/>
          </w:tcPr>
          <w:p w14:paraId="7199EAF5"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Mental fluency</w:t>
            </w:r>
          </w:p>
        </w:tc>
        <w:tc>
          <w:tcPr>
            <w:tcW w:w="1024" w:type="dxa"/>
            <w:tcBorders>
              <w:top w:val="single" w:sz="8" w:space="0" w:color="AEAEAE"/>
              <w:left w:val="nil"/>
              <w:bottom w:val="single" w:sz="8" w:space="0" w:color="AEAEAE"/>
              <w:right w:val="nil"/>
            </w:tcBorders>
            <w:shd w:val="clear" w:color="auto" w:fill="FFFFFF"/>
          </w:tcPr>
          <w:p w14:paraId="38D7B709"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.248</w:t>
            </w:r>
          </w:p>
        </w:tc>
      </w:tr>
      <w:tr w:rsidR="00C7217E" w:rsidRPr="00530906" w14:paraId="537710BF" w14:textId="77777777" w:rsidTr="00C7217E">
        <w:trPr>
          <w:cantSplit/>
        </w:trPr>
        <w:tc>
          <w:tcPr>
            <w:tcW w:w="2034" w:type="dxa"/>
            <w:tcBorders>
              <w:top w:val="single" w:sz="8" w:space="0" w:color="AEAEAE"/>
              <w:left w:val="nil"/>
              <w:bottom w:val="single" w:sz="8" w:space="0" w:color="AEAEAE"/>
              <w:right w:val="nil"/>
            </w:tcBorders>
            <w:shd w:val="clear" w:color="auto" w:fill="E0E0E0"/>
          </w:tcPr>
          <w:p w14:paraId="7487D965"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Self–projection</w:t>
            </w:r>
          </w:p>
        </w:tc>
        <w:tc>
          <w:tcPr>
            <w:tcW w:w="1024" w:type="dxa"/>
            <w:tcBorders>
              <w:top w:val="single" w:sz="8" w:space="0" w:color="AEAEAE"/>
              <w:left w:val="nil"/>
              <w:bottom w:val="single" w:sz="8" w:space="0" w:color="AEAEAE"/>
              <w:right w:val="nil"/>
            </w:tcBorders>
            <w:shd w:val="clear" w:color="auto" w:fill="FFFFFF"/>
          </w:tcPr>
          <w:p w14:paraId="1AABFF8A"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.142</w:t>
            </w:r>
          </w:p>
        </w:tc>
      </w:tr>
      <w:tr w:rsidR="00C7217E" w:rsidRPr="00530906" w14:paraId="25F8F37F" w14:textId="77777777" w:rsidTr="00C7217E">
        <w:trPr>
          <w:cantSplit/>
        </w:trPr>
        <w:tc>
          <w:tcPr>
            <w:tcW w:w="2034" w:type="dxa"/>
            <w:tcBorders>
              <w:top w:val="single" w:sz="8" w:space="0" w:color="AEAEAE"/>
              <w:left w:val="nil"/>
              <w:bottom w:val="single" w:sz="8" w:space="0" w:color="152935"/>
              <w:right w:val="nil"/>
            </w:tcBorders>
            <w:shd w:val="clear" w:color="auto" w:fill="E0E0E0"/>
          </w:tcPr>
          <w:p w14:paraId="19CA5165"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Engrossment</w:t>
            </w:r>
          </w:p>
        </w:tc>
        <w:tc>
          <w:tcPr>
            <w:tcW w:w="1024" w:type="dxa"/>
            <w:tcBorders>
              <w:top w:val="single" w:sz="8" w:space="0" w:color="AEAEAE"/>
              <w:left w:val="nil"/>
              <w:bottom w:val="single" w:sz="8" w:space="0" w:color="152935"/>
              <w:right w:val="nil"/>
            </w:tcBorders>
            <w:shd w:val="clear" w:color="auto" w:fill="FFFFFF"/>
          </w:tcPr>
          <w:p w14:paraId="01A159A6"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–.072</w:t>
            </w:r>
          </w:p>
        </w:tc>
      </w:tr>
      <w:tr w:rsidR="00C7217E" w:rsidRPr="00530906" w14:paraId="2018109E" w14:textId="77777777" w:rsidTr="00C7217E">
        <w:trPr>
          <w:cantSplit/>
        </w:trPr>
        <w:tc>
          <w:tcPr>
            <w:tcW w:w="3058" w:type="dxa"/>
            <w:gridSpan w:val="2"/>
            <w:tcBorders>
              <w:top w:val="nil"/>
              <w:left w:val="nil"/>
              <w:bottom w:val="nil"/>
              <w:right w:val="nil"/>
            </w:tcBorders>
            <w:shd w:val="clear" w:color="auto" w:fill="FFFFFF"/>
          </w:tcPr>
          <w:p w14:paraId="5AA21FD6"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 xml:space="preserve">Pooled within–groups correlations between discriminating variables and standardized canonical discriminant functions </w:t>
            </w:r>
          </w:p>
          <w:p w14:paraId="18AC2BC6" w14:textId="77777777" w:rsidR="00C7217E" w:rsidRPr="00530906" w:rsidRDefault="00C7217E" w:rsidP="008756B1">
            <w:pPr>
              <w:autoSpaceDE w:val="0"/>
              <w:autoSpaceDN w:val="0"/>
              <w:adjustRightInd w:val="0"/>
              <w:spacing w:after="0" w:line="320" w:lineRule="atLeast"/>
              <w:ind w:left="60" w:right="60"/>
              <w:jc w:val="both"/>
              <w:rPr>
                <w:rFonts w:ascii="Cambria" w:eastAsia="Times New Roman" w:hAnsi="Cambria" w:cs="Arial"/>
                <w:color w:val="000000"/>
                <w:sz w:val="18"/>
                <w:szCs w:val="18"/>
                <w:lang w:val="en-US"/>
              </w:rPr>
            </w:pPr>
            <w:r w:rsidRPr="00530906">
              <w:rPr>
                <w:rFonts w:ascii="Cambria" w:eastAsia="Times New Roman" w:hAnsi="Cambria" w:cs="Arial"/>
                <w:color w:val="000000"/>
                <w:sz w:val="18"/>
                <w:szCs w:val="18"/>
                <w:lang w:val="en-US"/>
              </w:rPr>
              <w:t xml:space="preserve"> Variables ordered by absolute size of correlation within function.</w:t>
            </w:r>
          </w:p>
        </w:tc>
      </w:tr>
    </w:tbl>
    <w:p w14:paraId="56422E07" w14:textId="77777777" w:rsidR="00C7217E" w:rsidRPr="00530906" w:rsidRDefault="00C7217E" w:rsidP="008756B1">
      <w:pPr>
        <w:autoSpaceDE w:val="0"/>
        <w:autoSpaceDN w:val="0"/>
        <w:adjustRightInd w:val="0"/>
        <w:spacing w:after="0" w:line="400" w:lineRule="atLeast"/>
        <w:jc w:val="both"/>
        <w:rPr>
          <w:rFonts w:ascii="Cambria" w:eastAsia="Times New Roman" w:hAnsi="Cambria" w:cs="Times New Roman"/>
          <w:color w:val="000000"/>
          <w:sz w:val="24"/>
          <w:szCs w:val="24"/>
          <w:lang w:val="en-US"/>
        </w:rPr>
      </w:pPr>
    </w:p>
    <w:p w14:paraId="4417F006" w14:textId="77777777" w:rsidR="00EE2327" w:rsidRPr="00530906" w:rsidRDefault="00EE2327" w:rsidP="008756B1">
      <w:pPr>
        <w:spacing w:line="259" w:lineRule="auto"/>
        <w:jc w:val="both"/>
        <w:rPr>
          <w:rFonts w:asciiTheme="majorHAnsi" w:eastAsia="Times New Roman" w:hAnsiTheme="majorHAnsi" w:cstheme="majorBidi"/>
          <w:color w:val="1F3763" w:themeColor="accent1" w:themeShade="7F"/>
          <w:sz w:val="24"/>
          <w:szCs w:val="24"/>
          <w:lang w:val="en-US"/>
        </w:rPr>
      </w:pPr>
      <w:r w:rsidRPr="00530906">
        <w:rPr>
          <w:rFonts w:eastAsia="Times New Roman"/>
          <w:lang w:val="en-US"/>
        </w:rPr>
        <w:br w:type="page"/>
      </w:r>
    </w:p>
    <w:p w14:paraId="7F4B483F" w14:textId="15E317E2" w:rsidR="00C7217E" w:rsidRPr="00530906" w:rsidRDefault="00C7217E" w:rsidP="008756B1">
      <w:pPr>
        <w:pStyle w:val="Heading3"/>
        <w:jc w:val="both"/>
        <w:rPr>
          <w:rFonts w:eastAsia="Times New Roman"/>
          <w:lang w:val="en-US"/>
        </w:rPr>
      </w:pPr>
      <w:bookmarkStart w:id="139" w:name="_Toc115726294"/>
      <w:r w:rsidRPr="00530906">
        <w:rPr>
          <w:rFonts w:eastAsia="Times New Roman"/>
          <w:lang w:val="en-US"/>
        </w:rPr>
        <w:t>Two way MANOVA</w:t>
      </w:r>
      <w:bookmarkEnd w:id="139"/>
    </w:p>
    <w:p w14:paraId="061FA4B5"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9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620"/>
        <w:gridCol w:w="720"/>
        <w:gridCol w:w="810"/>
        <w:gridCol w:w="1170"/>
        <w:gridCol w:w="720"/>
        <w:gridCol w:w="450"/>
        <w:gridCol w:w="1543"/>
      </w:tblGrid>
      <w:tr w:rsidR="00C7217E" w:rsidRPr="00530906" w14:paraId="687A97B9" w14:textId="77777777" w:rsidTr="00C7217E">
        <w:trPr>
          <w:cantSplit/>
        </w:trPr>
        <w:tc>
          <w:tcPr>
            <w:tcW w:w="9013" w:type="dxa"/>
            <w:gridSpan w:val="8"/>
            <w:tcBorders>
              <w:top w:val="nil"/>
              <w:left w:val="nil"/>
              <w:bottom w:val="nil"/>
              <w:right w:val="nil"/>
            </w:tcBorders>
            <w:shd w:val="clear" w:color="auto" w:fill="FFFFFF"/>
            <w:vAlign w:val="center"/>
          </w:tcPr>
          <w:p w14:paraId="06FE652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Multivariate Tests</w:t>
            </w:r>
            <w:r w:rsidRPr="00530906">
              <w:rPr>
                <w:rFonts w:ascii="Cambria" w:eastAsia="Times New Roman" w:hAnsi="Cambria" w:cs="Times New Roman"/>
                <w:color w:val="000000"/>
                <w:vertAlign w:val="superscript"/>
                <w:lang w:val="en-US"/>
              </w:rPr>
              <w:t>a</w:t>
            </w:r>
          </w:p>
        </w:tc>
      </w:tr>
      <w:tr w:rsidR="00C7217E" w:rsidRPr="00530906" w14:paraId="3860672C" w14:textId="77777777" w:rsidTr="00C7217E">
        <w:trPr>
          <w:cantSplit/>
        </w:trPr>
        <w:tc>
          <w:tcPr>
            <w:tcW w:w="3600" w:type="dxa"/>
            <w:gridSpan w:val="2"/>
            <w:tcBorders>
              <w:top w:val="nil"/>
              <w:left w:val="nil"/>
              <w:bottom w:val="single" w:sz="8" w:space="0" w:color="152935"/>
              <w:right w:val="nil"/>
            </w:tcBorders>
            <w:shd w:val="clear" w:color="auto" w:fill="FFFFFF"/>
            <w:vAlign w:val="bottom"/>
          </w:tcPr>
          <w:p w14:paraId="421B94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Effect</w:t>
            </w:r>
          </w:p>
        </w:tc>
        <w:tc>
          <w:tcPr>
            <w:tcW w:w="720" w:type="dxa"/>
            <w:tcBorders>
              <w:top w:val="nil"/>
              <w:left w:val="nil"/>
              <w:bottom w:val="single" w:sz="8" w:space="0" w:color="152935"/>
              <w:right w:val="single" w:sz="8" w:space="0" w:color="E0E0E0"/>
            </w:tcBorders>
            <w:shd w:val="clear" w:color="auto" w:fill="FFFFFF"/>
            <w:vAlign w:val="bottom"/>
          </w:tcPr>
          <w:p w14:paraId="371392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Value</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04D7C4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649B89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Hypothesis df</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3DED08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Error df</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4972F06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543" w:type="dxa"/>
            <w:tcBorders>
              <w:top w:val="nil"/>
              <w:left w:val="single" w:sz="8" w:space="0" w:color="E0E0E0"/>
              <w:bottom w:val="single" w:sz="8" w:space="0" w:color="152935"/>
              <w:right w:val="nil"/>
            </w:tcBorders>
            <w:shd w:val="clear" w:color="auto" w:fill="FFFFFF"/>
            <w:vAlign w:val="bottom"/>
          </w:tcPr>
          <w:p w14:paraId="597D56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 Eta Squared</w:t>
            </w:r>
          </w:p>
        </w:tc>
      </w:tr>
      <w:tr w:rsidR="00C7217E" w:rsidRPr="00530906" w14:paraId="2E84F609" w14:textId="77777777" w:rsidTr="00C7217E">
        <w:trPr>
          <w:cantSplit/>
        </w:trPr>
        <w:tc>
          <w:tcPr>
            <w:tcW w:w="1980" w:type="dxa"/>
            <w:vMerge w:val="restart"/>
            <w:tcBorders>
              <w:top w:val="single" w:sz="8" w:space="0" w:color="152935"/>
              <w:left w:val="nil"/>
              <w:bottom w:val="nil"/>
              <w:right w:val="nil"/>
            </w:tcBorders>
            <w:shd w:val="clear" w:color="auto" w:fill="E0E0E0"/>
          </w:tcPr>
          <w:p w14:paraId="6562E6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Intercept</w:t>
            </w:r>
          </w:p>
        </w:tc>
        <w:tc>
          <w:tcPr>
            <w:tcW w:w="1620" w:type="dxa"/>
            <w:tcBorders>
              <w:top w:val="single" w:sz="8" w:space="0" w:color="152935"/>
              <w:left w:val="nil"/>
              <w:bottom w:val="single" w:sz="8" w:space="0" w:color="AEAEAE"/>
              <w:right w:val="nil"/>
            </w:tcBorders>
            <w:shd w:val="clear" w:color="auto" w:fill="E0E0E0"/>
          </w:tcPr>
          <w:p w14:paraId="1E3F8A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720" w:type="dxa"/>
            <w:tcBorders>
              <w:top w:val="single" w:sz="8" w:space="0" w:color="152935"/>
              <w:left w:val="nil"/>
              <w:bottom w:val="single" w:sz="8" w:space="0" w:color="AEAEAE"/>
              <w:right w:val="single" w:sz="8" w:space="0" w:color="E0E0E0"/>
            </w:tcBorders>
            <w:shd w:val="clear" w:color="auto" w:fill="FFFFFF"/>
          </w:tcPr>
          <w:p w14:paraId="06C422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.930</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2D7B5E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906.862</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70F437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63FE5D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30619D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43" w:type="dxa"/>
            <w:tcBorders>
              <w:top w:val="single" w:sz="8" w:space="0" w:color="152935"/>
              <w:left w:val="single" w:sz="8" w:space="0" w:color="E0E0E0"/>
              <w:bottom w:val="single" w:sz="8" w:space="0" w:color="AEAEAE"/>
              <w:right w:val="nil"/>
            </w:tcBorders>
            <w:shd w:val="clear" w:color="auto" w:fill="FFFFFF"/>
          </w:tcPr>
          <w:p w14:paraId="2BE5EB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.930</w:t>
            </w:r>
          </w:p>
        </w:tc>
      </w:tr>
      <w:tr w:rsidR="00C7217E" w:rsidRPr="00530906" w14:paraId="2C58C261" w14:textId="77777777" w:rsidTr="00C7217E">
        <w:trPr>
          <w:cantSplit/>
        </w:trPr>
        <w:tc>
          <w:tcPr>
            <w:tcW w:w="1980" w:type="dxa"/>
            <w:vMerge/>
            <w:tcBorders>
              <w:top w:val="single" w:sz="8" w:space="0" w:color="152935"/>
              <w:left w:val="nil"/>
              <w:bottom w:val="nil"/>
              <w:right w:val="nil"/>
            </w:tcBorders>
            <w:shd w:val="clear" w:color="auto" w:fill="E0E0E0"/>
          </w:tcPr>
          <w:p w14:paraId="3DDF77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40F4BD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720" w:type="dxa"/>
            <w:tcBorders>
              <w:top w:val="single" w:sz="8" w:space="0" w:color="AEAEAE"/>
              <w:left w:val="nil"/>
              <w:bottom w:val="single" w:sz="8" w:space="0" w:color="AEAEAE"/>
              <w:right w:val="single" w:sz="8" w:space="0" w:color="E0E0E0"/>
            </w:tcBorders>
            <w:shd w:val="clear" w:color="auto" w:fill="FFFFFF"/>
          </w:tcPr>
          <w:p w14:paraId="080B47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3BD7B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906.862</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73B7A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FEA37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74D7F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43" w:type="dxa"/>
            <w:tcBorders>
              <w:top w:val="single" w:sz="8" w:space="0" w:color="AEAEAE"/>
              <w:left w:val="single" w:sz="8" w:space="0" w:color="E0E0E0"/>
              <w:bottom w:val="single" w:sz="8" w:space="0" w:color="AEAEAE"/>
              <w:right w:val="nil"/>
            </w:tcBorders>
            <w:shd w:val="clear" w:color="auto" w:fill="FFFFFF"/>
          </w:tcPr>
          <w:p w14:paraId="630E08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.930</w:t>
            </w:r>
          </w:p>
        </w:tc>
      </w:tr>
      <w:tr w:rsidR="00C7217E" w:rsidRPr="00530906" w14:paraId="0D1E3AF2" w14:textId="77777777" w:rsidTr="00C7217E">
        <w:trPr>
          <w:cantSplit/>
        </w:trPr>
        <w:tc>
          <w:tcPr>
            <w:tcW w:w="1980" w:type="dxa"/>
            <w:vMerge/>
            <w:tcBorders>
              <w:top w:val="single" w:sz="8" w:space="0" w:color="152935"/>
              <w:left w:val="nil"/>
              <w:bottom w:val="nil"/>
              <w:right w:val="nil"/>
            </w:tcBorders>
            <w:shd w:val="clear" w:color="auto" w:fill="E0E0E0"/>
          </w:tcPr>
          <w:p w14:paraId="6425D8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1AE722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720" w:type="dxa"/>
            <w:tcBorders>
              <w:top w:val="single" w:sz="8" w:space="0" w:color="AEAEAE"/>
              <w:left w:val="nil"/>
              <w:bottom w:val="single" w:sz="8" w:space="0" w:color="AEAEAE"/>
              <w:right w:val="single" w:sz="8" w:space="0" w:color="E0E0E0"/>
            </w:tcBorders>
            <w:shd w:val="clear" w:color="auto" w:fill="FFFFFF"/>
          </w:tcPr>
          <w:p w14:paraId="30186C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13.385</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40A20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906.862</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37B00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0CB968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D59D5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43" w:type="dxa"/>
            <w:tcBorders>
              <w:top w:val="single" w:sz="8" w:space="0" w:color="AEAEAE"/>
              <w:left w:val="single" w:sz="8" w:space="0" w:color="E0E0E0"/>
              <w:bottom w:val="single" w:sz="8" w:space="0" w:color="AEAEAE"/>
              <w:right w:val="nil"/>
            </w:tcBorders>
            <w:shd w:val="clear" w:color="auto" w:fill="FFFFFF"/>
          </w:tcPr>
          <w:p w14:paraId="3A5940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.930</w:t>
            </w:r>
          </w:p>
        </w:tc>
      </w:tr>
      <w:tr w:rsidR="00C7217E" w:rsidRPr="00530906" w14:paraId="54B88F53" w14:textId="77777777" w:rsidTr="00C7217E">
        <w:trPr>
          <w:cantSplit/>
        </w:trPr>
        <w:tc>
          <w:tcPr>
            <w:tcW w:w="1980" w:type="dxa"/>
            <w:vMerge/>
            <w:tcBorders>
              <w:top w:val="single" w:sz="8" w:space="0" w:color="152935"/>
              <w:left w:val="nil"/>
              <w:bottom w:val="nil"/>
              <w:right w:val="nil"/>
            </w:tcBorders>
            <w:shd w:val="clear" w:color="auto" w:fill="E0E0E0"/>
          </w:tcPr>
          <w:p w14:paraId="5BC809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nil"/>
              <w:right w:val="nil"/>
            </w:tcBorders>
            <w:shd w:val="clear" w:color="auto" w:fill="E0E0E0"/>
          </w:tcPr>
          <w:p w14:paraId="240EB3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720" w:type="dxa"/>
            <w:tcBorders>
              <w:top w:val="single" w:sz="8" w:space="0" w:color="AEAEAE"/>
              <w:left w:val="nil"/>
              <w:bottom w:val="nil"/>
              <w:right w:val="single" w:sz="8" w:space="0" w:color="E0E0E0"/>
            </w:tcBorders>
            <w:shd w:val="clear" w:color="auto" w:fill="FFFFFF"/>
          </w:tcPr>
          <w:p w14:paraId="630EAE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13.385</w:t>
            </w:r>
          </w:p>
        </w:tc>
        <w:tc>
          <w:tcPr>
            <w:tcW w:w="810" w:type="dxa"/>
            <w:tcBorders>
              <w:top w:val="single" w:sz="8" w:space="0" w:color="AEAEAE"/>
              <w:left w:val="single" w:sz="8" w:space="0" w:color="E0E0E0"/>
              <w:bottom w:val="nil"/>
              <w:right w:val="single" w:sz="8" w:space="0" w:color="E0E0E0"/>
            </w:tcBorders>
            <w:shd w:val="clear" w:color="auto" w:fill="FFFFFF"/>
          </w:tcPr>
          <w:p w14:paraId="4559F9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906.862</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nil"/>
              <w:right w:val="single" w:sz="8" w:space="0" w:color="E0E0E0"/>
            </w:tcBorders>
            <w:shd w:val="clear" w:color="auto" w:fill="FFFFFF"/>
          </w:tcPr>
          <w:p w14:paraId="27C7007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nil"/>
              <w:right w:val="single" w:sz="8" w:space="0" w:color="E0E0E0"/>
            </w:tcBorders>
            <w:shd w:val="clear" w:color="auto" w:fill="FFFFFF"/>
          </w:tcPr>
          <w:p w14:paraId="186AC8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nil"/>
              <w:right w:val="single" w:sz="8" w:space="0" w:color="E0E0E0"/>
            </w:tcBorders>
            <w:shd w:val="clear" w:color="auto" w:fill="FFFFFF"/>
          </w:tcPr>
          <w:p w14:paraId="538972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43" w:type="dxa"/>
            <w:tcBorders>
              <w:top w:val="single" w:sz="8" w:space="0" w:color="AEAEAE"/>
              <w:left w:val="single" w:sz="8" w:space="0" w:color="E0E0E0"/>
              <w:bottom w:val="nil"/>
              <w:right w:val="nil"/>
            </w:tcBorders>
            <w:shd w:val="clear" w:color="auto" w:fill="FFFFFF"/>
          </w:tcPr>
          <w:p w14:paraId="5AF06D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.930</w:t>
            </w:r>
          </w:p>
        </w:tc>
      </w:tr>
      <w:tr w:rsidR="00C7217E" w:rsidRPr="00530906" w14:paraId="5C04A332" w14:textId="77777777" w:rsidTr="00C7217E">
        <w:trPr>
          <w:cantSplit/>
        </w:trPr>
        <w:tc>
          <w:tcPr>
            <w:tcW w:w="1980" w:type="dxa"/>
            <w:vMerge w:val="restart"/>
            <w:tcBorders>
              <w:top w:val="single" w:sz="8" w:space="0" w:color="AEAEAE"/>
              <w:left w:val="nil"/>
              <w:bottom w:val="nil"/>
              <w:right w:val="nil"/>
            </w:tcBorders>
            <w:shd w:val="clear" w:color="auto" w:fill="E0E0E0"/>
          </w:tcPr>
          <w:p w14:paraId="475F4C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620" w:type="dxa"/>
            <w:tcBorders>
              <w:top w:val="single" w:sz="8" w:space="0" w:color="AEAEAE"/>
              <w:left w:val="nil"/>
              <w:bottom w:val="single" w:sz="8" w:space="0" w:color="AEAEAE"/>
              <w:right w:val="nil"/>
            </w:tcBorders>
            <w:shd w:val="clear" w:color="auto" w:fill="E0E0E0"/>
          </w:tcPr>
          <w:p w14:paraId="2DF853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720" w:type="dxa"/>
            <w:tcBorders>
              <w:top w:val="single" w:sz="8" w:space="0" w:color="AEAEAE"/>
              <w:left w:val="nil"/>
              <w:bottom w:val="single" w:sz="8" w:space="0" w:color="AEAEAE"/>
              <w:right w:val="single" w:sz="8" w:space="0" w:color="E0E0E0"/>
            </w:tcBorders>
            <w:shd w:val="clear" w:color="auto" w:fill="FFFFFF"/>
          </w:tcPr>
          <w:p w14:paraId="2AB484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.039</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A4125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2.755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0493C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4A6BF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C03FC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.028</w:t>
            </w:r>
          </w:p>
        </w:tc>
        <w:tc>
          <w:tcPr>
            <w:tcW w:w="1543" w:type="dxa"/>
            <w:tcBorders>
              <w:top w:val="single" w:sz="8" w:space="0" w:color="AEAEAE"/>
              <w:left w:val="single" w:sz="8" w:space="0" w:color="E0E0E0"/>
              <w:bottom w:val="single" w:sz="8" w:space="0" w:color="AEAEAE"/>
              <w:right w:val="nil"/>
            </w:tcBorders>
            <w:shd w:val="clear" w:color="auto" w:fill="FFFFFF"/>
          </w:tcPr>
          <w:p w14:paraId="7FF102C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.039</w:t>
            </w:r>
          </w:p>
        </w:tc>
      </w:tr>
      <w:tr w:rsidR="00C7217E" w:rsidRPr="00530906" w14:paraId="21582656" w14:textId="77777777" w:rsidTr="00C7217E">
        <w:trPr>
          <w:cantSplit/>
        </w:trPr>
        <w:tc>
          <w:tcPr>
            <w:tcW w:w="1980" w:type="dxa"/>
            <w:vMerge/>
            <w:tcBorders>
              <w:top w:val="single" w:sz="8" w:space="0" w:color="AEAEAE"/>
              <w:left w:val="nil"/>
              <w:bottom w:val="nil"/>
              <w:right w:val="nil"/>
            </w:tcBorders>
            <w:shd w:val="clear" w:color="auto" w:fill="E0E0E0"/>
          </w:tcPr>
          <w:p w14:paraId="38F5AE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443EB43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720" w:type="dxa"/>
            <w:tcBorders>
              <w:top w:val="single" w:sz="8" w:space="0" w:color="AEAEAE"/>
              <w:left w:val="nil"/>
              <w:bottom w:val="single" w:sz="8" w:space="0" w:color="AEAEAE"/>
              <w:right w:val="single" w:sz="8" w:space="0" w:color="E0E0E0"/>
            </w:tcBorders>
            <w:shd w:val="clear" w:color="auto" w:fill="FFFFFF"/>
          </w:tcPr>
          <w:p w14:paraId="3493F34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AE9A4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2.755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05C29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AC2E5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1E210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.028</w:t>
            </w:r>
          </w:p>
        </w:tc>
        <w:tc>
          <w:tcPr>
            <w:tcW w:w="1543" w:type="dxa"/>
            <w:tcBorders>
              <w:top w:val="single" w:sz="8" w:space="0" w:color="AEAEAE"/>
              <w:left w:val="single" w:sz="8" w:space="0" w:color="E0E0E0"/>
              <w:bottom w:val="single" w:sz="8" w:space="0" w:color="AEAEAE"/>
              <w:right w:val="nil"/>
            </w:tcBorders>
            <w:shd w:val="clear" w:color="auto" w:fill="FFFFFF"/>
          </w:tcPr>
          <w:p w14:paraId="48AC9E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.039</w:t>
            </w:r>
          </w:p>
        </w:tc>
      </w:tr>
      <w:tr w:rsidR="00C7217E" w:rsidRPr="00530906" w14:paraId="1DA45CE7" w14:textId="77777777" w:rsidTr="00C7217E">
        <w:trPr>
          <w:cantSplit/>
        </w:trPr>
        <w:tc>
          <w:tcPr>
            <w:tcW w:w="1980" w:type="dxa"/>
            <w:vMerge/>
            <w:tcBorders>
              <w:top w:val="single" w:sz="8" w:space="0" w:color="AEAEAE"/>
              <w:left w:val="nil"/>
              <w:bottom w:val="nil"/>
              <w:right w:val="nil"/>
            </w:tcBorders>
            <w:shd w:val="clear" w:color="auto" w:fill="E0E0E0"/>
          </w:tcPr>
          <w:p w14:paraId="4DC369B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5CBC4F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720" w:type="dxa"/>
            <w:tcBorders>
              <w:top w:val="single" w:sz="8" w:space="0" w:color="AEAEAE"/>
              <w:left w:val="nil"/>
              <w:bottom w:val="single" w:sz="8" w:space="0" w:color="AEAEAE"/>
              <w:right w:val="single" w:sz="8" w:space="0" w:color="E0E0E0"/>
            </w:tcBorders>
            <w:shd w:val="clear" w:color="auto" w:fill="FFFFFF"/>
          </w:tcPr>
          <w:p w14:paraId="3F5030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024EF0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2.755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977EE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90AD6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FC3BF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.028</w:t>
            </w:r>
          </w:p>
        </w:tc>
        <w:tc>
          <w:tcPr>
            <w:tcW w:w="1543" w:type="dxa"/>
            <w:tcBorders>
              <w:top w:val="single" w:sz="8" w:space="0" w:color="AEAEAE"/>
              <w:left w:val="single" w:sz="8" w:space="0" w:color="E0E0E0"/>
              <w:bottom w:val="single" w:sz="8" w:space="0" w:color="AEAEAE"/>
              <w:right w:val="nil"/>
            </w:tcBorders>
            <w:shd w:val="clear" w:color="auto" w:fill="FFFFFF"/>
          </w:tcPr>
          <w:p w14:paraId="0398F2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.039</w:t>
            </w:r>
          </w:p>
        </w:tc>
      </w:tr>
      <w:tr w:rsidR="00C7217E" w:rsidRPr="00530906" w14:paraId="0EDFBB75" w14:textId="77777777" w:rsidTr="00C7217E">
        <w:trPr>
          <w:cantSplit/>
        </w:trPr>
        <w:tc>
          <w:tcPr>
            <w:tcW w:w="1980" w:type="dxa"/>
            <w:vMerge/>
            <w:tcBorders>
              <w:top w:val="single" w:sz="8" w:space="0" w:color="AEAEAE"/>
              <w:left w:val="nil"/>
              <w:bottom w:val="nil"/>
              <w:right w:val="nil"/>
            </w:tcBorders>
            <w:shd w:val="clear" w:color="auto" w:fill="E0E0E0"/>
          </w:tcPr>
          <w:p w14:paraId="458CDE8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nil"/>
              <w:right w:val="nil"/>
            </w:tcBorders>
            <w:shd w:val="clear" w:color="auto" w:fill="E0E0E0"/>
          </w:tcPr>
          <w:p w14:paraId="4841243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720" w:type="dxa"/>
            <w:tcBorders>
              <w:top w:val="single" w:sz="8" w:space="0" w:color="AEAEAE"/>
              <w:left w:val="nil"/>
              <w:bottom w:val="nil"/>
              <w:right w:val="single" w:sz="8" w:space="0" w:color="E0E0E0"/>
            </w:tcBorders>
            <w:shd w:val="clear" w:color="auto" w:fill="FFFFFF"/>
          </w:tcPr>
          <w:p w14:paraId="0616A5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.041</w:t>
            </w:r>
          </w:p>
        </w:tc>
        <w:tc>
          <w:tcPr>
            <w:tcW w:w="810" w:type="dxa"/>
            <w:tcBorders>
              <w:top w:val="single" w:sz="8" w:space="0" w:color="AEAEAE"/>
              <w:left w:val="single" w:sz="8" w:space="0" w:color="E0E0E0"/>
              <w:bottom w:val="nil"/>
              <w:right w:val="single" w:sz="8" w:space="0" w:color="E0E0E0"/>
            </w:tcBorders>
            <w:shd w:val="clear" w:color="auto" w:fill="FFFFFF"/>
          </w:tcPr>
          <w:p w14:paraId="2DE550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2.755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nil"/>
              <w:right w:val="single" w:sz="8" w:space="0" w:color="E0E0E0"/>
            </w:tcBorders>
            <w:shd w:val="clear" w:color="auto" w:fill="FFFFFF"/>
          </w:tcPr>
          <w:p w14:paraId="51426A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nil"/>
              <w:right w:val="single" w:sz="8" w:space="0" w:color="E0E0E0"/>
            </w:tcBorders>
            <w:shd w:val="clear" w:color="auto" w:fill="FFFFFF"/>
          </w:tcPr>
          <w:p w14:paraId="7BF2FC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nil"/>
              <w:right w:val="single" w:sz="8" w:space="0" w:color="E0E0E0"/>
            </w:tcBorders>
            <w:shd w:val="clear" w:color="auto" w:fill="FFFFFF"/>
          </w:tcPr>
          <w:p w14:paraId="33C05B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.028</w:t>
            </w:r>
          </w:p>
        </w:tc>
        <w:tc>
          <w:tcPr>
            <w:tcW w:w="1543" w:type="dxa"/>
            <w:tcBorders>
              <w:top w:val="single" w:sz="8" w:space="0" w:color="AEAEAE"/>
              <w:left w:val="single" w:sz="8" w:space="0" w:color="E0E0E0"/>
              <w:bottom w:val="nil"/>
              <w:right w:val="nil"/>
            </w:tcBorders>
            <w:shd w:val="clear" w:color="auto" w:fill="FFFFFF"/>
          </w:tcPr>
          <w:p w14:paraId="757E71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.039</w:t>
            </w:r>
          </w:p>
        </w:tc>
      </w:tr>
      <w:tr w:rsidR="00C7217E" w:rsidRPr="00530906" w14:paraId="6E06750B" w14:textId="77777777" w:rsidTr="00C7217E">
        <w:trPr>
          <w:cantSplit/>
        </w:trPr>
        <w:tc>
          <w:tcPr>
            <w:tcW w:w="1980" w:type="dxa"/>
            <w:vMerge w:val="restart"/>
            <w:tcBorders>
              <w:top w:val="single" w:sz="8" w:space="0" w:color="AEAEAE"/>
              <w:left w:val="nil"/>
              <w:bottom w:val="nil"/>
              <w:right w:val="nil"/>
            </w:tcBorders>
            <w:shd w:val="clear" w:color="auto" w:fill="E0E0E0"/>
          </w:tcPr>
          <w:p w14:paraId="38273B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Expert_cat</w:t>
            </w:r>
          </w:p>
        </w:tc>
        <w:tc>
          <w:tcPr>
            <w:tcW w:w="1620" w:type="dxa"/>
            <w:tcBorders>
              <w:top w:val="single" w:sz="8" w:space="0" w:color="AEAEAE"/>
              <w:left w:val="nil"/>
              <w:bottom w:val="single" w:sz="8" w:space="0" w:color="AEAEAE"/>
              <w:right w:val="nil"/>
            </w:tcBorders>
            <w:shd w:val="clear" w:color="auto" w:fill="E0E0E0"/>
          </w:tcPr>
          <w:p w14:paraId="541594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720" w:type="dxa"/>
            <w:tcBorders>
              <w:top w:val="single" w:sz="8" w:space="0" w:color="AEAEAE"/>
              <w:left w:val="nil"/>
              <w:bottom w:val="single" w:sz="8" w:space="0" w:color="AEAEAE"/>
              <w:right w:val="single" w:sz="8" w:space="0" w:color="E0E0E0"/>
            </w:tcBorders>
            <w:shd w:val="clear" w:color="auto" w:fill="FFFFFF"/>
          </w:tcPr>
          <w:p w14:paraId="5AFEF3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01C9D6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72F1A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511872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C7B63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.450</w:t>
            </w:r>
          </w:p>
        </w:tc>
        <w:tc>
          <w:tcPr>
            <w:tcW w:w="1543" w:type="dxa"/>
            <w:tcBorders>
              <w:top w:val="single" w:sz="8" w:space="0" w:color="AEAEAE"/>
              <w:left w:val="single" w:sz="8" w:space="0" w:color="E0E0E0"/>
              <w:bottom w:val="single" w:sz="8" w:space="0" w:color="AEAEAE"/>
              <w:right w:val="nil"/>
            </w:tcBorders>
            <w:shd w:val="clear" w:color="auto" w:fill="FFFFFF"/>
          </w:tcPr>
          <w:p w14:paraId="149688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.013</w:t>
            </w:r>
          </w:p>
        </w:tc>
      </w:tr>
      <w:tr w:rsidR="00C7217E" w:rsidRPr="00530906" w14:paraId="1AB25006" w14:textId="77777777" w:rsidTr="00C7217E">
        <w:trPr>
          <w:cantSplit/>
        </w:trPr>
        <w:tc>
          <w:tcPr>
            <w:tcW w:w="1980" w:type="dxa"/>
            <w:vMerge/>
            <w:tcBorders>
              <w:top w:val="single" w:sz="8" w:space="0" w:color="AEAEAE"/>
              <w:left w:val="nil"/>
              <w:bottom w:val="nil"/>
              <w:right w:val="nil"/>
            </w:tcBorders>
            <w:shd w:val="clear" w:color="auto" w:fill="E0E0E0"/>
          </w:tcPr>
          <w:p w14:paraId="08C50E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0ABD8C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720" w:type="dxa"/>
            <w:tcBorders>
              <w:top w:val="single" w:sz="8" w:space="0" w:color="AEAEAE"/>
              <w:left w:val="nil"/>
              <w:bottom w:val="single" w:sz="8" w:space="0" w:color="AEAEAE"/>
              <w:right w:val="single" w:sz="8" w:space="0" w:color="E0E0E0"/>
            </w:tcBorders>
            <w:shd w:val="clear" w:color="auto" w:fill="FFFFFF"/>
          </w:tcPr>
          <w:p w14:paraId="24C2B3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.987</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C659D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6227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D8A3F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BBFDB8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.450</w:t>
            </w:r>
          </w:p>
        </w:tc>
        <w:tc>
          <w:tcPr>
            <w:tcW w:w="1543" w:type="dxa"/>
            <w:tcBorders>
              <w:top w:val="single" w:sz="8" w:space="0" w:color="AEAEAE"/>
              <w:left w:val="single" w:sz="8" w:space="0" w:color="E0E0E0"/>
              <w:bottom w:val="single" w:sz="8" w:space="0" w:color="AEAEAE"/>
              <w:right w:val="nil"/>
            </w:tcBorders>
            <w:shd w:val="clear" w:color="auto" w:fill="FFFFFF"/>
          </w:tcPr>
          <w:p w14:paraId="3A5645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.013</w:t>
            </w:r>
          </w:p>
        </w:tc>
      </w:tr>
      <w:tr w:rsidR="00C7217E" w:rsidRPr="00530906" w14:paraId="38D06E40" w14:textId="77777777" w:rsidTr="00C7217E">
        <w:trPr>
          <w:cantSplit/>
        </w:trPr>
        <w:tc>
          <w:tcPr>
            <w:tcW w:w="1980" w:type="dxa"/>
            <w:vMerge/>
            <w:tcBorders>
              <w:top w:val="single" w:sz="8" w:space="0" w:color="AEAEAE"/>
              <w:left w:val="nil"/>
              <w:bottom w:val="nil"/>
              <w:right w:val="nil"/>
            </w:tcBorders>
            <w:shd w:val="clear" w:color="auto" w:fill="E0E0E0"/>
          </w:tcPr>
          <w:p w14:paraId="45B4BF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4221DE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720" w:type="dxa"/>
            <w:tcBorders>
              <w:top w:val="single" w:sz="8" w:space="0" w:color="AEAEAE"/>
              <w:left w:val="nil"/>
              <w:bottom w:val="single" w:sz="8" w:space="0" w:color="AEAEAE"/>
              <w:right w:val="single" w:sz="8" w:space="0" w:color="E0E0E0"/>
            </w:tcBorders>
            <w:shd w:val="clear" w:color="auto" w:fill="FFFFFF"/>
          </w:tcPr>
          <w:p w14:paraId="285127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C76F6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AEA393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6A273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12E86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.450</w:t>
            </w:r>
          </w:p>
        </w:tc>
        <w:tc>
          <w:tcPr>
            <w:tcW w:w="1543" w:type="dxa"/>
            <w:tcBorders>
              <w:top w:val="single" w:sz="8" w:space="0" w:color="AEAEAE"/>
              <w:left w:val="single" w:sz="8" w:space="0" w:color="E0E0E0"/>
              <w:bottom w:val="single" w:sz="8" w:space="0" w:color="AEAEAE"/>
              <w:right w:val="nil"/>
            </w:tcBorders>
            <w:shd w:val="clear" w:color="auto" w:fill="FFFFFF"/>
          </w:tcPr>
          <w:p w14:paraId="60EE80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.013</w:t>
            </w:r>
          </w:p>
        </w:tc>
      </w:tr>
      <w:tr w:rsidR="00C7217E" w:rsidRPr="00530906" w14:paraId="2DD02159" w14:textId="77777777" w:rsidTr="00C7217E">
        <w:trPr>
          <w:cantSplit/>
        </w:trPr>
        <w:tc>
          <w:tcPr>
            <w:tcW w:w="1980" w:type="dxa"/>
            <w:vMerge/>
            <w:tcBorders>
              <w:top w:val="single" w:sz="8" w:space="0" w:color="AEAEAE"/>
              <w:left w:val="nil"/>
              <w:bottom w:val="nil"/>
              <w:right w:val="nil"/>
            </w:tcBorders>
            <w:shd w:val="clear" w:color="auto" w:fill="E0E0E0"/>
          </w:tcPr>
          <w:p w14:paraId="2F225A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nil"/>
              <w:right w:val="nil"/>
            </w:tcBorders>
            <w:shd w:val="clear" w:color="auto" w:fill="E0E0E0"/>
          </w:tcPr>
          <w:p w14:paraId="53E585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720" w:type="dxa"/>
            <w:tcBorders>
              <w:top w:val="single" w:sz="8" w:space="0" w:color="AEAEAE"/>
              <w:left w:val="nil"/>
              <w:bottom w:val="nil"/>
              <w:right w:val="single" w:sz="8" w:space="0" w:color="E0E0E0"/>
            </w:tcBorders>
            <w:shd w:val="clear" w:color="auto" w:fill="FFFFFF"/>
          </w:tcPr>
          <w:p w14:paraId="27407F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.014</w:t>
            </w:r>
          </w:p>
        </w:tc>
        <w:tc>
          <w:tcPr>
            <w:tcW w:w="810" w:type="dxa"/>
            <w:tcBorders>
              <w:top w:val="single" w:sz="8" w:space="0" w:color="AEAEAE"/>
              <w:left w:val="single" w:sz="8" w:space="0" w:color="E0E0E0"/>
              <w:bottom w:val="nil"/>
              <w:right w:val="single" w:sz="8" w:space="0" w:color="E0E0E0"/>
            </w:tcBorders>
            <w:shd w:val="clear" w:color="auto" w:fill="FFFFFF"/>
          </w:tcPr>
          <w:p w14:paraId="7079B3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.925</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nil"/>
              <w:right w:val="single" w:sz="8" w:space="0" w:color="E0E0E0"/>
            </w:tcBorders>
            <w:shd w:val="clear" w:color="auto" w:fill="FFFFFF"/>
          </w:tcPr>
          <w:p w14:paraId="07F257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nil"/>
              <w:right w:val="single" w:sz="8" w:space="0" w:color="E0E0E0"/>
            </w:tcBorders>
            <w:shd w:val="clear" w:color="auto" w:fill="FFFFFF"/>
          </w:tcPr>
          <w:p w14:paraId="770ACF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nil"/>
              <w:right w:val="single" w:sz="8" w:space="0" w:color="E0E0E0"/>
            </w:tcBorders>
            <w:shd w:val="clear" w:color="auto" w:fill="FFFFFF"/>
          </w:tcPr>
          <w:p w14:paraId="74CD0E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.450</w:t>
            </w:r>
          </w:p>
        </w:tc>
        <w:tc>
          <w:tcPr>
            <w:tcW w:w="1543" w:type="dxa"/>
            <w:tcBorders>
              <w:top w:val="single" w:sz="8" w:space="0" w:color="AEAEAE"/>
              <w:left w:val="single" w:sz="8" w:space="0" w:color="E0E0E0"/>
              <w:bottom w:val="nil"/>
              <w:right w:val="nil"/>
            </w:tcBorders>
            <w:shd w:val="clear" w:color="auto" w:fill="FFFFFF"/>
          </w:tcPr>
          <w:p w14:paraId="79B19C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.013</w:t>
            </w:r>
          </w:p>
        </w:tc>
      </w:tr>
      <w:tr w:rsidR="00C7217E" w:rsidRPr="00530906" w14:paraId="6F85A8EF" w14:textId="77777777" w:rsidTr="00C7217E">
        <w:trPr>
          <w:cantSplit/>
        </w:trPr>
        <w:tc>
          <w:tcPr>
            <w:tcW w:w="1980" w:type="dxa"/>
            <w:vMerge w:val="restart"/>
            <w:tcBorders>
              <w:top w:val="single" w:sz="8" w:space="0" w:color="AEAEAE"/>
              <w:left w:val="nil"/>
              <w:bottom w:val="single" w:sz="8" w:space="0" w:color="152935"/>
              <w:right w:val="nil"/>
            </w:tcBorders>
            <w:shd w:val="clear" w:color="auto" w:fill="E0E0E0"/>
          </w:tcPr>
          <w:p w14:paraId="249C0F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 * Expert_cat</w:t>
            </w:r>
          </w:p>
        </w:tc>
        <w:tc>
          <w:tcPr>
            <w:tcW w:w="1620" w:type="dxa"/>
            <w:tcBorders>
              <w:top w:val="single" w:sz="8" w:space="0" w:color="AEAEAE"/>
              <w:left w:val="nil"/>
              <w:bottom w:val="single" w:sz="8" w:space="0" w:color="AEAEAE"/>
              <w:right w:val="nil"/>
            </w:tcBorders>
            <w:shd w:val="clear" w:color="auto" w:fill="E0E0E0"/>
          </w:tcPr>
          <w:p w14:paraId="120B75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Pillai's Trace</w:t>
            </w:r>
          </w:p>
        </w:tc>
        <w:tc>
          <w:tcPr>
            <w:tcW w:w="720" w:type="dxa"/>
            <w:tcBorders>
              <w:top w:val="single" w:sz="8" w:space="0" w:color="AEAEAE"/>
              <w:left w:val="nil"/>
              <w:bottom w:val="single" w:sz="8" w:space="0" w:color="AEAEAE"/>
              <w:right w:val="single" w:sz="8" w:space="0" w:color="E0E0E0"/>
            </w:tcBorders>
            <w:shd w:val="clear" w:color="auto" w:fill="FFFFFF"/>
          </w:tcPr>
          <w:p w14:paraId="5CB5B3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.019</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1BC6D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1.343</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4B4BD7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4D697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789F4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w:t>
            </w:r>
          </w:p>
        </w:tc>
        <w:tc>
          <w:tcPr>
            <w:tcW w:w="1543" w:type="dxa"/>
            <w:tcBorders>
              <w:top w:val="single" w:sz="8" w:space="0" w:color="AEAEAE"/>
              <w:left w:val="single" w:sz="8" w:space="0" w:color="E0E0E0"/>
              <w:bottom w:val="single" w:sz="8" w:space="0" w:color="AEAEAE"/>
              <w:right w:val="nil"/>
            </w:tcBorders>
            <w:shd w:val="clear" w:color="auto" w:fill="FFFFFF"/>
          </w:tcPr>
          <w:p w14:paraId="1276B8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.019</w:t>
            </w:r>
          </w:p>
        </w:tc>
      </w:tr>
      <w:tr w:rsidR="00C7217E" w:rsidRPr="00530906" w14:paraId="1C8BF35F" w14:textId="77777777" w:rsidTr="00C7217E">
        <w:trPr>
          <w:cantSplit/>
        </w:trPr>
        <w:tc>
          <w:tcPr>
            <w:tcW w:w="1980" w:type="dxa"/>
            <w:vMerge/>
            <w:tcBorders>
              <w:top w:val="single" w:sz="8" w:space="0" w:color="AEAEAE"/>
              <w:left w:val="nil"/>
              <w:bottom w:val="single" w:sz="8" w:space="0" w:color="152935"/>
              <w:right w:val="nil"/>
            </w:tcBorders>
            <w:shd w:val="clear" w:color="auto" w:fill="E0E0E0"/>
          </w:tcPr>
          <w:p w14:paraId="75AED74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4F8696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Wilks' Lambda</w:t>
            </w:r>
          </w:p>
        </w:tc>
        <w:tc>
          <w:tcPr>
            <w:tcW w:w="720" w:type="dxa"/>
            <w:tcBorders>
              <w:top w:val="single" w:sz="8" w:space="0" w:color="AEAEAE"/>
              <w:left w:val="nil"/>
              <w:bottom w:val="single" w:sz="8" w:space="0" w:color="AEAEAE"/>
              <w:right w:val="single" w:sz="8" w:space="0" w:color="E0E0E0"/>
            </w:tcBorders>
            <w:shd w:val="clear" w:color="auto" w:fill="FFFFFF"/>
          </w:tcPr>
          <w:p w14:paraId="793C9A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.981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5119B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1.343</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F985E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38011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32F518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w:t>
            </w:r>
          </w:p>
        </w:tc>
        <w:tc>
          <w:tcPr>
            <w:tcW w:w="1543" w:type="dxa"/>
            <w:tcBorders>
              <w:top w:val="single" w:sz="8" w:space="0" w:color="AEAEAE"/>
              <w:left w:val="single" w:sz="8" w:space="0" w:color="E0E0E0"/>
              <w:bottom w:val="single" w:sz="8" w:space="0" w:color="AEAEAE"/>
              <w:right w:val="nil"/>
            </w:tcBorders>
            <w:shd w:val="clear" w:color="auto" w:fill="FFFFFF"/>
          </w:tcPr>
          <w:p w14:paraId="29577E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.019</w:t>
            </w:r>
          </w:p>
        </w:tc>
      </w:tr>
      <w:tr w:rsidR="00C7217E" w:rsidRPr="00530906" w14:paraId="3EC65B4B" w14:textId="77777777" w:rsidTr="00C7217E">
        <w:trPr>
          <w:cantSplit/>
        </w:trPr>
        <w:tc>
          <w:tcPr>
            <w:tcW w:w="1980" w:type="dxa"/>
            <w:vMerge/>
            <w:tcBorders>
              <w:top w:val="single" w:sz="8" w:space="0" w:color="AEAEAE"/>
              <w:left w:val="nil"/>
              <w:bottom w:val="single" w:sz="8" w:space="0" w:color="152935"/>
              <w:right w:val="nil"/>
            </w:tcBorders>
            <w:shd w:val="clear" w:color="auto" w:fill="E0E0E0"/>
          </w:tcPr>
          <w:p w14:paraId="400448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AEAEAE"/>
              <w:right w:val="nil"/>
            </w:tcBorders>
            <w:shd w:val="clear" w:color="auto" w:fill="E0E0E0"/>
          </w:tcPr>
          <w:p w14:paraId="7F6D5A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Hotelling's Trace</w:t>
            </w:r>
          </w:p>
        </w:tc>
        <w:tc>
          <w:tcPr>
            <w:tcW w:w="720" w:type="dxa"/>
            <w:tcBorders>
              <w:top w:val="single" w:sz="8" w:space="0" w:color="AEAEAE"/>
              <w:left w:val="nil"/>
              <w:bottom w:val="single" w:sz="8" w:space="0" w:color="AEAEAE"/>
              <w:right w:val="single" w:sz="8" w:space="0" w:color="E0E0E0"/>
            </w:tcBorders>
            <w:shd w:val="clear" w:color="auto" w:fill="FFFFFF"/>
          </w:tcPr>
          <w:p w14:paraId="213C5E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23FDD7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1.343</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2E0F7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E131F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EBA5BD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w:t>
            </w:r>
          </w:p>
        </w:tc>
        <w:tc>
          <w:tcPr>
            <w:tcW w:w="1543" w:type="dxa"/>
            <w:tcBorders>
              <w:top w:val="single" w:sz="8" w:space="0" w:color="AEAEAE"/>
              <w:left w:val="single" w:sz="8" w:space="0" w:color="E0E0E0"/>
              <w:bottom w:val="single" w:sz="8" w:space="0" w:color="AEAEAE"/>
              <w:right w:val="nil"/>
            </w:tcBorders>
            <w:shd w:val="clear" w:color="auto" w:fill="FFFFFF"/>
          </w:tcPr>
          <w:p w14:paraId="7E6333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.019</w:t>
            </w:r>
          </w:p>
        </w:tc>
      </w:tr>
      <w:tr w:rsidR="00C7217E" w:rsidRPr="00530906" w14:paraId="4DCB60C4" w14:textId="77777777" w:rsidTr="00C7217E">
        <w:trPr>
          <w:cantSplit/>
        </w:trPr>
        <w:tc>
          <w:tcPr>
            <w:tcW w:w="1980" w:type="dxa"/>
            <w:vMerge/>
            <w:tcBorders>
              <w:top w:val="single" w:sz="8" w:space="0" w:color="AEAEAE"/>
              <w:left w:val="nil"/>
              <w:bottom w:val="single" w:sz="8" w:space="0" w:color="152935"/>
              <w:right w:val="nil"/>
            </w:tcBorders>
            <w:shd w:val="clear" w:color="auto" w:fill="E0E0E0"/>
          </w:tcPr>
          <w:p w14:paraId="5AA92B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620" w:type="dxa"/>
            <w:tcBorders>
              <w:top w:val="single" w:sz="8" w:space="0" w:color="AEAEAE"/>
              <w:left w:val="nil"/>
              <w:bottom w:val="single" w:sz="8" w:space="0" w:color="152935"/>
              <w:right w:val="nil"/>
            </w:tcBorders>
            <w:shd w:val="clear" w:color="auto" w:fill="E0E0E0"/>
          </w:tcPr>
          <w:p w14:paraId="270161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Roy's Largest Root</w:t>
            </w:r>
          </w:p>
        </w:tc>
        <w:tc>
          <w:tcPr>
            <w:tcW w:w="720" w:type="dxa"/>
            <w:tcBorders>
              <w:top w:val="single" w:sz="8" w:space="0" w:color="AEAEAE"/>
              <w:left w:val="nil"/>
              <w:bottom w:val="single" w:sz="8" w:space="0" w:color="152935"/>
              <w:right w:val="single" w:sz="8" w:space="0" w:color="E0E0E0"/>
            </w:tcBorders>
            <w:shd w:val="clear" w:color="auto" w:fill="FFFFFF"/>
          </w:tcPr>
          <w:p w14:paraId="7B1321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.020</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2805F9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1.343</w:t>
            </w:r>
            <w:r w:rsidRPr="00530906">
              <w:rPr>
                <w:rFonts w:ascii="Cambria" w:eastAsia="Times New Roman" w:hAnsi="Cambria" w:cs="Times New Roman"/>
                <w:color w:val="000000"/>
                <w:sz w:val="18"/>
                <w:szCs w:val="18"/>
                <w:vertAlign w:val="superscript"/>
                <w:lang w:val="en-US"/>
              </w:rPr>
              <w:t>b</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083F30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4.000</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7B3C3C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271.000</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50E0AC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w:t>
            </w:r>
          </w:p>
        </w:tc>
        <w:tc>
          <w:tcPr>
            <w:tcW w:w="1543" w:type="dxa"/>
            <w:tcBorders>
              <w:top w:val="single" w:sz="8" w:space="0" w:color="AEAEAE"/>
              <w:left w:val="single" w:sz="8" w:space="0" w:color="E0E0E0"/>
              <w:bottom w:val="single" w:sz="8" w:space="0" w:color="152935"/>
              <w:right w:val="nil"/>
            </w:tcBorders>
            <w:shd w:val="clear" w:color="auto" w:fill="FFFFFF"/>
          </w:tcPr>
          <w:p w14:paraId="56386D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.019</w:t>
            </w:r>
          </w:p>
        </w:tc>
      </w:tr>
      <w:tr w:rsidR="00C7217E" w:rsidRPr="00530906" w14:paraId="18C58888" w14:textId="77777777" w:rsidTr="00C7217E">
        <w:trPr>
          <w:cantSplit/>
        </w:trPr>
        <w:tc>
          <w:tcPr>
            <w:tcW w:w="9013" w:type="dxa"/>
            <w:gridSpan w:val="8"/>
            <w:tcBorders>
              <w:top w:val="nil"/>
              <w:left w:val="nil"/>
              <w:bottom w:val="nil"/>
              <w:right w:val="nil"/>
            </w:tcBorders>
            <w:shd w:val="clear" w:color="auto" w:fill="FFFFFF"/>
          </w:tcPr>
          <w:p w14:paraId="0E4C1B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Design: Intercept + caption_cat + Expert_cat + caption_cat * Expert_cat</w:t>
            </w:r>
          </w:p>
        </w:tc>
      </w:tr>
      <w:tr w:rsidR="00C7217E" w:rsidRPr="00530906" w14:paraId="22D5574E" w14:textId="77777777" w:rsidTr="00C7217E">
        <w:trPr>
          <w:cantSplit/>
        </w:trPr>
        <w:tc>
          <w:tcPr>
            <w:tcW w:w="9013" w:type="dxa"/>
            <w:gridSpan w:val="8"/>
            <w:tcBorders>
              <w:top w:val="nil"/>
              <w:left w:val="nil"/>
              <w:bottom w:val="nil"/>
              <w:right w:val="nil"/>
            </w:tcBorders>
            <w:shd w:val="clear" w:color="auto" w:fill="FFFFFF"/>
          </w:tcPr>
          <w:p w14:paraId="6D13920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Exact statistic</w:t>
            </w:r>
          </w:p>
        </w:tc>
      </w:tr>
    </w:tbl>
    <w:p w14:paraId="6D83197C"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8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710"/>
        <w:gridCol w:w="1170"/>
        <w:gridCol w:w="450"/>
        <w:gridCol w:w="900"/>
        <w:gridCol w:w="720"/>
        <w:gridCol w:w="540"/>
        <w:gridCol w:w="1561"/>
      </w:tblGrid>
      <w:tr w:rsidR="00C7217E" w:rsidRPr="00530906" w14:paraId="0EE96F6A" w14:textId="77777777" w:rsidTr="00C7217E">
        <w:trPr>
          <w:cantSplit/>
        </w:trPr>
        <w:tc>
          <w:tcPr>
            <w:tcW w:w="8491" w:type="dxa"/>
            <w:gridSpan w:val="8"/>
            <w:tcBorders>
              <w:top w:val="nil"/>
              <w:left w:val="nil"/>
              <w:bottom w:val="nil"/>
              <w:right w:val="nil"/>
            </w:tcBorders>
            <w:shd w:val="clear" w:color="auto" w:fill="FFFFFF"/>
            <w:vAlign w:val="center"/>
          </w:tcPr>
          <w:p w14:paraId="5975953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Tests of Between–Subjects Effects</w:t>
            </w:r>
          </w:p>
        </w:tc>
      </w:tr>
      <w:tr w:rsidR="00C7217E" w:rsidRPr="00530906" w14:paraId="43250F13" w14:textId="77777777" w:rsidTr="00C7217E">
        <w:trPr>
          <w:cantSplit/>
        </w:trPr>
        <w:tc>
          <w:tcPr>
            <w:tcW w:w="1440" w:type="dxa"/>
            <w:tcBorders>
              <w:top w:val="nil"/>
              <w:left w:val="nil"/>
              <w:bottom w:val="single" w:sz="8" w:space="0" w:color="152935"/>
              <w:right w:val="nil"/>
            </w:tcBorders>
            <w:shd w:val="clear" w:color="auto" w:fill="FFFFFF"/>
            <w:vAlign w:val="bottom"/>
          </w:tcPr>
          <w:p w14:paraId="2C63FD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Source</w:t>
            </w:r>
          </w:p>
        </w:tc>
        <w:tc>
          <w:tcPr>
            <w:tcW w:w="1710" w:type="dxa"/>
            <w:tcBorders>
              <w:top w:val="nil"/>
              <w:left w:val="nil"/>
              <w:bottom w:val="single" w:sz="8" w:space="0" w:color="152935"/>
              <w:right w:val="nil"/>
            </w:tcBorders>
            <w:shd w:val="clear" w:color="auto" w:fill="FFFFFF"/>
            <w:vAlign w:val="bottom"/>
          </w:tcPr>
          <w:p w14:paraId="130459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Dependent Variable</w:t>
            </w:r>
          </w:p>
        </w:tc>
        <w:tc>
          <w:tcPr>
            <w:tcW w:w="1170" w:type="dxa"/>
            <w:tcBorders>
              <w:top w:val="nil"/>
              <w:left w:val="nil"/>
              <w:bottom w:val="single" w:sz="8" w:space="0" w:color="152935"/>
              <w:right w:val="single" w:sz="8" w:space="0" w:color="E0E0E0"/>
            </w:tcBorders>
            <w:shd w:val="clear" w:color="auto" w:fill="FFFFFF"/>
            <w:vAlign w:val="bottom"/>
          </w:tcPr>
          <w:p w14:paraId="28F046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Type III Sum of Squares</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24D3D0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6CEA42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721595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4117F3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561" w:type="dxa"/>
            <w:tcBorders>
              <w:top w:val="nil"/>
              <w:left w:val="single" w:sz="8" w:space="0" w:color="E0E0E0"/>
              <w:bottom w:val="single" w:sz="8" w:space="0" w:color="152935"/>
              <w:right w:val="nil"/>
            </w:tcBorders>
            <w:shd w:val="clear" w:color="auto" w:fill="FFFFFF"/>
            <w:vAlign w:val="bottom"/>
          </w:tcPr>
          <w:p w14:paraId="4EE1AF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 Eta Squared</w:t>
            </w:r>
          </w:p>
        </w:tc>
      </w:tr>
      <w:tr w:rsidR="00C7217E" w:rsidRPr="00530906" w14:paraId="3D1454CF" w14:textId="77777777" w:rsidTr="00C7217E">
        <w:trPr>
          <w:cantSplit/>
        </w:trPr>
        <w:tc>
          <w:tcPr>
            <w:tcW w:w="1440" w:type="dxa"/>
            <w:vMerge w:val="restart"/>
            <w:tcBorders>
              <w:top w:val="single" w:sz="8" w:space="0" w:color="152935"/>
              <w:left w:val="nil"/>
              <w:bottom w:val="nil"/>
              <w:right w:val="nil"/>
            </w:tcBorders>
            <w:shd w:val="clear" w:color="auto" w:fill="E0E0E0"/>
          </w:tcPr>
          <w:p w14:paraId="7FC018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Model</w:t>
            </w:r>
          </w:p>
        </w:tc>
        <w:tc>
          <w:tcPr>
            <w:tcW w:w="1710" w:type="dxa"/>
            <w:tcBorders>
              <w:top w:val="single" w:sz="8" w:space="0" w:color="152935"/>
              <w:left w:val="nil"/>
              <w:bottom w:val="single" w:sz="8" w:space="0" w:color="AEAEAE"/>
              <w:right w:val="nil"/>
            </w:tcBorders>
            <w:shd w:val="clear" w:color="auto" w:fill="E0E0E0"/>
          </w:tcPr>
          <w:p w14:paraId="077AD2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152935"/>
              <w:left w:val="nil"/>
              <w:bottom w:val="single" w:sz="8" w:space="0" w:color="AEAEAE"/>
              <w:right w:val="single" w:sz="8" w:space="0" w:color="E0E0E0"/>
            </w:tcBorders>
            <w:shd w:val="clear" w:color="auto" w:fill="FFFFFF"/>
          </w:tcPr>
          <w:p w14:paraId="0DE8A8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26.406</w:t>
            </w:r>
            <w:r w:rsidRPr="00530906">
              <w:rPr>
                <w:rFonts w:ascii="Cambria" w:eastAsia="Times New Roman" w:hAnsi="Cambria" w:cs="Times New Roman"/>
                <w:color w:val="000000"/>
                <w:sz w:val="18"/>
                <w:szCs w:val="18"/>
                <w:vertAlign w:val="superscript"/>
                <w:lang w:val="en-US"/>
              </w:rPr>
              <w:t>a</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319304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701B53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8.802</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63650E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4.026</w:t>
            </w: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36F4AB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.008</w:t>
            </w:r>
          </w:p>
        </w:tc>
        <w:tc>
          <w:tcPr>
            <w:tcW w:w="1561" w:type="dxa"/>
            <w:tcBorders>
              <w:top w:val="single" w:sz="8" w:space="0" w:color="152935"/>
              <w:left w:val="single" w:sz="8" w:space="0" w:color="E0E0E0"/>
              <w:bottom w:val="single" w:sz="8" w:space="0" w:color="AEAEAE"/>
              <w:right w:val="nil"/>
            </w:tcBorders>
            <w:shd w:val="clear" w:color="auto" w:fill="FFFFFF"/>
          </w:tcPr>
          <w:p w14:paraId="635E8B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.042</w:t>
            </w:r>
          </w:p>
        </w:tc>
      </w:tr>
      <w:tr w:rsidR="00C7217E" w:rsidRPr="00530906" w14:paraId="0FA8B7D2" w14:textId="77777777" w:rsidTr="00C7217E">
        <w:trPr>
          <w:cantSplit/>
        </w:trPr>
        <w:tc>
          <w:tcPr>
            <w:tcW w:w="1440" w:type="dxa"/>
            <w:vMerge/>
            <w:tcBorders>
              <w:top w:val="single" w:sz="8" w:space="0" w:color="152935"/>
              <w:left w:val="nil"/>
              <w:bottom w:val="nil"/>
              <w:right w:val="nil"/>
            </w:tcBorders>
            <w:shd w:val="clear" w:color="auto" w:fill="E0E0E0"/>
          </w:tcPr>
          <w:p w14:paraId="5006589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1E82BA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183132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2.560</w:t>
            </w:r>
            <w:r w:rsidRPr="00530906">
              <w:rPr>
                <w:rFonts w:ascii="Cambria" w:eastAsia="Times New Roman" w:hAnsi="Cambria" w:cs="Times New Roman"/>
                <w:color w:val="000000"/>
                <w:sz w:val="18"/>
                <w:szCs w:val="18"/>
                <w:vertAlign w:val="superscript"/>
                <w:lang w:val="en-US"/>
              </w:rPr>
              <w:t>b</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27B6E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44F3F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.853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F46A94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.594</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44D87E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.619</w:t>
            </w:r>
          </w:p>
        </w:tc>
        <w:tc>
          <w:tcPr>
            <w:tcW w:w="1561" w:type="dxa"/>
            <w:tcBorders>
              <w:top w:val="single" w:sz="8" w:space="0" w:color="AEAEAE"/>
              <w:left w:val="single" w:sz="8" w:space="0" w:color="E0E0E0"/>
              <w:bottom w:val="single" w:sz="8" w:space="0" w:color="AEAEAE"/>
              <w:right w:val="nil"/>
            </w:tcBorders>
            <w:shd w:val="clear" w:color="auto" w:fill="FFFFFF"/>
          </w:tcPr>
          <w:p w14:paraId="40837E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.006</w:t>
            </w:r>
          </w:p>
        </w:tc>
      </w:tr>
      <w:tr w:rsidR="00C7217E" w:rsidRPr="00530906" w14:paraId="1069CED9" w14:textId="77777777" w:rsidTr="00C7217E">
        <w:trPr>
          <w:cantSplit/>
        </w:trPr>
        <w:tc>
          <w:tcPr>
            <w:tcW w:w="1440" w:type="dxa"/>
            <w:vMerge/>
            <w:tcBorders>
              <w:top w:val="single" w:sz="8" w:space="0" w:color="152935"/>
              <w:left w:val="nil"/>
              <w:bottom w:val="nil"/>
              <w:right w:val="nil"/>
            </w:tcBorders>
            <w:shd w:val="clear" w:color="auto" w:fill="E0E0E0"/>
          </w:tcPr>
          <w:p w14:paraId="56A09A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6A5314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10365A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5.408</w:t>
            </w:r>
            <w:r w:rsidRPr="00530906">
              <w:rPr>
                <w:rFonts w:ascii="Cambria" w:eastAsia="Times New Roman" w:hAnsi="Cambria" w:cs="Times New Roman"/>
                <w:color w:val="000000"/>
                <w:sz w:val="18"/>
                <w:szCs w:val="18"/>
                <w:vertAlign w:val="superscript"/>
                <w:lang w:val="en-US"/>
              </w:rPr>
              <w:t>c</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0423C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80B58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6436B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.873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38B780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.456</w:t>
            </w:r>
          </w:p>
        </w:tc>
        <w:tc>
          <w:tcPr>
            <w:tcW w:w="1561" w:type="dxa"/>
            <w:tcBorders>
              <w:top w:val="single" w:sz="8" w:space="0" w:color="AEAEAE"/>
              <w:left w:val="single" w:sz="8" w:space="0" w:color="E0E0E0"/>
              <w:bottom w:val="single" w:sz="8" w:space="0" w:color="AEAEAE"/>
              <w:right w:val="nil"/>
            </w:tcBorders>
            <w:shd w:val="clear" w:color="auto" w:fill="FFFFFF"/>
          </w:tcPr>
          <w:p w14:paraId="388990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.009</w:t>
            </w:r>
          </w:p>
        </w:tc>
      </w:tr>
      <w:tr w:rsidR="00C7217E" w:rsidRPr="00530906" w14:paraId="1B1C11D7" w14:textId="77777777" w:rsidTr="00C7217E">
        <w:trPr>
          <w:cantSplit/>
        </w:trPr>
        <w:tc>
          <w:tcPr>
            <w:tcW w:w="1440" w:type="dxa"/>
            <w:vMerge/>
            <w:tcBorders>
              <w:top w:val="single" w:sz="8" w:space="0" w:color="152935"/>
              <w:left w:val="nil"/>
              <w:bottom w:val="nil"/>
              <w:right w:val="nil"/>
            </w:tcBorders>
            <w:shd w:val="clear" w:color="auto" w:fill="E0E0E0"/>
          </w:tcPr>
          <w:p w14:paraId="463124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nil"/>
              <w:right w:val="nil"/>
            </w:tcBorders>
            <w:shd w:val="clear" w:color="auto" w:fill="E0E0E0"/>
          </w:tcPr>
          <w:p w14:paraId="664EB8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74FE21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2.271</w:t>
            </w:r>
            <w:r w:rsidRPr="00530906">
              <w:rPr>
                <w:rFonts w:ascii="Cambria" w:eastAsia="Times New Roman" w:hAnsi="Cambria" w:cs="Times New Roman"/>
                <w:color w:val="000000"/>
                <w:sz w:val="18"/>
                <w:szCs w:val="18"/>
                <w:vertAlign w:val="superscript"/>
                <w:lang w:val="en-US"/>
              </w:rPr>
              <w:t>d</w:t>
            </w:r>
          </w:p>
        </w:tc>
        <w:tc>
          <w:tcPr>
            <w:tcW w:w="450" w:type="dxa"/>
            <w:tcBorders>
              <w:top w:val="single" w:sz="8" w:space="0" w:color="AEAEAE"/>
              <w:left w:val="single" w:sz="8" w:space="0" w:color="E0E0E0"/>
              <w:bottom w:val="nil"/>
              <w:right w:val="single" w:sz="8" w:space="0" w:color="E0E0E0"/>
            </w:tcBorders>
            <w:shd w:val="clear" w:color="auto" w:fill="FFFFFF"/>
          </w:tcPr>
          <w:p w14:paraId="545DA6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w:t>
            </w:r>
          </w:p>
        </w:tc>
        <w:tc>
          <w:tcPr>
            <w:tcW w:w="900" w:type="dxa"/>
            <w:tcBorders>
              <w:top w:val="single" w:sz="8" w:space="0" w:color="AEAEAE"/>
              <w:left w:val="single" w:sz="8" w:space="0" w:color="E0E0E0"/>
              <w:bottom w:val="nil"/>
              <w:right w:val="single" w:sz="8" w:space="0" w:color="E0E0E0"/>
            </w:tcBorders>
            <w:shd w:val="clear" w:color="auto" w:fill="FFFFFF"/>
          </w:tcPr>
          <w:p w14:paraId="27DAF4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p>
        </w:tc>
        <w:tc>
          <w:tcPr>
            <w:tcW w:w="720" w:type="dxa"/>
            <w:tcBorders>
              <w:top w:val="single" w:sz="8" w:space="0" w:color="AEAEAE"/>
              <w:left w:val="single" w:sz="8" w:space="0" w:color="E0E0E0"/>
              <w:bottom w:val="nil"/>
              <w:right w:val="single" w:sz="8" w:space="0" w:color="E0E0E0"/>
            </w:tcBorders>
            <w:shd w:val="clear" w:color="auto" w:fill="FFFFFF"/>
          </w:tcPr>
          <w:p w14:paraId="15D431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.294</w:t>
            </w:r>
          </w:p>
        </w:tc>
        <w:tc>
          <w:tcPr>
            <w:tcW w:w="540" w:type="dxa"/>
            <w:tcBorders>
              <w:top w:val="single" w:sz="8" w:space="0" w:color="AEAEAE"/>
              <w:left w:val="single" w:sz="8" w:space="0" w:color="E0E0E0"/>
              <w:bottom w:val="nil"/>
              <w:right w:val="single" w:sz="8" w:space="0" w:color="E0E0E0"/>
            </w:tcBorders>
            <w:shd w:val="clear" w:color="auto" w:fill="FFFFFF"/>
          </w:tcPr>
          <w:p w14:paraId="087875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.830</w:t>
            </w:r>
          </w:p>
        </w:tc>
        <w:tc>
          <w:tcPr>
            <w:tcW w:w="1561" w:type="dxa"/>
            <w:tcBorders>
              <w:top w:val="single" w:sz="8" w:space="0" w:color="AEAEAE"/>
              <w:left w:val="single" w:sz="8" w:space="0" w:color="E0E0E0"/>
              <w:bottom w:val="nil"/>
              <w:right w:val="nil"/>
            </w:tcBorders>
            <w:shd w:val="clear" w:color="auto" w:fill="FFFFFF"/>
          </w:tcPr>
          <w:p w14:paraId="103D4F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.003</w:t>
            </w:r>
          </w:p>
        </w:tc>
      </w:tr>
      <w:tr w:rsidR="00C7217E" w:rsidRPr="00530906" w14:paraId="20CC9131" w14:textId="77777777" w:rsidTr="00C7217E">
        <w:trPr>
          <w:cantSplit/>
        </w:trPr>
        <w:tc>
          <w:tcPr>
            <w:tcW w:w="1440" w:type="dxa"/>
            <w:vMerge w:val="restart"/>
            <w:tcBorders>
              <w:top w:val="single" w:sz="8" w:space="0" w:color="AEAEAE"/>
              <w:left w:val="nil"/>
              <w:bottom w:val="nil"/>
              <w:right w:val="nil"/>
            </w:tcBorders>
            <w:shd w:val="clear" w:color="auto" w:fill="E0E0E0"/>
          </w:tcPr>
          <w:p w14:paraId="1EE51C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Intercept</w:t>
            </w:r>
          </w:p>
        </w:tc>
        <w:tc>
          <w:tcPr>
            <w:tcW w:w="1710" w:type="dxa"/>
            <w:tcBorders>
              <w:top w:val="single" w:sz="8" w:space="0" w:color="AEAEAE"/>
              <w:left w:val="nil"/>
              <w:bottom w:val="single" w:sz="8" w:space="0" w:color="AEAEAE"/>
              <w:right w:val="nil"/>
            </w:tcBorders>
            <w:shd w:val="clear" w:color="auto" w:fill="E0E0E0"/>
          </w:tcPr>
          <w:p w14:paraId="567F77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730CF3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5039.767</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52DE18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D6C3B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5039.767</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C2957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2305.044</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48FD30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61" w:type="dxa"/>
            <w:tcBorders>
              <w:top w:val="single" w:sz="8" w:space="0" w:color="AEAEAE"/>
              <w:left w:val="single" w:sz="8" w:space="0" w:color="E0E0E0"/>
              <w:bottom w:val="single" w:sz="8" w:space="0" w:color="AEAEAE"/>
              <w:right w:val="nil"/>
            </w:tcBorders>
            <w:shd w:val="clear" w:color="auto" w:fill="FFFFFF"/>
          </w:tcPr>
          <w:p w14:paraId="343CEF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.894</w:t>
            </w:r>
          </w:p>
        </w:tc>
      </w:tr>
      <w:tr w:rsidR="00C7217E" w:rsidRPr="00530906" w14:paraId="232AD44A" w14:textId="77777777" w:rsidTr="00C7217E">
        <w:trPr>
          <w:cantSplit/>
        </w:trPr>
        <w:tc>
          <w:tcPr>
            <w:tcW w:w="1440" w:type="dxa"/>
            <w:vMerge/>
            <w:tcBorders>
              <w:top w:val="single" w:sz="8" w:space="0" w:color="AEAEAE"/>
              <w:left w:val="nil"/>
              <w:bottom w:val="nil"/>
              <w:right w:val="nil"/>
            </w:tcBorders>
            <w:shd w:val="clear" w:color="auto" w:fill="E0E0E0"/>
          </w:tcPr>
          <w:p w14:paraId="62EACC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64B74A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66AEBF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1872.421</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590833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ABD4EA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1872.421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B7F86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1304.078</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65321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61" w:type="dxa"/>
            <w:tcBorders>
              <w:top w:val="single" w:sz="8" w:space="0" w:color="AEAEAE"/>
              <w:left w:val="single" w:sz="8" w:space="0" w:color="E0E0E0"/>
              <w:bottom w:val="single" w:sz="8" w:space="0" w:color="AEAEAE"/>
              <w:right w:val="nil"/>
            </w:tcBorders>
            <w:shd w:val="clear" w:color="auto" w:fill="FFFFFF"/>
          </w:tcPr>
          <w:p w14:paraId="5E2742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.826</w:t>
            </w:r>
          </w:p>
        </w:tc>
      </w:tr>
      <w:tr w:rsidR="00C7217E" w:rsidRPr="00530906" w14:paraId="1EF16FD2" w14:textId="77777777" w:rsidTr="00C7217E">
        <w:trPr>
          <w:cantSplit/>
        </w:trPr>
        <w:tc>
          <w:tcPr>
            <w:tcW w:w="1440" w:type="dxa"/>
            <w:vMerge/>
            <w:tcBorders>
              <w:top w:val="single" w:sz="8" w:space="0" w:color="AEAEAE"/>
              <w:left w:val="nil"/>
              <w:bottom w:val="nil"/>
              <w:right w:val="nil"/>
            </w:tcBorders>
            <w:shd w:val="clear" w:color="auto" w:fill="E0E0E0"/>
          </w:tcPr>
          <w:p w14:paraId="3D1EEC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66577D9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457B1F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3260.055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F77D4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310A0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3260.055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FF094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1578.435</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B8EAC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61" w:type="dxa"/>
            <w:tcBorders>
              <w:top w:val="single" w:sz="8" w:space="0" w:color="AEAEAE"/>
              <w:left w:val="single" w:sz="8" w:space="0" w:color="E0E0E0"/>
              <w:bottom w:val="single" w:sz="8" w:space="0" w:color="AEAEAE"/>
              <w:right w:val="nil"/>
            </w:tcBorders>
            <w:shd w:val="clear" w:color="auto" w:fill="FFFFFF"/>
          </w:tcPr>
          <w:p w14:paraId="7B8456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.852</w:t>
            </w:r>
          </w:p>
        </w:tc>
      </w:tr>
      <w:tr w:rsidR="00C7217E" w:rsidRPr="00530906" w14:paraId="798FB890" w14:textId="77777777" w:rsidTr="00C7217E">
        <w:trPr>
          <w:cantSplit/>
        </w:trPr>
        <w:tc>
          <w:tcPr>
            <w:tcW w:w="1440" w:type="dxa"/>
            <w:vMerge/>
            <w:tcBorders>
              <w:top w:val="single" w:sz="8" w:space="0" w:color="AEAEAE"/>
              <w:left w:val="nil"/>
              <w:bottom w:val="nil"/>
              <w:right w:val="nil"/>
            </w:tcBorders>
            <w:shd w:val="clear" w:color="auto" w:fill="E0E0E0"/>
          </w:tcPr>
          <w:p w14:paraId="2F5B9C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nil"/>
              <w:right w:val="nil"/>
            </w:tcBorders>
            <w:shd w:val="clear" w:color="auto" w:fill="E0E0E0"/>
          </w:tcPr>
          <w:p w14:paraId="689E82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241010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5334.615</w:t>
            </w:r>
          </w:p>
        </w:tc>
        <w:tc>
          <w:tcPr>
            <w:tcW w:w="450" w:type="dxa"/>
            <w:tcBorders>
              <w:top w:val="single" w:sz="8" w:space="0" w:color="AEAEAE"/>
              <w:left w:val="single" w:sz="8" w:space="0" w:color="E0E0E0"/>
              <w:bottom w:val="nil"/>
              <w:right w:val="single" w:sz="8" w:space="0" w:color="E0E0E0"/>
            </w:tcBorders>
            <w:shd w:val="clear" w:color="auto" w:fill="FFFFFF"/>
          </w:tcPr>
          <w:p w14:paraId="1761C6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nil"/>
              <w:right w:val="single" w:sz="8" w:space="0" w:color="E0E0E0"/>
            </w:tcBorders>
            <w:shd w:val="clear" w:color="auto" w:fill="FFFFFF"/>
          </w:tcPr>
          <w:p w14:paraId="1D19DB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5334.615</w:t>
            </w:r>
          </w:p>
        </w:tc>
        <w:tc>
          <w:tcPr>
            <w:tcW w:w="720" w:type="dxa"/>
            <w:tcBorders>
              <w:top w:val="single" w:sz="8" w:space="0" w:color="AEAEAE"/>
              <w:left w:val="single" w:sz="8" w:space="0" w:color="E0E0E0"/>
              <w:bottom w:val="nil"/>
              <w:right w:val="single" w:sz="8" w:space="0" w:color="E0E0E0"/>
            </w:tcBorders>
            <w:shd w:val="clear" w:color="auto" w:fill="FFFFFF"/>
          </w:tcPr>
          <w:p w14:paraId="03F550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2071.044</w:t>
            </w:r>
          </w:p>
        </w:tc>
        <w:tc>
          <w:tcPr>
            <w:tcW w:w="540" w:type="dxa"/>
            <w:tcBorders>
              <w:top w:val="single" w:sz="8" w:space="0" w:color="AEAEAE"/>
              <w:left w:val="single" w:sz="8" w:space="0" w:color="E0E0E0"/>
              <w:bottom w:val="nil"/>
              <w:right w:val="single" w:sz="8" w:space="0" w:color="E0E0E0"/>
            </w:tcBorders>
            <w:shd w:val="clear" w:color="auto" w:fill="FFFFFF"/>
          </w:tcPr>
          <w:p w14:paraId="752B67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561" w:type="dxa"/>
            <w:tcBorders>
              <w:top w:val="single" w:sz="8" w:space="0" w:color="AEAEAE"/>
              <w:left w:val="single" w:sz="8" w:space="0" w:color="E0E0E0"/>
              <w:bottom w:val="nil"/>
              <w:right w:val="nil"/>
            </w:tcBorders>
            <w:shd w:val="clear" w:color="auto" w:fill="FFFFFF"/>
          </w:tcPr>
          <w:p w14:paraId="1D2D9A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.883</w:t>
            </w:r>
          </w:p>
        </w:tc>
      </w:tr>
      <w:tr w:rsidR="00C7217E" w:rsidRPr="00530906" w14:paraId="00CEBF64" w14:textId="77777777" w:rsidTr="00C7217E">
        <w:trPr>
          <w:cantSplit/>
        </w:trPr>
        <w:tc>
          <w:tcPr>
            <w:tcW w:w="1440" w:type="dxa"/>
            <w:vMerge w:val="restart"/>
            <w:tcBorders>
              <w:top w:val="single" w:sz="8" w:space="0" w:color="AEAEAE"/>
              <w:left w:val="nil"/>
              <w:bottom w:val="nil"/>
              <w:right w:val="nil"/>
            </w:tcBorders>
            <w:shd w:val="clear" w:color="auto" w:fill="E0E0E0"/>
          </w:tcPr>
          <w:p w14:paraId="19A871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710" w:type="dxa"/>
            <w:tcBorders>
              <w:top w:val="single" w:sz="8" w:space="0" w:color="AEAEAE"/>
              <w:left w:val="nil"/>
              <w:bottom w:val="single" w:sz="8" w:space="0" w:color="AEAEAE"/>
              <w:right w:val="nil"/>
            </w:tcBorders>
            <w:shd w:val="clear" w:color="auto" w:fill="E0E0E0"/>
          </w:tcPr>
          <w:p w14:paraId="6E0CED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010503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20.399</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85F0A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13162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20.399</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EAA60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9.330</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93D1D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c>
          <w:tcPr>
            <w:tcW w:w="1561" w:type="dxa"/>
            <w:tcBorders>
              <w:top w:val="single" w:sz="8" w:space="0" w:color="AEAEAE"/>
              <w:left w:val="single" w:sz="8" w:space="0" w:color="E0E0E0"/>
              <w:bottom w:val="single" w:sz="8" w:space="0" w:color="AEAEAE"/>
              <w:right w:val="nil"/>
            </w:tcBorders>
            <w:shd w:val="clear" w:color="auto" w:fill="FFFFFF"/>
          </w:tcPr>
          <w:p w14:paraId="3899D6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.033</w:t>
            </w:r>
          </w:p>
        </w:tc>
      </w:tr>
      <w:tr w:rsidR="00C7217E" w:rsidRPr="00530906" w14:paraId="77A16197" w14:textId="77777777" w:rsidTr="00C7217E">
        <w:trPr>
          <w:cantSplit/>
        </w:trPr>
        <w:tc>
          <w:tcPr>
            <w:tcW w:w="1440" w:type="dxa"/>
            <w:vMerge/>
            <w:tcBorders>
              <w:top w:val="single" w:sz="8" w:space="0" w:color="AEAEAE"/>
              <w:left w:val="nil"/>
              <w:bottom w:val="nil"/>
              <w:right w:val="nil"/>
            </w:tcBorders>
            <w:shd w:val="clear" w:color="auto" w:fill="E0E0E0"/>
          </w:tcPr>
          <w:p w14:paraId="169106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54B0EF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22EE32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.018</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70714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5A1C9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.018</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AB368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.012</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FB65F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.912</w:t>
            </w:r>
          </w:p>
        </w:tc>
        <w:tc>
          <w:tcPr>
            <w:tcW w:w="1561" w:type="dxa"/>
            <w:tcBorders>
              <w:top w:val="single" w:sz="8" w:space="0" w:color="AEAEAE"/>
              <w:left w:val="single" w:sz="8" w:space="0" w:color="E0E0E0"/>
              <w:bottom w:val="single" w:sz="8" w:space="0" w:color="AEAEAE"/>
              <w:right w:val="nil"/>
            </w:tcBorders>
            <w:shd w:val="clear" w:color="auto" w:fill="FFFFFF"/>
          </w:tcPr>
          <w:p w14:paraId="628A88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685F7842" w14:textId="77777777" w:rsidTr="00C7217E">
        <w:trPr>
          <w:cantSplit/>
        </w:trPr>
        <w:tc>
          <w:tcPr>
            <w:tcW w:w="1440" w:type="dxa"/>
            <w:vMerge/>
            <w:tcBorders>
              <w:top w:val="single" w:sz="8" w:space="0" w:color="AEAEAE"/>
              <w:left w:val="nil"/>
              <w:bottom w:val="nil"/>
              <w:right w:val="nil"/>
            </w:tcBorders>
            <w:shd w:val="clear" w:color="auto" w:fill="E0E0E0"/>
          </w:tcPr>
          <w:p w14:paraId="0529D8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316120D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7634F3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.616</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87BCA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01B89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.616</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B70D2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.298</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25306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.586</w:t>
            </w:r>
          </w:p>
        </w:tc>
        <w:tc>
          <w:tcPr>
            <w:tcW w:w="1561" w:type="dxa"/>
            <w:tcBorders>
              <w:top w:val="single" w:sz="8" w:space="0" w:color="AEAEAE"/>
              <w:left w:val="single" w:sz="8" w:space="0" w:color="E0E0E0"/>
              <w:bottom w:val="single" w:sz="8" w:space="0" w:color="AEAEAE"/>
              <w:right w:val="nil"/>
            </w:tcBorders>
            <w:shd w:val="clear" w:color="auto" w:fill="FFFFFF"/>
          </w:tcPr>
          <w:p w14:paraId="261AAC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.001</w:t>
            </w:r>
          </w:p>
        </w:tc>
      </w:tr>
      <w:tr w:rsidR="00C7217E" w:rsidRPr="00530906" w14:paraId="6CB15C7A" w14:textId="77777777" w:rsidTr="00C7217E">
        <w:trPr>
          <w:cantSplit/>
        </w:trPr>
        <w:tc>
          <w:tcPr>
            <w:tcW w:w="1440" w:type="dxa"/>
            <w:vMerge/>
            <w:tcBorders>
              <w:top w:val="single" w:sz="8" w:space="0" w:color="AEAEAE"/>
              <w:left w:val="nil"/>
              <w:bottom w:val="nil"/>
              <w:right w:val="nil"/>
            </w:tcBorders>
            <w:shd w:val="clear" w:color="auto" w:fill="E0E0E0"/>
          </w:tcPr>
          <w:p w14:paraId="31956F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nil"/>
              <w:right w:val="nil"/>
            </w:tcBorders>
            <w:shd w:val="clear" w:color="auto" w:fill="E0E0E0"/>
          </w:tcPr>
          <w:p w14:paraId="4CD598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39570A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2.088</w:t>
            </w:r>
          </w:p>
        </w:tc>
        <w:tc>
          <w:tcPr>
            <w:tcW w:w="450" w:type="dxa"/>
            <w:tcBorders>
              <w:top w:val="single" w:sz="8" w:space="0" w:color="AEAEAE"/>
              <w:left w:val="single" w:sz="8" w:space="0" w:color="E0E0E0"/>
              <w:bottom w:val="nil"/>
              <w:right w:val="single" w:sz="8" w:space="0" w:color="E0E0E0"/>
            </w:tcBorders>
            <w:shd w:val="clear" w:color="auto" w:fill="FFFFFF"/>
          </w:tcPr>
          <w:p w14:paraId="5B2815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nil"/>
              <w:right w:val="single" w:sz="8" w:space="0" w:color="E0E0E0"/>
            </w:tcBorders>
            <w:shd w:val="clear" w:color="auto" w:fill="FFFFFF"/>
          </w:tcPr>
          <w:p w14:paraId="2BC2D0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2.088</w:t>
            </w:r>
          </w:p>
        </w:tc>
        <w:tc>
          <w:tcPr>
            <w:tcW w:w="720" w:type="dxa"/>
            <w:tcBorders>
              <w:top w:val="single" w:sz="8" w:space="0" w:color="AEAEAE"/>
              <w:left w:val="single" w:sz="8" w:space="0" w:color="E0E0E0"/>
              <w:bottom w:val="nil"/>
              <w:right w:val="single" w:sz="8" w:space="0" w:color="E0E0E0"/>
            </w:tcBorders>
            <w:shd w:val="clear" w:color="auto" w:fill="FFFFFF"/>
          </w:tcPr>
          <w:p w14:paraId="6BB439D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.810</w:t>
            </w:r>
          </w:p>
        </w:tc>
        <w:tc>
          <w:tcPr>
            <w:tcW w:w="540" w:type="dxa"/>
            <w:tcBorders>
              <w:top w:val="single" w:sz="8" w:space="0" w:color="AEAEAE"/>
              <w:left w:val="single" w:sz="8" w:space="0" w:color="E0E0E0"/>
              <w:bottom w:val="nil"/>
              <w:right w:val="single" w:sz="8" w:space="0" w:color="E0E0E0"/>
            </w:tcBorders>
            <w:shd w:val="clear" w:color="auto" w:fill="FFFFFF"/>
          </w:tcPr>
          <w:p w14:paraId="7C1CED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.369</w:t>
            </w:r>
          </w:p>
        </w:tc>
        <w:tc>
          <w:tcPr>
            <w:tcW w:w="1561" w:type="dxa"/>
            <w:tcBorders>
              <w:top w:val="single" w:sz="8" w:space="0" w:color="AEAEAE"/>
              <w:left w:val="single" w:sz="8" w:space="0" w:color="E0E0E0"/>
              <w:bottom w:val="nil"/>
              <w:right w:val="nil"/>
            </w:tcBorders>
            <w:shd w:val="clear" w:color="auto" w:fill="FFFFFF"/>
          </w:tcPr>
          <w:p w14:paraId="7CDE06A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.003</w:t>
            </w:r>
          </w:p>
        </w:tc>
      </w:tr>
      <w:tr w:rsidR="00C7217E" w:rsidRPr="00530906" w14:paraId="74C5411A" w14:textId="77777777" w:rsidTr="00C7217E">
        <w:trPr>
          <w:cantSplit/>
        </w:trPr>
        <w:tc>
          <w:tcPr>
            <w:tcW w:w="1440" w:type="dxa"/>
            <w:vMerge w:val="restart"/>
            <w:tcBorders>
              <w:top w:val="single" w:sz="8" w:space="0" w:color="AEAEAE"/>
              <w:left w:val="nil"/>
              <w:bottom w:val="nil"/>
              <w:right w:val="nil"/>
            </w:tcBorders>
            <w:shd w:val="clear" w:color="auto" w:fill="E0E0E0"/>
          </w:tcPr>
          <w:p w14:paraId="6B3596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Expert_cat</w:t>
            </w:r>
          </w:p>
        </w:tc>
        <w:tc>
          <w:tcPr>
            <w:tcW w:w="1710" w:type="dxa"/>
            <w:tcBorders>
              <w:top w:val="single" w:sz="8" w:space="0" w:color="AEAEAE"/>
              <w:left w:val="nil"/>
              <w:bottom w:val="single" w:sz="8" w:space="0" w:color="AEAEAE"/>
              <w:right w:val="nil"/>
            </w:tcBorders>
            <w:shd w:val="clear" w:color="auto" w:fill="E0E0E0"/>
          </w:tcPr>
          <w:p w14:paraId="01D1FE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7023FC3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7.136</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F8F2A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24D8A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7.136</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3BB66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3.264</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175BCB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.072</w:t>
            </w:r>
          </w:p>
        </w:tc>
        <w:tc>
          <w:tcPr>
            <w:tcW w:w="1561" w:type="dxa"/>
            <w:tcBorders>
              <w:top w:val="single" w:sz="8" w:space="0" w:color="AEAEAE"/>
              <w:left w:val="single" w:sz="8" w:space="0" w:color="E0E0E0"/>
              <w:bottom w:val="single" w:sz="8" w:space="0" w:color="AEAEAE"/>
              <w:right w:val="nil"/>
            </w:tcBorders>
            <w:shd w:val="clear" w:color="auto" w:fill="FFFFFF"/>
          </w:tcPr>
          <w:p w14:paraId="379BF2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.012</w:t>
            </w:r>
          </w:p>
        </w:tc>
      </w:tr>
      <w:tr w:rsidR="00C7217E" w:rsidRPr="00530906" w14:paraId="7E1A0214" w14:textId="77777777" w:rsidTr="00C7217E">
        <w:trPr>
          <w:cantSplit/>
        </w:trPr>
        <w:tc>
          <w:tcPr>
            <w:tcW w:w="1440" w:type="dxa"/>
            <w:vMerge/>
            <w:tcBorders>
              <w:top w:val="single" w:sz="8" w:space="0" w:color="AEAEAE"/>
              <w:left w:val="nil"/>
              <w:bottom w:val="nil"/>
              <w:right w:val="nil"/>
            </w:tcBorders>
            <w:shd w:val="clear" w:color="auto" w:fill="E0E0E0"/>
          </w:tcPr>
          <w:p w14:paraId="4E5F6B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3DBCF3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14C95A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B9B8B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693FD9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184A0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7FC3B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.963</w:t>
            </w:r>
          </w:p>
        </w:tc>
        <w:tc>
          <w:tcPr>
            <w:tcW w:w="1561" w:type="dxa"/>
            <w:tcBorders>
              <w:top w:val="single" w:sz="8" w:space="0" w:color="AEAEAE"/>
              <w:left w:val="single" w:sz="8" w:space="0" w:color="E0E0E0"/>
              <w:bottom w:val="single" w:sz="8" w:space="0" w:color="AEAEAE"/>
              <w:right w:val="nil"/>
            </w:tcBorders>
            <w:shd w:val="clear" w:color="auto" w:fill="FFFFFF"/>
          </w:tcPr>
          <w:p w14:paraId="528973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74204828" w14:textId="77777777" w:rsidTr="00C7217E">
        <w:trPr>
          <w:cantSplit/>
        </w:trPr>
        <w:tc>
          <w:tcPr>
            <w:tcW w:w="1440" w:type="dxa"/>
            <w:vMerge/>
            <w:tcBorders>
              <w:top w:val="single" w:sz="8" w:space="0" w:color="AEAEAE"/>
              <w:left w:val="nil"/>
              <w:bottom w:val="nil"/>
              <w:right w:val="nil"/>
            </w:tcBorders>
            <w:shd w:val="clear" w:color="auto" w:fill="E0E0E0"/>
          </w:tcPr>
          <w:p w14:paraId="46CEAB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019D1A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030088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.913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6715F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66A91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.913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15BAED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.442</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55041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.507</w:t>
            </w:r>
          </w:p>
        </w:tc>
        <w:tc>
          <w:tcPr>
            <w:tcW w:w="1561" w:type="dxa"/>
            <w:tcBorders>
              <w:top w:val="single" w:sz="8" w:space="0" w:color="AEAEAE"/>
              <w:left w:val="single" w:sz="8" w:space="0" w:color="E0E0E0"/>
              <w:bottom w:val="single" w:sz="8" w:space="0" w:color="AEAEAE"/>
              <w:right w:val="nil"/>
            </w:tcBorders>
            <w:shd w:val="clear" w:color="auto" w:fill="FFFFFF"/>
          </w:tcPr>
          <w:p w14:paraId="22E632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r>
      <w:tr w:rsidR="00C7217E" w:rsidRPr="00530906" w14:paraId="0310BED0" w14:textId="77777777" w:rsidTr="00C7217E">
        <w:trPr>
          <w:cantSplit/>
        </w:trPr>
        <w:tc>
          <w:tcPr>
            <w:tcW w:w="1440" w:type="dxa"/>
            <w:vMerge/>
            <w:tcBorders>
              <w:top w:val="single" w:sz="8" w:space="0" w:color="AEAEAE"/>
              <w:left w:val="nil"/>
              <w:bottom w:val="nil"/>
              <w:right w:val="nil"/>
            </w:tcBorders>
            <w:shd w:val="clear" w:color="auto" w:fill="E0E0E0"/>
          </w:tcPr>
          <w:p w14:paraId="157D15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nil"/>
              <w:right w:val="nil"/>
            </w:tcBorders>
            <w:shd w:val="clear" w:color="auto" w:fill="E0E0E0"/>
          </w:tcPr>
          <w:p w14:paraId="7ABD09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411770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.200</w:t>
            </w:r>
          </w:p>
        </w:tc>
        <w:tc>
          <w:tcPr>
            <w:tcW w:w="450" w:type="dxa"/>
            <w:tcBorders>
              <w:top w:val="single" w:sz="8" w:space="0" w:color="AEAEAE"/>
              <w:left w:val="single" w:sz="8" w:space="0" w:color="E0E0E0"/>
              <w:bottom w:val="nil"/>
              <w:right w:val="single" w:sz="8" w:space="0" w:color="E0E0E0"/>
            </w:tcBorders>
            <w:shd w:val="clear" w:color="auto" w:fill="FFFFFF"/>
          </w:tcPr>
          <w:p w14:paraId="3B5033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nil"/>
              <w:right w:val="single" w:sz="8" w:space="0" w:color="E0E0E0"/>
            </w:tcBorders>
            <w:shd w:val="clear" w:color="auto" w:fill="FFFFFF"/>
          </w:tcPr>
          <w:p w14:paraId="0ED7A8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.200</w:t>
            </w:r>
          </w:p>
        </w:tc>
        <w:tc>
          <w:tcPr>
            <w:tcW w:w="720" w:type="dxa"/>
            <w:tcBorders>
              <w:top w:val="single" w:sz="8" w:space="0" w:color="AEAEAE"/>
              <w:left w:val="single" w:sz="8" w:space="0" w:color="E0E0E0"/>
              <w:bottom w:val="nil"/>
              <w:right w:val="single" w:sz="8" w:space="0" w:color="E0E0E0"/>
            </w:tcBorders>
            <w:shd w:val="clear" w:color="auto" w:fill="FFFFFF"/>
          </w:tcPr>
          <w:p w14:paraId="026095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.077</w:t>
            </w:r>
          </w:p>
        </w:tc>
        <w:tc>
          <w:tcPr>
            <w:tcW w:w="540" w:type="dxa"/>
            <w:tcBorders>
              <w:top w:val="single" w:sz="8" w:space="0" w:color="AEAEAE"/>
              <w:left w:val="single" w:sz="8" w:space="0" w:color="E0E0E0"/>
              <w:bottom w:val="nil"/>
              <w:right w:val="single" w:sz="8" w:space="0" w:color="E0E0E0"/>
            </w:tcBorders>
            <w:shd w:val="clear" w:color="auto" w:fill="FFFFFF"/>
          </w:tcPr>
          <w:p w14:paraId="4E58D4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.781</w:t>
            </w:r>
          </w:p>
        </w:tc>
        <w:tc>
          <w:tcPr>
            <w:tcW w:w="1561" w:type="dxa"/>
            <w:tcBorders>
              <w:top w:val="single" w:sz="8" w:space="0" w:color="AEAEAE"/>
              <w:left w:val="single" w:sz="8" w:space="0" w:color="E0E0E0"/>
              <w:bottom w:val="nil"/>
              <w:right w:val="nil"/>
            </w:tcBorders>
            <w:shd w:val="clear" w:color="auto" w:fill="FFFFFF"/>
          </w:tcPr>
          <w:p w14:paraId="40CC92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75779323" w14:textId="77777777" w:rsidTr="00C7217E">
        <w:trPr>
          <w:cantSplit/>
        </w:trPr>
        <w:tc>
          <w:tcPr>
            <w:tcW w:w="1440" w:type="dxa"/>
            <w:vMerge w:val="restart"/>
            <w:tcBorders>
              <w:top w:val="single" w:sz="8" w:space="0" w:color="AEAEAE"/>
              <w:left w:val="nil"/>
              <w:bottom w:val="nil"/>
              <w:right w:val="nil"/>
            </w:tcBorders>
            <w:shd w:val="clear" w:color="auto" w:fill="E0E0E0"/>
          </w:tcPr>
          <w:p w14:paraId="3474EB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 * Expert_cat</w:t>
            </w:r>
          </w:p>
        </w:tc>
        <w:tc>
          <w:tcPr>
            <w:tcW w:w="1710" w:type="dxa"/>
            <w:tcBorders>
              <w:top w:val="single" w:sz="8" w:space="0" w:color="AEAEAE"/>
              <w:left w:val="nil"/>
              <w:bottom w:val="single" w:sz="8" w:space="0" w:color="AEAEAE"/>
              <w:right w:val="nil"/>
            </w:tcBorders>
            <w:shd w:val="clear" w:color="auto" w:fill="E0E0E0"/>
          </w:tcPr>
          <w:p w14:paraId="048356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3DA5AA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79DDF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E862E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CA4C8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.002</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8A09A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.964</w:t>
            </w:r>
          </w:p>
        </w:tc>
        <w:tc>
          <w:tcPr>
            <w:tcW w:w="1561" w:type="dxa"/>
            <w:tcBorders>
              <w:top w:val="single" w:sz="8" w:space="0" w:color="AEAEAE"/>
              <w:left w:val="single" w:sz="8" w:space="0" w:color="E0E0E0"/>
              <w:bottom w:val="single" w:sz="8" w:space="0" w:color="AEAEAE"/>
              <w:right w:val="nil"/>
            </w:tcBorders>
            <w:shd w:val="clear" w:color="auto" w:fill="FFFFFF"/>
          </w:tcPr>
          <w:p w14:paraId="444A67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35D92ADC" w14:textId="77777777" w:rsidTr="00C7217E">
        <w:trPr>
          <w:cantSplit/>
        </w:trPr>
        <w:tc>
          <w:tcPr>
            <w:tcW w:w="1440" w:type="dxa"/>
            <w:vMerge/>
            <w:tcBorders>
              <w:top w:val="single" w:sz="8" w:space="0" w:color="AEAEAE"/>
              <w:left w:val="nil"/>
              <w:bottom w:val="nil"/>
              <w:right w:val="nil"/>
            </w:tcBorders>
            <w:shd w:val="clear" w:color="auto" w:fill="E0E0E0"/>
          </w:tcPr>
          <w:p w14:paraId="075490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522F3F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79A686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48B5A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116CF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2.543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31F2A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1.771</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DA32F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.184</w:t>
            </w:r>
          </w:p>
        </w:tc>
        <w:tc>
          <w:tcPr>
            <w:tcW w:w="1561" w:type="dxa"/>
            <w:tcBorders>
              <w:top w:val="single" w:sz="8" w:space="0" w:color="AEAEAE"/>
              <w:left w:val="single" w:sz="8" w:space="0" w:color="E0E0E0"/>
              <w:bottom w:val="single" w:sz="8" w:space="0" w:color="AEAEAE"/>
              <w:right w:val="nil"/>
            </w:tcBorders>
            <w:shd w:val="clear" w:color="auto" w:fill="FFFFFF"/>
          </w:tcPr>
          <w:p w14:paraId="6858E8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.006</w:t>
            </w:r>
          </w:p>
        </w:tc>
      </w:tr>
      <w:tr w:rsidR="00C7217E" w:rsidRPr="00530906" w14:paraId="184714AF" w14:textId="77777777" w:rsidTr="00C7217E">
        <w:trPr>
          <w:cantSplit/>
        </w:trPr>
        <w:tc>
          <w:tcPr>
            <w:tcW w:w="1440" w:type="dxa"/>
            <w:vMerge/>
            <w:tcBorders>
              <w:top w:val="single" w:sz="8" w:space="0" w:color="AEAEAE"/>
              <w:left w:val="nil"/>
              <w:bottom w:val="nil"/>
              <w:right w:val="nil"/>
            </w:tcBorders>
            <w:shd w:val="clear" w:color="auto" w:fill="E0E0E0"/>
          </w:tcPr>
          <w:p w14:paraId="674E19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single" w:sz="8" w:space="0" w:color="AEAEAE"/>
              <w:right w:val="nil"/>
            </w:tcBorders>
            <w:shd w:val="clear" w:color="auto" w:fill="E0E0E0"/>
          </w:tcPr>
          <w:p w14:paraId="3A36478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4F63E1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3.961</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5D1160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146AD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3.961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F7394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1.918</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00E32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.167</w:t>
            </w:r>
          </w:p>
        </w:tc>
        <w:tc>
          <w:tcPr>
            <w:tcW w:w="1561" w:type="dxa"/>
            <w:tcBorders>
              <w:top w:val="single" w:sz="8" w:space="0" w:color="AEAEAE"/>
              <w:left w:val="single" w:sz="8" w:space="0" w:color="E0E0E0"/>
              <w:bottom w:val="single" w:sz="8" w:space="0" w:color="AEAEAE"/>
              <w:right w:val="nil"/>
            </w:tcBorders>
            <w:shd w:val="clear" w:color="auto" w:fill="FFFFFF"/>
          </w:tcPr>
          <w:p w14:paraId="1BA807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.007</w:t>
            </w:r>
          </w:p>
        </w:tc>
      </w:tr>
      <w:tr w:rsidR="00C7217E" w:rsidRPr="00530906" w14:paraId="06F4F309" w14:textId="77777777" w:rsidTr="00C7217E">
        <w:trPr>
          <w:cantSplit/>
        </w:trPr>
        <w:tc>
          <w:tcPr>
            <w:tcW w:w="1440" w:type="dxa"/>
            <w:vMerge/>
            <w:tcBorders>
              <w:top w:val="single" w:sz="8" w:space="0" w:color="AEAEAE"/>
              <w:left w:val="nil"/>
              <w:bottom w:val="nil"/>
              <w:right w:val="nil"/>
            </w:tcBorders>
            <w:shd w:val="clear" w:color="auto" w:fill="E0E0E0"/>
          </w:tcPr>
          <w:p w14:paraId="79F131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710" w:type="dxa"/>
            <w:tcBorders>
              <w:top w:val="single" w:sz="8" w:space="0" w:color="AEAEAE"/>
              <w:left w:val="nil"/>
              <w:bottom w:val="nil"/>
              <w:right w:val="nil"/>
            </w:tcBorders>
            <w:shd w:val="clear" w:color="auto" w:fill="E0E0E0"/>
          </w:tcPr>
          <w:p w14:paraId="350A90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7150F8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.052</w:t>
            </w:r>
          </w:p>
        </w:tc>
        <w:tc>
          <w:tcPr>
            <w:tcW w:w="450" w:type="dxa"/>
            <w:tcBorders>
              <w:top w:val="single" w:sz="8" w:space="0" w:color="AEAEAE"/>
              <w:left w:val="single" w:sz="8" w:space="0" w:color="E0E0E0"/>
              <w:bottom w:val="nil"/>
              <w:right w:val="single" w:sz="8" w:space="0" w:color="E0E0E0"/>
            </w:tcBorders>
            <w:shd w:val="clear" w:color="auto" w:fill="FFFFFF"/>
          </w:tcPr>
          <w:p w14:paraId="4A549A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tcBorders>
              <w:top w:val="single" w:sz="8" w:space="0" w:color="AEAEAE"/>
              <w:left w:val="single" w:sz="8" w:space="0" w:color="E0E0E0"/>
              <w:bottom w:val="nil"/>
              <w:right w:val="single" w:sz="8" w:space="0" w:color="E0E0E0"/>
            </w:tcBorders>
            <w:shd w:val="clear" w:color="auto" w:fill="FFFFFF"/>
          </w:tcPr>
          <w:p w14:paraId="2AAD24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.052</w:t>
            </w:r>
          </w:p>
        </w:tc>
        <w:tc>
          <w:tcPr>
            <w:tcW w:w="720" w:type="dxa"/>
            <w:tcBorders>
              <w:top w:val="single" w:sz="8" w:space="0" w:color="AEAEAE"/>
              <w:left w:val="single" w:sz="8" w:space="0" w:color="E0E0E0"/>
              <w:bottom w:val="nil"/>
              <w:right w:val="single" w:sz="8" w:space="0" w:color="E0E0E0"/>
            </w:tcBorders>
            <w:shd w:val="clear" w:color="auto" w:fill="FFFFFF"/>
          </w:tcPr>
          <w:p w14:paraId="4F52617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.020</w:t>
            </w:r>
          </w:p>
        </w:tc>
        <w:tc>
          <w:tcPr>
            <w:tcW w:w="540" w:type="dxa"/>
            <w:tcBorders>
              <w:top w:val="single" w:sz="8" w:space="0" w:color="AEAEAE"/>
              <w:left w:val="single" w:sz="8" w:space="0" w:color="E0E0E0"/>
              <w:bottom w:val="nil"/>
              <w:right w:val="single" w:sz="8" w:space="0" w:color="E0E0E0"/>
            </w:tcBorders>
            <w:shd w:val="clear" w:color="auto" w:fill="FFFFFF"/>
          </w:tcPr>
          <w:p w14:paraId="2670E6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.888</w:t>
            </w:r>
          </w:p>
        </w:tc>
        <w:tc>
          <w:tcPr>
            <w:tcW w:w="1561" w:type="dxa"/>
            <w:tcBorders>
              <w:top w:val="single" w:sz="8" w:space="0" w:color="AEAEAE"/>
              <w:left w:val="single" w:sz="8" w:space="0" w:color="E0E0E0"/>
              <w:bottom w:val="nil"/>
              <w:right w:val="nil"/>
            </w:tcBorders>
            <w:shd w:val="clear" w:color="auto" w:fill="FFFFFF"/>
          </w:tcPr>
          <w:p w14:paraId="543EC4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r>
      <w:tr w:rsidR="00C7217E" w:rsidRPr="00530906" w14:paraId="7187F480" w14:textId="77777777" w:rsidTr="00C7217E">
        <w:trPr>
          <w:cantSplit/>
        </w:trPr>
        <w:tc>
          <w:tcPr>
            <w:tcW w:w="1440" w:type="dxa"/>
            <w:vMerge w:val="restart"/>
            <w:tcBorders>
              <w:top w:val="single" w:sz="8" w:space="0" w:color="AEAEAE"/>
              <w:left w:val="nil"/>
              <w:bottom w:val="nil"/>
              <w:right w:val="nil"/>
            </w:tcBorders>
            <w:shd w:val="clear" w:color="auto" w:fill="E0E0E0"/>
          </w:tcPr>
          <w:p w14:paraId="7E1C437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Error</w:t>
            </w:r>
          </w:p>
        </w:tc>
        <w:tc>
          <w:tcPr>
            <w:tcW w:w="1710" w:type="dxa"/>
            <w:tcBorders>
              <w:top w:val="single" w:sz="8" w:space="0" w:color="AEAEAE"/>
              <w:left w:val="nil"/>
              <w:bottom w:val="single" w:sz="8" w:space="0" w:color="AEAEAE"/>
              <w:right w:val="nil"/>
            </w:tcBorders>
            <w:shd w:val="clear" w:color="auto" w:fill="E0E0E0"/>
          </w:tcPr>
          <w:p w14:paraId="1D55D4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00B78E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599.076</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CE7FA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A7661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2.186</w:t>
            </w: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8565D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A097E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2DF029F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6C4F64A" w14:textId="77777777" w:rsidTr="00C7217E">
        <w:trPr>
          <w:cantSplit/>
        </w:trPr>
        <w:tc>
          <w:tcPr>
            <w:tcW w:w="1440" w:type="dxa"/>
            <w:vMerge/>
            <w:tcBorders>
              <w:top w:val="single" w:sz="8" w:space="0" w:color="AEAEAE"/>
              <w:left w:val="nil"/>
              <w:bottom w:val="nil"/>
              <w:right w:val="nil"/>
            </w:tcBorders>
            <w:shd w:val="clear" w:color="auto" w:fill="E0E0E0"/>
          </w:tcPr>
          <w:p w14:paraId="07BBBCA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4841FB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264D24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393.415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87347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986B9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1.436</w:t>
            </w: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8236A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78312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4401DE9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EF8E696" w14:textId="77777777" w:rsidTr="00C7217E">
        <w:trPr>
          <w:cantSplit/>
        </w:trPr>
        <w:tc>
          <w:tcPr>
            <w:tcW w:w="1440" w:type="dxa"/>
            <w:vMerge/>
            <w:tcBorders>
              <w:top w:val="single" w:sz="8" w:space="0" w:color="AEAEAE"/>
              <w:left w:val="nil"/>
              <w:bottom w:val="nil"/>
              <w:right w:val="nil"/>
            </w:tcBorders>
            <w:shd w:val="clear" w:color="auto" w:fill="E0E0E0"/>
          </w:tcPr>
          <w:p w14:paraId="1D29278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4EDE84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498E9C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565.912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F0F73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EC204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2.065</w:t>
            </w: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3D023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8A778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221872C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E943D3C" w14:textId="77777777" w:rsidTr="00C7217E">
        <w:trPr>
          <w:cantSplit/>
        </w:trPr>
        <w:tc>
          <w:tcPr>
            <w:tcW w:w="1440" w:type="dxa"/>
            <w:vMerge/>
            <w:tcBorders>
              <w:top w:val="single" w:sz="8" w:space="0" w:color="AEAEAE"/>
              <w:left w:val="nil"/>
              <w:bottom w:val="nil"/>
              <w:right w:val="nil"/>
            </w:tcBorders>
            <w:shd w:val="clear" w:color="auto" w:fill="E0E0E0"/>
          </w:tcPr>
          <w:p w14:paraId="4DB2C03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nil"/>
              <w:right w:val="nil"/>
            </w:tcBorders>
            <w:shd w:val="clear" w:color="auto" w:fill="E0E0E0"/>
          </w:tcPr>
          <w:p w14:paraId="5D85C3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6FA5CE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705.772</w:t>
            </w:r>
          </w:p>
        </w:tc>
        <w:tc>
          <w:tcPr>
            <w:tcW w:w="450" w:type="dxa"/>
            <w:tcBorders>
              <w:top w:val="single" w:sz="8" w:space="0" w:color="AEAEAE"/>
              <w:left w:val="single" w:sz="8" w:space="0" w:color="E0E0E0"/>
              <w:bottom w:val="nil"/>
              <w:right w:val="single" w:sz="8" w:space="0" w:color="E0E0E0"/>
            </w:tcBorders>
            <w:shd w:val="clear" w:color="auto" w:fill="FFFFFF"/>
          </w:tcPr>
          <w:p w14:paraId="46EA830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w:t>
            </w:r>
          </w:p>
        </w:tc>
        <w:tc>
          <w:tcPr>
            <w:tcW w:w="900" w:type="dxa"/>
            <w:tcBorders>
              <w:top w:val="single" w:sz="8" w:space="0" w:color="AEAEAE"/>
              <w:left w:val="single" w:sz="8" w:space="0" w:color="E0E0E0"/>
              <w:bottom w:val="nil"/>
              <w:right w:val="single" w:sz="8" w:space="0" w:color="E0E0E0"/>
            </w:tcBorders>
            <w:shd w:val="clear" w:color="auto" w:fill="FFFFFF"/>
          </w:tcPr>
          <w:p w14:paraId="2DB0804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2.576</w:t>
            </w:r>
          </w:p>
        </w:tc>
        <w:tc>
          <w:tcPr>
            <w:tcW w:w="720" w:type="dxa"/>
            <w:tcBorders>
              <w:top w:val="single" w:sz="8" w:space="0" w:color="AEAEAE"/>
              <w:left w:val="single" w:sz="8" w:space="0" w:color="E0E0E0"/>
              <w:bottom w:val="nil"/>
              <w:right w:val="single" w:sz="8" w:space="0" w:color="E0E0E0"/>
            </w:tcBorders>
            <w:shd w:val="clear" w:color="auto" w:fill="FFFFFF"/>
            <w:vAlign w:val="center"/>
          </w:tcPr>
          <w:p w14:paraId="6735DF2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nil"/>
              <w:right w:val="single" w:sz="8" w:space="0" w:color="E0E0E0"/>
            </w:tcBorders>
            <w:shd w:val="clear" w:color="auto" w:fill="FFFFFF"/>
            <w:vAlign w:val="center"/>
          </w:tcPr>
          <w:p w14:paraId="18BE162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nil"/>
              <w:right w:val="nil"/>
            </w:tcBorders>
            <w:shd w:val="clear" w:color="auto" w:fill="FFFFFF"/>
            <w:vAlign w:val="center"/>
          </w:tcPr>
          <w:p w14:paraId="4F64F19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AC589BB" w14:textId="77777777" w:rsidTr="00C7217E">
        <w:trPr>
          <w:cantSplit/>
        </w:trPr>
        <w:tc>
          <w:tcPr>
            <w:tcW w:w="1440" w:type="dxa"/>
            <w:vMerge w:val="restart"/>
            <w:tcBorders>
              <w:top w:val="single" w:sz="8" w:space="0" w:color="AEAEAE"/>
              <w:left w:val="nil"/>
              <w:bottom w:val="nil"/>
              <w:right w:val="nil"/>
            </w:tcBorders>
            <w:shd w:val="clear" w:color="auto" w:fill="E0E0E0"/>
          </w:tcPr>
          <w:p w14:paraId="47FE26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710" w:type="dxa"/>
            <w:tcBorders>
              <w:top w:val="single" w:sz="8" w:space="0" w:color="AEAEAE"/>
              <w:left w:val="nil"/>
              <w:bottom w:val="single" w:sz="8" w:space="0" w:color="AEAEAE"/>
              <w:right w:val="nil"/>
            </w:tcBorders>
            <w:shd w:val="clear" w:color="auto" w:fill="E0E0E0"/>
          </w:tcPr>
          <w:p w14:paraId="7C225D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4D58EE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5687.313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7B70E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A65F5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A41B1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AF374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5BE7E83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B17701B" w14:textId="77777777" w:rsidTr="00C7217E">
        <w:trPr>
          <w:cantSplit/>
        </w:trPr>
        <w:tc>
          <w:tcPr>
            <w:tcW w:w="1440" w:type="dxa"/>
            <w:vMerge/>
            <w:tcBorders>
              <w:top w:val="single" w:sz="8" w:space="0" w:color="AEAEAE"/>
              <w:left w:val="nil"/>
              <w:bottom w:val="nil"/>
              <w:right w:val="nil"/>
            </w:tcBorders>
            <w:shd w:val="clear" w:color="auto" w:fill="E0E0E0"/>
          </w:tcPr>
          <w:p w14:paraId="3741CAC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720C70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623890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2281.500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F11CE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2066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0BEC6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78B41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68A272B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196994A" w14:textId="77777777" w:rsidTr="00C7217E">
        <w:trPr>
          <w:cantSplit/>
        </w:trPr>
        <w:tc>
          <w:tcPr>
            <w:tcW w:w="1440" w:type="dxa"/>
            <w:vMerge/>
            <w:tcBorders>
              <w:top w:val="single" w:sz="8" w:space="0" w:color="AEAEAE"/>
              <w:left w:val="nil"/>
              <w:bottom w:val="nil"/>
              <w:right w:val="nil"/>
            </w:tcBorders>
            <w:shd w:val="clear" w:color="auto" w:fill="E0E0E0"/>
          </w:tcPr>
          <w:p w14:paraId="0D349A4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36100A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20813F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3853.360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96B44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2C6E1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889BE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D10F0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403A8F4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50D0F586" w14:textId="77777777" w:rsidTr="00C7217E">
        <w:trPr>
          <w:cantSplit/>
        </w:trPr>
        <w:tc>
          <w:tcPr>
            <w:tcW w:w="1440" w:type="dxa"/>
            <w:vMerge/>
            <w:tcBorders>
              <w:top w:val="single" w:sz="8" w:space="0" w:color="AEAEAE"/>
              <w:left w:val="nil"/>
              <w:bottom w:val="nil"/>
              <w:right w:val="nil"/>
            </w:tcBorders>
            <w:shd w:val="clear" w:color="auto" w:fill="E0E0E0"/>
          </w:tcPr>
          <w:p w14:paraId="29837C3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nil"/>
              <w:right w:val="nil"/>
            </w:tcBorders>
            <w:shd w:val="clear" w:color="auto" w:fill="E0E0E0"/>
          </w:tcPr>
          <w:p w14:paraId="3440CC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nil"/>
              <w:right w:val="single" w:sz="8" w:space="0" w:color="E0E0E0"/>
            </w:tcBorders>
            <w:shd w:val="clear" w:color="auto" w:fill="FFFFFF"/>
          </w:tcPr>
          <w:p w14:paraId="34EA98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6062.000</w:t>
            </w:r>
          </w:p>
        </w:tc>
        <w:tc>
          <w:tcPr>
            <w:tcW w:w="450" w:type="dxa"/>
            <w:tcBorders>
              <w:top w:val="single" w:sz="8" w:space="0" w:color="AEAEAE"/>
              <w:left w:val="single" w:sz="8" w:space="0" w:color="E0E0E0"/>
              <w:bottom w:val="nil"/>
              <w:right w:val="single" w:sz="8" w:space="0" w:color="E0E0E0"/>
            </w:tcBorders>
            <w:shd w:val="clear" w:color="auto" w:fill="FFFFFF"/>
          </w:tcPr>
          <w:p w14:paraId="26D696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900" w:type="dxa"/>
            <w:tcBorders>
              <w:top w:val="single" w:sz="8" w:space="0" w:color="AEAEAE"/>
              <w:left w:val="single" w:sz="8" w:space="0" w:color="E0E0E0"/>
              <w:bottom w:val="nil"/>
              <w:right w:val="single" w:sz="8" w:space="0" w:color="E0E0E0"/>
            </w:tcBorders>
            <w:shd w:val="clear" w:color="auto" w:fill="FFFFFF"/>
            <w:vAlign w:val="center"/>
          </w:tcPr>
          <w:p w14:paraId="115711E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nil"/>
              <w:right w:val="single" w:sz="8" w:space="0" w:color="E0E0E0"/>
            </w:tcBorders>
            <w:shd w:val="clear" w:color="auto" w:fill="FFFFFF"/>
            <w:vAlign w:val="center"/>
          </w:tcPr>
          <w:p w14:paraId="54556C2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nil"/>
              <w:right w:val="single" w:sz="8" w:space="0" w:color="E0E0E0"/>
            </w:tcBorders>
            <w:shd w:val="clear" w:color="auto" w:fill="FFFFFF"/>
            <w:vAlign w:val="center"/>
          </w:tcPr>
          <w:p w14:paraId="6C2313B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nil"/>
              <w:right w:val="nil"/>
            </w:tcBorders>
            <w:shd w:val="clear" w:color="auto" w:fill="FFFFFF"/>
            <w:vAlign w:val="center"/>
          </w:tcPr>
          <w:p w14:paraId="18B7735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8FE52DA" w14:textId="77777777" w:rsidTr="00C7217E">
        <w:trPr>
          <w:cantSplit/>
        </w:trPr>
        <w:tc>
          <w:tcPr>
            <w:tcW w:w="1440" w:type="dxa"/>
            <w:vMerge w:val="restart"/>
            <w:tcBorders>
              <w:top w:val="single" w:sz="8" w:space="0" w:color="AEAEAE"/>
              <w:left w:val="nil"/>
              <w:bottom w:val="single" w:sz="8" w:space="0" w:color="152935"/>
              <w:right w:val="nil"/>
            </w:tcBorders>
            <w:shd w:val="clear" w:color="auto" w:fill="E0E0E0"/>
          </w:tcPr>
          <w:p w14:paraId="7B67E7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Total</w:t>
            </w:r>
          </w:p>
        </w:tc>
        <w:tc>
          <w:tcPr>
            <w:tcW w:w="1710" w:type="dxa"/>
            <w:tcBorders>
              <w:top w:val="single" w:sz="8" w:space="0" w:color="AEAEAE"/>
              <w:left w:val="nil"/>
              <w:bottom w:val="single" w:sz="8" w:space="0" w:color="AEAEAE"/>
              <w:right w:val="nil"/>
            </w:tcBorders>
            <w:shd w:val="clear" w:color="auto" w:fill="E0E0E0"/>
          </w:tcPr>
          <w:p w14:paraId="5C2900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Image quality</w:t>
            </w:r>
          </w:p>
        </w:tc>
        <w:tc>
          <w:tcPr>
            <w:tcW w:w="1170" w:type="dxa"/>
            <w:tcBorders>
              <w:top w:val="single" w:sz="8" w:space="0" w:color="AEAEAE"/>
              <w:left w:val="nil"/>
              <w:bottom w:val="single" w:sz="8" w:space="0" w:color="AEAEAE"/>
              <w:right w:val="single" w:sz="8" w:space="0" w:color="E0E0E0"/>
            </w:tcBorders>
            <w:shd w:val="clear" w:color="auto" w:fill="FFFFFF"/>
          </w:tcPr>
          <w:p w14:paraId="2C118B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625.481</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8112B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B9C2B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6EB85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A3031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04B9DA7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2F5AC4A" w14:textId="77777777" w:rsidTr="00C7217E">
        <w:trPr>
          <w:cantSplit/>
        </w:trPr>
        <w:tc>
          <w:tcPr>
            <w:tcW w:w="1440" w:type="dxa"/>
            <w:vMerge/>
            <w:tcBorders>
              <w:top w:val="single" w:sz="8" w:space="0" w:color="AEAEAE"/>
              <w:left w:val="nil"/>
              <w:bottom w:val="single" w:sz="8" w:space="0" w:color="152935"/>
              <w:right w:val="nil"/>
            </w:tcBorders>
            <w:shd w:val="clear" w:color="auto" w:fill="E0E0E0"/>
          </w:tcPr>
          <w:p w14:paraId="7FBD76A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227E79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Engrossment</w:t>
            </w:r>
          </w:p>
        </w:tc>
        <w:tc>
          <w:tcPr>
            <w:tcW w:w="1170" w:type="dxa"/>
            <w:tcBorders>
              <w:top w:val="single" w:sz="8" w:space="0" w:color="AEAEAE"/>
              <w:left w:val="nil"/>
              <w:bottom w:val="single" w:sz="8" w:space="0" w:color="AEAEAE"/>
              <w:right w:val="single" w:sz="8" w:space="0" w:color="E0E0E0"/>
            </w:tcBorders>
            <w:shd w:val="clear" w:color="auto" w:fill="FFFFFF"/>
          </w:tcPr>
          <w:p w14:paraId="6909102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395.975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1BBE69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F1E82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634E0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B5F93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1926076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7942B08" w14:textId="77777777" w:rsidTr="00C7217E">
        <w:trPr>
          <w:cantSplit/>
        </w:trPr>
        <w:tc>
          <w:tcPr>
            <w:tcW w:w="1440" w:type="dxa"/>
            <w:vMerge/>
            <w:tcBorders>
              <w:top w:val="single" w:sz="8" w:space="0" w:color="AEAEAE"/>
              <w:left w:val="nil"/>
              <w:bottom w:val="single" w:sz="8" w:space="0" w:color="152935"/>
              <w:right w:val="nil"/>
            </w:tcBorders>
            <w:shd w:val="clear" w:color="auto" w:fill="E0E0E0"/>
          </w:tcPr>
          <w:p w14:paraId="05DF787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AEAEAE"/>
              <w:right w:val="nil"/>
            </w:tcBorders>
            <w:shd w:val="clear" w:color="auto" w:fill="E0E0E0"/>
          </w:tcPr>
          <w:p w14:paraId="691E12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Self–projection</w:t>
            </w:r>
          </w:p>
        </w:tc>
        <w:tc>
          <w:tcPr>
            <w:tcW w:w="1170" w:type="dxa"/>
            <w:tcBorders>
              <w:top w:val="single" w:sz="8" w:space="0" w:color="AEAEAE"/>
              <w:left w:val="nil"/>
              <w:bottom w:val="single" w:sz="8" w:space="0" w:color="AEAEAE"/>
              <w:right w:val="single" w:sz="8" w:space="0" w:color="E0E0E0"/>
            </w:tcBorders>
            <w:shd w:val="clear" w:color="auto" w:fill="FFFFFF"/>
          </w:tcPr>
          <w:p w14:paraId="41BB6F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571.320</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EC313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9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BE95A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80809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D1CE9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AEAEAE"/>
              <w:right w:val="nil"/>
            </w:tcBorders>
            <w:shd w:val="clear" w:color="auto" w:fill="FFFFFF"/>
            <w:vAlign w:val="center"/>
          </w:tcPr>
          <w:p w14:paraId="4DEE3C8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7C0CD35" w14:textId="77777777" w:rsidTr="00C7217E">
        <w:trPr>
          <w:cantSplit/>
        </w:trPr>
        <w:tc>
          <w:tcPr>
            <w:tcW w:w="1440" w:type="dxa"/>
            <w:vMerge/>
            <w:tcBorders>
              <w:top w:val="single" w:sz="8" w:space="0" w:color="AEAEAE"/>
              <w:left w:val="nil"/>
              <w:bottom w:val="single" w:sz="8" w:space="0" w:color="152935"/>
              <w:right w:val="nil"/>
            </w:tcBorders>
            <w:shd w:val="clear" w:color="auto" w:fill="E0E0E0"/>
          </w:tcPr>
          <w:p w14:paraId="1A43A9A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710" w:type="dxa"/>
            <w:tcBorders>
              <w:top w:val="single" w:sz="8" w:space="0" w:color="AEAEAE"/>
              <w:left w:val="nil"/>
              <w:bottom w:val="single" w:sz="8" w:space="0" w:color="152935"/>
              <w:right w:val="nil"/>
            </w:tcBorders>
            <w:shd w:val="clear" w:color="auto" w:fill="E0E0E0"/>
          </w:tcPr>
          <w:p w14:paraId="30D013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Mental fluency</w:t>
            </w:r>
          </w:p>
        </w:tc>
        <w:tc>
          <w:tcPr>
            <w:tcW w:w="1170" w:type="dxa"/>
            <w:tcBorders>
              <w:top w:val="single" w:sz="8" w:space="0" w:color="AEAEAE"/>
              <w:left w:val="nil"/>
              <w:bottom w:val="single" w:sz="8" w:space="0" w:color="152935"/>
              <w:right w:val="single" w:sz="8" w:space="0" w:color="E0E0E0"/>
            </w:tcBorders>
            <w:shd w:val="clear" w:color="auto" w:fill="FFFFFF"/>
          </w:tcPr>
          <w:p w14:paraId="398FD3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708.043</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5DC108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90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175D04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C4E77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EFF9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561" w:type="dxa"/>
            <w:tcBorders>
              <w:top w:val="single" w:sz="8" w:space="0" w:color="AEAEAE"/>
              <w:left w:val="single" w:sz="8" w:space="0" w:color="E0E0E0"/>
              <w:bottom w:val="single" w:sz="8" w:space="0" w:color="152935"/>
              <w:right w:val="nil"/>
            </w:tcBorders>
            <w:shd w:val="clear" w:color="auto" w:fill="FFFFFF"/>
            <w:vAlign w:val="center"/>
          </w:tcPr>
          <w:p w14:paraId="24464B3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7354D02" w14:textId="77777777" w:rsidTr="00C7217E">
        <w:trPr>
          <w:cantSplit/>
        </w:trPr>
        <w:tc>
          <w:tcPr>
            <w:tcW w:w="8491" w:type="dxa"/>
            <w:gridSpan w:val="8"/>
            <w:tcBorders>
              <w:top w:val="nil"/>
              <w:left w:val="nil"/>
              <w:bottom w:val="nil"/>
              <w:right w:val="nil"/>
            </w:tcBorders>
            <w:shd w:val="clear" w:color="auto" w:fill="FFFFFF"/>
          </w:tcPr>
          <w:p w14:paraId="7A8D3B9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R Squared = .042 (Adjusted R Squared = .032)</w:t>
            </w:r>
          </w:p>
        </w:tc>
      </w:tr>
      <w:tr w:rsidR="00C7217E" w:rsidRPr="00530906" w14:paraId="633DC906" w14:textId="77777777" w:rsidTr="00C7217E">
        <w:trPr>
          <w:cantSplit/>
        </w:trPr>
        <w:tc>
          <w:tcPr>
            <w:tcW w:w="8491" w:type="dxa"/>
            <w:gridSpan w:val="8"/>
            <w:tcBorders>
              <w:top w:val="nil"/>
              <w:left w:val="nil"/>
              <w:bottom w:val="nil"/>
              <w:right w:val="nil"/>
            </w:tcBorders>
            <w:shd w:val="clear" w:color="auto" w:fill="FFFFFF"/>
          </w:tcPr>
          <w:p w14:paraId="72D7FE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R Squared = .006 (Adjusted R Squared = –.004)</w:t>
            </w:r>
          </w:p>
        </w:tc>
      </w:tr>
      <w:tr w:rsidR="00C7217E" w:rsidRPr="00530906" w14:paraId="7E9E66FF" w14:textId="77777777" w:rsidTr="00C7217E">
        <w:trPr>
          <w:cantSplit/>
        </w:trPr>
        <w:tc>
          <w:tcPr>
            <w:tcW w:w="8491" w:type="dxa"/>
            <w:gridSpan w:val="8"/>
            <w:tcBorders>
              <w:top w:val="nil"/>
              <w:left w:val="nil"/>
              <w:bottom w:val="nil"/>
              <w:right w:val="nil"/>
            </w:tcBorders>
            <w:shd w:val="clear" w:color="auto" w:fill="FFFFFF"/>
          </w:tcPr>
          <w:p w14:paraId="5455E7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 R Squared = .009 (Adjusted R Squared = –.001)</w:t>
            </w:r>
          </w:p>
        </w:tc>
      </w:tr>
      <w:tr w:rsidR="00C7217E" w:rsidRPr="00530906" w14:paraId="0A051A0D" w14:textId="77777777" w:rsidTr="00C7217E">
        <w:trPr>
          <w:cantSplit/>
        </w:trPr>
        <w:tc>
          <w:tcPr>
            <w:tcW w:w="8491" w:type="dxa"/>
            <w:gridSpan w:val="8"/>
            <w:tcBorders>
              <w:top w:val="nil"/>
              <w:left w:val="nil"/>
              <w:bottom w:val="nil"/>
              <w:right w:val="nil"/>
            </w:tcBorders>
            <w:shd w:val="clear" w:color="auto" w:fill="FFFFFF"/>
          </w:tcPr>
          <w:p w14:paraId="1DE234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 R Squared = .003 (Adjusted R Squared = –.008)</w:t>
            </w:r>
          </w:p>
        </w:tc>
      </w:tr>
    </w:tbl>
    <w:p w14:paraId="00C50865" w14:textId="77777777" w:rsidR="00C7217E" w:rsidRPr="00530906" w:rsidRDefault="00C7217E" w:rsidP="008756B1">
      <w:pPr>
        <w:autoSpaceDE w:val="0"/>
        <w:autoSpaceDN w:val="0"/>
        <w:adjustRightInd w:val="0"/>
        <w:spacing w:after="0" w:line="400" w:lineRule="atLeast"/>
        <w:jc w:val="both"/>
        <w:rPr>
          <w:rFonts w:ascii="Cambria" w:eastAsia="Times New Roman" w:hAnsi="Cambria" w:cs="Times New Roman"/>
          <w:color w:val="000000"/>
          <w:sz w:val="24"/>
          <w:szCs w:val="24"/>
          <w:lang w:val="en-US"/>
        </w:rPr>
      </w:pPr>
    </w:p>
    <w:p w14:paraId="21DFA97D" w14:textId="1AE2DB8F" w:rsidR="00C7217E" w:rsidRPr="00530906" w:rsidRDefault="00C7217E" w:rsidP="008756B1">
      <w:pPr>
        <w:pStyle w:val="Heading2"/>
        <w:jc w:val="both"/>
        <w:rPr>
          <w:rFonts w:eastAsia="Times New Roman"/>
          <w:lang w:val="en-US"/>
        </w:rPr>
      </w:pPr>
      <w:bookmarkStart w:id="140" w:name="_Toc115726295"/>
      <w:r w:rsidRPr="00530906">
        <w:rPr>
          <w:rFonts w:eastAsia="Times New Roman"/>
          <w:lang w:val="en-US"/>
        </w:rPr>
        <w:t xml:space="preserve">Appendix </w:t>
      </w:r>
      <w:r w:rsidR="00F56020">
        <w:rPr>
          <w:rFonts w:eastAsia="Times New Roman"/>
          <w:lang w:val="en-US"/>
        </w:rPr>
        <w:t>4</w:t>
      </w:r>
      <w:r w:rsidRPr="00530906">
        <w:rPr>
          <w:rFonts w:eastAsia="Times New Roman"/>
          <w:lang w:val="en-US"/>
        </w:rPr>
        <w:t>.</w:t>
      </w:r>
      <w:r w:rsidR="007E6EF7" w:rsidRPr="00530906">
        <w:rPr>
          <w:rFonts w:eastAsia="Times New Roman"/>
          <w:lang w:val="en-US"/>
        </w:rPr>
        <w:t>2</w:t>
      </w:r>
      <w:r w:rsidRPr="00530906">
        <w:rPr>
          <w:rFonts w:eastAsia="Times New Roman"/>
          <w:lang w:val="en-US"/>
        </w:rPr>
        <w:t>. Regression analysis</w:t>
      </w:r>
      <w:bookmarkEnd w:id="140"/>
    </w:p>
    <w:p w14:paraId="1C75ECFE" w14:textId="60EDDFAC" w:rsidR="00C7217E" w:rsidRPr="00530906" w:rsidRDefault="00C7217E" w:rsidP="008756B1">
      <w:pPr>
        <w:pStyle w:val="Heading3"/>
        <w:jc w:val="both"/>
        <w:rPr>
          <w:rFonts w:eastAsia="Times New Roman"/>
          <w:lang w:val="en-US"/>
        </w:rPr>
      </w:pPr>
      <w:bookmarkStart w:id="141" w:name="_Toc115726296"/>
      <w:r w:rsidRPr="00530906">
        <w:rPr>
          <w:rFonts w:eastAsia="Times New Roman"/>
          <w:lang w:val="en-US"/>
        </w:rPr>
        <w:t>Regression analysis between ‘involvement’ and ‘image quality’</w:t>
      </w:r>
      <w:bookmarkEnd w:id="141"/>
    </w:p>
    <w:p w14:paraId="73117D50"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10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2"/>
        <w:gridCol w:w="1139"/>
        <w:gridCol w:w="221"/>
        <w:gridCol w:w="16"/>
        <w:gridCol w:w="28"/>
        <w:gridCol w:w="794"/>
        <w:gridCol w:w="80"/>
        <w:gridCol w:w="16"/>
        <w:gridCol w:w="52"/>
        <w:gridCol w:w="451"/>
        <w:gridCol w:w="252"/>
        <w:gridCol w:w="153"/>
        <w:gridCol w:w="16"/>
        <w:gridCol w:w="713"/>
        <w:gridCol w:w="214"/>
        <w:gridCol w:w="85"/>
        <w:gridCol w:w="16"/>
        <w:gridCol w:w="315"/>
        <w:gridCol w:w="368"/>
        <w:gridCol w:w="299"/>
        <w:gridCol w:w="293"/>
        <w:gridCol w:w="16"/>
        <w:gridCol w:w="454"/>
        <w:gridCol w:w="850"/>
        <w:gridCol w:w="746"/>
        <w:gridCol w:w="540"/>
        <w:gridCol w:w="450"/>
        <w:gridCol w:w="810"/>
        <w:gridCol w:w="450"/>
        <w:gridCol w:w="29"/>
      </w:tblGrid>
      <w:tr w:rsidR="00C7217E" w:rsidRPr="00530906" w14:paraId="2A322937" w14:textId="77777777" w:rsidTr="00EE722D">
        <w:trPr>
          <w:gridAfter w:val="15"/>
          <w:wAfter w:w="5721" w:type="dxa"/>
          <w:cantSplit/>
        </w:trPr>
        <w:tc>
          <w:tcPr>
            <w:tcW w:w="4467" w:type="dxa"/>
            <w:gridSpan w:val="16"/>
            <w:tcBorders>
              <w:top w:val="nil"/>
              <w:left w:val="nil"/>
              <w:bottom w:val="nil"/>
              <w:right w:val="nil"/>
            </w:tcBorders>
            <w:shd w:val="clear" w:color="auto" w:fill="FFFFFF"/>
            <w:vAlign w:val="center"/>
          </w:tcPr>
          <w:p w14:paraId="01014EA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1A6C9B11" w14:textId="77777777" w:rsidTr="00EE722D">
        <w:trPr>
          <w:gridAfter w:val="15"/>
          <w:wAfter w:w="5721" w:type="dxa"/>
          <w:cantSplit/>
        </w:trPr>
        <w:tc>
          <w:tcPr>
            <w:tcW w:w="322" w:type="dxa"/>
            <w:gridSpan w:val="2"/>
            <w:tcBorders>
              <w:top w:val="nil"/>
              <w:left w:val="nil"/>
              <w:bottom w:val="single" w:sz="8" w:space="0" w:color="152935"/>
              <w:right w:val="nil"/>
            </w:tcBorders>
            <w:shd w:val="clear" w:color="auto" w:fill="FFFFFF"/>
            <w:vAlign w:val="bottom"/>
          </w:tcPr>
          <w:p w14:paraId="6163FB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9" w:type="dxa"/>
            <w:tcBorders>
              <w:top w:val="nil"/>
              <w:left w:val="nil"/>
              <w:bottom w:val="single" w:sz="8" w:space="0" w:color="152935"/>
              <w:right w:val="single" w:sz="8" w:space="0" w:color="E0E0E0"/>
            </w:tcBorders>
            <w:shd w:val="clear" w:color="auto" w:fill="FFFFFF"/>
            <w:vAlign w:val="bottom"/>
          </w:tcPr>
          <w:p w14:paraId="53BBC3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7" w:type="dxa"/>
            <w:gridSpan w:val="7"/>
            <w:tcBorders>
              <w:top w:val="nil"/>
              <w:left w:val="single" w:sz="8" w:space="0" w:color="E0E0E0"/>
              <w:bottom w:val="single" w:sz="8" w:space="0" w:color="152935"/>
              <w:right w:val="single" w:sz="8" w:space="0" w:color="E0E0E0"/>
            </w:tcBorders>
            <w:shd w:val="clear" w:color="auto" w:fill="FFFFFF"/>
            <w:vAlign w:val="bottom"/>
          </w:tcPr>
          <w:p w14:paraId="65441F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703" w:type="dxa"/>
            <w:gridSpan w:val="2"/>
            <w:tcBorders>
              <w:top w:val="nil"/>
              <w:left w:val="single" w:sz="8" w:space="0" w:color="E0E0E0"/>
              <w:bottom w:val="single" w:sz="8" w:space="0" w:color="152935"/>
              <w:right w:val="single" w:sz="8" w:space="0" w:color="E0E0E0"/>
            </w:tcBorders>
            <w:shd w:val="clear" w:color="auto" w:fill="FFFFFF"/>
            <w:vAlign w:val="bottom"/>
          </w:tcPr>
          <w:p w14:paraId="017C76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096" w:type="dxa"/>
            <w:gridSpan w:val="4"/>
            <w:tcBorders>
              <w:top w:val="nil"/>
              <w:left w:val="single" w:sz="8" w:space="0" w:color="E0E0E0"/>
              <w:bottom w:val="single" w:sz="8" w:space="0" w:color="152935"/>
              <w:right w:val="nil"/>
            </w:tcBorders>
            <w:shd w:val="clear" w:color="auto" w:fill="FFFFFF"/>
            <w:vAlign w:val="bottom"/>
          </w:tcPr>
          <w:p w14:paraId="1EE6E1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421C5ADD" w14:textId="77777777" w:rsidTr="00EE722D">
        <w:trPr>
          <w:gridAfter w:val="15"/>
          <w:wAfter w:w="5721" w:type="dxa"/>
          <w:cantSplit/>
        </w:trPr>
        <w:tc>
          <w:tcPr>
            <w:tcW w:w="322" w:type="dxa"/>
            <w:gridSpan w:val="2"/>
            <w:tcBorders>
              <w:top w:val="single" w:sz="8" w:space="0" w:color="152935"/>
              <w:left w:val="nil"/>
              <w:bottom w:val="single" w:sz="8" w:space="0" w:color="152935"/>
              <w:right w:val="nil"/>
            </w:tcBorders>
            <w:shd w:val="clear" w:color="auto" w:fill="E0E0E0"/>
          </w:tcPr>
          <w:p w14:paraId="5385AB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9" w:type="dxa"/>
            <w:tcBorders>
              <w:top w:val="single" w:sz="8" w:space="0" w:color="152935"/>
              <w:left w:val="nil"/>
              <w:bottom w:val="single" w:sz="8" w:space="0" w:color="152935"/>
              <w:right w:val="single" w:sz="8" w:space="0" w:color="E0E0E0"/>
            </w:tcBorders>
            <w:shd w:val="clear" w:color="auto" w:fill="FFFFFF"/>
          </w:tcPr>
          <w:p w14:paraId="4A1B2C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.620</w:t>
            </w:r>
            <w:r w:rsidRPr="00530906">
              <w:rPr>
                <w:rFonts w:ascii="Cambria" w:eastAsia="Times New Roman" w:hAnsi="Cambria" w:cs="Times New Roman"/>
                <w:color w:val="000000"/>
                <w:sz w:val="18"/>
                <w:szCs w:val="18"/>
                <w:vertAlign w:val="superscript"/>
                <w:lang w:val="en-US"/>
              </w:rPr>
              <w:t>a</w:t>
            </w:r>
          </w:p>
        </w:tc>
        <w:tc>
          <w:tcPr>
            <w:tcW w:w="1207" w:type="dxa"/>
            <w:gridSpan w:val="7"/>
            <w:tcBorders>
              <w:top w:val="single" w:sz="8" w:space="0" w:color="152935"/>
              <w:left w:val="single" w:sz="8" w:space="0" w:color="E0E0E0"/>
              <w:bottom w:val="single" w:sz="8" w:space="0" w:color="152935"/>
              <w:right w:val="single" w:sz="8" w:space="0" w:color="E0E0E0"/>
            </w:tcBorders>
            <w:shd w:val="clear" w:color="auto" w:fill="FFFFFF"/>
          </w:tcPr>
          <w:p w14:paraId="0F778B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.384</w:t>
            </w:r>
          </w:p>
        </w:tc>
        <w:tc>
          <w:tcPr>
            <w:tcW w:w="703" w:type="dxa"/>
            <w:gridSpan w:val="2"/>
            <w:tcBorders>
              <w:top w:val="single" w:sz="8" w:space="0" w:color="152935"/>
              <w:left w:val="single" w:sz="8" w:space="0" w:color="E0E0E0"/>
              <w:bottom w:val="single" w:sz="8" w:space="0" w:color="152935"/>
              <w:right w:val="single" w:sz="8" w:space="0" w:color="E0E0E0"/>
            </w:tcBorders>
            <w:shd w:val="clear" w:color="auto" w:fill="FFFFFF"/>
          </w:tcPr>
          <w:p w14:paraId="7831A3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.382</w:t>
            </w:r>
          </w:p>
        </w:tc>
        <w:tc>
          <w:tcPr>
            <w:tcW w:w="1096" w:type="dxa"/>
            <w:gridSpan w:val="4"/>
            <w:tcBorders>
              <w:top w:val="single" w:sz="8" w:space="0" w:color="152935"/>
              <w:left w:val="single" w:sz="8" w:space="0" w:color="E0E0E0"/>
              <w:bottom w:val="single" w:sz="8" w:space="0" w:color="152935"/>
              <w:right w:val="nil"/>
            </w:tcBorders>
            <w:shd w:val="clear" w:color="auto" w:fill="FFFFFF"/>
          </w:tcPr>
          <w:p w14:paraId="235D01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1.18404</w:t>
            </w:r>
          </w:p>
        </w:tc>
      </w:tr>
      <w:tr w:rsidR="00C7217E" w:rsidRPr="00530906" w14:paraId="4AE7782F" w14:textId="77777777" w:rsidTr="00EE722D">
        <w:trPr>
          <w:gridAfter w:val="15"/>
          <w:wAfter w:w="5721" w:type="dxa"/>
          <w:cantSplit/>
        </w:trPr>
        <w:tc>
          <w:tcPr>
            <w:tcW w:w="4467" w:type="dxa"/>
            <w:gridSpan w:val="16"/>
            <w:tcBorders>
              <w:top w:val="nil"/>
              <w:left w:val="nil"/>
              <w:bottom w:val="nil"/>
              <w:right w:val="nil"/>
            </w:tcBorders>
            <w:shd w:val="clear" w:color="auto" w:fill="FFFFFF"/>
          </w:tcPr>
          <w:p w14:paraId="54D6AE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Involvement</w:t>
            </w:r>
          </w:p>
        </w:tc>
      </w:tr>
      <w:tr w:rsidR="00C7217E" w:rsidRPr="00530906" w14:paraId="210CC961" w14:textId="77777777" w:rsidTr="00EE722D">
        <w:trPr>
          <w:gridAfter w:val="15"/>
          <w:wAfter w:w="5721" w:type="dxa"/>
          <w:cantSplit/>
        </w:trPr>
        <w:tc>
          <w:tcPr>
            <w:tcW w:w="4467" w:type="dxa"/>
            <w:gridSpan w:val="16"/>
            <w:tcBorders>
              <w:top w:val="nil"/>
              <w:left w:val="nil"/>
              <w:bottom w:val="nil"/>
              <w:right w:val="nil"/>
            </w:tcBorders>
            <w:shd w:val="clear" w:color="auto" w:fill="FFFFFF"/>
          </w:tcPr>
          <w:p w14:paraId="2CFA7F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Image quality</w:t>
            </w:r>
          </w:p>
        </w:tc>
      </w:tr>
      <w:tr w:rsidR="00C7217E" w:rsidRPr="00530906" w14:paraId="5CBF547C" w14:textId="77777777" w:rsidTr="00EE722D">
        <w:trPr>
          <w:gridAfter w:val="9"/>
          <w:wAfter w:w="4345" w:type="dxa"/>
          <w:cantSplit/>
        </w:trPr>
        <w:tc>
          <w:tcPr>
            <w:tcW w:w="5843" w:type="dxa"/>
            <w:gridSpan w:val="22"/>
            <w:tcBorders>
              <w:top w:val="nil"/>
              <w:left w:val="nil"/>
              <w:bottom w:val="nil"/>
              <w:right w:val="nil"/>
            </w:tcBorders>
            <w:shd w:val="clear" w:color="auto" w:fill="FFFFFF"/>
            <w:vAlign w:val="center"/>
          </w:tcPr>
          <w:p w14:paraId="0296581F"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1EBE2258" w14:textId="77777777" w:rsidTr="00EE722D">
        <w:trPr>
          <w:gridAfter w:val="8"/>
          <w:wAfter w:w="4329" w:type="dxa"/>
          <w:cantSplit/>
        </w:trPr>
        <w:tc>
          <w:tcPr>
            <w:tcW w:w="1682" w:type="dxa"/>
            <w:gridSpan w:val="4"/>
            <w:tcBorders>
              <w:top w:val="nil"/>
              <w:left w:val="nil"/>
              <w:bottom w:val="single" w:sz="8" w:space="0" w:color="152935"/>
              <w:right w:val="nil"/>
            </w:tcBorders>
            <w:shd w:val="clear" w:color="auto" w:fill="FFFFFF"/>
            <w:vAlign w:val="bottom"/>
          </w:tcPr>
          <w:p w14:paraId="3318ED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918" w:type="dxa"/>
            <w:gridSpan w:val="4"/>
            <w:tcBorders>
              <w:top w:val="nil"/>
              <w:left w:val="nil"/>
              <w:bottom w:val="single" w:sz="8" w:space="0" w:color="152935"/>
              <w:right w:val="single" w:sz="8" w:space="0" w:color="E0E0E0"/>
            </w:tcBorders>
            <w:shd w:val="clear" w:color="auto" w:fill="FFFFFF"/>
            <w:vAlign w:val="bottom"/>
          </w:tcPr>
          <w:p w14:paraId="5E6A3F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924" w:type="dxa"/>
            <w:gridSpan w:val="5"/>
            <w:tcBorders>
              <w:top w:val="nil"/>
              <w:left w:val="single" w:sz="8" w:space="0" w:color="E0E0E0"/>
              <w:bottom w:val="single" w:sz="8" w:space="0" w:color="152935"/>
              <w:right w:val="single" w:sz="8" w:space="0" w:color="E0E0E0"/>
            </w:tcBorders>
            <w:shd w:val="clear" w:color="auto" w:fill="FFFFFF"/>
            <w:vAlign w:val="bottom"/>
          </w:tcPr>
          <w:p w14:paraId="2D1E99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028" w:type="dxa"/>
            <w:gridSpan w:val="4"/>
            <w:tcBorders>
              <w:top w:val="nil"/>
              <w:left w:val="single" w:sz="8" w:space="0" w:color="E0E0E0"/>
              <w:bottom w:val="single" w:sz="8" w:space="0" w:color="152935"/>
              <w:right w:val="single" w:sz="8" w:space="0" w:color="E0E0E0"/>
            </w:tcBorders>
            <w:shd w:val="clear" w:color="auto" w:fill="FFFFFF"/>
            <w:vAlign w:val="bottom"/>
          </w:tcPr>
          <w:p w14:paraId="09FC50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699" w:type="dxa"/>
            <w:gridSpan w:val="3"/>
            <w:tcBorders>
              <w:top w:val="nil"/>
              <w:left w:val="single" w:sz="8" w:space="0" w:color="E0E0E0"/>
              <w:bottom w:val="single" w:sz="8" w:space="0" w:color="152935"/>
              <w:right w:val="single" w:sz="8" w:space="0" w:color="E0E0E0"/>
            </w:tcBorders>
            <w:shd w:val="clear" w:color="auto" w:fill="FFFFFF"/>
            <w:vAlign w:val="bottom"/>
          </w:tcPr>
          <w:p w14:paraId="2FB7BF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608" w:type="dxa"/>
            <w:gridSpan w:val="3"/>
            <w:tcBorders>
              <w:top w:val="nil"/>
              <w:left w:val="single" w:sz="8" w:space="0" w:color="E0E0E0"/>
              <w:bottom w:val="single" w:sz="8" w:space="0" w:color="152935"/>
              <w:right w:val="nil"/>
            </w:tcBorders>
            <w:shd w:val="clear" w:color="auto" w:fill="FFFFFF"/>
            <w:vAlign w:val="bottom"/>
          </w:tcPr>
          <w:p w14:paraId="373C48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086E0250" w14:textId="77777777" w:rsidTr="00EE722D">
        <w:trPr>
          <w:gridAfter w:val="8"/>
          <w:wAfter w:w="4329" w:type="dxa"/>
          <w:cantSplit/>
        </w:trPr>
        <w:tc>
          <w:tcPr>
            <w:tcW w:w="270" w:type="dxa"/>
            <w:vMerge w:val="restart"/>
            <w:tcBorders>
              <w:top w:val="single" w:sz="8" w:space="0" w:color="152935"/>
              <w:left w:val="nil"/>
              <w:bottom w:val="single" w:sz="8" w:space="0" w:color="152935"/>
              <w:right w:val="nil"/>
            </w:tcBorders>
            <w:shd w:val="clear" w:color="auto" w:fill="E0E0E0"/>
          </w:tcPr>
          <w:p w14:paraId="7F3854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8" w:type="dxa"/>
            <w:gridSpan w:val="4"/>
            <w:tcBorders>
              <w:top w:val="single" w:sz="8" w:space="0" w:color="152935"/>
              <w:left w:val="nil"/>
              <w:bottom w:val="single" w:sz="8" w:space="0" w:color="AEAEAE"/>
              <w:right w:val="nil"/>
            </w:tcBorders>
            <w:shd w:val="clear" w:color="auto" w:fill="E0E0E0"/>
          </w:tcPr>
          <w:p w14:paraId="2F1248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918" w:type="dxa"/>
            <w:gridSpan w:val="4"/>
            <w:tcBorders>
              <w:top w:val="single" w:sz="8" w:space="0" w:color="152935"/>
              <w:left w:val="nil"/>
              <w:bottom w:val="single" w:sz="8" w:space="0" w:color="AEAEAE"/>
              <w:right w:val="single" w:sz="8" w:space="0" w:color="E0E0E0"/>
            </w:tcBorders>
            <w:shd w:val="clear" w:color="auto" w:fill="FFFFFF"/>
          </w:tcPr>
          <w:p w14:paraId="6B65C5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242.107</w:t>
            </w:r>
          </w:p>
        </w:tc>
        <w:tc>
          <w:tcPr>
            <w:tcW w:w="924" w:type="dxa"/>
            <w:gridSpan w:val="5"/>
            <w:tcBorders>
              <w:top w:val="single" w:sz="8" w:space="0" w:color="152935"/>
              <w:left w:val="single" w:sz="8" w:space="0" w:color="E0E0E0"/>
              <w:bottom w:val="single" w:sz="8" w:space="0" w:color="AEAEAE"/>
              <w:right w:val="single" w:sz="8" w:space="0" w:color="E0E0E0"/>
            </w:tcBorders>
            <w:shd w:val="clear" w:color="auto" w:fill="FFFFFF"/>
          </w:tcPr>
          <w:p w14:paraId="3A5D2D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028" w:type="dxa"/>
            <w:gridSpan w:val="4"/>
            <w:tcBorders>
              <w:top w:val="single" w:sz="8" w:space="0" w:color="152935"/>
              <w:left w:val="single" w:sz="8" w:space="0" w:color="E0E0E0"/>
              <w:bottom w:val="single" w:sz="8" w:space="0" w:color="AEAEAE"/>
              <w:right w:val="single" w:sz="8" w:space="0" w:color="E0E0E0"/>
            </w:tcBorders>
            <w:shd w:val="clear" w:color="auto" w:fill="FFFFFF"/>
          </w:tcPr>
          <w:p w14:paraId="23A1B5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242.107</w:t>
            </w:r>
          </w:p>
        </w:tc>
        <w:tc>
          <w:tcPr>
            <w:tcW w:w="683" w:type="dxa"/>
            <w:gridSpan w:val="2"/>
            <w:tcBorders>
              <w:top w:val="single" w:sz="8" w:space="0" w:color="152935"/>
              <w:left w:val="single" w:sz="8" w:space="0" w:color="E0E0E0"/>
              <w:bottom w:val="single" w:sz="8" w:space="0" w:color="AEAEAE"/>
              <w:right w:val="single" w:sz="8" w:space="0" w:color="E0E0E0"/>
            </w:tcBorders>
            <w:shd w:val="clear" w:color="auto" w:fill="FFFFFF"/>
          </w:tcPr>
          <w:p w14:paraId="0DC961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172.693</w:t>
            </w:r>
          </w:p>
        </w:tc>
        <w:tc>
          <w:tcPr>
            <w:tcW w:w="608" w:type="dxa"/>
            <w:gridSpan w:val="3"/>
            <w:tcBorders>
              <w:top w:val="single" w:sz="8" w:space="0" w:color="152935"/>
              <w:left w:val="single" w:sz="8" w:space="0" w:color="E0E0E0"/>
              <w:bottom w:val="single" w:sz="8" w:space="0" w:color="AEAEAE"/>
              <w:right w:val="nil"/>
            </w:tcBorders>
            <w:shd w:val="clear" w:color="auto" w:fill="FFFFFF"/>
          </w:tcPr>
          <w:p w14:paraId="01B143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453E1463" w14:textId="77777777" w:rsidTr="00EE722D">
        <w:trPr>
          <w:gridAfter w:val="8"/>
          <w:wAfter w:w="4329" w:type="dxa"/>
          <w:cantSplit/>
        </w:trPr>
        <w:tc>
          <w:tcPr>
            <w:tcW w:w="270" w:type="dxa"/>
            <w:vMerge/>
            <w:tcBorders>
              <w:top w:val="single" w:sz="8" w:space="0" w:color="152935"/>
              <w:left w:val="nil"/>
              <w:bottom w:val="single" w:sz="8" w:space="0" w:color="152935"/>
              <w:right w:val="nil"/>
            </w:tcBorders>
            <w:shd w:val="clear" w:color="auto" w:fill="E0E0E0"/>
          </w:tcPr>
          <w:p w14:paraId="7F5B67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8" w:type="dxa"/>
            <w:gridSpan w:val="4"/>
            <w:tcBorders>
              <w:top w:val="single" w:sz="8" w:space="0" w:color="AEAEAE"/>
              <w:left w:val="nil"/>
              <w:bottom w:val="single" w:sz="8" w:space="0" w:color="AEAEAE"/>
              <w:right w:val="nil"/>
            </w:tcBorders>
            <w:shd w:val="clear" w:color="auto" w:fill="E0E0E0"/>
          </w:tcPr>
          <w:p w14:paraId="70A01D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918" w:type="dxa"/>
            <w:gridSpan w:val="4"/>
            <w:tcBorders>
              <w:top w:val="single" w:sz="8" w:space="0" w:color="AEAEAE"/>
              <w:left w:val="nil"/>
              <w:bottom w:val="single" w:sz="8" w:space="0" w:color="AEAEAE"/>
              <w:right w:val="single" w:sz="8" w:space="0" w:color="E0E0E0"/>
            </w:tcBorders>
            <w:shd w:val="clear" w:color="auto" w:fill="FFFFFF"/>
          </w:tcPr>
          <w:p w14:paraId="49AAA5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388.342</w:t>
            </w:r>
          </w:p>
        </w:tc>
        <w:tc>
          <w:tcPr>
            <w:tcW w:w="924" w:type="dxa"/>
            <w:gridSpan w:val="5"/>
            <w:tcBorders>
              <w:top w:val="single" w:sz="8" w:space="0" w:color="AEAEAE"/>
              <w:left w:val="single" w:sz="8" w:space="0" w:color="E0E0E0"/>
              <w:bottom w:val="single" w:sz="8" w:space="0" w:color="AEAEAE"/>
              <w:right w:val="single" w:sz="8" w:space="0" w:color="E0E0E0"/>
            </w:tcBorders>
            <w:shd w:val="clear" w:color="auto" w:fill="FFFFFF"/>
          </w:tcPr>
          <w:p w14:paraId="32AD93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028" w:type="dxa"/>
            <w:gridSpan w:val="4"/>
            <w:tcBorders>
              <w:top w:val="single" w:sz="8" w:space="0" w:color="AEAEAE"/>
              <w:left w:val="single" w:sz="8" w:space="0" w:color="E0E0E0"/>
              <w:bottom w:val="single" w:sz="8" w:space="0" w:color="AEAEAE"/>
              <w:right w:val="single" w:sz="8" w:space="0" w:color="E0E0E0"/>
            </w:tcBorders>
            <w:shd w:val="clear" w:color="auto" w:fill="FFFFFF"/>
          </w:tcPr>
          <w:p w14:paraId="47FBAE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1.402</w:t>
            </w:r>
          </w:p>
        </w:tc>
        <w:tc>
          <w:tcPr>
            <w:tcW w:w="683"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D70C1E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08" w:type="dxa"/>
            <w:gridSpan w:val="3"/>
            <w:tcBorders>
              <w:top w:val="single" w:sz="8" w:space="0" w:color="AEAEAE"/>
              <w:left w:val="single" w:sz="8" w:space="0" w:color="E0E0E0"/>
              <w:bottom w:val="single" w:sz="8" w:space="0" w:color="AEAEAE"/>
              <w:right w:val="nil"/>
            </w:tcBorders>
            <w:shd w:val="clear" w:color="auto" w:fill="FFFFFF"/>
            <w:vAlign w:val="center"/>
          </w:tcPr>
          <w:p w14:paraId="09CAD44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E5E78FA" w14:textId="77777777" w:rsidTr="00EE722D">
        <w:trPr>
          <w:gridAfter w:val="8"/>
          <w:wAfter w:w="4329" w:type="dxa"/>
          <w:cantSplit/>
        </w:trPr>
        <w:tc>
          <w:tcPr>
            <w:tcW w:w="270" w:type="dxa"/>
            <w:vMerge/>
            <w:tcBorders>
              <w:top w:val="single" w:sz="8" w:space="0" w:color="152935"/>
              <w:left w:val="nil"/>
              <w:bottom w:val="single" w:sz="8" w:space="0" w:color="152935"/>
              <w:right w:val="nil"/>
            </w:tcBorders>
            <w:shd w:val="clear" w:color="auto" w:fill="E0E0E0"/>
          </w:tcPr>
          <w:p w14:paraId="79A0F21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8" w:type="dxa"/>
            <w:gridSpan w:val="4"/>
            <w:tcBorders>
              <w:top w:val="single" w:sz="8" w:space="0" w:color="AEAEAE"/>
              <w:left w:val="nil"/>
              <w:bottom w:val="single" w:sz="8" w:space="0" w:color="152935"/>
              <w:right w:val="nil"/>
            </w:tcBorders>
            <w:shd w:val="clear" w:color="auto" w:fill="E0E0E0"/>
          </w:tcPr>
          <w:p w14:paraId="2E73DA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918" w:type="dxa"/>
            <w:gridSpan w:val="4"/>
            <w:tcBorders>
              <w:top w:val="single" w:sz="8" w:space="0" w:color="AEAEAE"/>
              <w:left w:val="nil"/>
              <w:bottom w:val="single" w:sz="8" w:space="0" w:color="152935"/>
              <w:right w:val="single" w:sz="8" w:space="0" w:color="E0E0E0"/>
            </w:tcBorders>
            <w:shd w:val="clear" w:color="auto" w:fill="FFFFFF"/>
          </w:tcPr>
          <w:p w14:paraId="2D918C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630.449</w:t>
            </w:r>
          </w:p>
        </w:tc>
        <w:tc>
          <w:tcPr>
            <w:tcW w:w="924" w:type="dxa"/>
            <w:gridSpan w:val="5"/>
            <w:tcBorders>
              <w:top w:val="single" w:sz="8" w:space="0" w:color="AEAEAE"/>
              <w:left w:val="single" w:sz="8" w:space="0" w:color="E0E0E0"/>
              <w:bottom w:val="single" w:sz="8" w:space="0" w:color="152935"/>
              <w:right w:val="single" w:sz="8" w:space="0" w:color="E0E0E0"/>
            </w:tcBorders>
            <w:shd w:val="clear" w:color="auto" w:fill="FFFFFF"/>
          </w:tcPr>
          <w:p w14:paraId="43BC99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028"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35664C4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83"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089401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08" w:type="dxa"/>
            <w:gridSpan w:val="3"/>
            <w:tcBorders>
              <w:top w:val="single" w:sz="8" w:space="0" w:color="AEAEAE"/>
              <w:left w:val="single" w:sz="8" w:space="0" w:color="E0E0E0"/>
              <w:bottom w:val="single" w:sz="8" w:space="0" w:color="152935"/>
              <w:right w:val="nil"/>
            </w:tcBorders>
            <w:shd w:val="clear" w:color="auto" w:fill="FFFFFF"/>
            <w:vAlign w:val="center"/>
          </w:tcPr>
          <w:p w14:paraId="1C6BCB2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721FE53" w14:textId="77777777" w:rsidTr="00EE722D">
        <w:trPr>
          <w:gridAfter w:val="9"/>
          <w:wAfter w:w="4345" w:type="dxa"/>
          <w:cantSplit/>
        </w:trPr>
        <w:tc>
          <w:tcPr>
            <w:tcW w:w="5843" w:type="dxa"/>
            <w:gridSpan w:val="22"/>
            <w:tcBorders>
              <w:top w:val="nil"/>
              <w:left w:val="nil"/>
              <w:bottom w:val="nil"/>
              <w:right w:val="nil"/>
            </w:tcBorders>
            <w:shd w:val="clear" w:color="auto" w:fill="FFFFFF"/>
          </w:tcPr>
          <w:p w14:paraId="395403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Image quality</w:t>
            </w:r>
          </w:p>
        </w:tc>
      </w:tr>
      <w:tr w:rsidR="00C7217E" w:rsidRPr="00530906" w14:paraId="4A0FA231" w14:textId="77777777" w:rsidTr="00EE722D">
        <w:trPr>
          <w:gridAfter w:val="9"/>
          <w:wAfter w:w="4345" w:type="dxa"/>
          <w:cantSplit/>
        </w:trPr>
        <w:tc>
          <w:tcPr>
            <w:tcW w:w="5843" w:type="dxa"/>
            <w:gridSpan w:val="22"/>
            <w:tcBorders>
              <w:top w:val="nil"/>
              <w:left w:val="nil"/>
              <w:bottom w:val="nil"/>
              <w:right w:val="nil"/>
            </w:tcBorders>
            <w:shd w:val="clear" w:color="auto" w:fill="FFFFFF"/>
          </w:tcPr>
          <w:p w14:paraId="1E269A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Involvement</w:t>
            </w:r>
          </w:p>
        </w:tc>
      </w:tr>
      <w:tr w:rsidR="00C7217E" w:rsidRPr="00530906" w14:paraId="01FFE8F7" w14:textId="77777777" w:rsidTr="00EE722D">
        <w:trPr>
          <w:cantSplit/>
        </w:trPr>
        <w:tc>
          <w:tcPr>
            <w:tcW w:w="10188" w:type="dxa"/>
            <w:gridSpan w:val="31"/>
            <w:tcBorders>
              <w:top w:val="nil"/>
              <w:left w:val="nil"/>
              <w:bottom w:val="nil"/>
              <w:right w:val="nil"/>
            </w:tcBorders>
            <w:shd w:val="clear" w:color="auto" w:fill="FFFFFF"/>
            <w:vAlign w:val="center"/>
          </w:tcPr>
          <w:p w14:paraId="54CE1B7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112DCBBA" w14:textId="77777777" w:rsidTr="00EE722D">
        <w:trPr>
          <w:gridAfter w:val="1"/>
          <w:wAfter w:w="29" w:type="dxa"/>
          <w:cantSplit/>
        </w:trPr>
        <w:tc>
          <w:tcPr>
            <w:tcW w:w="1726" w:type="dxa"/>
            <w:gridSpan w:val="6"/>
            <w:vMerge w:val="restart"/>
            <w:tcBorders>
              <w:top w:val="nil"/>
              <w:left w:val="nil"/>
              <w:bottom w:val="nil"/>
              <w:right w:val="nil"/>
            </w:tcBorders>
            <w:shd w:val="clear" w:color="auto" w:fill="FFFFFF"/>
            <w:vAlign w:val="bottom"/>
          </w:tcPr>
          <w:p w14:paraId="51990B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393" w:type="dxa"/>
            <w:gridSpan w:val="5"/>
            <w:tcBorders>
              <w:top w:val="nil"/>
              <w:left w:val="nil"/>
              <w:bottom w:val="nil"/>
              <w:right w:val="single" w:sz="8" w:space="0" w:color="E0E0E0"/>
            </w:tcBorders>
            <w:shd w:val="clear" w:color="auto" w:fill="FFFFFF"/>
            <w:vAlign w:val="bottom"/>
          </w:tcPr>
          <w:p w14:paraId="775DB0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1134" w:type="dxa"/>
            <w:gridSpan w:val="4"/>
            <w:tcBorders>
              <w:top w:val="nil"/>
              <w:left w:val="single" w:sz="8" w:space="0" w:color="E0E0E0"/>
              <w:bottom w:val="nil"/>
              <w:right w:val="single" w:sz="8" w:space="0" w:color="E0E0E0"/>
            </w:tcBorders>
            <w:shd w:val="clear" w:color="auto" w:fill="FFFFFF"/>
            <w:vAlign w:val="bottom"/>
          </w:tcPr>
          <w:p w14:paraId="604C65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630" w:type="dxa"/>
            <w:gridSpan w:val="4"/>
            <w:vMerge w:val="restart"/>
            <w:tcBorders>
              <w:top w:val="nil"/>
              <w:left w:val="single" w:sz="8" w:space="0" w:color="E0E0E0"/>
              <w:bottom w:val="nil"/>
              <w:right w:val="single" w:sz="8" w:space="0" w:color="E0E0E0"/>
            </w:tcBorders>
            <w:shd w:val="clear" w:color="auto" w:fill="FFFFFF"/>
            <w:vAlign w:val="bottom"/>
          </w:tcPr>
          <w:p w14:paraId="6DDCC9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667" w:type="dxa"/>
            <w:gridSpan w:val="2"/>
            <w:vMerge w:val="restart"/>
            <w:tcBorders>
              <w:top w:val="nil"/>
              <w:left w:val="single" w:sz="8" w:space="0" w:color="E0E0E0"/>
              <w:bottom w:val="nil"/>
              <w:right w:val="single" w:sz="8" w:space="0" w:color="E0E0E0"/>
            </w:tcBorders>
            <w:shd w:val="clear" w:color="auto" w:fill="FFFFFF"/>
            <w:vAlign w:val="bottom"/>
          </w:tcPr>
          <w:p w14:paraId="4A29A8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613" w:type="dxa"/>
            <w:gridSpan w:val="4"/>
            <w:tcBorders>
              <w:top w:val="nil"/>
              <w:left w:val="single" w:sz="8" w:space="0" w:color="E0E0E0"/>
              <w:bottom w:val="nil"/>
              <w:right w:val="single" w:sz="8" w:space="0" w:color="E0E0E0"/>
            </w:tcBorders>
            <w:shd w:val="clear" w:color="auto" w:fill="FFFFFF"/>
            <w:vAlign w:val="bottom"/>
          </w:tcPr>
          <w:p w14:paraId="3B24DC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736" w:type="dxa"/>
            <w:gridSpan w:val="3"/>
            <w:tcBorders>
              <w:top w:val="nil"/>
              <w:left w:val="single" w:sz="8" w:space="0" w:color="E0E0E0"/>
              <w:bottom w:val="nil"/>
              <w:right w:val="single" w:sz="8" w:space="0" w:color="E0E0E0"/>
            </w:tcBorders>
            <w:shd w:val="clear" w:color="auto" w:fill="FFFFFF"/>
            <w:vAlign w:val="bottom"/>
          </w:tcPr>
          <w:p w14:paraId="1036746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141BFF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D905F9" w:rsidRPr="00530906" w14:paraId="76CF8B18" w14:textId="77777777" w:rsidTr="00725C35">
        <w:trPr>
          <w:gridAfter w:val="1"/>
          <w:wAfter w:w="29" w:type="dxa"/>
          <w:cantSplit/>
        </w:trPr>
        <w:tc>
          <w:tcPr>
            <w:tcW w:w="1726" w:type="dxa"/>
            <w:gridSpan w:val="6"/>
            <w:vMerge/>
            <w:tcBorders>
              <w:top w:val="nil"/>
              <w:left w:val="nil"/>
              <w:bottom w:val="nil"/>
              <w:right w:val="nil"/>
            </w:tcBorders>
            <w:shd w:val="clear" w:color="auto" w:fill="FFFFFF"/>
            <w:vAlign w:val="bottom"/>
          </w:tcPr>
          <w:p w14:paraId="24ED538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794" w:type="dxa"/>
            <w:tcBorders>
              <w:top w:val="nil"/>
              <w:left w:val="nil"/>
              <w:bottom w:val="single" w:sz="8" w:space="0" w:color="152935"/>
              <w:right w:val="single" w:sz="8" w:space="0" w:color="E0E0E0"/>
            </w:tcBorders>
            <w:shd w:val="clear" w:color="auto" w:fill="FFFFFF"/>
            <w:vAlign w:val="bottom"/>
          </w:tcPr>
          <w:p w14:paraId="3FAAE5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599" w:type="dxa"/>
            <w:gridSpan w:val="4"/>
            <w:tcBorders>
              <w:top w:val="nil"/>
              <w:left w:val="single" w:sz="8" w:space="0" w:color="E0E0E0"/>
              <w:bottom w:val="single" w:sz="8" w:space="0" w:color="152935"/>
              <w:right w:val="single" w:sz="8" w:space="0" w:color="E0E0E0"/>
            </w:tcBorders>
            <w:shd w:val="clear" w:color="auto" w:fill="FFFFFF"/>
            <w:vAlign w:val="bottom"/>
          </w:tcPr>
          <w:p w14:paraId="1A311A1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1134" w:type="dxa"/>
            <w:gridSpan w:val="4"/>
            <w:tcBorders>
              <w:top w:val="nil"/>
              <w:left w:val="single" w:sz="8" w:space="0" w:color="E0E0E0"/>
              <w:bottom w:val="single" w:sz="8" w:space="0" w:color="152935"/>
              <w:right w:val="single" w:sz="8" w:space="0" w:color="E0E0E0"/>
            </w:tcBorders>
            <w:shd w:val="clear" w:color="auto" w:fill="FFFFFF"/>
            <w:vAlign w:val="bottom"/>
          </w:tcPr>
          <w:p w14:paraId="68C379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630" w:type="dxa"/>
            <w:gridSpan w:val="4"/>
            <w:vMerge/>
            <w:tcBorders>
              <w:top w:val="nil"/>
              <w:left w:val="single" w:sz="8" w:space="0" w:color="E0E0E0"/>
              <w:bottom w:val="nil"/>
              <w:right w:val="single" w:sz="8" w:space="0" w:color="E0E0E0"/>
            </w:tcBorders>
            <w:shd w:val="clear" w:color="auto" w:fill="FFFFFF"/>
            <w:vAlign w:val="bottom"/>
          </w:tcPr>
          <w:p w14:paraId="2E27F1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67" w:type="dxa"/>
            <w:gridSpan w:val="2"/>
            <w:vMerge/>
            <w:tcBorders>
              <w:top w:val="nil"/>
              <w:left w:val="single" w:sz="8" w:space="0" w:color="E0E0E0"/>
              <w:bottom w:val="nil"/>
              <w:right w:val="single" w:sz="8" w:space="0" w:color="E0E0E0"/>
            </w:tcBorders>
            <w:shd w:val="clear" w:color="auto" w:fill="FFFFFF"/>
            <w:vAlign w:val="bottom"/>
          </w:tcPr>
          <w:p w14:paraId="4D76F4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763" w:type="dxa"/>
            <w:gridSpan w:val="3"/>
            <w:tcBorders>
              <w:top w:val="nil"/>
              <w:left w:val="single" w:sz="8" w:space="0" w:color="E0E0E0"/>
              <w:bottom w:val="single" w:sz="8" w:space="0" w:color="152935"/>
              <w:right w:val="single" w:sz="8" w:space="0" w:color="E0E0E0"/>
            </w:tcBorders>
            <w:shd w:val="clear" w:color="auto" w:fill="FFFFFF"/>
            <w:vAlign w:val="bottom"/>
          </w:tcPr>
          <w:p w14:paraId="6784CE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6CF31E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746" w:type="dxa"/>
            <w:tcBorders>
              <w:top w:val="nil"/>
              <w:left w:val="single" w:sz="8" w:space="0" w:color="E0E0E0"/>
              <w:bottom w:val="single" w:sz="8" w:space="0" w:color="152935"/>
              <w:right w:val="single" w:sz="8" w:space="0" w:color="E0E0E0"/>
            </w:tcBorders>
            <w:shd w:val="clear" w:color="auto" w:fill="FFFFFF"/>
            <w:vAlign w:val="bottom"/>
          </w:tcPr>
          <w:p w14:paraId="45F371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27667E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220129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21AB97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4ED906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D905F9" w:rsidRPr="00530906" w14:paraId="245785FB" w14:textId="77777777" w:rsidTr="00725C35">
        <w:trPr>
          <w:gridAfter w:val="1"/>
          <w:wAfter w:w="29" w:type="dxa"/>
          <w:cantSplit/>
        </w:trPr>
        <w:tc>
          <w:tcPr>
            <w:tcW w:w="270" w:type="dxa"/>
            <w:vMerge w:val="restart"/>
            <w:tcBorders>
              <w:top w:val="single" w:sz="8" w:space="0" w:color="152935"/>
              <w:left w:val="nil"/>
              <w:bottom w:val="single" w:sz="8" w:space="0" w:color="152935"/>
              <w:right w:val="nil"/>
            </w:tcBorders>
            <w:shd w:val="clear" w:color="auto" w:fill="E0E0E0"/>
          </w:tcPr>
          <w:p w14:paraId="13181D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56" w:type="dxa"/>
            <w:gridSpan w:val="5"/>
            <w:tcBorders>
              <w:top w:val="single" w:sz="8" w:space="0" w:color="152935"/>
              <w:left w:val="nil"/>
              <w:bottom w:val="single" w:sz="8" w:space="0" w:color="AEAEAE"/>
              <w:right w:val="nil"/>
            </w:tcBorders>
            <w:shd w:val="clear" w:color="auto" w:fill="E0E0E0"/>
          </w:tcPr>
          <w:p w14:paraId="1F26A1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794" w:type="dxa"/>
            <w:tcBorders>
              <w:top w:val="single" w:sz="8" w:space="0" w:color="152935"/>
              <w:left w:val="nil"/>
              <w:bottom w:val="single" w:sz="8" w:space="0" w:color="AEAEAE"/>
              <w:right w:val="single" w:sz="8" w:space="0" w:color="E0E0E0"/>
            </w:tcBorders>
            <w:shd w:val="clear" w:color="auto" w:fill="FFFFFF"/>
          </w:tcPr>
          <w:p w14:paraId="2809AF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.985</w:t>
            </w:r>
          </w:p>
        </w:tc>
        <w:tc>
          <w:tcPr>
            <w:tcW w:w="599" w:type="dxa"/>
            <w:gridSpan w:val="4"/>
            <w:tcBorders>
              <w:top w:val="single" w:sz="8" w:space="0" w:color="152935"/>
              <w:left w:val="single" w:sz="8" w:space="0" w:color="E0E0E0"/>
              <w:bottom w:val="single" w:sz="8" w:space="0" w:color="AEAEAE"/>
              <w:right w:val="single" w:sz="8" w:space="0" w:color="E0E0E0"/>
            </w:tcBorders>
            <w:shd w:val="clear" w:color="auto" w:fill="FFFFFF"/>
          </w:tcPr>
          <w:p w14:paraId="169125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.260</w:t>
            </w:r>
          </w:p>
        </w:tc>
        <w:tc>
          <w:tcPr>
            <w:tcW w:w="1134"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595425F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gridSpan w:val="4"/>
            <w:tcBorders>
              <w:top w:val="single" w:sz="8" w:space="0" w:color="152935"/>
              <w:left w:val="single" w:sz="8" w:space="0" w:color="E0E0E0"/>
              <w:bottom w:val="single" w:sz="8" w:space="0" w:color="AEAEAE"/>
              <w:right w:val="single" w:sz="8" w:space="0" w:color="E0E0E0"/>
            </w:tcBorders>
            <w:shd w:val="clear" w:color="auto" w:fill="FFFFFF"/>
          </w:tcPr>
          <w:p w14:paraId="0C41A7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3.784</w:t>
            </w:r>
          </w:p>
        </w:tc>
        <w:tc>
          <w:tcPr>
            <w:tcW w:w="667" w:type="dxa"/>
            <w:gridSpan w:val="2"/>
            <w:tcBorders>
              <w:top w:val="single" w:sz="8" w:space="0" w:color="152935"/>
              <w:left w:val="single" w:sz="8" w:space="0" w:color="E0E0E0"/>
              <w:bottom w:val="single" w:sz="8" w:space="0" w:color="AEAEAE"/>
              <w:right w:val="single" w:sz="8" w:space="0" w:color="E0E0E0"/>
            </w:tcBorders>
            <w:shd w:val="clear" w:color="auto" w:fill="FFFFFF"/>
          </w:tcPr>
          <w:p w14:paraId="4DC6EF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63" w:type="dxa"/>
            <w:gridSpan w:val="3"/>
            <w:tcBorders>
              <w:top w:val="single" w:sz="8" w:space="0" w:color="152935"/>
              <w:left w:val="single" w:sz="8" w:space="0" w:color="E0E0E0"/>
              <w:bottom w:val="single" w:sz="8" w:space="0" w:color="AEAEAE"/>
              <w:right w:val="single" w:sz="8" w:space="0" w:color="E0E0E0"/>
            </w:tcBorders>
            <w:shd w:val="clear" w:color="auto" w:fill="FFFFFF"/>
          </w:tcPr>
          <w:p w14:paraId="63CE6D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.472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15005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1.497</w:t>
            </w:r>
          </w:p>
        </w:tc>
        <w:tc>
          <w:tcPr>
            <w:tcW w:w="74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5E9A44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F4F670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30178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403D21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21A0793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D905F9" w:rsidRPr="00530906" w14:paraId="6E6D2E98" w14:textId="77777777" w:rsidTr="00725C35">
        <w:trPr>
          <w:gridAfter w:val="1"/>
          <w:wAfter w:w="29" w:type="dxa"/>
          <w:cantSplit/>
        </w:trPr>
        <w:tc>
          <w:tcPr>
            <w:tcW w:w="270" w:type="dxa"/>
            <w:vMerge/>
            <w:tcBorders>
              <w:top w:val="single" w:sz="8" w:space="0" w:color="152935"/>
              <w:left w:val="nil"/>
              <w:bottom w:val="single" w:sz="8" w:space="0" w:color="152935"/>
              <w:right w:val="nil"/>
            </w:tcBorders>
            <w:shd w:val="clear" w:color="auto" w:fill="E0E0E0"/>
          </w:tcPr>
          <w:p w14:paraId="4CBBB4D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56" w:type="dxa"/>
            <w:gridSpan w:val="5"/>
            <w:tcBorders>
              <w:top w:val="single" w:sz="8" w:space="0" w:color="AEAEAE"/>
              <w:left w:val="nil"/>
              <w:bottom w:val="single" w:sz="8" w:space="0" w:color="152935"/>
              <w:right w:val="nil"/>
            </w:tcBorders>
            <w:shd w:val="clear" w:color="auto" w:fill="E0E0E0"/>
          </w:tcPr>
          <w:p w14:paraId="581580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Involvement</w:t>
            </w:r>
          </w:p>
        </w:tc>
        <w:tc>
          <w:tcPr>
            <w:tcW w:w="794" w:type="dxa"/>
            <w:tcBorders>
              <w:top w:val="single" w:sz="8" w:space="0" w:color="AEAEAE"/>
              <w:left w:val="nil"/>
              <w:bottom w:val="single" w:sz="8" w:space="0" w:color="152935"/>
              <w:right w:val="single" w:sz="8" w:space="0" w:color="E0E0E0"/>
            </w:tcBorders>
            <w:shd w:val="clear" w:color="auto" w:fill="FFFFFF"/>
          </w:tcPr>
          <w:p w14:paraId="4C0123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.722</w:t>
            </w:r>
          </w:p>
        </w:tc>
        <w:tc>
          <w:tcPr>
            <w:tcW w:w="599" w:type="dxa"/>
            <w:gridSpan w:val="4"/>
            <w:tcBorders>
              <w:top w:val="single" w:sz="8" w:space="0" w:color="AEAEAE"/>
              <w:left w:val="single" w:sz="8" w:space="0" w:color="E0E0E0"/>
              <w:bottom w:val="single" w:sz="8" w:space="0" w:color="152935"/>
              <w:right w:val="single" w:sz="8" w:space="0" w:color="E0E0E0"/>
            </w:tcBorders>
            <w:shd w:val="clear" w:color="auto" w:fill="FFFFFF"/>
          </w:tcPr>
          <w:p w14:paraId="62BE9F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.055</w:t>
            </w:r>
          </w:p>
        </w:tc>
        <w:tc>
          <w:tcPr>
            <w:tcW w:w="1134" w:type="dxa"/>
            <w:gridSpan w:val="4"/>
            <w:tcBorders>
              <w:top w:val="single" w:sz="8" w:space="0" w:color="AEAEAE"/>
              <w:left w:val="single" w:sz="8" w:space="0" w:color="E0E0E0"/>
              <w:bottom w:val="single" w:sz="8" w:space="0" w:color="152935"/>
              <w:right w:val="single" w:sz="8" w:space="0" w:color="E0E0E0"/>
            </w:tcBorders>
            <w:shd w:val="clear" w:color="auto" w:fill="FFFFFF"/>
          </w:tcPr>
          <w:p w14:paraId="4605A7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.620</w:t>
            </w:r>
          </w:p>
        </w:tc>
        <w:tc>
          <w:tcPr>
            <w:tcW w:w="630" w:type="dxa"/>
            <w:gridSpan w:val="4"/>
            <w:tcBorders>
              <w:top w:val="single" w:sz="8" w:space="0" w:color="AEAEAE"/>
              <w:left w:val="single" w:sz="8" w:space="0" w:color="E0E0E0"/>
              <w:bottom w:val="single" w:sz="8" w:space="0" w:color="152935"/>
              <w:right w:val="single" w:sz="8" w:space="0" w:color="E0E0E0"/>
            </w:tcBorders>
            <w:shd w:val="clear" w:color="auto" w:fill="FFFFFF"/>
          </w:tcPr>
          <w:p w14:paraId="61E9A2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13.141</w:t>
            </w:r>
          </w:p>
        </w:tc>
        <w:tc>
          <w:tcPr>
            <w:tcW w:w="667" w:type="dxa"/>
            <w:gridSpan w:val="2"/>
            <w:tcBorders>
              <w:top w:val="single" w:sz="8" w:space="0" w:color="AEAEAE"/>
              <w:left w:val="single" w:sz="8" w:space="0" w:color="E0E0E0"/>
              <w:bottom w:val="single" w:sz="8" w:space="0" w:color="152935"/>
              <w:right w:val="single" w:sz="8" w:space="0" w:color="E0E0E0"/>
            </w:tcBorders>
            <w:shd w:val="clear" w:color="auto" w:fill="FFFFFF"/>
          </w:tcPr>
          <w:p w14:paraId="5B0C49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63" w:type="dxa"/>
            <w:gridSpan w:val="3"/>
            <w:tcBorders>
              <w:top w:val="single" w:sz="8" w:space="0" w:color="AEAEAE"/>
              <w:left w:val="single" w:sz="8" w:space="0" w:color="E0E0E0"/>
              <w:bottom w:val="single" w:sz="8" w:space="0" w:color="152935"/>
              <w:right w:val="single" w:sz="8" w:space="0" w:color="E0E0E0"/>
            </w:tcBorders>
            <w:shd w:val="clear" w:color="auto" w:fill="FFFFFF"/>
          </w:tcPr>
          <w:p w14:paraId="016483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.614</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818D3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.830</w:t>
            </w:r>
          </w:p>
        </w:tc>
        <w:tc>
          <w:tcPr>
            <w:tcW w:w="746" w:type="dxa"/>
            <w:tcBorders>
              <w:top w:val="single" w:sz="8" w:space="0" w:color="AEAEAE"/>
              <w:left w:val="single" w:sz="8" w:space="0" w:color="E0E0E0"/>
              <w:bottom w:val="single" w:sz="8" w:space="0" w:color="152935"/>
              <w:right w:val="single" w:sz="8" w:space="0" w:color="E0E0E0"/>
            </w:tcBorders>
            <w:shd w:val="clear" w:color="auto" w:fill="FFFFFF"/>
          </w:tcPr>
          <w:p w14:paraId="3B8815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.620</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6EBD113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.620</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664AB9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.620</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5BAF15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450" w:type="dxa"/>
            <w:tcBorders>
              <w:top w:val="single" w:sz="8" w:space="0" w:color="AEAEAE"/>
              <w:left w:val="single" w:sz="8" w:space="0" w:color="E0E0E0"/>
              <w:bottom w:val="single" w:sz="8" w:space="0" w:color="152935"/>
              <w:right w:val="nil"/>
            </w:tcBorders>
            <w:shd w:val="clear" w:color="auto" w:fill="FFFFFF"/>
          </w:tcPr>
          <w:p w14:paraId="66C9FF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67BFC51E" w14:textId="77777777" w:rsidTr="00EE722D">
        <w:trPr>
          <w:cantSplit/>
        </w:trPr>
        <w:tc>
          <w:tcPr>
            <w:tcW w:w="10188" w:type="dxa"/>
            <w:gridSpan w:val="31"/>
            <w:tcBorders>
              <w:top w:val="nil"/>
              <w:left w:val="nil"/>
              <w:bottom w:val="nil"/>
              <w:right w:val="nil"/>
            </w:tcBorders>
            <w:shd w:val="clear" w:color="auto" w:fill="FFFFFF"/>
          </w:tcPr>
          <w:p w14:paraId="6DA180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Image quality</w:t>
            </w:r>
          </w:p>
        </w:tc>
      </w:tr>
    </w:tbl>
    <w:p w14:paraId="42FA10B3" w14:textId="77777777" w:rsidR="00C7217E" w:rsidRPr="00530906" w:rsidRDefault="00C7217E" w:rsidP="008756B1">
      <w:pPr>
        <w:autoSpaceDE w:val="0"/>
        <w:autoSpaceDN w:val="0"/>
        <w:adjustRightInd w:val="0"/>
        <w:spacing w:after="0" w:line="400" w:lineRule="atLeast"/>
        <w:jc w:val="both"/>
        <w:rPr>
          <w:rFonts w:ascii="Cambria" w:eastAsia="Times New Roman" w:hAnsi="Cambria" w:cs="Times New Roman"/>
          <w:color w:val="000000"/>
          <w:sz w:val="24"/>
          <w:szCs w:val="24"/>
          <w:lang w:val="en-US"/>
        </w:rPr>
      </w:pPr>
    </w:p>
    <w:p w14:paraId="0E5F8616" w14:textId="4429F66B" w:rsidR="00C7217E" w:rsidRPr="00530906" w:rsidRDefault="00C7217E" w:rsidP="008756B1">
      <w:pPr>
        <w:pStyle w:val="Heading3"/>
        <w:jc w:val="both"/>
        <w:rPr>
          <w:rFonts w:eastAsia="Times New Roman"/>
          <w:lang w:val="en-US"/>
        </w:rPr>
      </w:pPr>
      <w:bookmarkStart w:id="142" w:name="_Toc115726297"/>
      <w:r w:rsidRPr="00530906">
        <w:rPr>
          <w:rFonts w:eastAsia="Times New Roman"/>
          <w:lang w:val="en-US"/>
        </w:rPr>
        <w:t>Regression analysis between ‘involvement’ and ‘engrossment’</w:t>
      </w:r>
      <w:bookmarkEnd w:id="142"/>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6"/>
        <w:gridCol w:w="68"/>
        <w:gridCol w:w="376"/>
        <w:gridCol w:w="450"/>
        <w:gridCol w:w="313"/>
        <w:gridCol w:w="221"/>
        <w:gridCol w:w="366"/>
        <w:gridCol w:w="620"/>
        <w:gridCol w:w="370"/>
        <w:gridCol w:w="276"/>
        <w:gridCol w:w="174"/>
        <w:gridCol w:w="450"/>
        <w:gridCol w:w="362"/>
        <w:gridCol w:w="153"/>
        <w:gridCol w:w="205"/>
        <w:gridCol w:w="990"/>
        <w:gridCol w:w="374"/>
        <w:gridCol w:w="85"/>
        <w:gridCol w:w="483"/>
        <w:gridCol w:w="48"/>
        <w:gridCol w:w="630"/>
        <w:gridCol w:w="117"/>
        <w:gridCol w:w="333"/>
        <w:gridCol w:w="900"/>
        <w:gridCol w:w="720"/>
      </w:tblGrid>
      <w:tr w:rsidR="00C7217E" w:rsidRPr="00530906" w14:paraId="19745DBC" w14:textId="77777777" w:rsidTr="00C7217E">
        <w:trPr>
          <w:gridAfter w:val="8"/>
          <w:wAfter w:w="3316" w:type="dxa"/>
          <w:cantSplit/>
        </w:trPr>
        <w:tc>
          <w:tcPr>
            <w:tcW w:w="6584" w:type="dxa"/>
            <w:gridSpan w:val="18"/>
            <w:tcBorders>
              <w:top w:val="nil"/>
              <w:left w:val="nil"/>
              <w:bottom w:val="nil"/>
              <w:right w:val="nil"/>
            </w:tcBorders>
            <w:shd w:val="clear" w:color="auto" w:fill="FFFFFF"/>
            <w:vAlign w:val="center"/>
          </w:tcPr>
          <w:p w14:paraId="01A7B26B"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39D85D43" w14:textId="77777777" w:rsidTr="00C7217E">
        <w:trPr>
          <w:gridAfter w:val="8"/>
          <w:wAfter w:w="3316" w:type="dxa"/>
          <w:cantSplit/>
        </w:trPr>
        <w:tc>
          <w:tcPr>
            <w:tcW w:w="884" w:type="dxa"/>
            <w:gridSpan w:val="3"/>
            <w:tcBorders>
              <w:top w:val="nil"/>
              <w:left w:val="nil"/>
              <w:bottom w:val="single" w:sz="8" w:space="0" w:color="152935"/>
              <w:right w:val="nil"/>
            </w:tcBorders>
            <w:shd w:val="clear" w:color="auto" w:fill="FFFFFF"/>
            <w:vAlign w:val="bottom"/>
          </w:tcPr>
          <w:p w14:paraId="203CA4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9" w:type="dxa"/>
            <w:gridSpan w:val="3"/>
            <w:tcBorders>
              <w:top w:val="nil"/>
              <w:left w:val="nil"/>
              <w:bottom w:val="single" w:sz="8" w:space="0" w:color="152935"/>
              <w:right w:val="single" w:sz="8" w:space="0" w:color="E0E0E0"/>
            </w:tcBorders>
            <w:shd w:val="clear" w:color="auto" w:fill="FFFFFF"/>
            <w:vAlign w:val="bottom"/>
          </w:tcPr>
          <w:p w14:paraId="518E17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7" w:type="dxa"/>
            <w:gridSpan w:val="3"/>
            <w:tcBorders>
              <w:top w:val="nil"/>
              <w:left w:val="single" w:sz="8" w:space="0" w:color="E0E0E0"/>
              <w:bottom w:val="single" w:sz="8" w:space="0" w:color="152935"/>
              <w:right w:val="single" w:sz="8" w:space="0" w:color="E0E0E0"/>
            </w:tcBorders>
            <w:shd w:val="clear" w:color="auto" w:fill="FFFFFF"/>
            <w:vAlign w:val="bottom"/>
          </w:tcPr>
          <w:p w14:paraId="5334F8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2" w:type="dxa"/>
            <w:gridSpan w:val="5"/>
            <w:tcBorders>
              <w:top w:val="nil"/>
              <w:left w:val="single" w:sz="8" w:space="0" w:color="E0E0E0"/>
              <w:bottom w:val="single" w:sz="8" w:space="0" w:color="152935"/>
              <w:right w:val="single" w:sz="8" w:space="0" w:color="E0E0E0"/>
            </w:tcBorders>
            <w:shd w:val="clear" w:color="auto" w:fill="FFFFFF"/>
            <w:vAlign w:val="bottom"/>
          </w:tcPr>
          <w:p w14:paraId="32216B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22" w:type="dxa"/>
            <w:gridSpan w:val="4"/>
            <w:tcBorders>
              <w:top w:val="nil"/>
              <w:left w:val="single" w:sz="8" w:space="0" w:color="E0E0E0"/>
              <w:bottom w:val="single" w:sz="8" w:space="0" w:color="152935"/>
              <w:right w:val="nil"/>
            </w:tcBorders>
            <w:shd w:val="clear" w:color="auto" w:fill="FFFFFF"/>
            <w:vAlign w:val="bottom"/>
          </w:tcPr>
          <w:p w14:paraId="47198A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4C5C56E3" w14:textId="77777777" w:rsidTr="00C7217E">
        <w:trPr>
          <w:gridAfter w:val="8"/>
          <w:wAfter w:w="3316" w:type="dxa"/>
          <w:cantSplit/>
        </w:trPr>
        <w:tc>
          <w:tcPr>
            <w:tcW w:w="884" w:type="dxa"/>
            <w:gridSpan w:val="3"/>
            <w:tcBorders>
              <w:top w:val="single" w:sz="8" w:space="0" w:color="152935"/>
              <w:left w:val="nil"/>
              <w:bottom w:val="single" w:sz="8" w:space="0" w:color="152935"/>
              <w:right w:val="nil"/>
            </w:tcBorders>
            <w:shd w:val="clear" w:color="auto" w:fill="E0E0E0"/>
          </w:tcPr>
          <w:p w14:paraId="3C7EA1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9" w:type="dxa"/>
            <w:gridSpan w:val="3"/>
            <w:tcBorders>
              <w:top w:val="single" w:sz="8" w:space="0" w:color="152935"/>
              <w:left w:val="nil"/>
              <w:bottom w:val="single" w:sz="8" w:space="0" w:color="152935"/>
              <w:right w:val="single" w:sz="8" w:space="0" w:color="E0E0E0"/>
            </w:tcBorders>
            <w:shd w:val="clear" w:color="auto" w:fill="FFFFFF"/>
          </w:tcPr>
          <w:p w14:paraId="6111A3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r w:rsidRPr="00530906">
              <w:rPr>
                <w:rFonts w:ascii="Cambria" w:eastAsia="Times New Roman" w:hAnsi="Cambria" w:cs="Times New Roman"/>
                <w:color w:val="000000"/>
                <w:sz w:val="18"/>
                <w:szCs w:val="18"/>
                <w:vertAlign w:val="superscript"/>
                <w:lang w:val="en-US"/>
              </w:rPr>
              <w:t>a</w:t>
            </w:r>
          </w:p>
        </w:tc>
        <w:tc>
          <w:tcPr>
            <w:tcW w:w="1207" w:type="dxa"/>
            <w:gridSpan w:val="3"/>
            <w:tcBorders>
              <w:top w:val="single" w:sz="8" w:space="0" w:color="152935"/>
              <w:left w:val="single" w:sz="8" w:space="0" w:color="E0E0E0"/>
              <w:bottom w:val="single" w:sz="8" w:space="0" w:color="152935"/>
              <w:right w:val="single" w:sz="8" w:space="0" w:color="E0E0E0"/>
            </w:tcBorders>
            <w:shd w:val="clear" w:color="auto" w:fill="FFFFFF"/>
          </w:tcPr>
          <w:p w14:paraId="7CA89C9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.046</w:t>
            </w:r>
          </w:p>
        </w:tc>
        <w:tc>
          <w:tcPr>
            <w:tcW w:w="1632" w:type="dxa"/>
            <w:gridSpan w:val="5"/>
            <w:tcBorders>
              <w:top w:val="single" w:sz="8" w:space="0" w:color="152935"/>
              <w:left w:val="single" w:sz="8" w:space="0" w:color="E0E0E0"/>
              <w:bottom w:val="single" w:sz="8" w:space="0" w:color="152935"/>
              <w:right w:val="single" w:sz="8" w:space="0" w:color="E0E0E0"/>
            </w:tcBorders>
            <w:shd w:val="clear" w:color="auto" w:fill="FFFFFF"/>
          </w:tcPr>
          <w:p w14:paraId="6B8CEEA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.042</w:t>
            </w:r>
          </w:p>
        </w:tc>
        <w:tc>
          <w:tcPr>
            <w:tcW w:w="1722" w:type="dxa"/>
            <w:gridSpan w:val="4"/>
            <w:tcBorders>
              <w:top w:val="single" w:sz="8" w:space="0" w:color="152935"/>
              <w:left w:val="single" w:sz="8" w:space="0" w:color="E0E0E0"/>
              <w:bottom w:val="single" w:sz="8" w:space="0" w:color="152935"/>
              <w:right w:val="nil"/>
            </w:tcBorders>
            <w:shd w:val="clear" w:color="auto" w:fill="FFFFFF"/>
          </w:tcPr>
          <w:p w14:paraId="18AD53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1.18009</w:t>
            </w:r>
          </w:p>
        </w:tc>
      </w:tr>
      <w:tr w:rsidR="00C7217E" w:rsidRPr="00530906" w14:paraId="39BD51C2" w14:textId="77777777" w:rsidTr="00C7217E">
        <w:trPr>
          <w:gridAfter w:val="8"/>
          <w:wAfter w:w="3316" w:type="dxa"/>
          <w:cantSplit/>
        </w:trPr>
        <w:tc>
          <w:tcPr>
            <w:tcW w:w="6584" w:type="dxa"/>
            <w:gridSpan w:val="18"/>
            <w:tcBorders>
              <w:top w:val="nil"/>
              <w:left w:val="nil"/>
              <w:bottom w:val="nil"/>
              <w:right w:val="nil"/>
            </w:tcBorders>
            <w:shd w:val="clear" w:color="auto" w:fill="FFFFFF"/>
          </w:tcPr>
          <w:p w14:paraId="0D7E1A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Involvement</w:t>
            </w:r>
          </w:p>
        </w:tc>
      </w:tr>
      <w:tr w:rsidR="00C7217E" w:rsidRPr="00530906" w14:paraId="3C65A33E" w14:textId="77777777" w:rsidTr="00C7217E">
        <w:trPr>
          <w:gridAfter w:val="8"/>
          <w:wAfter w:w="3316" w:type="dxa"/>
          <w:cantSplit/>
        </w:trPr>
        <w:tc>
          <w:tcPr>
            <w:tcW w:w="6584" w:type="dxa"/>
            <w:gridSpan w:val="18"/>
            <w:tcBorders>
              <w:top w:val="nil"/>
              <w:left w:val="nil"/>
              <w:bottom w:val="nil"/>
              <w:right w:val="nil"/>
            </w:tcBorders>
            <w:shd w:val="clear" w:color="auto" w:fill="FFFFFF"/>
          </w:tcPr>
          <w:p w14:paraId="2EF65D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Engrossment</w:t>
            </w:r>
          </w:p>
        </w:tc>
      </w:tr>
      <w:tr w:rsidR="00C7217E" w:rsidRPr="00530906" w14:paraId="4F53DCEE" w14:textId="77777777" w:rsidTr="00C7217E">
        <w:trPr>
          <w:gridAfter w:val="3"/>
          <w:wAfter w:w="1953" w:type="dxa"/>
          <w:cantSplit/>
        </w:trPr>
        <w:tc>
          <w:tcPr>
            <w:tcW w:w="7947" w:type="dxa"/>
            <w:gridSpan w:val="23"/>
            <w:tcBorders>
              <w:top w:val="nil"/>
              <w:left w:val="nil"/>
              <w:bottom w:val="nil"/>
              <w:right w:val="nil"/>
            </w:tcBorders>
            <w:shd w:val="clear" w:color="auto" w:fill="FFFFFF"/>
            <w:vAlign w:val="center"/>
          </w:tcPr>
          <w:p w14:paraId="223466AE"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032F3D64" w14:textId="77777777" w:rsidTr="00C7217E">
        <w:trPr>
          <w:gridAfter w:val="3"/>
          <w:wAfter w:w="1953" w:type="dxa"/>
          <w:cantSplit/>
        </w:trPr>
        <w:tc>
          <w:tcPr>
            <w:tcW w:w="2244" w:type="dxa"/>
            <w:gridSpan w:val="7"/>
            <w:tcBorders>
              <w:top w:val="nil"/>
              <w:left w:val="nil"/>
              <w:bottom w:val="single" w:sz="8" w:space="0" w:color="152935"/>
              <w:right w:val="nil"/>
            </w:tcBorders>
            <w:shd w:val="clear" w:color="auto" w:fill="FFFFFF"/>
            <w:vAlign w:val="bottom"/>
          </w:tcPr>
          <w:p w14:paraId="5F4F67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2" w:type="dxa"/>
            <w:gridSpan w:val="4"/>
            <w:tcBorders>
              <w:top w:val="nil"/>
              <w:left w:val="nil"/>
              <w:bottom w:val="single" w:sz="8" w:space="0" w:color="152935"/>
              <w:right w:val="single" w:sz="8" w:space="0" w:color="E0E0E0"/>
            </w:tcBorders>
            <w:shd w:val="clear" w:color="auto" w:fill="FFFFFF"/>
            <w:vAlign w:val="bottom"/>
          </w:tcPr>
          <w:p w14:paraId="043DFB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9" w:type="dxa"/>
            <w:gridSpan w:val="4"/>
            <w:tcBorders>
              <w:top w:val="nil"/>
              <w:left w:val="single" w:sz="8" w:space="0" w:color="E0E0E0"/>
              <w:bottom w:val="single" w:sz="8" w:space="0" w:color="152935"/>
              <w:right w:val="single" w:sz="8" w:space="0" w:color="E0E0E0"/>
            </w:tcBorders>
            <w:shd w:val="clear" w:color="auto" w:fill="FFFFFF"/>
            <w:vAlign w:val="bottom"/>
          </w:tcPr>
          <w:p w14:paraId="58D459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4" w:type="dxa"/>
            <w:gridSpan w:val="4"/>
            <w:tcBorders>
              <w:top w:val="nil"/>
              <w:left w:val="single" w:sz="8" w:space="0" w:color="E0E0E0"/>
              <w:bottom w:val="single" w:sz="8" w:space="0" w:color="152935"/>
              <w:right w:val="single" w:sz="8" w:space="0" w:color="E0E0E0"/>
            </w:tcBorders>
            <w:shd w:val="clear" w:color="auto" w:fill="FFFFFF"/>
            <w:vAlign w:val="bottom"/>
          </w:tcPr>
          <w:p w14:paraId="65744CF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3" w:type="dxa"/>
            <w:tcBorders>
              <w:top w:val="nil"/>
              <w:left w:val="single" w:sz="8" w:space="0" w:color="E0E0E0"/>
              <w:bottom w:val="single" w:sz="8" w:space="0" w:color="152935"/>
              <w:right w:val="single" w:sz="8" w:space="0" w:color="E0E0E0"/>
            </w:tcBorders>
            <w:shd w:val="clear" w:color="auto" w:fill="FFFFFF"/>
            <w:vAlign w:val="bottom"/>
          </w:tcPr>
          <w:p w14:paraId="39B9DB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95" w:type="dxa"/>
            <w:gridSpan w:val="3"/>
            <w:tcBorders>
              <w:top w:val="nil"/>
              <w:left w:val="single" w:sz="8" w:space="0" w:color="E0E0E0"/>
              <w:bottom w:val="single" w:sz="8" w:space="0" w:color="152935"/>
              <w:right w:val="nil"/>
            </w:tcBorders>
            <w:shd w:val="clear" w:color="auto" w:fill="FFFFFF"/>
            <w:vAlign w:val="bottom"/>
          </w:tcPr>
          <w:p w14:paraId="2A2C5E6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763DC5C5" w14:textId="77777777" w:rsidTr="00C7217E">
        <w:trPr>
          <w:gridAfter w:val="3"/>
          <w:wAfter w:w="1953" w:type="dxa"/>
          <w:cantSplit/>
        </w:trPr>
        <w:tc>
          <w:tcPr>
            <w:tcW w:w="816" w:type="dxa"/>
            <w:gridSpan w:val="2"/>
            <w:vMerge w:val="restart"/>
            <w:tcBorders>
              <w:top w:val="single" w:sz="8" w:space="0" w:color="152935"/>
              <w:left w:val="nil"/>
              <w:bottom w:val="single" w:sz="8" w:space="0" w:color="152935"/>
              <w:right w:val="nil"/>
            </w:tcBorders>
            <w:shd w:val="clear" w:color="auto" w:fill="E0E0E0"/>
          </w:tcPr>
          <w:p w14:paraId="4652C4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8" w:type="dxa"/>
            <w:gridSpan w:val="5"/>
            <w:tcBorders>
              <w:top w:val="single" w:sz="8" w:space="0" w:color="152935"/>
              <w:left w:val="nil"/>
              <w:bottom w:val="single" w:sz="8" w:space="0" w:color="AEAEAE"/>
              <w:right w:val="nil"/>
            </w:tcBorders>
            <w:shd w:val="clear" w:color="auto" w:fill="E0E0E0"/>
          </w:tcPr>
          <w:p w14:paraId="70578AE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2" w:type="dxa"/>
            <w:gridSpan w:val="4"/>
            <w:tcBorders>
              <w:top w:val="single" w:sz="8" w:space="0" w:color="152935"/>
              <w:left w:val="nil"/>
              <w:bottom w:val="single" w:sz="8" w:space="0" w:color="AEAEAE"/>
              <w:right w:val="single" w:sz="8" w:space="0" w:color="E0E0E0"/>
            </w:tcBorders>
            <w:shd w:val="clear" w:color="auto" w:fill="FFFFFF"/>
          </w:tcPr>
          <w:p w14:paraId="6978EC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18.573</w:t>
            </w:r>
          </w:p>
        </w:tc>
        <w:tc>
          <w:tcPr>
            <w:tcW w:w="1139" w:type="dxa"/>
            <w:gridSpan w:val="4"/>
            <w:tcBorders>
              <w:top w:val="single" w:sz="8" w:space="0" w:color="152935"/>
              <w:left w:val="single" w:sz="8" w:space="0" w:color="E0E0E0"/>
              <w:bottom w:val="single" w:sz="8" w:space="0" w:color="AEAEAE"/>
              <w:right w:val="single" w:sz="8" w:space="0" w:color="E0E0E0"/>
            </w:tcBorders>
            <w:shd w:val="clear" w:color="auto" w:fill="FFFFFF"/>
          </w:tcPr>
          <w:p w14:paraId="5F1D8A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4" w:type="dxa"/>
            <w:gridSpan w:val="4"/>
            <w:tcBorders>
              <w:top w:val="single" w:sz="8" w:space="0" w:color="152935"/>
              <w:left w:val="single" w:sz="8" w:space="0" w:color="E0E0E0"/>
              <w:bottom w:val="single" w:sz="8" w:space="0" w:color="AEAEAE"/>
              <w:right w:val="single" w:sz="8" w:space="0" w:color="E0E0E0"/>
            </w:tcBorders>
            <w:shd w:val="clear" w:color="auto" w:fill="FFFFFF"/>
          </w:tcPr>
          <w:p w14:paraId="0B4924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18.573</w:t>
            </w:r>
          </w:p>
        </w:tc>
        <w:tc>
          <w:tcPr>
            <w:tcW w:w="483" w:type="dxa"/>
            <w:tcBorders>
              <w:top w:val="single" w:sz="8" w:space="0" w:color="152935"/>
              <w:left w:val="single" w:sz="8" w:space="0" w:color="E0E0E0"/>
              <w:bottom w:val="single" w:sz="8" w:space="0" w:color="AEAEAE"/>
              <w:right w:val="single" w:sz="8" w:space="0" w:color="E0E0E0"/>
            </w:tcBorders>
            <w:shd w:val="clear" w:color="auto" w:fill="FFFFFF"/>
          </w:tcPr>
          <w:p w14:paraId="101970A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13.337</w:t>
            </w:r>
          </w:p>
        </w:tc>
        <w:tc>
          <w:tcPr>
            <w:tcW w:w="795" w:type="dxa"/>
            <w:gridSpan w:val="3"/>
            <w:tcBorders>
              <w:top w:val="single" w:sz="8" w:space="0" w:color="152935"/>
              <w:left w:val="single" w:sz="8" w:space="0" w:color="E0E0E0"/>
              <w:bottom w:val="single" w:sz="8" w:space="0" w:color="AEAEAE"/>
              <w:right w:val="nil"/>
            </w:tcBorders>
            <w:shd w:val="clear" w:color="auto" w:fill="FFFFFF"/>
          </w:tcPr>
          <w:p w14:paraId="3B02D1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6784677E" w14:textId="77777777" w:rsidTr="00C7217E">
        <w:trPr>
          <w:gridAfter w:val="3"/>
          <w:wAfter w:w="1953" w:type="dxa"/>
          <w:cantSplit/>
        </w:trPr>
        <w:tc>
          <w:tcPr>
            <w:tcW w:w="816" w:type="dxa"/>
            <w:gridSpan w:val="2"/>
            <w:vMerge/>
            <w:tcBorders>
              <w:top w:val="single" w:sz="8" w:space="0" w:color="152935"/>
              <w:left w:val="nil"/>
              <w:bottom w:val="single" w:sz="8" w:space="0" w:color="152935"/>
              <w:right w:val="nil"/>
            </w:tcBorders>
            <w:shd w:val="clear" w:color="auto" w:fill="E0E0E0"/>
          </w:tcPr>
          <w:p w14:paraId="3AD91C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8" w:type="dxa"/>
            <w:gridSpan w:val="5"/>
            <w:tcBorders>
              <w:top w:val="single" w:sz="8" w:space="0" w:color="AEAEAE"/>
              <w:left w:val="nil"/>
              <w:bottom w:val="single" w:sz="8" w:space="0" w:color="AEAEAE"/>
              <w:right w:val="nil"/>
            </w:tcBorders>
            <w:shd w:val="clear" w:color="auto" w:fill="E0E0E0"/>
          </w:tcPr>
          <w:p w14:paraId="3639EA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2" w:type="dxa"/>
            <w:gridSpan w:val="4"/>
            <w:tcBorders>
              <w:top w:val="single" w:sz="8" w:space="0" w:color="AEAEAE"/>
              <w:left w:val="nil"/>
              <w:bottom w:val="single" w:sz="8" w:space="0" w:color="AEAEAE"/>
              <w:right w:val="single" w:sz="8" w:space="0" w:color="E0E0E0"/>
            </w:tcBorders>
            <w:shd w:val="clear" w:color="auto" w:fill="FFFFFF"/>
          </w:tcPr>
          <w:p w14:paraId="66EBF3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385.757</w:t>
            </w:r>
          </w:p>
        </w:tc>
        <w:tc>
          <w:tcPr>
            <w:tcW w:w="1139" w:type="dxa"/>
            <w:gridSpan w:val="4"/>
            <w:tcBorders>
              <w:top w:val="single" w:sz="8" w:space="0" w:color="AEAEAE"/>
              <w:left w:val="single" w:sz="8" w:space="0" w:color="E0E0E0"/>
              <w:bottom w:val="single" w:sz="8" w:space="0" w:color="AEAEAE"/>
              <w:right w:val="single" w:sz="8" w:space="0" w:color="E0E0E0"/>
            </w:tcBorders>
            <w:shd w:val="clear" w:color="auto" w:fill="FFFFFF"/>
          </w:tcPr>
          <w:p w14:paraId="04DE6A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4" w:type="dxa"/>
            <w:gridSpan w:val="4"/>
            <w:tcBorders>
              <w:top w:val="single" w:sz="8" w:space="0" w:color="AEAEAE"/>
              <w:left w:val="single" w:sz="8" w:space="0" w:color="E0E0E0"/>
              <w:bottom w:val="single" w:sz="8" w:space="0" w:color="AEAEAE"/>
              <w:right w:val="single" w:sz="8" w:space="0" w:color="E0E0E0"/>
            </w:tcBorders>
            <w:shd w:val="clear" w:color="auto" w:fill="FFFFFF"/>
          </w:tcPr>
          <w:p w14:paraId="63979C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1.393</w:t>
            </w:r>
          </w:p>
        </w:tc>
        <w:tc>
          <w:tcPr>
            <w:tcW w:w="48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5E155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95" w:type="dxa"/>
            <w:gridSpan w:val="3"/>
            <w:tcBorders>
              <w:top w:val="single" w:sz="8" w:space="0" w:color="AEAEAE"/>
              <w:left w:val="single" w:sz="8" w:space="0" w:color="E0E0E0"/>
              <w:bottom w:val="single" w:sz="8" w:space="0" w:color="AEAEAE"/>
              <w:right w:val="nil"/>
            </w:tcBorders>
            <w:shd w:val="clear" w:color="auto" w:fill="FFFFFF"/>
            <w:vAlign w:val="center"/>
          </w:tcPr>
          <w:p w14:paraId="1666241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B60C970" w14:textId="77777777" w:rsidTr="00C7217E">
        <w:trPr>
          <w:gridAfter w:val="3"/>
          <w:wAfter w:w="1953" w:type="dxa"/>
          <w:cantSplit/>
        </w:trPr>
        <w:tc>
          <w:tcPr>
            <w:tcW w:w="816" w:type="dxa"/>
            <w:gridSpan w:val="2"/>
            <w:vMerge/>
            <w:tcBorders>
              <w:top w:val="single" w:sz="8" w:space="0" w:color="152935"/>
              <w:left w:val="nil"/>
              <w:bottom w:val="single" w:sz="8" w:space="0" w:color="152935"/>
              <w:right w:val="nil"/>
            </w:tcBorders>
            <w:shd w:val="clear" w:color="auto" w:fill="E0E0E0"/>
          </w:tcPr>
          <w:p w14:paraId="5D83296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8" w:type="dxa"/>
            <w:gridSpan w:val="5"/>
            <w:tcBorders>
              <w:top w:val="single" w:sz="8" w:space="0" w:color="AEAEAE"/>
              <w:left w:val="nil"/>
              <w:bottom w:val="single" w:sz="8" w:space="0" w:color="152935"/>
              <w:right w:val="nil"/>
            </w:tcBorders>
            <w:shd w:val="clear" w:color="auto" w:fill="E0E0E0"/>
          </w:tcPr>
          <w:p w14:paraId="0BD781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2" w:type="dxa"/>
            <w:gridSpan w:val="4"/>
            <w:tcBorders>
              <w:top w:val="single" w:sz="8" w:space="0" w:color="AEAEAE"/>
              <w:left w:val="nil"/>
              <w:bottom w:val="single" w:sz="8" w:space="0" w:color="152935"/>
              <w:right w:val="single" w:sz="8" w:space="0" w:color="E0E0E0"/>
            </w:tcBorders>
            <w:shd w:val="clear" w:color="auto" w:fill="FFFFFF"/>
          </w:tcPr>
          <w:p w14:paraId="65A015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404.330</w:t>
            </w:r>
          </w:p>
        </w:tc>
        <w:tc>
          <w:tcPr>
            <w:tcW w:w="1139" w:type="dxa"/>
            <w:gridSpan w:val="4"/>
            <w:tcBorders>
              <w:top w:val="single" w:sz="8" w:space="0" w:color="AEAEAE"/>
              <w:left w:val="single" w:sz="8" w:space="0" w:color="E0E0E0"/>
              <w:bottom w:val="single" w:sz="8" w:space="0" w:color="152935"/>
              <w:right w:val="single" w:sz="8" w:space="0" w:color="E0E0E0"/>
            </w:tcBorders>
            <w:shd w:val="clear" w:color="auto" w:fill="FFFFFF"/>
          </w:tcPr>
          <w:p w14:paraId="49563C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4"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0C4F208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9FABE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95" w:type="dxa"/>
            <w:gridSpan w:val="3"/>
            <w:tcBorders>
              <w:top w:val="single" w:sz="8" w:space="0" w:color="AEAEAE"/>
              <w:left w:val="single" w:sz="8" w:space="0" w:color="E0E0E0"/>
              <w:bottom w:val="single" w:sz="8" w:space="0" w:color="152935"/>
              <w:right w:val="nil"/>
            </w:tcBorders>
            <w:shd w:val="clear" w:color="auto" w:fill="FFFFFF"/>
            <w:vAlign w:val="center"/>
          </w:tcPr>
          <w:p w14:paraId="5292234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858F4EC" w14:textId="77777777" w:rsidTr="00C7217E">
        <w:trPr>
          <w:gridAfter w:val="3"/>
          <w:wAfter w:w="1953" w:type="dxa"/>
          <w:cantSplit/>
        </w:trPr>
        <w:tc>
          <w:tcPr>
            <w:tcW w:w="7947" w:type="dxa"/>
            <w:gridSpan w:val="23"/>
            <w:tcBorders>
              <w:top w:val="nil"/>
              <w:left w:val="nil"/>
              <w:bottom w:val="nil"/>
              <w:right w:val="nil"/>
            </w:tcBorders>
            <w:shd w:val="clear" w:color="auto" w:fill="FFFFFF"/>
          </w:tcPr>
          <w:p w14:paraId="5B1CBB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Engrossment</w:t>
            </w:r>
          </w:p>
        </w:tc>
      </w:tr>
      <w:tr w:rsidR="00C7217E" w:rsidRPr="00530906" w14:paraId="60133FEE" w14:textId="77777777" w:rsidTr="00C7217E">
        <w:trPr>
          <w:gridAfter w:val="3"/>
          <w:wAfter w:w="1953" w:type="dxa"/>
          <w:cantSplit/>
        </w:trPr>
        <w:tc>
          <w:tcPr>
            <w:tcW w:w="7947" w:type="dxa"/>
            <w:gridSpan w:val="23"/>
            <w:tcBorders>
              <w:top w:val="nil"/>
              <w:left w:val="nil"/>
              <w:bottom w:val="nil"/>
              <w:right w:val="nil"/>
            </w:tcBorders>
            <w:shd w:val="clear" w:color="auto" w:fill="FFFFFF"/>
          </w:tcPr>
          <w:p w14:paraId="07B905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Involvement</w:t>
            </w:r>
          </w:p>
        </w:tc>
      </w:tr>
      <w:tr w:rsidR="00C7217E" w:rsidRPr="00530906" w14:paraId="56AD5299" w14:textId="77777777" w:rsidTr="00C7217E">
        <w:trPr>
          <w:cantSplit/>
        </w:trPr>
        <w:tc>
          <w:tcPr>
            <w:tcW w:w="9900" w:type="dxa"/>
            <w:gridSpan w:val="26"/>
            <w:tcBorders>
              <w:top w:val="nil"/>
              <w:left w:val="nil"/>
              <w:bottom w:val="nil"/>
              <w:right w:val="nil"/>
            </w:tcBorders>
            <w:shd w:val="clear" w:color="auto" w:fill="FFFFFF"/>
            <w:vAlign w:val="center"/>
          </w:tcPr>
          <w:p w14:paraId="5D8872EA"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613F2A2F" w14:textId="77777777" w:rsidTr="00C7217E">
        <w:trPr>
          <w:cantSplit/>
        </w:trPr>
        <w:tc>
          <w:tcPr>
            <w:tcW w:w="1260" w:type="dxa"/>
            <w:gridSpan w:val="4"/>
            <w:vMerge w:val="restart"/>
            <w:tcBorders>
              <w:top w:val="nil"/>
              <w:left w:val="nil"/>
              <w:bottom w:val="nil"/>
              <w:right w:val="nil"/>
            </w:tcBorders>
            <w:shd w:val="clear" w:color="auto" w:fill="FFFFFF"/>
            <w:vAlign w:val="bottom"/>
          </w:tcPr>
          <w:p w14:paraId="52469E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350" w:type="dxa"/>
            <w:gridSpan w:val="4"/>
            <w:tcBorders>
              <w:top w:val="nil"/>
              <w:left w:val="nil"/>
              <w:bottom w:val="nil"/>
              <w:right w:val="single" w:sz="8" w:space="0" w:color="E0E0E0"/>
            </w:tcBorders>
            <w:shd w:val="clear" w:color="auto" w:fill="FFFFFF"/>
            <w:vAlign w:val="bottom"/>
          </w:tcPr>
          <w:p w14:paraId="7A36F7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29C305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39C0A5F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2EAAC6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710" w:type="dxa"/>
            <w:gridSpan w:val="4"/>
            <w:tcBorders>
              <w:top w:val="nil"/>
              <w:left w:val="single" w:sz="8" w:space="0" w:color="E0E0E0"/>
              <w:bottom w:val="nil"/>
              <w:right w:val="single" w:sz="8" w:space="0" w:color="E0E0E0"/>
            </w:tcBorders>
            <w:shd w:val="clear" w:color="auto" w:fill="FFFFFF"/>
            <w:vAlign w:val="bottom"/>
          </w:tcPr>
          <w:p w14:paraId="688BF0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2070" w:type="dxa"/>
            <w:gridSpan w:val="7"/>
            <w:tcBorders>
              <w:top w:val="nil"/>
              <w:left w:val="single" w:sz="8" w:space="0" w:color="E0E0E0"/>
              <w:bottom w:val="nil"/>
              <w:right w:val="single" w:sz="8" w:space="0" w:color="E0E0E0"/>
            </w:tcBorders>
            <w:shd w:val="clear" w:color="auto" w:fill="FFFFFF"/>
            <w:vAlign w:val="bottom"/>
          </w:tcPr>
          <w:p w14:paraId="5B9976E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620" w:type="dxa"/>
            <w:gridSpan w:val="2"/>
            <w:tcBorders>
              <w:top w:val="nil"/>
              <w:left w:val="single" w:sz="8" w:space="0" w:color="E0E0E0"/>
              <w:bottom w:val="nil"/>
              <w:right w:val="nil"/>
            </w:tcBorders>
            <w:shd w:val="clear" w:color="auto" w:fill="FFFFFF"/>
            <w:vAlign w:val="bottom"/>
          </w:tcPr>
          <w:p w14:paraId="2973F9B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319959A3" w14:textId="77777777" w:rsidTr="00C7217E">
        <w:trPr>
          <w:cantSplit/>
        </w:trPr>
        <w:tc>
          <w:tcPr>
            <w:tcW w:w="1260" w:type="dxa"/>
            <w:gridSpan w:val="4"/>
            <w:vMerge/>
            <w:tcBorders>
              <w:top w:val="nil"/>
              <w:left w:val="nil"/>
              <w:bottom w:val="nil"/>
              <w:right w:val="nil"/>
            </w:tcBorders>
            <w:shd w:val="clear" w:color="auto" w:fill="FFFFFF"/>
            <w:vAlign w:val="bottom"/>
          </w:tcPr>
          <w:p w14:paraId="4F4224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tcBorders>
              <w:top w:val="nil"/>
              <w:left w:val="nil"/>
              <w:bottom w:val="single" w:sz="8" w:space="0" w:color="152935"/>
              <w:right w:val="single" w:sz="8" w:space="0" w:color="E0E0E0"/>
            </w:tcBorders>
            <w:shd w:val="clear" w:color="auto" w:fill="FFFFFF"/>
            <w:vAlign w:val="bottom"/>
          </w:tcPr>
          <w:p w14:paraId="3790F40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4EEF1B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45FCA8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450" w:type="dxa"/>
            <w:gridSpan w:val="2"/>
            <w:vMerge/>
            <w:tcBorders>
              <w:top w:val="nil"/>
              <w:left w:val="single" w:sz="8" w:space="0" w:color="E0E0E0"/>
              <w:bottom w:val="nil"/>
              <w:right w:val="single" w:sz="8" w:space="0" w:color="E0E0E0"/>
            </w:tcBorders>
            <w:shd w:val="clear" w:color="auto" w:fill="FFFFFF"/>
            <w:vAlign w:val="bottom"/>
          </w:tcPr>
          <w:p w14:paraId="08E85A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54D708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720" w:type="dxa"/>
            <w:gridSpan w:val="3"/>
            <w:tcBorders>
              <w:top w:val="nil"/>
              <w:left w:val="single" w:sz="8" w:space="0" w:color="E0E0E0"/>
              <w:bottom w:val="single" w:sz="8" w:space="0" w:color="152935"/>
              <w:right w:val="single" w:sz="8" w:space="0" w:color="E0E0E0"/>
            </w:tcBorders>
            <w:shd w:val="clear" w:color="auto" w:fill="FFFFFF"/>
            <w:vAlign w:val="bottom"/>
          </w:tcPr>
          <w:p w14:paraId="585D71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13C804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90" w:type="dxa"/>
            <w:gridSpan w:val="4"/>
            <w:tcBorders>
              <w:top w:val="nil"/>
              <w:left w:val="single" w:sz="8" w:space="0" w:color="E0E0E0"/>
              <w:bottom w:val="single" w:sz="8" w:space="0" w:color="152935"/>
              <w:right w:val="single" w:sz="8" w:space="0" w:color="E0E0E0"/>
            </w:tcBorders>
            <w:shd w:val="clear" w:color="auto" w:fill="FFFFFF"/>
            <w:vAlign w:val="bottom"/>
          </w:tcPr>
          <w:p w14:paraId="7B6556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79C180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gridSpan w:val="2"/>
            <w:tcBorders>
              <w:top w:val="nil"/>
              <w:left w:val="single" w:sz="8" w:space="0" w:color="E0E0E0"/>
              <w:bottom w:val="single" w:sz="8" w:space="0" w:color="152935"/>
              <w:right w:val="single" w:sz="8" w:space="0" w:color="E0E0E0"/>
            </w:tcBorders>
            <w:shd w:val="clear" w:color="auto" w:fill="FFFFFF"/>
            <w:vAlign w:val="bottom"/>
          </w:tcPr>
          <w:p w14:paraId="0F6E54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16B26F0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720" w:type="dxa"/>
            <w:tcBorders>
              <w:top w:val="nil"/>
              <w:left w:val="single" w:sz="8" w:space="0" w:color="E0E0E0"/>
              <w:bottom w:val="single" w:sz="8" w:space="0" w:color="152935"/>
              <w:right w:val="nil"/>
            </w:tcBorders>
            <w:shd w:val="clear" w:color="auto" w:fill="FFFFFF"/>
            <w:vAlign w:val="bottom"/>
          </w:tcPr>
          <w:p w14:paraId="56590E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1B9E32E3" w14:textId="77777777" w:rsidTr="00C7217E">
        <w:trPr>
          <w:cantSplit/>
        </w:trPr>
        <w:tc>
          <w:tcPr>
            <w:tcW w:w="270" w:type="dxa"/>
            <w:vMerge w:val="restart"/>
            <w:tcBorders>
              <w:top w:val="single" w:sz="8" w:space="0" w:color="152935"/>
              <w:left w:val="nil"/>
              <w:bottom w:val="single" w:sz="8" w:space="0" w:color="152935"/>
              <w:right w:val="nil"/>
            </w:tcBorders>
            <w:shd w:val="clear" w:color="auto" w:fill="E0E0E0"/>
          </w:tcPr>
          <w:p w14:paraId="63109E8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90" w:type="dxa"/>
            <w:gridSpan w:val="3"/>
            <w:tcBorders>
              <w:top w:val="single" w:sz="8" w:space="0" w:color="152935"/>
              <w:left w:val="nil"/>
              <w:bottom w:val="single" w:sz="8" w:space="0" w:color="AEAEAE"/>
              <w:right w:val="nil"/>
            </w:tcBorders>
            <w:shd w:val="clear" w:color="auto" w:fill="E0E0E0"/>
          </w:tcPr>
          <w:p w14:paraId="0F9E72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450" w:type="dxa"/>
            <w:tcBorders>
              <w:top w:val="single" w:sz="8" w:space="0" w:color="152935"/>
              <w:left w:val="nil"/>
              <w:bottom w:val="single" w:sz="8" w:space="0" w:color="AEAEAE"/>
              <w:right w:val="single" w:sz="8" w:space="0" w:color="E0E0E0"/>
            </w:tcBorders>
            <w:shd w:val="clear" w:color="auto" w:fill="FFFFFF"/>
          </w:tcPr>
          <w:p w14:paraId="4C9B10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1.703</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3CB8E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.259</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3291B4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3B0955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6.568</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70306A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20" w:type="dxa"/>
            <w:gridSpan w:val="3"/>
            <w:tcBorders>
              <w:top w:val="single" w:sz="8" w:space="0" w:color="152935"/>
              <w:left w:val="single" w:sz="8" w:space="0" w:color="E0E0E0"/>
              <w:bottom w:val="single" w:sz="8" w:space="0" w:color="AEAEAE"/>
              <w:right w:val="single" w:sz="8" w:space="0" w:color="E0E0E0"/>
            </w:tcBorders>
            <w:shd w:val="clear" w:color="auto" w:fill="FFFFFF"/>
          </w:tcPr>
          <w:p w14:paraId="0C7A97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1.193</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560058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2.214</w:t>
            </w:r>
          </w:p>
        </w:tc>
        <w:tc>
          <w:tcPr>
            <w:tcW w:w="99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6655131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8C979A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44D970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0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FA87FD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152935"/>
              <w:left w:val="single" w:sz="8" w:space="0" w:color="E0E0E0"/>
              <w:bottom w:val="single" w:sz="8" w:space="0" w:color="AEAEAE"/>
              <w:right w:val="nil"/>
            </w:tcBorders>
            <w:shd w:val="clear" w:color="auto" w:fill="FFFFFF"/>
            <w:vAlign w:val="center"/>
          </w:tcPr>
          <w:p w14:paraId="7E3D958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405DC35" w14:textId="77777777" w:rsidTr="00C7217E">
        <w:trPr>
          <w:cantSplit/>
        </w:trPr>
        <w:tc>
          <w:tcPr>
            <w:tcW w:w="270" w:type="dxa"/>
            <w:vMerge/>
            <w:tcBorders>
              <w:top w:val="single" w:sz="8" w:space="0" w:color="152935"/>
              <w:left w:val="nil"/>
              <w:bottom w:val="single" w:sz="8" w:space="0" w:color="152935"/>
              <w:right w:val="nil"/>
            </w:tcBorders>
            <w:shd w:val="clear" w:color="auto" w:fill="E0E0E0"/>
          </w:tcPr>
          <w:p w14:paraId="1F12F60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90" w:type="dxa"/>
            <w:gridSpan w:val="3"/>
            <w:tcBorders>
              <w:top w:val="single" w:sz="8" w:space="0" w:color="AEAEAE"/>
              <w:left w:val="nil"/>
              <w:bottom w:val="single" w:sz="8" w:space="0" w:color="152935"/>
              <w:right w:val="nil"/>
            </w:tcBorders>
            <w:shd w:val="clear" w:color="auto" w:fill="E0E0E0"/>
          </w:tcPr>
          <w:p w14:paraId="357509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Involvement</w:t>
            </w:r>
          </w:p>
        </w:tc>
        <w:tc>
          <w:tcPr>
            <w:tcW w:w="450" w:type="dxa"/>
            <w:tcBorders>
              <w:top w:val="single" w:sz="8" w:space="0" w:color="AEAEAE"/>
              <w:left w:val="nil"/>
              <w:bottom w:val="single" w:sz="8" w:space="0" w:color="152935"/>
              <w:right w:val="single" w:sz="8" w:space="0" w:color="E0E0E0"/>
            </w:tcBorders>
            <w:shd w:val="clear" w:color="auto" w:fill="FFFFFF"/>
          </w:tcPr>
          <w:p w14:paraId="65FCBA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.200</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2B96E3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6A832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DA028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3.652</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542D12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2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01F1C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.092</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2497C6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.308</w:t>
            </w:r>
          </w:p>
        </w:tc>
        <w:tc>
          <w:tcPr>
            <w:tcW w:w="990" w:type="dxa"/>
            <w:gridSpan w:val="4"/>
            <w:tcBorders>
              <w:top w:val="single" w:sz="8" w:space="0" w:color="AEAEAE"/>
              <w:left w:val="single" w:sz="8" w:space="0" w:color="E0E0E0"/>
              <w:bottom w:val="single" w:sz="8" w:space="0" w:color="152935"/>
              <w:right w:val="single" w:sz="8" w:space="0" w:color="E0E0E0"/>
            </w:tcBorders>
            <w:shd w:val="clear" w:color="auto" w:fill="FFFFFF"/>
          </w:tcPr>
          <w:p w14:paraId="6DB2CE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7FB2E7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D616F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6DF721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720" w:type="dxa"/>
            <w:tcBorders>
              <w:top w:val="single" w:sz="8" w:space="0" w:color="AEAEAE"/>
              <w:left w:val="single" w:sz="8" w:space="0" w:color="E0E0E0"/>
              <w:bottom w:val="single" w:sz="8" w:space="0" w:color="152935"/>
              <w:right w:val="nil"/>
            </w:tcBorders>
            <w:shd w:val="clear" w:color="auto" w:fill="FFFFFF"/>
          </w:tcPr>
          <w:p w14:paraId="3CC95D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3350B8BC" w14:textId="77777777" w:rsidTr="00C7217E">
        <w:trPr>
          <w:cantSplit/>
        </w:trPr>
        <w:tc>
          <w:tcPr>
            <w:tcW w:w="9900" w:type="dxa"/>
            <w:gridSpan w:val="26"/>
            <w:tcBorders>
              <w:top w:val="nil"/>
              <w:left w:val="nil"/>
              <w:bottom w:val="nil"/>
              <w:right w:val="nil"/>
            </w:tcBorders>
            <w:shd w:val="clear" w:color="auto" w:fill="FFFFFF"/>
          </w:tcPr>
          <w:p w14:paraId="3FDD995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Engrossment</w:t>
            </w:r>
          </w:p>
        </w:tc>
      </w:tr>
    </w:tbl>
    <w:p w14:paraId="3ACBD020" w14:textId="6BF76500" w:rsidR="00C7217E" w:rsidRPr="00530906" w:rsidRDefault="00C7217E" w:rsidP="008756B1">
      <w:pPr>
        <w:pStyle w:val="Heading3"/>
        <w:jc w:val="both"/>
        <w:rPr>
          <w:rFonts w:eastAsia="Times New Roman"/>
          <w:lang w:val="en-US"/>
        </w:rPr>
      </w:pPr>
      <w:bookmarkStart w:id="143" w:name="_Toc115726298"/>
      <w:r w:rsidRPr="00530906">
        <w:rPr>
          <w:rFonts w:eastAsia="Times New Roman"/>
          <w:lang w:val="en-US"/>
        </w:rPr>
        <w:t>Regression analysis between ‘involvement’ and ‘self projection’</w:t>
      </w:r>
      <w:bookmarkEnd w:id="143"/>
    </w:p>
    <w:p w14:paraId="37FC2E92" w14:textId="77777777" w:rsidR="00C7217E" w:rsidRPr="00530906" w:rsidRDefault="00C7217E" w:rsidP="008756B1">
      <w:pPr>
        <w:autoSpaceDE w:val="0"/>
        <w:autoSpaceDN w:val="0"/>
        <w:adjustRightInd w:val="0"/>
        <w:spacing w:after="0" w:line="240" w:lineRule="auto"/>
        <w:jc w:val="both"/>
        <w:rPr>
          <w:rFonts w:ascii="Cambria" w:eastAsia="Times New Roman" w:hAnsi="Cambria" w:cs="Times New Roman"/>
          <w:color w:val="000000"/>
          <w:sz w:val="24"/>
          <w:szCs w:val="24"/>
          <w:lang w:val="en-US"/>
        </w:rPr>
      </w:pP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6"/>
        <w:gridCol w:w="68"/>
        <w:gridCol w:w="376"/>
        <w:gridCol w:w="720"/>
        <w:gridCol w:w="43"/>
        <w:gridCol w:w="221"/>
        <w:gridCol w:w="546"/>
        <w:gridCol w:w="260"/>
        <w:gridCol w:w="646"/>
        <w:gridCol w:w="174"/>
        <w:gridCol w:w="630"/>
        <w:gridCol w:w="182"/>
        <w:gridCol w:w="153"/>
        <w:gridCol w:w="205"/>
        <w:gridCol w:w="900"/>
        <w:gridCol w:w="374"/>
        <w:gridCol w:w="85"/>
        <w:gridCol w:w="599"/>
        <w:gridCol w:w="22"/>
        <w:gridCol w:w="551"/>
        <w:gridCol w:w="79"/>
        <w:gridCol w:w="630"/>
        <w:gridCol w:w="450"/>
        <w:gridCol w:w="810"/>
        <w:gridCol w:w="540"/>
      </w:tblGrid>
      <w:tr w:rsidR="00C7217E" w:rsidRPr="00530906" w14:paraId="13CE545F" w14:textId="77777777" w:rsidTr="00C7217E">
        <w:trPr>
          <w:gridAfter w:val="9"/>
          <w:wAfter w:w="3766" w:type="dxa"/>
          <w:cantSplit/>
        </w:trPr>
        <w:tc>
          <w:tcPr>
            <w:tcW w:w="6314" w:type="dxa"/>
            <w:gridSpan w:val="17"/>
            <w:tcBorders>
              <w:top w:val="nil"/>
              <w:left w:val="nil"/>
              <w:bottom w:val="nil"/>
              <w:right w:val="nil"/>
            </w:tcBorders>
            <w:shd w:val="clear" w:color="auto" w:fill="FFFFFF"/>
            <w:vAlign w:val="center"/>
          </w:tcPr>
          <w:p w14:paraId="609373C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2056D0E8" w14:textId="77777777" w:rsidTr="00C7217E">
        <w:trPr>
          <w:gridAfter w:val="9"/>
          <w:wAfter w:w="3766" w:type="dxa"/>
          <w:cantSplit/>
        </w:trPr>
        <w:tc>
          <w:tcPr>
            <w:tcW w:w="884" w:type="dxa"/>
            <w:gridSpan w:val="3"/>
            <w:tcBorders>
              <w:top w:val="nil"/>
              <w:left w:val="nil"/>
              <w:bottom w:val="single" w:sz="8" w:space="0" w:color="152935"/>
              <w:right w:val="nil"/>
            </w:tcBorders>
            <w:shd w:val="clear" w:color="auto" w:fill="FFFFFF"/>
            <w:vAlign w:val="bottom"/>
          </w:tcPr>
          <w:p w14:paraId="6D876C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9" w:type="dxa"/>
            <w:gridSpan w:val="3"/>
            <w:tcBorders>
              <w:top w:val="nil"/>
              <w:left w:val="nil"/>
              <w:bottom w:val="single" w:sz="8" w:space="0" w:color="152935"/>
              <w:right w:val="single" w:sz="8" w:space="0" w:color="E0E0E0"/>
            </w:tcBorders>
            <w:shd w:val="clear" w:color="auto" w:fill="FFFFFF"/>
            <w:vAlign w:val="bottom"/>
          </w:tcPr>
          <w:p w14:paraId="7F516F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027" w:type="dxa"/>
            <w:gridSpan w:val="3"/>
            <w:tcBorders>
              <w:top w:val="nil"/>
              <w:left w:val="single" w:sz="8" w:space="0" w:color="E0E0E0"/>
              <w:bottom w:val="single" w:sz="8" w:space="0" w:color="152935"/>
              <w:right w:val="single" w:sz="8" w:space="0" w:color="E0E0E0"/>
            </w:tcBorders>
            <w:shd w:val="clear" w:color="auto" w:fill="FFFFFF"/>
            <w:vAlign w:val="bottom"/>
          </w:tcPr>
          <w:p w14:paraId="723ECC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2" w:type="dxa"/>
            <w:gridSpan w:val="4"/>
            <w:tcBorders>
              <w:top w:val="nil"/>
              <w:left w:val="single" w:sz="8" w:space="0" w:color="E0E0E0"/>
              <w:bottom w:val="single" w:sz="8" w:space="0" w:color="152935"/>
              <w:right w:val="single" w:sz="8" w:space="0" w:color="E0E0E0"/>
            </w:tcBorders>
            <w:shd w:val="clear" w:color="auto" w:fill="FFFFFF"/>
            <w:vAlign w:val="bottom"/>
          </w:tcPr>
          <w:p w14:paraId="6E45C2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632" w:type="dxa"/>
            <w:gridSpan w:val="4"/>
            <w:tcBorders>
              <w:top w:val="nil"/>
              <w:left w:val="single" w:sz="8" w:space="0" w:color="E0E0E0"/>
              <w:bottom w:val="single" w:sz="8" w:space="0" w:color="152935"/>
              <w:right w:val="nil"/>
            </w:tcBorders>
            <w:shd w:val="clear" w:color="auto" w:fill="FFFFFF"/>
            <w:vAlign w:val="bottom"/>
          </w:tcPr>
          <w:p w14:paraId="05476E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038C3598" w14:textId="77777777" w:rsidTr="00C7217E">
        <w:trPr>
          <w:gridAfter w:val="9"/>
          <w:wAfter w:w="3766" w:type="dxa"/>
          <w:cantSplit/>
        </w:trPr>
        <w:tc>
          <w:tcPr>
            <w:tcW w:w="884" w:type="dxa"/>
            <w:gridSpan w:val="3"/>
            <w:tcBorders>
              <w:top w:val="single" w:sz="8" w:space="0" w:color="152935"/>
              <w:left w:val="nil"/>
              <w:bottom w:val="single" w:sz="8" w:space="0" w:color="152935"/>
              <w:right w:val="nil"/>
            </w:tcBorders>
            <w:shd w:val="clear" w:color="auto" w:fill="E0E0E0"/>
          </w:tcPr>
          <w:p w14:paraId="3D990D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9" w:type="dxa"/>
            <w:gridSpan w:val="3"/>
            <w:tcBorders>
              <w:top w:val="single" w:sz="8" w:space="0" w:color="152935"/>
              <w:left w:val="nil"/>
              <w:bottom w:val="single" w:sz="8" w:space="0" w:color="152935"/>
              <w:right w:val="single" w:sz="8" w:space="0" w:color="E0E0E0"/>
            </w:tcBorders>
            <w:shd w:val="clear" w:color="auto" w:fill="FFFFFF"/>
          </w:tcPr>
          <w:p w14:paraId="33A305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r w:rsidRPr="00530906">
              <w:rPr>
                <w:rFonts w:ascii="Cambria" w:eastAsia="Times New Roman" w:hAnsi="Cambria" w:cs="Times New Roman"/>
                <w:color w:val="000000"/>
                <w:sz w:val="18"/>
                <w:szCs w:val="18"/>
                <w:vertAlign w:val="superscript"/>
                <w:lang w:val="en-US"/>
              </w:rPr>
              <w:t>a</w:t>
            </w:r>
          </w:p>
        </w:tc>
        <w:tc>
          <w:tcPr>
            <w:tcW w:w="1027" w:type="dxa"/>
            <w:gridSpan w:val="3"/>
            <w:tcBorders>
              <w:top w:val="single" w:sz="8" w:space="0" w:color="152935"/>
              <w:left w:val="single" w:sz="8" w:space="0" w:color="E0E0E0"/>
              <w:bottom w:val="single" w:sz="8" w:space="0" w:color="152935"/>
              <w:right w:val="single" w:sz="8" w:space="0" w:color="E0E0E0"/>
            </w:tcBorders>
            <w:shd w:val="clear" w:color="auto" w:fill="FFFFFF"/>
          </w:tcPr>
          <w:p w14:paraId="1014E3F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.290</w:t>
            </w:r>
          </w:p>
        </w:tc>
        <w:tc>
          <w:tcPr>
            <w:tcW w:w="1632" w:type="dxa"/>
            <w:gridSpan w:val="4"/>
            <w:tcBorders>
              <w:top w:val="single" w:sz="8" w:space="0" w:color="152935"/>
              <w:left w:val="single" w:sz="8" w:space="0" w:color="E0E0E0"/>
              <w:bottom w:val="single" w:sz="8" w:space="0" w:color="152935"/>
              <w:right w:val="single" w:sz="8" w:space="0" w:color="E0E0E0"/>
            </w:tcBorders>
            <w:shd w:val="clear" w:color="auto" w:fill="FFFFFF"/>
          </w:tcPr>
          <w:p w14:paraId="0C7B71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.287</w:t>
            </w:r>
          </w:p>
        </w:tc>
        <w:tc>
          <w:tcPr>
            <w:tcW w:w="1632" w:type="dxa"/>
            <w:gridSpan w:val="4"/>
            <w:tcBorders>
              <w:top w:val="single" w:sz="8" w:space="0" w:color="152935"/>
              <w:left w:val="single" w:sz="8" w:space="0" w:color="E0E0E0"/>
              <w:bottom w:val="single" w:sz="8" w:space="0" w:color="152935"/>
              <w:right w:val="nil"/>
            </w:tcBorders>
            <w:shd w:val="clear" w:color="auto" w:fill="FFFFFF"/>
          </w:tcPr>
          <w:p w14:paraId="76C1CA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1.21544</w:t>
            </w:r>
          </w:p>
        </w:tc>
      </w:tr>
      <w:tr w:rsidR="00C7217E" w:rsidRPr="00530906" w14:paraId="117D376D" w14:textId="77777777" w:rsidTr="00C7217E">
        <w:trPr>
          <w:gridAfter w:val="9"/>
          <w:wAfter w:w="3766" w:type="dxa"/>
          <w:cantSplit/>
        </w:trPr>
        <w:tc>
          <w:tcPr>
            <w:tcW w:w="6314" w:type="dxa"/>
            <w:gridSpan w:val="17"/>
            <w:tcBorders>
              <w:top w:val="nil"/>
              <w:left w:val="nil"/>
              <w:bottom w:val="nil"/>
              <w:right w:val="nil"/>
            </w:tcBorders>
            <w:shd w:val="clear" w:color="auto" w:fill="FFFFFF"/>
          </w:tcPr>
          <w:p w14:paraId="34F0B5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Involvement</w:t>
            </w:r>
          </w:p>
        </w:tc>
      </w:tr>
      <w:tr w:rsidR="00C7217E" w:rsidRPr="00530906" w14:paraId="7BF98642" w14:textId="77777777" w:rsidTr="00C7217E">
        <w:trPr>
          <w:gridAfter w:val="9"/>
          <w:wAfter w:w="3766" w:type="dxa"/>
          <w:cantSplit/>
        </w:trPr>
        <w:tc>
          <w:tcPr>
            <w:tcW w:w="6314" w:type="dxa"/>
            <w:gridSpan w:val="17"/>
            <w:tcBorders>
              <w:top w:val="nil"/>
              <w:left w:val="nil"/>
              <w:bottom w:val="nil"/>
              <w:right w:val="nil"/>
            </w:tcBorders>
            <w:shd w:val="clear" w:color="auto" w:fill="FFFFFF"/>
          </w:tcPr>
          <w:p w14:paraId="0BC412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Self–projection</w:t>
            </w:r>
          </w:p>
        </w:tc>
      </w:tr>
      <w:tr w:rsidR="00C7217E" w:rsidRPr="00530906" w14:paraId="5FE40E2A" w14:textId="77777777" w:rsidTr="00C7217E">
        <w:trPr>
          <w:gridAfter w:val="5"/>
          <w:wAfter w:w="2509" w:type="dxa"/>
          <w:cantSplit/>
        </w:trPr>
        <w:tc>
          <w:tcPr>
            <w:tcW w:w="7571" w:type="dxa"/>
            <w:gridSpan w:val="21"/>
            <w:tcBorders>
              <w:top w:val="nil"/>
              <w:left w:val="nil"/>
              <w:bottom w:val="nil"/>
              <w:right w:val="nil"/>
            </w:tcBorders>
            <w:shd w:val="clear" w:color="auto" w:fill="FFFFFF"/>
            <w:vAlign w:val="center"/>
          </w:tcPr>
          <w:p w14:paraId="2EA08A3D"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54F409B5" w14:textId="77777777" w:rsidTr="00C7217E">
        <w:trPr>
          <w:gridAfter w:val="5"/>
          <w:wAfter w:w="2509" w:type="dxa"/>
          <w:cantSplit/>
        </w:trPr>
        <w:tc>
          <w:tcPr>
            <w:tcW w:w="2244" w:type="dxa"/>
            <w:gridSpan w:val="7"/>
            <w:tcBorders>
              <w:top w:val="nil"/>
              <w:left w:val="nil"/>
              <w:bottom w:val="single" w:sz="8" w:space="0" w:color="152935"/>
              <w:right w:val="nil"/>
            </w:tcBorders>
            <w:shd w:val="clear" w:color="auto" w:fill="FFFFFF"/>
            <w:vAlign w:val="bottom"/>
          </w:tcPr>
          <w:p w14:paraId="4B0050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452" w:type="dxa"/>
            <w:gridSpan w:val="3"/>
            <w:tcBorders>
              <w:top w:val="nil"/>
              <w:left w:val="nil"/>
              <w:bottom w:val="single" w:sz="8" w:space="0" w:color="152935"/>
              <w:right w:val="single" w:sz="8" w:space="0" w:color="E0E0E0"/>
            </w:tcBorders>
            <w:shd w:val="clear" w:color="auto" w:fill="FFFFFF"/>
            <w:vAlign w:val="bottom"/>
          </w:tcPr>
          <w:p w14:paraId="661B3A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9" w:type="dxa"/>
            <w:gridSpan w:val="4"/>
            <w:tcBorders>
              <w:top w:val="nil"/>
              <w:left w:val="single" w:sz="8" w:space="0" w:color="E0E0E0"/>
              <w:bottom w:val="single" w:sz="8" w:space="0" w:color="152935"/>
              <w:right w:val="single" w:sz="8" w:space="0" w:color="E0E0E0"/>
            </w:tcBorders>
            <w:shd w:val="clear" w:color="auto" w:fill="FFFFFF"/>
            <w:vAlign w:val="bottom"/>
          </w:tcPr>
          <w:p w14:paraId="3DAF4B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64" w:type="dxa"/>
            <w:gridSpan w:val="4"/>
            <w:tcBorders>
              <w:top w:val="nil"/>
              <w:left w:val="single" w:sz="8" w:space="0" w:color="E0E0E0"/>
              <w:bottom w:val="single" w:sz="8" w:space="0" w:color="152935"/>
              <w:right w:val="single" w:sz="8" w:space="0" w:color="E0E0E0"/>
            </w:tcBorders>
            <w:shd w:val="clear" w:color="auto" w:fill="FFFFFF"/>
            <w:vAlign w:val="bottom"/>
          </w:tcPr>
          <w:p w14:paraId="08EA34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599" w:type="dxa"/>
            <w:tcBorders>
              <w:top w:val="nil"/>
              <w:left w:val="single" w:sz="8" w:space="0" w:color="E0E0E0"/>
              <w:bottom w:val="single" w:sz="8" w:space="0" w:color="152935"/>
              <w:right w:val="single" w:sz="8" w:space="0" w:color="E0E0E0"/>
            </w:tcBorders>
            <w:shd w:val="clear" w:color="auto" w:fill="FFFFFF"/>
            <w:vAlign w:val="bottom"/>
          </w:tcPr>
          <w:p w14:paraId="1BFB61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573" w:type="dxa"/>
            <w:gridSpan w:val="2"/>
            <w:tcBorders>
              <w:top w:val="nil"/>
              <w:left w:val="single" w:sz="8" w:space="0" w:color="E0E0E0"/>
              <w:bottom w:val="single" w:sz="8" w:space="0" w:color="152935"/>
              <w:right w:val="nil"/>
            </w:tcBorders>
            <w:shd w:val="clear" w:color="auto" w:fill="FFFFFF"/>
            <w:vAlign w:val="bottom"/>
          </w:tcPr>
          <w:p w14:paraId="15CF837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07147308" w14:textId="77777777" w:rsidTr="00C7217E">
        <w:trPr>
          <w:gridAfter w:val="5"/>
          <w:wAfter w:w="2509" w:type="dxa"/>
          <w:cantSplit/>
        </w:trPr>
        <w:tc>
          <w:tcPr>
            <w:tcW w:w="816" w:type="dxa"/>
            <w:gridSpan w:val="2"/>
            <w:vMerge w:val="restart"/>
            <w:tcBorders>
              <w:top w:val="single" w:sz="8" w:space="0" w:color="152935"/>
              <w:left w:val="nil"/>
              <w:bottom w:val="single" w:sz="8" w:space="0" w:color="152935"/>
              <w:right w:val="nil"/>
            </w:tcBorders>
            <w:shd w:val="clear" w:color="auto" w:fill="E0E0E0"/>
          </w:tcPr>
          <w:p w14:paraId="3125408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8" w:type="dxa"/>
            <w:gridSpan w:val="5"/>
            <w:tcBorders>
              <w:top w:val="single" w:sz="8" w:space="0" w:color="152935"/>
              <w:left w:val="nil"/>
              <w:bottom w:val="single" w:sz="8" w:space="0" w:color="AEAEAE"/>
              <w:right w:val="nil"/>
            </w:tcBorders>
            <w:shd w:val="clear" w:color="auto" w:fill="E0E0E0"/>
          </w:tcPr>
          <w:p w14:paraId="7D29DB8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452" w:type="dxa"/>
            <w:gridSpan w:val="3"/>
            <w:tcBorders>
              <w:top w:val="single" w:sz="8" w:space="0" w:color="152935"/>
              <w:left w:val="nil"/>
              <w:bottom w:val="single" w:sz="8" w:space="0" w:color="AEAEAE"/>
              <w:right w:val="single" w:sz="8" w:space="0" w:color="E0E0E0"/>
            </w:tcBorders>
            <w:shd w:val="clear" w:color="auto" w:fill="FFFFFF"/>
          </w:tcPr>
          <w:p w14:paraId="49D7AB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166.773</w:t>
            </w:r>
          </w:p>
        </w:tc>
        <w:tc>
          <w:tcPr>
            <w:tcW w:w="1139" w:type="dxa"/>
            <w:gridSpan w:val="4"/>
            <w:tcBorders>
              <w:top w:val="single" w:sz="8" w:space="0" w:color="152935"/>
              <w:left w:val="single" w:sz="8" w:space="0" w:color="E0E0E0"/>
              <w:bottom w:val="single" w:sz="8" w:space="0" w:color="AEAEAE"/>
              <w:right w:val="single" w:sz="8" w:space="0" w:color="E0E0E0"/>
            </w:tcBorders>
            <w:shd w:val="clear" w:color="auto" w:fill="FFFFFF"/>
          </w:tcPr>
          <w:p w14:paraId="71D659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64" w:type="dxa"/>
            <w:gridSpan w:val="4"/>
            <w:tcBorders>
              <w:top w:val="single" w:sz="8" w:space="0" w:color="152935"/>
              <w:left w:val="single" w:sz="8" w:space="0" w:color="E0E0E0"/>
              <w:bottom w:val="single" w:sz="8" w:space="0" w:color="AEAEAE"/>
              <w:right w:val="single" w:sz="8" w:space="0" w:color="E0E0E0"/>
            </w:tcBorders>
            <w:shd w:val="clear" w:color="auto" w:fill="FFFFFF"/>
          </w:tcPr>
          <w:p w14:paraId="474450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166.773</w:t>
            </w:r>
          </w:p>
        </w:tc>
        <w:tc>
          <w:tcPr>
            <w:tcW w:w="599" w:type="dxa"/>
            <w:tcBorders>
              <w:top w:val="single" w:sz="8" w:space="0" w:color="152935"/>
              <w:left w:val="single" w:sz="8" w:space="0" w:color="E0E0E0"/>
              <w:bottom w:val="single" w:sz="8" w:space="0" w:color="AEAEAE"/>
              <w:right w:val="single" w:sz="8" w:space="0" w:color="E0E0E0"/>
            </w:tcBorders>
            <w:shd w:val="clear" w:color="auto" w:fill="FFFFFF"/>
          </w:tcPr>
          <w:p w14:paraId="22C7BD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112.890</w:t>
            </w:r>
          </w:p>
        </w:tc>
        <w:tc>
          <w:tcPr>
            <w:tcW w:w="573" w:type="dxa"/>
            <w:gridSpan w:val="2"/>
            <w:tcBorders>
              <w:top w:val="single" w:sz="8" w:space="0" w:color="152935"/>
              <w:left w:val="single" w:sz="8" w:space="0" w:color="E0E0E0"/>
              <w:bottom w:val="single" w:sz="8" w:space="0" w:color="AEAEAE"/>
              <w:right w:val="nil"/>
            </w:tcBorders>
            <w:shd w:val="clear" w:color="auto" w:fill="FFFFFF"/>
          </w:tcPr>
          <w:p w14:paraId="63B739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412D49F2" w14:textId="77777777" w:rsidTr="00C7217E">
        <w:trPr>
          <w:gridAfter w:val="5"/>
          <w:wAfter w:w="2509" w:type="dxa"/>
          <w:cantSplit/>
        </w:trPr>
        <w:tc>
          <w:tcPr>
            <w:tcW w:w="816" w:type="dxa"/>
            <w:gridSpan w:val="2"/>
            <w:vMerge/>
            <w:tcBorders>
              <w:top w:val="single" w:sz="8" w:space="0" w:color="152935"/>
              <w:left w:val="nil"/>
              <w:bottom w:val="single" w:sz="8" w:space="0" w:color="152935"/>
              <w:right w:val="nil"/>
            </w:tcBorders>
            <w:shd w:val="clear" w:color="auto" w:fill="E0E0E0"/>
          </w:tcPr>
          <w:p w14:paraId="368D9C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8" w:type="dxa"/>
            <w:gridSpan w:val="5"/>
            <w:tcBorders>
              <w:top w:val="single" w:sz="8" w:space="0" w:color="AEAEAE"/>
              <w:left w:val="nil"/>
              <w:bottom w:val="single" w:sz="8" w:space="0" w:color="AEAEAE"/>
              <w:right w:val="nil"/>
            </w:tcBorders>
            <w:shd w:val="clear" w:color="auto" w:fill="E0E0E0"/>
          </w:tcPr>
          <w:p w14:paraId="71A958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452" w:type="dxa"/>
            <w:gridSpan w:val="3"/>
            <w:tcBorders>
              <w:top w:val="single" w:sz="8" w:space="0" w:color="AEAEAE"/>
              <w:left w:val="nil"/>
              <w:bottom w:val="single" w:sz="8" w:space="0" w:color="AEAEAE"/>
              <w:right w:val="single" w:sz="8" w:space="0" w:color="E0E0E0"/>
            </w:tcBorders>
            <w:shd w:val="clear" w:color="auto" w:fill="FFFFFF"/>
          </w:tcPr>
          <w:p w14:paraId="08A77C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409.213</w:t>
            </w:r>
          </w:p>
        </w:tc>
        <w:tc>
          <w:tcPr>
            <w:tcW w:w="1139" w:type="dxa"/>
            <w:gridSpan w:val="4"/>
            <w:tcBorders>
              <w:top w:val="single" w:sz="8" w:space="0" w:color="AEAEAE"/>
              <w:left w:val="single" w:sz="8" w:space="0" w:color="E0E0E0"/>
              <w:bottom w:val="single" w:sz="8" w:space="0" w:color="AEAEAE"/>
              <w:right w:val="single" w:sz="8" w:space="0" w:color="E0E0E0"/>
            </w:tcBorders>
            <w:shd w:val="clear" w:color="auto" w:fill="FFFFFF"/>
          </w:tcPr>
          <w:p w14:paraId="1C4FCF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64" w:type="dxa"/>
            <w:gridSpan w:val="4"/>
            <w:tcBorders>
              <w:top w:val="single" w:sz="8" w:space="0" w:color="AEAEAE"/>
              <w:left w:val="single" w:sz="8" w:space="0" w:color="E0E0E0"/>
              <w:bottom w:val="single" w:sz="8" w:space="0" w:color="AEAEAE"/>
              <w:right w:val="single" w:sz="8" w:space="0" w:color="E0E0E0"/>
            </w:tcBorders>
            <w:shd w:val="clear" w:color="auto" w:fill="FFFFFF"/>
          </w:tcPr>
          <w:p w14:paraId="3CE4B3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1.477</w:t>
            </w:r>
          </w:p>
        </w:tc>
        <w:tc>
          <w:tcPr>
            <w:tcW w:w="5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BBE52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73" w:type="dxa"/>
            <w:gridSpan w:val="2"/>
            <w:tcBorders>
              <w:top w:val="single" w:sz="8" w:space="0" w:color="AEAEAE"/>
              <w:left w:val="single" w:sz="8" w:space="0" w:color="E0E0E0"/>
              <w:bottom w:val="single" w:sz="8" w:space="0" w:color="AEAEAE"/>
              <w:right w:val="nil"/>
            </w:tcBorders>
            <w:shd w:val="clear" w:color="auto" w:fill="FFFFFF"/>
            <w:vAlign w:val="center"/>
          </w:tcPr>
          <w:p w14:paraId="3F51D38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F6C45B2" w14:textId="77777777" w:rsidTr="00C7217E">
        <w:trPr>
          <w:gridAfter w:val="5"/>
          <w:wAfter w:w="2509" w:type="dxa"/>
          <w:cantSplit/>
        </w:trPr>
        <w:tc>
          <w:tcPr>
            <w:tcW w:w="816" w:type="dxa"/>
            <w:gridSpan w:val="2"/>
            <w:vMerge/>
            <w:tcBorders>
              <w:top w:val="single" w:sz="8" w:space="0" w:color="152935"/>
              <w:left w:val="nil"/>
              <w:bottom w:val="single" w:sz="8" w:space="0" w:color="152935"/>
              <w:right w:val="nil"/>
            </w:tcBorders>
            <w:shd w:val="clear" w:color="auto" w:fill="E0E0E0"/>
          </w:tcPr>
          <w:p w14:paraId="017AA9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8" w:type="dxa"/>
            <w:gridSpan w:val="5"/>
            <w:tcBorders>
              <w:top w:val="single" w:sz="8" w:space="0" w:color="AEAEAE"/>
              <w:left w:val="nil"/>
              <w:bottom w:val="single" w:sz="8" w:space="0" w:color="152935"/>
              <w:right w:val="nil"/>
            </w:tcBorders>
            <w:shd w:val="clear" w:color="auto" w:fill="E0E0E0"/>
          </w:tcPr>
          <w:p w14:paraId="59C82C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452" w:type="dxa"/>
            <w:gridSpan w:val="3"/>
            <w:tcBorders>
              <w:top w:val="single" w:sz="8" w:space="0" w:color="AEAEAE"/>
              <w:left w:val="nil"/>
              <w:bottom w:val="single" w:sz="8" w:space="0" w:color="152935"/>
              <w:right w:val="single" w:sz="8" w:space="0" w:color="E0E0E0"/>
            </w:tcBorders>
            <w:shd w:val="clear" w:color="auto" w:fill="FFFFFF"/>
          </w:tcPr>
          <w:p w14:paraId="6F4D77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575.987</w:t>
            </w:r>
          </w:p>
        </w:tc>
        <w:tc>
          <w:tcPr>
            <w:tcW w:w="1139" w:type="dxa"/>
            <w:gridSpan w:val="4"/>
            <w:tcBorders>
              <w:top w:val="single" w:sz="8" w:space="0" w:color="AEAEAE"/>
              <w:left w:val="single" w:sz="8" w:space="0" w:color="E0E0E0"/>
              <w:bottom w:val="single" w:sz="8" w:space="0" w:color="152935"/>
              <w:right w:val="single" w:sz="8" w:space="0" w:color="E0E0E0"/>
            </w:tcBorders>
            <w:shd w:val="clear" w:color="auto" w:fill="FFFFFF"/>
          </w:tcPr>
          <w:p w14:paraId="09ECBF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64"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5A73300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0076F7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73" w:type="dxa"/>
            <w:gridSpan w:val="2"/>
            <w:tcBorders>
              <w:top w:val="single" w:sz="8" w:space="0" w:color="AEAEAE"/>
              <w:left w:val="single" w:sz="8" w:space="0" w:color="E0E0E0"/>
              <w:bottom w:val="single" w:sz="8" w:space="0" w:color="152935"/>
              <w:right w:val="nil"/>
            </w:tcBorders>
            <w:shd w:val="clear" w:color="auto" w:fill="FFFFFF"/>
            <w:vAlign w:val="center"/>
          </w:tcPr>
          <w:p w14:paraId="084AFA2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E35EBD0" w14:textId="77777777" w:rsidTr="00C7217E">
        <w:trPr>
          <w:gridAfter w:val="5"/>
          <w:wAfter w:w="2509" w:type="dxa"/>
          <w:cantSplit/>
        </w:trPr>
        <w:tc>
          <w:tcPr>
            <w:tcW w:w="7571" w:type="dxa"/>
            <w:gridSpan w:val="21"/>
            <w:tcBorders>
              <w:top w:val="nil"/>
              <w:left w:val="nil"/>
              <w:bottom w:val="nil"/>
              <w:right w:val="nil"/>
            </w:tcBorders>
            <w:shd w:val="clear" w:color="auto" w:fill="FFFFFF"/>
          </w:tcPr>
          <w:p w14:paraId="37BAA4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Self–projection</w:t>
            </w:r>
          </w:p>
        </w:tc>
      </w:tr>
      <w:tr w:rsidR="00C7217E" w:rsidRPr="00530906" w14:paraId="48969B2F" w14:textId="77777777" w:rsidTr="00C7217E">
        <w:trPr>
          <w:gridAfter w:val="5"/>
          <w:wAfter w:w="2509" w:type="dxa"/>
          <w:cantSplit/>
        </w:trPr>
        <w:tc>
          <w:tcPr>
            <w:tcW w:w="7571" w:type="dxa"/>
            <w:gridSpan w:val="21"/>
            <w:tcBorders>
              <w:top w:val="nil"/>
              <w:left w:val="nil"/>
              <w:bottom w:val="nil"/>
              <w:right w:val="nil"/>
            </w:tcBorders>
            <w:shd w:val="clear" w:color="auto" w:fill="FFFFFF"/>
          </w:tcPr>
          <w:p w14:paraId="45A43B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Involvement</w:t>
            </w:r>
          </w:p>
        </w:tc>
      </w:tr>
      <w:tr w:rsidR="00C7217E" w:rsidRPr="00530906" w14:paraId="3A26DBB7" w14:textId="77777777" w:rsidTr="00C7217E">
        <w:trPr>
          <w:cantSplit/>
        </w:trPr>
        <w:tc>
          <w:tcPr>
            <w:tcW w:w="10080" w:type="dxa"/>
            <w:gridSpan w:val="26"/>
            <w:tcBorders>
              <w:top w:val="nil"/>
              <w:left w:val="nil"/>
              <w:bottom w:val="nil"/>
              <w:right w:val="nil"/>
            </w:tcBorders>
            <w:shd w:val="clear" w:color="auto" w:fill="FFFFFF"/>
            <w:vAlign w:val="center"/>
          </w:tcPr>
          <w:p w14:paraId="54CC3C0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1C482059" w14:textId="77777777" w:rsidTr="00C7217E">
        <w:trPr>
          <w:cantSplit/>
        </w:trPr>
        <w:tc>
          <w:tcPr>
            <w:tcW w:w="1260" w:type="dxa"/>
            <w:gridSpan w:val="4"/>
            <w:vMerge w:val="restart"/>
            <w:tcBorders>
              <w:top w:val="nil"/>
              <w:left w:val="nil"/>
              <w:bottom w:val="nil"/>
              <w:right w:val="nil"/>
            </w:tcBorders>
            <w:shd w:val="clear" w:color="auto" w:fill="FFFFFF"/>
            <w:vAlign w:val="bottom"/>
          </w:tcPr>
          <w:p w14:paraId="7FC7BD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530" w:type="dxa"/>
            <w:gridSpan w:val="4"/>
            <w:tcBorders>
              <w:top w:val="nil"/>
              <w:left w:val="nil"/>
              <w:bottom w:val="nil"/>
              <w:right w:val="single" w:sz="8" w:space="0" w:color="E0E0E0"/>
            </w:tcBorders>
            <w:shd w:val="clear" w:color="auto" w:fill="FFFFFF"/>
            <w:vAlign w:val="bottom"/>
          </w:tcPr>
          <w:p w14:paraId="2CC8E5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1080" w:type="dxa"/>
            <w:gridSpan w:val="3"/>
            <w:tcBorders>
              <w:top w:val="nil"/>
              <w:left w:val="single" w:sz="8" w:space="0" w:color="E0E0E0"/>
              <w:bottom w:val="nil"/>
              <w:right w:val="single" w:sz="8" w:space="0" w:color="E0E0E0"/>
            </w:tcBorders>
            <w:shd w:val="clear" w:color="auto" w:fill="FFFFFF"/>
            <w:vAlign w:val="bottom"/>
          </w:tcPr>
          <w:p w14:paraId="3208B2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630" w:type="dxa"/>
            <w:vMerge w:val="restart"/>
            <w:tcBorders>
              <w:top w:val="nil"/>
              <w:left w:val="single" w:sz="8" w:space="0" w:color="E0E0E0"/>
              <w:bottom w:val="nil"/>
              <w:right w:val="single" w:sz="8" w:space="0" w:color="E0E0E0"/>
            </w:tcBorders>
            <w:shd w:val="clear" w:color="auto" w:fill="FFFFFF"/>
            <w:vAlign w:val="bottom"/>
          </w:tcPr>
          <w:p w14:paraId="12B816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540" w:type="dxa"/>
            <w:gridSpan w:val="3"/>
            <w:vMerge w:val="restart"/>
            <w:tcBorders>
              <w:top w:val="nil"/>
              <w:left w:val="single" w:sz="8" w:space="0" w:color="E0E0E0"/>
              <w:bottom w:val="nil"/>
              <w:right w:val="single" w:sz="8" w:space="0" w:color="E0E0E0"/>
            </w:tcBorders>
            <w:shd w:val="clear" w:color="auto" w:fill="FFFFFF"/>
            <w:vAlign w:val="bottom"/>
          </w:tcPr>
          <w:p w14:paraId="3B454A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980" w:type="dxa"/>
            <w:gridSpan w:val="5"/>
            <w:tcBorders>
              <w:top w:val="nil"/>
              <w:left w:val="single" w:sz="8" w:space="0" w:color="E0E0E0"/>
              <w:bottom w:val="nil"/>
              <w:right w:val="single" w:sz="8" w:space="0" w:color="E0E0E0"/>
            </w:tcBorders>
            <w:shd w:val="clear" w:color="auto" w:fill="FFFFFF"/>
            <w:vAlign w:val="bottom"/>
          </w:tcPr>
          <w:p w14:paraId="6C5299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710" w:type="dxa"/>
            <w:gridSpan w:val="4"/>
            <w:tcBorders>
              <w:top w:val="nil"/>
              <w:left w:val="single" w:sz="8" w:space="0" w:color="E0E0E0"/>
              <w:bottom w:val="nil"/>
              <w:right w:val="single" w:sz="8" w:space="0" w:color="E0E0E0"/>
            </w:tcBorders>
            <w:shd w:val="clear" w:color="auto" w:fill="FFFFFF"/>
            <w:vAlign w:val="bottom"/>
          </w:tcPr>
          <w:p w14:paraId="37CFCC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350" w:type="dxa"/>
            <w:gridSpan w:val="2"/>
            <w:tcBorders>
              <w:top w:val="nil"/>
              <w:left w:val="single" w:sz="8" w:space="0" w:color="E0E0E0"/>
              <w:bottom w:val="nil"/>
              <w:right w:val="nil"/>
            </w:tcBorders>
            <w:shd w:val="clear" w:color="auto" w:fill="FFFFFF"/>
            <w:vAlign w:val="bottom"/>
          </w:tcPr>
          <w:p w14:paraId="39EEE1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1267C7E4" w14:textId="77777777" w:rsidTr="00C7217E">
        <w:trPr>
          <w:cantSplit/>
        </w:trPr>
        <w:tc>
          <w:tcPr>
            <w:tcW w:w="1260" w:type="dxa"/>
            <w:gridSpan w:val="4"/>
            <w:vMerge/>
            <w:tcBorders>
              <w:top w:val="nil"/>
              <w:left w:val="nil"/>
              <w:bottom w:val="nil"/>
              <w:right w:val="nil"/>
            </w:tcBorders>
            <w:shd w:val="clear" w:color="auto" w:fill="FFFFFF"/>
            <w:vAlign w:val="bottom"/>
          </w:tcPr>
          <w:p w14:paraId="160DCA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720" w:type="dxa"/>
            <w:tcBorders>
              <w:top w:val="nil"/>
              <w:left w:val="nil"/>
              <w:bottom w:val="single" w:sz="8" w:space="0" w:color="152935"/>
              <w:right w:val="single" w:sz="8" w:space="0" w:color="E0E0E0"/>
            </w:tcBorders>
            <w:shd w:val="clear" w:color="auto" w:fill="FFFFFF"/>
            <w:vAlign w:val="bottom"/>
          </w:tcPr>
          <w:p w14:paraId="2A17C3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810" w:type="dxa"/>
            <w:gridSpan w:val="3"/>
            <w:tcBorders>
              <w:top w:val="nil"/>
              <w:left w:val="single" w:sz="8" w:space="0" w:color="E0E0E0"/>
              <w:bottom w:val="single" w:sz="8" w:space="0" w:color="152935"/>
              <w:right w:val="single" w:sz="8" w:space="0" w:color="E0E0E0"/>
            </w:tcBorders>
            <w:shd w:val="clear" w:color="auto" w:fill="FFFFFF"/>
            <w:vAlign w:val="bottom"/>
          </w:tcPr>
          <w:p w14:paraId="6CBD37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1080" w:type="dxa"/>
            <w:gridSpan w:val="3"/>
            <w:tcBorders>
              <w:top w:val="nil"/>
              <w:left w:val="single" w:sz="8" w:space="0" w:color="E0E0E0"/>
              <w:bottom w:val="single" w:sz="8" w:space="0" w:color="152935"/>
              <w:right w:val="single" w:sz="8" w:space="0" w:color="E0E0E0"/>
            </w:tcBorders>
            <w:shd w:val="clear" w:color="auto" w:fill="FFFFFF"/>
            <w:vAlign w:val="bottom"/>
          </w:tcPr>
          <w:p w14:paraId="32183C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630" w:type="dxa"/>
            <w:vMerge/>
            <w:tcBorders>
              <w:top w:val="nil"/>
              <w:left w:val="single" w:sz="8" w:space="0" w:color="E0E0E0"/>
              <w:bottom w:val="nil"/>
              <w:right w:val="single" w:sz="8" w:space="0" w:color="E0E0E0"/>
            </w:tcBorders>
            <w:shd w:val="clear" w:color="auto" w:fill="FFFFFF"/>
            <w:vAlign w:val="bottom"/>
          </w:tcPr>
          <w:p w14:paraId="66DB57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540" w:type="dxa"/>
            <w:gridSpan w:val="3"/>
            <w:vMerge/>
            <w:tcBorders>
              <w:top w:val="nil"/>
              <w:left w:val="single" w:sz="8" w:space="0" w:color="E0E0E0"/>
              <w:bottom w:val="nil"/>
              <w:right w:val="single" w:sz="8" w:space="0" w:color="E0E0E0"/>
            </w:tcBorders>
            <w:shd w:val="clear" w:color="auto" w:fill="FFFFFF"/>
            <w:vAlign w:val="bottom"/>
          </w:tcPr>
          <w:p w14:paraId="07CB5AC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1F66644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gridSpan w:val="4"/>
            <w:tcBorders>
              <w:top w:val="nil"/>
              <w:left w:val="single" w:sz="8" w:space="0" w:color="E0E0E0"/>
              <w:bottom w:val="single" w:sz="8" w:space="0" w:color="152935"/>
              <w:right w:val="single" w:sz="8" w:space="0" w:color="E0E0E0"/>
            </w:tcBorders>
            <w:shd w:val="clear" w:color="auto" w:fill="FFFFFF"/>
            <w:vAlign w:val="bottom"/>
          </w:tcPr>
          <w:p w14:paraId="3621C5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630" w:type="dxa"/>
            <w:gridSpan w:val="2"/>
            <w:tcBorders>
              <w:top w:val="nil"/>
              <w:left w:val="single" w:sz="8" w:space="0" w:color="E0E0E0"/>
              <w:bottom w:val="single" w:sz="8" w:space="0" w:color="152935"/>
              <w:right w:val="single" w:sz="8" w:space="0" w:color="E0E0E0"/>
            </w:tcBorders>
            <w:shd w:val="clear" w:color="auto" w:fill="FFFFFF"/>
            <w:vAlign w:val="bottom"/>
          </w:tcPr>
          <w:p w14:paraId="489F7A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292F52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178BD2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6A1F80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559D66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15975351" w14:textId="77777777" w:rsidTr="00C7217E">
        <w:trPr>
          <w:cantSplit/>
        </w:trPr>
        <w:tc>
          <w:tcPr>
            <w:tcW w:w="270" w:type="dxa"/>
            <w:vMerge w:val="restart"/>
            <w:tcBorders>
              <w:top w:val="single" w:sz="8" w:space="0" w:color="152935"/>
              <w:left w:val="nil"/>
              <w:bottom w:val="single" w:sz="8" w:space="0" w:color="152935"/>
              <w:right w:val="nil"/>
            </w:tcBorders>
            <w:shd w:val="clear" w:color="auto" w:fill="E0E0E0"/>
          </w:tcPr>
          <w:p w14:paraId="326C43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90" w:type="dxa"/>
            <w:gridSpan w:val="3"/>
            <w:tcBorders>
              <w:top w:val="single" w:sz="8" w:space="0" w:color="152935"/>
              <w:left w:val="nil"/>
              <w:bottom w:val="single" w:sz="8" w:space="0" w:color="AEAEAE"/>
              <w:right w:val="nil"/>
            </w:tcBorders>
            <w:shd w:val="clear" w:color="auto" w:fill="E0E0E0"/>
          </w:tcPr>
          <w:p w14:paraId="7E5BFA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720" w:type="dxa"/>
            <w:tcBorders>
              <w:top w:val="single" w:sz="8" w:space="0" w:color="152935"/>
              <w:left w:val="nil"/>
              <w:bottom w:val="single" w:sz="8" w:space="0" w:color="AEAEAE"/>
              <w:right w:val="single" w:sz="8" w:space="0" w:color="E0E0E0"/>
            </w:tcBorders>
            <w:shd w:val="clear" w:color="auto" w:fill="FFFFFF"/>
          </w:tcPr>
          <w:p w14:paraId="299CAF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.713</w:t>
            </w:r>
          </w:p>
        </w:tc>
        <w:tc>
          <w:tcPr>
            <w:tcW w:w="81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AFD60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.267</w:t>
            </w:r>
          </w:p>
        </w:tc>
        <w:tc>
          <w:tcPr>
            <w:tcW w:w="108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65665EE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235451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2.669</w:t>
            </w:r>
          </w:p>
        </w:tc>
        <w:tc>
          <w:tcPr>
            <w:tcW w:w="54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4D636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.008</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58EC055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.187</w:t>
            </w:r>
          </w:p>
        </w:tc>
        <w:tc>
          <w:tcPr>
            <w:tcW w:w="1080" w:type="dxa"/>
            <w:gridSpan w:val="4"/>
            <w:tcBorders>
              <w:top w:val="single" w:sz="8" w:space="0" w:color="152935"/>
              <w:left w:val="single" w:sz="8" w:space="0" w:color="E0E0E0"/>
              <w:bottom w:val="single" w:sz="8" w:space="0" w:color="AEAEAE"/>
              <w:right w:val="single" w:sz="8" w:space="0" w:color="E0E0E0"/>
            </w:tcBorders>
            <w:shd w:val="clear" w:color="auto" w:fill="FFFFFF"/>
          </w:tcPr>
          <w:p w14:paraId="719607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1.239</w:t>
            </w:r>
          </w:p>
        </w:tc>
        <w:tc>
          <w:tcPr>
            <w:tcW w:w="63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3BA7B0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0E2E9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F1DD3B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64FAED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19F2E06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ED647F5" w14:textId="77777777" w:rsidTr="00C7217E">
        <w:trPr>
          <w:cantSplit/>
        </w:trPr>
        <w:tc>
          <w:tcPr>
            <w:tcW w:w="270" w:type="dxa"/>
            <w:vMerge/>
            <w:tcBorders>
              <w:top w:val="single" w:sz="8" w:space="0" w:color="152935"/>
              <w:left w:val="nil"/>
              <w:bottom w:val="single" w:sz="8" w:space="0" w:color="152935"/>
              <w:right w:val="nil"/>
            </w:tcBorders>
            <w:shd w:val="clear" w:color="auto" w:fill="E0E0E0"/>
          </w:tcPr>
          <w:p w14:paraId="69640EF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90" w:type="dxa"/>
            <w:gridSpan w:val="3"/>
            <w:tcBorders>
              <w:top w:val="single" w:sz="8" w:space="0" w:color="AEAEAE"/>
              <w:left w:val="nil"/>
              <w:bottom w:val="single" w:sz="8" w:space="0" w:color="152935"/>
              <w:right w:val="nil"/>
            </w:tcBorders>
            <w:shd w:val="clear" w:color="auto" w:fill="E0E0E0"/>
          </w:tcPr>
          <w:p w14:paraId="3E9FBB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Involvement</w:t>
            </w:r>
          </w:p>
        </w:tc>
        <w:tc>
          <w:tcPr>
            <w:tcW w:w="720" w:type="dxa"/>
            <w:tcBorders>
              <w:top w:val="single" w:sz="8" w:space="0" w:color="AEAEAE"/>
              <w:left w:val="nil"/>
              <w:bottom w:val="single" w:sz="8" w:space="0" w:color="152935"/>
              <w:right w:val="single" w:sz="8" w:space="0" w:color="E0E0E0"/>
            </w:tcBorders>
            <w:shd w:val="clear" w:color="auto" w:fill="FFFFFF"/>
          </w:tcPr>
          <w:p w14:paraId="10D9C1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.599</w:t>
            </w:r>
          </w:p>
        </w:tc>
        <w:tc>
          <w:tcPr>
            <w:tcW w:w="810" w:type="dxa"/>
            <w:gridSpan w:val="3"/>
            <w:tcBorders>
              <w:top w:val="single" w:sz="8" w:space="0" w:color="AEAEAE"/>
              <w:left w:val="single" w:sz="8" w:space="0" w:color="E0E0E0"/>
              <w:bottom w:val="single" w:sz="8" w:space="0" w:color="152935"/>
              <w:right w:val="single" w:sz="8" w:space="0" w:color="E0E0E0"/>
            </w:tcBorders>
            <w:shd w:val="clear" w:color="auto" w:fill="FFFFFF"/>
          </w:tcPr>
          <w:p w14:paraId="0CDA175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.056</w:t>
            </w:r>
          </w:p>
        </w:tc>
        <w:tc>
          <w:tcPr>
            <w:tcW w:w="1080" w:type="dxa"/>
            <w:gridSpan w:val="3"/>
            <w:tcBorders>
              <w:top w:val="single" w:sz="8" w:space="0" w:color="AEAEAE"/>
              <w:left w:val="single" w:sz="8" w:space="0" w:color="E0E0E0"/>
              <w:bottom w:val="single" w:sz="8" w:space="0" w:color="152935"/>
              <w:right w:val="single" w:sz="8" w:space="0" w:color="E0E0E0"/>
            </w:tcBorders>
            <w:shd w:val="clear" w:color="auto" w:fill="FFFFFF"/>
          </w:tcPr>
          <w:p w14:paraId="25BE59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12793E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10.625</w:t>
            </w:r>
          </w:p>
        </w:tc>
        <w:tc>
          <w:tcPr>
            <w:tcW w:w="540" w:type="dxa"/>
            <w:gridSpan w:val="3"/>
            <w:tcBorders>
              <w:top w:val="single" w:sz="8" w:space="0" w:color="AEAEAE"/>
              <w:left w:val="single" w:sz="8" w:space="0" w:color="E0E0E0"/>
              <w:bottom w:val="single" w:sz="8" w:space="0" w:color="152935"/>
              <w:right w:val="single" w:sz="8" w:space="0" w:color="E0E0E0"/>
            </w:tcBorders>
            <w:shd w:val="clear" w:color="auto" w:fill="FFFFFF"/>
          </w:tcPr>
          <w:p w14:paraId="5060A7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26F44C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.488</w:t>
            </w:r>
          </w:p>
        </w:tc>
        <w:tc>
          <w:tcPr>
            <w:tcW w:w="1080" w:type="dxa"/>
            <w:gridSpan w:val="4"/>
            <w:tcBorders>
              <w:top w:val="single" w:sz="8" w:space="0" w:color="AEAEAE"/>
              <w:left w:val="single" w:sz="8" w:space="0" w:color="E0E0E0"/>
              <w:bottom w:val="single" w:sz="8" w:space="0" w:color="152935"/>
              <w:right w:val="single" w:sz="8" w:space="0" w:color="E0E0E0"/>
            </w:tcBorders>
            <w:shd w:val="clear" w:color="auto" w:fill="FFFFFF"/>
          </w:tcPr>
          <w:p w14:paraId="0534049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.710</w:t>
            </w:r>
          </w:p>
        </w:tc>
        <w:tc>
          <w:tcPr>
            <w:tcW w:w="6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7A192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4C8BF8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30DBA7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75A561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64940D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36827E4F" w14:textId="77777777" w:rsidTr="00C7217E">
        <w:trPr>
          <w:cantSplit/>
        </w:trPr>
        <w:tc>
          <w:tcPr>
            <w:tcW w:w="10080" w:type="dxa"/>
            <w:gridSpan w:val="26"/>
            <w:tcBorders>
              <w:top w:val="nil"/>
              <w:left w:val="nil"/>
              <w:bottom w:val="nil"/>
              <w:right w:val="nil"/>
            </w:tcBorders>
            <w:shd w:val="clear" w:color="auto" w:fill="FFFFFF"/>
          </w:tcPr>
          <w:p w14:paraId="1D9349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Self–projection</w:t>
            </w:r>
          </w:p>
        </w:tc>
      </w:tr>
    </w:tbl>
    <w:p w14:paraId="473471D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41FF45F4" w14:textId="0DE675FD" w:rsidR="00C7217E" w:rsidRPr="00530906" w:rsidRDefault="00C7217E" w:rsidP="008756B1">
      <w:pPr>
        <w:pStyle w:val="Heading3"/>
        <w:jc w:val="both"/>
        <w:rPr>
          <w:rFonts w:eastAsia="Times New Roman"/>
          <w:lang w:val="en-US"/>
        </w:rPr>
      </w:pPr>
      <w:bookmarkStart w:id="144" w:name="_Toc115726299"/>
      <w:r w:rsidRPr="00530906">
        <w:rPr>
          <w:rFonts w:eastAsia="Times New Roman"/>
          <w:lang w:val="en-US"/>
        </w:rPr>
        <w:t>Regression analysis between ‘involvement’ and ‘mental fluency’</w:t>
      </w:r>
      <w:bookmarkEnd w:id="144"/>
    </w:p>
    <w:p w14:paraId="792B721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6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1139"/>
        <w:gridCol w:w="1207"/>
        <w:gridCol w:w="1632"/>
        <w:gridCol w:w="1632"/>
      </w:tblGrid>
      <w:tr w:rsidR="00C7217E" w:rsidRPr="00530906" w14:paraId="42859B31" w14:textId="77777777" w:rsidTr="00C7217E">
        <w:trPr>
          <w:cantSplit/>
        </w:trPr>
        <w:tc>
          <w:tcPr>
            <w:tcW w:w="6494" w:type="dxa"/>
            <w:gridSpan w:val="5"/>
            <w:tcBorders>
              <w:top w:val="nil"/>
              <w:left w:val="nil"/>
              <w:bottom w:val="nil"/>
              <w:right w:val="nil"/>
            </w:tcBorders>
            <w:shd w:val="clear" w:color="auto" w:fill="FFFFFF"/>
            <w:vAlign w:val="center"/>
          </w:tcPr>
          <w:p w14:paraId="12C59F86"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179B9424" w14:textId="77777777" w:rsidTr="00C7217E">
        <w:trPr>
          <w:cantSplit/>
        </w:trPr>
        <w:tc>
          <w:tcPr>
            <w:tcW w:w="884" w:type="dxa"/>
            <w:tcBorders>
              <w:top w:val="nil"/>
              <w:left w:val="nil"/>
              <w:bottom w:val="single" w:sz="8" w:space="0" w:color="152935"/>
              <w:right w:val="nil"/>
            </w:tcBorders>
            <w:shd w:val="clear" w:color="auto" w:fill="FFFFFF"/>
            <w:vAlign w:val="bottom"/>
          </w:tcPr>
          <w:p w14:paraId="1A9F73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9" w:type="dxa"/>
            <w:tcBorders>
              <w:top w:val="nil"/>
              <w:left w:val="nil"/>
              <w:bottom w:val="single" w:sz="8" w:space="0" w:color="152935"/>
              <w:right w:val="single" w:sz="8" w:space="0" w:color="E0E0E0"/>
            </w:tcBorders>
            <w:shd w:val="clear" w:color="auto" w:fill="FFFFFF"/>
            <w:vAlign w:val="bottom"/>
          </w:tcPr>
          <w:p w14:paraId="721FDB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7" w:type="dxa"/>
            <w:tcBorders>
              <w:top w:val="nil"/>
              <w:left w:val="single" w:sz="8" w:space="0" w:color="E0E0E0"/>
              <w:bottom w:val="single" w:sz="8" w:space="0" w:color="152935"/>
              <w:right w:val="single" w:sz="8" w:space="0" w:color="E0E0E0"/>
            </w:tcBorders>
            <w:shd w:val="clear" w:color="auto" w:fill="FFFFFF"/>
            <w:vAlign w:val="bottom"/>
          </w:tcPr>
          <w:p w14:paraId="4B433E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2" w:type="dxa"/>
            <w:tcBorders>
              <w:top w:val="nil"/>
              <w:left w:val="single" w:sz="8" w:space="0" w:color="E0E0E0"/>
              <w:bottom w:val="single" w:sz="8" w:space="0" w:color="152935"/>
              <w:right w:val="single" w:sz="8" w:space="0" w:color="E0E0E0"/>
            </w:tcBorders>
            <w:shd w:val="clear" w:color="auto" w:fill="FFFFFF"/>
            <w:vAlign w:val="bottom"/>
          </w:tcPr>
          <w:p w14:paraId="6DCC0B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632" w:type="dxa"/>
            <w:tcBorders>
              <w:top w:val="nil"/>
              <w:left w:val="single" w:sz="8" w:space="0" w:color="E0E0E0"/>
              <w:bottom w:val="single" w:sz="8" w:space="0" w:color="152935"/>
              <w:right w:val="nil"/>
            </w:tcBorders>
            <w:shd w:val="clear" w:color="auto" w:fill="FFFFFF"/>
            <w:vAlign w:val="bottom"/>
          </w:tcPr>
          <w:p w14:paraId="47E0D6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2C7F4C70" w14:textId="77777777" w:rsidTr="00C7217E">
        <w:trPr>
          <w:cantSplit/>
        </w:trPr>
        <w:tc>
          <w:tcPr>
            <w:tcW w:w="884" w:type="dxa"/>
            <w:tcBorders>
              <w:top w:val="single" w:sz="8" w:space="0" w:color="152935"/>
              <w:left w:val="nil"/>
              <w:bottom w:val="single" w:sz="8" w:space="0" w:color="152935"/>
              <w:right w:val="nil"/>
            </w:tcBorders>
            <w:shd w:val="clear" w:color="auto" w:fill="E0E0E0"/>
          </w:tcPr>
          <w:p w14:paraId="468EDD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9" w:type="dxa"/>
            <w:tcBorders>
              <w:top w:val="single" w:sz="8" w:space="0" w:color="152935"/>
              <w:left w:val="nil"/>
              <w:bottom w:val="single" w:sz="8" w:space="0" w:color="152935"/>
              <w:right w:val="single" w:sz="8" w:space="0" w:color="E0E0E0"/>
            </w:tcBorders>
            <w:shd w:val="clear" w:color="auto" w:fill="FFFFFF"/>
          </w:tcPr>
          <w:p w14:paraId="71CFA3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.466</w:t>
            </w:r>
            <w:r w:rsidRPr="00530906">
              <w:rPr>
                <w:rFonts w:ascii="Cambria" w:eastAsia="Times New Roman" w:hAnsi="Cambria" w:cs="Times New Roman"/>
                <w:color w:val="000000"/>
                <w:sz w:val="18"/>
                <w:szCs w:val="18"/>
                <w:vertAlign w:val="superscript"/>
                <w:lang w:val="en-US"/>
              </w:rPr>
              <w:t>a</w:t>
            </w:r>
          </w:p>
        </w:tc>
        <w:tc>
          <w:tcPr>
            <w:tcW w:w="1207" w:type="dxa"/>
            <w:tcBorders>
              <w:top w:val="single" w:sz="8" w:space="0" w:color="152935"/>
              <w:left w:val="single" w:sz="8" w:space="0" w:color="E0E0E0"/>
              <w:bottom w:val="single" w:sz="8" w:space="0" w:color="152935"/>
              <w:right w:val="single" w:sz="8" w:space="0" w:color="E0E0E0"/>
            </w:tcBorders>
            <w:shd w:val="clear" w:color="auto" w:fill="FFFFFF"/>
          </w:tcPr>
          <w:p w14:paraId="45CD1B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.217</w:t>
            </w:r>
          </w:p>
        </w:tc>
        <w:tc>
          <w:tcPr>
            <w:tcW w:w="1632" w:type="dxa"/>
            <w:tcBorders>
              <w:top w:val="single" w:sz="8" w:space="0" w:color="152935"/>
              <w:left w:val="single" w:sz="8" w:space="0" w:color="E0E0E0"/>
              <w:bottom w:val="single" w:sz="8" w:space="0" w:color="152935"/>
              <w:right w:val="single" w:sz="8" w:space="0" w:color="E0E0E0"/>
            </w:tcBorders>
            <w:shd w:val="clear" w:color="auto" w:fill="FFFFFF"/>
          </w:tcPr>
          <w:p w14:paraId="6897EC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.214</w:t>
            </w:r>
          </w:p>
        </w:tc>
        <w:tc>
          <w:tcPr>
            <w:tcW w:w="1632" w:type="dxa"/>
            <w:tcBorders>
              <w:top w:val="single" w:sz="8" w:space="0" w:color="152935"/>
              <w:left w:val="single" w:sz="8" w:space="0" w:color="E0E0E0"/>
              <w:bottom w:val="single" w:sz="8" w:space="0" w:color="152935"/>
              <w:right w:val="nil"/>
            </w:tcBorders>
            <w:shd w:val="clear" w:color="auto" w:fill="FFFFFF"/>
          </w:tcPr>
          <w:p w14:paraId="275CC1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1.42143</w:t>
            </w:r>
          </w:p>
        </w:tc>
      </w:tr>
      <w:tr w:rsidR="00C7217E" w:rsidRPr="00530906" w14:paraId="78648535" w14:textId="77777777" w:rsidTr="00C7217E">
        <w:trPr>
          <w:cantSplit/>
        </w:trPr>
        <w:tc>
          <w:tcPr>
            <w:tcW w:w="6494" w:type="dxa"/>
            <w:gridSpan w:val="5"/>
            <w:tcBorders>
              <w:top w:val="nil"/>
              <w:left w:val="nil"/>
              <w:bottom w:val="nil"/>
              <w:right w:val="nil"/>
            </w:tcBorders>
            <w:shd w:val="clear" w:color="auto" w:fill="FFFFFF"/>
          </w:tcPr>
          <w:p w14:paraId="2AA433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Involvement</w:t>
            </w:r>
          </w:p>
        </w:tc>
      </w:tr>
      <w:tr w:rsidR="00C7217E" w:rsidRPr="00530906" w14:paraId="01E01F65" w14:textId="77777777" w:rsidTr="00C7217E">
        <w:trPr>
          <w:cantSplit/>
        </w:trPr>
        <w:tc>
          <w:tcPr>
            <w:tcW w:w="6494" w:type="dxa"/>
            <w:gridSpan w:val="5"/>
            <w:tcBorders>
              <w:top w:val="nil"/>
              <w:left w:val="nil"/>
              <w:bottom w:val="nil"/>
              <w:right w:val="nil"/>
            </w:tcBorders>
            <w:shd w:val="clear" w:color="auto" w:fill="FFFFFF"/>
          </w:tcPr>
          <w:p w14:paraId="435729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Mental fluency</w:t>
            </w:r>
          </w:p>
        </w:tc>
      </w:tr>
    </w:tbl>
    <w:p w14:paraId="0E211DE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2784702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6"/>
        <w:gridCol w:w="444"/>
        <w:gridCol w:w="630"/>
        <w:gridCol w:w="354"/>
        <w:gridCol w:w="604"/>
        <w:gridCol w:w="302"/>
        <w:gridCol w:w="837"/>
        <w:gridCol w:w="243"/>
        <w:gridCol w:w="540"/>
        <w:gridCol w:w="450"/>
        <w:gridCol w:w="331"/>
        <w:gridCol w:w="389"/>
        <w:gridCol w:w="750"/>
        <w:gridCol w:w="60"/>
        <w:gridCol w:w="990"/>
        <w:gridCol w:w="89"/>
        <w:gridCol w:w="541"/>
        <w:gridCol w:w="360"/>
        <w:gridCol w:w="720"/>
        <w:gridCol w:w="540"/>
      </w:tblGrid>
      <w:tr w:rsidR="00C7217E" w:rsidRPr="00530906" w14:paraId="0E278684" w14:textId="77777777" w:rsidTr="00C7217E">
        <w:trPr>
          <w:gridAfter w:val="4"/>
          <w:wAfter w:w="2161" w:type="dxa"/>
          <w:cantSplit/>
        </w:trPr>
        <w:tc>
          <w:tcPr>
            <w:tcW w:w="7829" w:type="dxa"/>
            <w:gridSpan w:val="17"/>
            <w:tcBorders>
              <w:top w:val="nil"/>
              <w:left w:val="nil"/>
              <w:bottom w:val="nil"/>
              <w:right w:val="nil"/>
            </w:tcBorders>
            <w:shd w:val="clear" w:color="auto" w:fill="FFFFFF"/>
            <w:vAlign w:val="center"/>
          </w:tcPr>
          <w:p w14:paraId="1ECF34C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1EAFC9AB" w14:textId="77777777" w:rsidTr="00C7217E">
        <w:trPr>
          <w:gridAfter w:val="4"/>
          <w:wAfter w:w="2161" w:type="dxa"/>
          <w:cantSplit/>
        </w:trPr>
        <w:tc>
          <w:tcPr>
            <w:tcW w:w="2244" w:type="dxa"/>
            <w:gridSpan w:val="5"/>
            <w:tcBorders>
              <w:top w:val="nil"/>
              <w:left w:val="nil"/>
              <w:bottom w:val="single" w:sz="8" w:space="0" w:color="152935"/>
              <w:right w:val="nil"/>
            </w:tcBorders>
            <w:shd w:val="clear" w:color="auto" w:fill="FFFFFF"/>
            <w:vAlign w:val="bottom"/>
          </w:tcPr>
          <w:p w14:paraId="1D6024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604" w:type="dxa"/>
            <w:tcBorders>
              <w:top w:val="nil"/>
              <w:left w:val="nil"/>
              <w:bottom w:val="single" w:sz="8" w:space="0" w:color="152935"/>
              <w:right w:val="single" w:sz="8" w:space="0" w:color="E0E0E0"/>
            </w:tcBorders>
            <w:shd w:val="clear" w:color="auto" w:fill="FFFFFF"/>
            <w:vAlign w:val="bottom"/>
          </w:tcPr>
          <w:p w14:paraId="0C647B2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9" w:type="dxa"/>
            <w:gridSpan w:val="2"/>
            <w:tcBorders>
              <w:top w:val="nil"/>
              <w:left w:val="single" w:sz="8" w:space="0" w:color="E0E0E0"/>
              <w:bottom w:val="single" w:sz="8" w:space="0" w:color="152935"/>
              <w:right w:val="single" w:sz="8" w:space="0" w:color="E0E0E0"/>
            </w:tcBorders>
            <w:shd w:val="clear" w:color="auto" w:fill="FFFFFF"/>
            <w:vAlign w:val="bottom"/>
          </w:tcPr>
          <w:p w14:paraId="05D5FD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64" w:type="dxa"/>
            <w:gridSpan w:val="4"/>
            <w:tcBorders>
              <w:top w:val="nil"/>
              <w:left w:val="single" w:sz="8" w:space="0" w:color="E0E0E0"/>
              <w:bottom w:val="single" w:sz="8" w:space="0" w:color="152935"/>
              <w:right w:val="single" w:sz="8" w:space="0" w:color="E0E0E0"/>
            </w:tcBorders>
            <w:shd w:val="clear" w:color="auto" w:fill="FFFFFF"/>
            <w:vAlign w:val="bottom"/>
          </w:tcPr>
          <w:p w14:paraId="7D694D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1139" w:type="dxa"/>
            <w:gridSpan w:val="2"/>
            <w:tcBorders>
              <w:top w:val="nil"/>
              <w:left w:val="single" w:sz="8" w:space="0" w:color="E0E0E0"/>
              <w:bottom w:val="single" w:sz="8" w:space="0" w:color="152935"/>
              <w:right w:val="single" w:sz="8" w:space="0" w:color="E0E0E0"/>
            </w:tcBorders>
            <w:shd w:val="clear" w:color="auto" w:fill="FFFFFF"/>
            <w:vAlign w:val="bottom"/>
          </w:tcPr>
          <w:p w14:paraId="4BC9DD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139" w:type="dxa"/>
            <w:gridSpan w:val="3"/>
            <w:tcBorders>
              <w:top w:val="nil"/>
              <w:left w:val="single" w:sz="8" w:space="0" w:color="E0E0E0"/>
              <w:bottom w:val="single" w:sz="8" w:space="0" w:color="152935"/>
              <w:right w:val="nil"/>
            </w:tcBorders>
            <w:shd w:val="clear" w:color="auto" w:fill="FFFFFF"/>
            <w:vAlign w:val="bottom"/>
          </w:tcPr>
          <w:p w14:paraId="1A35D8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449FB67B" w14:textId="77777777" w:rsidTr="00C7217E">
        <w:trPr>
          <w:gridAfter w:val="4"/>
          <w:wAfter w:w="2161" w:type="dxa"/>
          <w:cantSplit/>
        </w:trPr>
        <w:tc>
          <w:tcPr>
            <w:tcW w:w="816" w:type="dxa"/>
            <w:gridSpan w:val="2"/>
            <w:vMerge w:val="restart"/>
            <w:tcBorders>
              <w:top w:val="single" w:sz="8" w:space="0" w:color="152935"/>
              <w:left w:val="nil"/>
              <w:bottom w:val="single" w:sz="8" w:space="0" w:color="152935"/>
              <w:right w:val="nil"/>
            </w:tcBorders>
            <w:shd w:val="clear" w:color="auto" w:fill="E0E0E0"/>
          </w:tcPr>
          <w:p w14:paraId="58D85A6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8" w:type="dxa"/>
            <w:gridSpan w:val="3"/>
            <w:tcBorders>
              <w:top w:val="single" w:sz="8" w:space="0" w:color="152935"/>
              <w:left w:val="nil"/>
              <w:bottom w:val="single" w:sz="8" w:space="0" w:color="AEAEAE"/>
              <w:right w:val="nil"/>
            </w:tcBorders>
            <w:shd w:val="clear" w:color="auto" w:fill="E0E0E0"/>
          </w:tcPr>
          <w:p w14:paraId="7F10B4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604" w:type="dxa"/>
            <w:tcBorders>
              <w:top w:val="single" w:sz="8" w:space="0" w:color="152935"/>
              <w:left w:val="nil"/>
              <w:bottom w:val="single" w:sz="8" w:space="0" w:color="AEAEAE"/>
              <w:right w:val="single" w:sz="8" w:space="0" w:color="E0E0E0"/>
            </w:tcBorders>
            <w:shd w:val="clear" w:color="auto" w:fill="FFFFFF"/>
          </w:tcPr>
          <w:p w14:paraId="3EDBFF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155.170</w:t>
            </w:r>
          </w:p>
        </w:tc>
        <w:tc>
          <w:tcPr>
            <w:tcW w:w="1139" w:type="dxa"/>
            <w:gridSpan w:val="2"/>
            <w:tcBorders>
              <w:top w:val="single" w:sz="8" w:space="0" w:color="152935"/>
              <w:left w:val="single" w:sz="8" w:space="0" w:color="E0E0E0"/>
              <w:bottom w:val="single" w:sz="8" w:space="0" w:color="AEAEAE"/>
              <w:right w:val="single" w:sz="8" w:space="0" w:color="E0E0E0"/>
            </w:tcBorders>
            <w:shd w:val="clear" w:color="auto" w:fill="FFFFFF"/>
          </w:tcPr>
          <w:p w14:paraId="18E103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64" w:type="dxa"/>
            <w:gridSpan w:val="4"/>
            <w:tcBorders>
              <w:top w:val="single" w:sz="8" w:space="0" w:color="152935"/>
              <w:left w:val="single" w:sz="8" w:space="0" w:color="E0E0E0"/>
              <w:bottom w:val="single" w:sz="8" w:space="0" w:color="AEAEAE"/>
              <w:right w:val="single" w:sz="8" w:space="0" w:color="E0E0E0"/>
            </w:tcBorders>
            <w:shd w:val="clear" w:color="auto" w:fill="FFFFFF"/>
          </w:tcPr>
          <w:p w14:paraId="0B5143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155.170</w:t>
            </w:r>
          </w:p>
        </w:tc>
        <w:tc>
          <w:tcPr>
            <w:tcW w:w="1139" w:type="dxa"/>
            <w:gridSpan w:val="2"/>
            <w:tcBorders>
              <w:top w:val="single" w:sz="8" w:space="0" w:color="152935"/>
              <w:left w:val="single" w:sz="8" w:space="0" w:color="E0E0E0"/>
              <w:bottom w:val="single" w:sz="8" w:space="0" w:color="AEAEAE"/>
              <w:right w:val="single" w:sz="8" w:space="0" w:color="E0E0E0"/>
            </w:tcBorders>
            <w:shd w:val="clear" w:color="auto" w:fill="FFFFFF"/>
          </w:tcPr>
          <w:p w14:paraId="479106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76.799</w:t>
            </w:r>
          </w:p>
        </w:tc>
        <w:tc>
          <w:tcPr>
            <w:tcW w:w="1139" w:type="dxa"/>
            <w:gridSpan w:val="3"/>
            <w:tcBorders>
              <w:top w:val="single" w:sz="8" w:space="0" w:color="152935"/>
              <w:left w:val="single" w:sz="8" w:space="0" w:color="E0E0E0"/>
              <w:bottom w:val="single" w:sz="8" w:space="0" w:color="AEAEAE"/>
              <w:right w:val="nil"/>
            </w:tcBorders>
            <w:shd w:val="clear" w:color="auto" w:fill="FFFFFF"/>
          </w:tcPr>
          <w:p w14:paraId="21AB53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2FC75D31" w14:textId="77777777" w:rsidTr="00C7217E">
        <w:trPr>
          <w:gridAfter w:val="4"/>
          <w:wAfter w:w="2161" w:type="dxa"/>
          <w:cantSplit/>
        </w:trPr>
        <w:tc>
          <w:tcPr>
            <w:tcW w:w="816" w:type="dxa"/>
            <w:gridSpan w:val="2"/>
            <w:vMerge/>
            <w:tcBorders>
              <w:top w:val="single" w:sz="8" w:space="0" w:color="152935"/>
              <w:left w:val="nil"/>
              <w:bottom w:val="single" w:sz="8" w:space="0" w:color="152935"/>
              <w:right w:val="nil"/>
            </w:tcBorders>
            <w:shd w:val="clear" w:color="auto" w:fill="E0E0E0"/>
          </w:tcPr>
          <w:p w14:paraId="3E2862B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8" w:type="dxa"/>
            <w:gridSpan w:val="3"/>
            <w:tcBorders>
              <w:top w:val="single" w:sz="8" w:space="0" w:color="AEAEAE"/>
              <w:left w:val="nil"/>
              <w:bottom w:val="single" w:sz="8" w:space="0" w:color="AEAEAE"/>
              <w:right w:val="nil"/>
            </w:tcBorders>
            <w:shd w:val="clear" w:color="auto" w:fill="E0E0E0"/>
          </w:tcPr>
          <w:p w14:paraId="2E5F5AF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604" w:type="dxa"/>
            <w:tcBorders>
              <w:top w:val="single" w:sz="8" w:space="0" w:color="AEAEAE"/>
              <w:left w:val="nil"/>
              <w:bottom w:val="single" w:sz="8" w:space="0" w:color="AEAEAE"/>
              <w:right w:val="single" w:sz="8" w:space="0" w:color="E0E0E0"/>
            </w:tcBorders>
            <w:shd w:val="clear" w:color="auto" w:fill="FFFFFF"/>
          </w:tcPr>
          <w:p w14:paraId="1B30E1A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559.669</w:t>
            </w:r>
          </w:p>
        </w:tc>
        <w:tc>
          <w:tcPr>
            <w:tcW w:w="113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4DF1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64" w:type="dxa"/>
            <w:gridSpan w:val="4"/>
            <w:tcBorders>
              <w:top w:val="single" w:sz="8" w:space="0" w:color="AEAEAE"/>
              <w:left w:val="single" w:sz="8" w:space="0" w:color="E0E0E0"/>
              <w:bottom w:val="single" w:sz="8" w:space="0" w:color="AEAEAE"/>
              <w:right w:val="single" w:sz="8" w:space="0" w:color="E0E0E0"/>
            </w:tcBorders>
            <w:shd w:val="clear" w:color="auto" w:fill="FFFFFF"/>
          </w:tcPr>
          <w:p w14:paraId="724504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2.020</w:t>
            </w:r>
          </w:p>
        </w:tc>
        <w:tc>
          <w:tcPr>
            <w:tcW w:w="1139"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CC1F2D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9" w:type="dxa"/>
            <w:gridSpan w:val="3"/>
            <w:tcBorders>
              <w:top w:val="single" w:sz="8" w:space="0" w:color="AEAEAE"/>
              <w:left w:val="single" w:sz="8" w:space="0" w:color="E0E0E0"/>
              <w:bottom w:val="single" w:sz="8" w:space="0" w:color="AEAEAE"/>
              <w:right w:val="nil"/>
            </w:tcBorders>
            <w:shd w:val="clear" w:color="auto" w:fill="FFFFFF"/>
            <w:vAlign w:val="center"/>
          </w:tcPr>
          <w:p w14:paraId="178DA38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5DCD88DB" w14:textId="77777777" w:rsidTr="00C7217E">
        <w:trPr>
          <w:gridAfter w:val="4"/>
          <w:wAfter w:w="2161" w:type="dxa"/>
          <w:cantSplit/>
        </w:trPr>
        <w:tc>
          <w:tcPr>
            <w:tcW w:w="816" w:type="dxa"/>
            <w:gridSpan w:val="2"/>
            <w:vMerge/>
            <w:tcBorders>
              <w:top w:val="single" w:sz="8" w:space="0" w:color="152935"/>
              <w:left w:val="nil"/>
              <w:bottom w:val="single" w:sz="8" w:space="0" w:color="152935"/>
              <w:right w:val="nil"/>
            </w:tcBorders>
            <w:shd w:val="clear" w:color="auto" w:fill="E0E0E0"/>
          </w:tcPr>
          <w:p w14:paraId="0E4EF0E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8" w:type="dxa"/>
            <w:gridSpan w:val="3"/>
            <w:tcBorders>
              <w:top w:val="single" w:sz="8" w:space="0" w:color="AEAEAE"/>
              <w:left w:val="nil"/>
              <w:bottom w:val="single" w:sz="8" w:space="0" w:color="152935"/>
              <w:right w:val="nil"/>
            </w:tcBorders>
            <w:shd w:val="clear" w:color="auto" w:fill="E0E0E0"/>
          </w:tcPr>
          <w:p w14:paraId="057C88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604" w:type="dxa"/>
            <w:tcBorders>
              <w:top w:val="single" w:sz="8" w:space="0" w:color="AEAEAE"/>
              <w:left w:val="nil"/>
              <w:bottom w:val="single" w:sz="8" w:space="0" w:color="152935"/>
              <w:right w:val="single" w:sz="8" w:space="0" w:color="E0E0E0"/>
            </w:tcBorders>
            <w:shd w:val="clear" w:color="auto" w:fill="FFFFFF"/>
          </w:tcPr>
          <w:p w14:paraId="157CA5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714.839</w:t>
            </w:r>
          </w:p>
        </w:tc>
        <w:tc>
          <w:tcPr>
            <w:tcW w:w="1139" w:type="dxa"/>
            <w:gridSpan w:val="2"/>
            <w:tcBorders>
              <w:top w:val="single" w:sz="8" w:space="0" w:color="AEAEAE"/>
              <w:left w:val="single" w:sz="8" w:space="0" w:color="E0E0E0"/>
              <w:bottom w:val="single" w:sz="8" w:space="0" w:color="152935"/>
              <w:right w:val="single" w:sz="8" w:space="0" w:color="E0E0E0"/>
            </w:tcBorders>
            <w:shd w:val="clear" w:color="auto" w:fill="FFFFFF"/>
          </w:tcPr>
          <w:p w14:paraId="69F386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64"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3E798C9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9"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581474F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9" w:type="dxa"/>
            <w:gridSpan w:val="3"/>
            <w:tcBorders>
              <w:top w:val="single" w:sz="8" w:space="0" w:color="AEAEAE"/>
              <w:left w:val="single" w:sz="8" w:space="0" w:color="E0E0E0"/>
              <w:bottom w:val="single" w:sz="8" w:space="0" w:color="152935"/>
              <w:right w:val="nil"/>
            </w:tcBorders>
            <w:shd w:val="clear" w:color="auto" w:fill="FFFFFF"/>
            <w:vAlign w:val="center"/>
          </w:tcPr>
          <w:p w14:paraId="23D92E2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DEE40F4" w14:textId="77777777" w:rsidTr="00C7217E">
        <w:trPr>
          <w:gridAfter w:val="4"/>
          <w:wAfter w:w="2161" w:type="dxa"/>
          <w:cantSplit/>
        </w:trPr>
        <w:tc>
          <w:tcPr>
            <w:tcW w:w="7829" w:type="dxa"/>
            <w:gridSpan w:val="17"/>
            <w:tcBorders>
              <w:top w:val="nil"/>
              <w:left w:val="nil"/>
              <w:bottom w:val="nil"/>
              <w:right w:val="nil"/>
            </w:tcBorders>
            <w:shd w:val="clear" w:color="auto" w:fill="FFFFFF"/>
          </w:tcPr>
          <w:p w14:paraId="310813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Mental fluency</w:t>
            </w:r>
          </w:p>
        </w:tc>
      </w:tr>
      <w:tr w:rsidR="00C7217E" w:rsidRPr="00530906" w14:paraId="73592DCE" w14:textId="77777777" w:rsidTr="00C7217E">
        <w:trPr>
          <w:gridAfter w:val="4"/>
          <w:wAfter w:w="2161" w:type="dxa"/>
          <w:cantSplit/>
        </w:trPr>
        <w:tc>
          <w:tcPr>
            <w:tcW w:w="7829" w:type="dxa"/>
            <w:gridSpan w:val="17"/>
            <w:tcBorders>
              <w:top w:val="nil"/>
              <w:left w:val="nil"/>
              <w:bottom w:val="nil"/>
              <w:right w:val="nil"/>
            </w:tcBorders>
            <w:shd w:val="clear" w:color="auto" w:fill="FFFFFF"/>
          </w:tcPr>
          <w:p w14:paraId="583E914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Involvement</w:t>
            </w:r>
          </w:p>
        </w:tc>
      </w:tr>
      <w:tr w:rsidR="00C7217E" w:rsidRPr="00530906" w14:paraId="77CE63F2" w14:textId="77777777" w:rsidTr="00C7217E">
        <w:trPr>
          <w:cantSplit/>
        </w:trPr>
        <w:tc>
          <w:tcPr>
            <w:tcW w:w="9990" w:type="dxa"/>
            <w:gridSpan w:val="21"/>
            <w:tcBorders>
              <w:top w:val="nil"/>
              <w:left w:val="nil"/>
              <w:bottom w:val="nil"/>
              <w:right w:val="nil"/>
            </w:tcBorders>
            <w:shd w:val="clear" w:color="auto" w:fill="FFFFFF"/>
            <w:vAlign w:val="center"/>
          </w:tcPr>
          <w:p w14:paraId="3F3F3B30"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4E00EB6A" w14:textId="77777777" w:rsidTr="00C7217E">
        <w:trPr>
          <w:cantSplit/>
        </w:trPr>
        <w:tc>
          <w:tcPr>
            <w:tcW w:w="1260" w:type="dxa"/>
            <w:gridSpan w:val="3"/>
            <w:vMerge w:val="restart"/>
            <w:tcBorders>
              <w:top w:val="nil"/>
              <w:left w:val="nil"/>
              <w:bottom w:val="nil"/>
              <w:right w:val="nil"/>
            </w:tcBorders>
            <w:shd w:val="clear" w:color="auto" w:fill="FFFFFF"/>
            <w:vAlign w:val="bottom"/>
          </w:tcPr>
          <w:p w14:paraId="43DD2E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890" w:type="dxa"/>
            <w:gridSpan w:val="4"/>
            <w:tcBorders>
              <w:top w:val="nil"/>
              <w:left w:val="nil"/>
              <w:bottom w:val="nil"/>
              <w:right w:val="single" w:sz="8" w:space="0" w:color="E0E0E0"/>
            </w:tcBorders>
            <w:shd w:val="clear" w:color="auto" w:fill="FFFFFF"/>
            <w:vAlign w:val="bottom"/>
          </w:tcPr>
          <w:p w14:paraId="173AB6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1080" w:type="dxa"/>
            <w:gridSpan w:val="2"/>
            <w:tcBorders>
              <w:top w:val="nil"/>
              <w:left w:val="single" w:sz="8" w:space="0" w:color="E0E0E0"/>
              <w:bottom w:val="nil"/>
              <w:right w:val="single" w:sz="8" w:space="0" w:color="E0E0E0"/>
            </w:tcBorders>
            <w:shd w:val="clear" w:color="auto" w:fill="FFFFFF"/>
            <w:vAlign w:val="bottom"/>
          </w:tcPr>
          <w:p w14:paraId="426CBA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vMerge w:val="restart"/>
            <w:tcBorders>
              <w:top w:val="nil"/>
              <w:left w:val="single" w:sz="8" w:space="0" w:color="E0E0E0"/>
              <w:bottom w:val="nil"/>
              <w:right w:val="single" w:sz="8" w:space="0" w:color="E0E0E0"/>
            </w:tcBorders>
            <w:shd w:val="clear" w:color="auto" w:fill="FFFFFF"/>
            <w:vAlign w:val="bottom"/>
          </w:tcPr>
          <w:p w14:paraId="603DFF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45876A9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530" w:type="dxa"/>
            <w:gridSpan w:val="4"/>
            <w:tcBorders>
              <w:top w:val="nil"/>
              <w:left w:val="single" w:sz="8" w:space="0" w:color="E0E0E0"/>
              <w:bottom w:val="nil"/>
              <w:right w:val="single" w:sz="8" w:space="0" w:color="E0E0E0"/>
            </w:tcBorders>
            <w:shd w:val="clear" w:color="auto" w:fill="FFFFFF"/>
            <w:vAlign w:val="bottom"/>
          </w:tcPr>
          <w:p w14:paraId="7711FB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980" w:type="dxa"/>
            <w:gridSpan w:val="4"/>
            <w:tcBorders>
              <w:top w:val="nil"/>
              <w:left w:val="single" w:sz="8" w:space="0" w:color="E0E0E0"/>
              <w:bottom w:val="nil"/>
              <w:right w:val="single" w:sz="8" w:space="0" w:color="E0E0E0"/>
            </w:tcBorders>
            <w:shd w:val="clear" w:color="auto" w:fill="FFFFFF"/>
            <w:vAlign w:val="bottom"/>
          </w:tcPr>
          <w:p w14:paraId="07DCD3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3D9D13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011E17DC" w14:textId="77777777" w:rsidTr="00C7217E">
        <w:trPr>
          <w:cantSplit/>
        </w:trPr>
        <w:tc>
          <w:tcPr>
            <w:tcW w:w="1260" w:type="dxa"/>
            <w:gridSpan w:val="3"/>
            <w:vMerge/>
            <w:tcBorders>
              <w:top w:val="nil"/>
              <w:left w:val="nil"/>
              <w:bottom w:val="nil"/>
              <w:right w:val="nil"/>
            </w:tcBorders>
            <w:shd w:val="clear" w:color="auto" w:fill="FFFFFF"/>
            <w:vAlign w:val="bottom"/>
          </w:tcPr>
          <w:p w14:paraId="14540E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30" w:type="dxa"/>
            <w:tcBorders>
              <w:top w:val="nil"/>
              <w:left w:val="nil"/>
              <w:bottom w:val="single" w:sz="8" w:space="0" w:color="152935"/>
              <w:right w:val="single" w:sz="8" w:space="0" w:color="E0E0E0"/>
            </w:tcBorders>
            <w:shd w:val="clear" w:color="auto" w:fill="FFFFFF"/>
            <w:vAlign w:val="bottom"/>
          </w:tcPr>
          <w:p w14:paraId="77CCCC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1260" w:type="dxa"/>
            <w:gridSpan w:val="3"/>
            <w:tcBorders>
              <w:top w:val="nil"/>
              <w:left w:val="single" w:sz="8" w:space="0" w:color="E0E0E0"/>
              <w:bottom w:val="single" w:sz="8" w:space="0" w:color="152935"/>
              <w:right w:val="single" w:sz="8" w:space="0" w:color="E0E0E0"/>
            </w:tcBorders>
            <w:shd w:val="clear" w:color="auto" w:fill="FFFFFF"/>
            <w:vAlign w:val="bottom"/>
          </w:tcPr>
          <w:p w14:paraId="06CD10E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tcPr>
          <w:p w14:paraId="040E4A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vMerge/>
            <w:tcBorders>
              <w:top w:val="nil"/>
              <w:left w:val="single" w:sz="8" w:space="0" w:color="E0E0E0"/>
              <w:bottom w:val="nil"/>
              <w:right w:val="single" w:sz="8" w:space="0" w:color="E0E0E0"/>
            </w:tcBorders>
            <w:shd w:val="clear" w:color="auto" w:fill="FFFFFF"/>
            <w:vAlign w:val="bottom"/>
          </w:tcPr>
          <w:p w14:paraId="3356A9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1EC3A9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5356BA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810" w:type="dxa"/>
            <w:gridSpan w:val="2"/>
            <w:tcBorders>
              <w:top w:val="nil"/>
              <w:left w:val="single" w:sz="8" w:space="0" w:color="E0E0E0"/>
              <w:bottom w:val="single" w:sz="8" w:space="0" w:color="152935"/>
              <w:right w:val="single" w:sz="8" w:space="0" w:color="E0E0E0"/>
            </w:tcBorders>
            <w:shd w:val="clear" w:color="auto" w:fill="FFFFFF"/>
            <w:vAlign w:val="bottom"/>
          </w:tcPr>
          <w:p w14:paraId="413D98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731D4F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630" w:type="dxa"/>
            <w:gridSpan w:val="2"/>
            <w:tcBorders>
              <w:top w:val="nil"/>
              <w:left w:val="single" w:sz="8" w:space="0" w:color="E0E0E0"/>
              <w:bottom w:val="single" w:sz="8" w:space="0" w:color="152935"/>
              <w:right w:val="single" w:sz="8" w:space="0" w:color="E0E0E0"/>
            </w:tcBorders>
            <w:shd w:val="clear" w:color="auto" w:fill="FFFFFF"/>
            <w:vAlign w:val="bottom"/>
          </w:tcPr>
          <w:p w14:paraId="468DB0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tcBorders>
              <w:top w:val="nil"/>
              <w:left w:val="single" w:sz="8" w:space="0" w:color="E0E0E0"/>
              <w:bottom w:val="single" w:sz="8" w:space="0" w:color="152935"/>
              <w:right w:val="single" w:sz="8" w:space="0" w:color="E0E0E0"/>
            </w:tcBorders>
            <w:shd w:val="clear" w:color="auto" w:fill="FFFFFF"/>
            <w:vAlign w:val="bottom"/>
          </w:tcPr>
          <w:p w14:paraId="44B3F3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468A5D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4526EB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3BC044D4" w14:textId="77777777" w:rsidTr="00C7217E">
        <w:trPr>
          <w:cantSplit/>
        </w:trPr>
        <w:tc>
          <w:tcPr>
            <w:tcW w:w="180" w:type="dxa"/>
            <w:vMerge w:val="restart"/>
            <w:tcBorders>
              <w:top w:val="single" w:sz="8" w:space="0" w:color="152935"/>
              <w:left w:val="nil"/>
              <w:bottom w:val="single" w:sz="8" w:space="0" w:color="152935"/>
              <w:right w:val="nil"/>
            </w:tcBorders>
            <w:shd w:val="clear" w:color="auto" w:fill="E0E0E0"/>
          </w:tcPr>
          <w:p w14:paraId="7A8604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080" w:type="dxa"/>
            <w:gridSpan w:val="2"/>
            <w:tcBorders>
              <w:top w:val="single" w:sz="8" w:space="0" w:color="152935"/>
              <w:left w:val="nil"/>
              <w:bottom w:val="single" w:sz="8" w:space="0" w:color="AEAEAE"/>
              <w:right w:val="nil"/>
            </w:tcBorders>
            <w:shd w:val="clear" w:color="auto" w:fill="E0E0E0"/>
          </w:tcPr>
          <w:p w14:paraId="02658C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630" w:type="dxa"/>
            <w:tcBorders>
              <w:top w:val="single" w:sz="8" w:space="0" w:color="152935"/>
              <w:left w:val="nil"/>
              <w:bottom w:val="single" w:sz="8" w:space="0" w:color="AEAEAE"/>
              <w:right w:val="single" w:sz="8" w:space="0" w:color="E0E0E0"/>
            </w:tcBorders>
            <w:shd w:val="clear" w:color="auto" w:fill="FFFFFF"/>
          </w:tcPr>
          <w:p w14:paraId="0CBC2B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1.764</w:t>
            </w:r>
          </w:p>
        </w:tc>
        <w:tc>
          <w:tcPr>
            <w:tcW w:w="1260" w:type="dxa"/>
            <w:gridSpan w:val="3"/>
            <w:tcBorders>
              <w:top w:val="single" w:sz="8" w:space="0" w:color="152935"/>
              <w:left w:val="single" w:sz="8" w:space="0" w:color="E0E0E0"/>
              <w:bottom w:val="single" w:sz="8" w:space="0" w:color="AEAEAE"/>
              <w:right w:val="single" w:sz="8" w:space="0" w:color="E0E0E0"/>
            </w:tcBorders>
            <w:shd w:val="clear" w:color="auto" w:fill="FFFFFF"/>
          </w:tcPr>
          <w:p w14:paraId="29D792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.312</w:t>
            </w:r>
          </w:p>
        </w:tc>
        <w:tc>
          <w:tcPr>
            <w:tcW w:w="108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E187C8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1C6E59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5.646</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50691E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BB6DE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1.149</w:t>
            </w:r>
          </w:p>
        </w:tc>
        <w:tc>
          <w:tcPr>
            <w:tcW w:w="81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1919C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2.379</w:t>
            </w:r>
          </w:p>
        </w:tc>
        <w:tc>
          <w:tcPr>
            <w:tcW w:w="99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A1CAD0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926237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72B116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A47645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6FE1928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CAF0672"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5A1D3A9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080" w:type="dxa"/>
            <w:gridSpan w:val="2"/>
            <w:tcBorders>
              <w:top w:val="single" w:sz="8" w:space="0" w:color="AEAEAE"/>
              <w:left w:val="nil"/>
              <w:bottom w:val="single" w:sz="8" w:space="0" w:color="152935"/>
              <w:right w:val="nil"/>
            </w:tcBorders>
            <w:shd w:val="clear" w:color="auto" w:fill="E0E0E0"/>
          </w:tcPr>
          <w:p w14:paraId="2E5D17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Involvement</w:t>
            </w:r>
          </w:p>
        </w:tc>
        <w:tc>
          <w:tcPr>
            <w:tcW w:w="630" w:type="dxa"/>
            <w:tcBorders>
              <w:top w:val="single" w:sz="8" w:space="0" w:color="AEAEAE"/>
              <w:left w:val="nil"/>
              <w:bottom w:val="single" w:sz="8" w:space="0" w:color="152935"/>
              <w:right w:val="single" w:sz="8" w:space="0" w:color="E0E0E0"/>
            </w:tcBorders>
            <w:shd w:val="clear" w:color="auto" w:fill="FFFFFF"/>
          </w:tcPr>
          <w:p w14:paraId="444D45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.578</w:t>
            </w:r>
          </w:p>
        </w:tc>
        <w:tc>
          <w:tcPr>
            <w:tcW w:w="126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36670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.066</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BEA7C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.466</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1DC7D0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8.763</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1585DDB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B98730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.448</w:t>
            </w:r>
          </w:p>
        </w:tc>
        <w:tc>
          <w:tcPr>
            <w:tcW w:w="81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281A5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.708</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32B4A7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.466</w:t>
            </w:r>
          </w:p>
        </w:tc>
        <w:tc>
          <w:tcPr>
            <w:tcW w:w="6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79D30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.466</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4456F9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.466</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579C1C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1B01BC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2A7E587D" w14:textId="77777777" w:rsidTr="00C7217E">
        <w:trPr>
          <w:cantSplit/>
        </w:trPr>
        <w:tc>
          <w:tcPr>
            <w:tcW w:w="9990" w:type="dxa"/>
            <w:gridSpan w:val="21"/>
            <w:tcBorders>
              <w:top w:val="nil"/>
              <w:left w:val="nil"/>
              <w:bottom w:val="nil"/>
              <w:right w:val="nil"/>
            </w:tcBorders>
            <w:shd w:val="clear" w:color="auto" w:fill="FFFFFF"/>
          </w:tcPr>
          <w:p w14:paraId="51970A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Mental fluency</w:t>
            </w:r>
          </w:p>
        </w:tc>
      </w:tr>
    </w:tbl>
    <w:p w14:paraId="4C15832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70549361"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77A6DCE2" w14:textId="37D7CD82" w:rsidR="00C7217E" w:rsidRPr="00530906" w:rsidRDefault="00C7217E" w:rsidP="008756B1">
      <w:pPr>
        <w:pStyle w:val="Heading3"/>
        <w:jc w:val="both"/>
        <w:rPr>
          <w:rFonts w:eastAsia="Times New Roman"/>
          <w:lang w:val="en-US"/>
        </w:rPr>
      </w:pPr>
      <w:bookmarkStart w:id="145" w:name="_Toc115726300"/>
      <w:r w:rsidRPr="00530906">
        <w:rPr>
          <w:rFonts w:eastAsia="Times New Roman"/>
          <w:lang w:val="en-US"/>
        </w:rPr>
        <w:t>Multiple Regression analysis between ‘SCV’ and ‘Pleasure’</w:t>
      </w:r>
      <w:bookmarkEnd w:id="145"/>
    </w:p>
    <w:p w14:paraId="5774B2A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42"/>
        <w:gridCol w:w="66"/>
        <w:gridCol w:w="912"/>
        <w:gridCol w:w="235"/>
        <w:gridCol w:w="215"/>
        <w:gridCol w:w="10"/>
        <w:gridCol w:w="710"/>
        <w:gridCol w:w="280"/>
        <w:gridCol w:w="652"/>
        <w:gridCol w:w="58"/>
        <w:gridCol w:w="540"/>
        <w:gridCol w:w="393"/>
        <w:gridCol w:w="57"/>
        <w:gridCol w:w="98"/>
        <w:gridCol w:w="892"/>
        <w:gridCol w:w="596"/>
        <w:gridCol w:w="86"/>
        <w:gridCol w:w="398"/>
        <w:gridCol w:w="170"/>
        <w:gridCol w:w="730"/>
        <w:gridCol w:w="540"/>
        <w:gridCol w:w="450"/>
        <w:gridCol w:w="810"/>
        <w:gridCol w:w="450"/>
      </w:tblGrid>
      <w:tr w:rsidR="00C7217E" w:rsidRPr="00530906" w14:paraId="112D248A" w14:textId="77777777" w:rsidTr="00C7217E">
        <w:trPr>
          <w:gridAfter w:val="8"/>
          <w:wAfter w:w="3634" w:type="dxa"/>
          <w:cantSplit/>
        </w:trPr>
        <w:tc>
          <w:tcPr>
            <w:tcW w:w="6536" w:type="dxa"/>
            <w:gridSpan w:val="17"/>
            <w:tcBorders>
              <w:top w:val="nil"/>
              <w:left w:val="nil"/>
              <w:bottom w:val="nil"/>
              <w:right w:val="nil"/>
            </w:tcBorders>
            <w:shd w:val="clear" w:color="auto" w:fill="FFFFFF"/>
            <w:vAlign w:val="center"/>
          </w:tcPr>
          <w:p w14:paraId="32F58CF3"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Model Summary</w:t>
            </w:r>
            <w:r w:rsidRPr="00530906">
              <w:rPr>
                <w:rFonts w:ascii="Cambria" w:eastAsia="Times New Roman" w:hAnsi="Cambria" w:cs="Calibri"/>
                <w:b/>
                <w:bCs/>
                <w:color w:val="000000"/>
                <w:vertAlign w:val="superscript"/>
                <w:lang w:val="en-US"/>
              </w:rPr>
              <w:t>b</w:t>
            </w:r>
          </w:p>
        </w:tc>
      </w:tr>
      <w:tr w:rsidR="00C7217E" w:rsidRPr="00530906" w14:paraId="78B1D449" w14:textId="77777777" w:rsidTr="00C7217E">
        <w:trPr>
          <w:gridAfter w:val="8"/>
          <w:wAfter w:w="3634" w:type="dxa"/>
          <w:cantSplit/>
        </w:trPr>
        <w:tc>
          <w:tcPr>
            <w:tcW w:w="888" w:type="dxa"/>
            <w:gridSpan w:val="3"/>
            <w:tcBorders>
              <w:top w:val="nil"/>
              <w:left w:val="nil"/>
              <w:bottom w:val="single" w:sz="8" w:space="0" w:color="152935"/>
              <w:right w:val="nil"/>
            </w:tcBorders>
            <w:shd w:val="clear" w:color="auto" w:fill="FFFFFF"/>
            <w:vAlign w:val="bottom"/>
          </w:tcPr>
          <w:p w14:paraId="0BDF88F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47" w:type="dxa"/>
            <w:gridSpan w:val="2"/>
            <w:tcBorders>
              <w:top w:val="nil"/>
              <w:left w:val="nil"/>
              <w:bottom w:val="single" w:sz="8" w:space="0" w:color="152935"/>
              <w:right w:val="single" w:sz="8" w:space="0" w:color="E0E0E0"/>
            </w:tcBorders>
            <w:shd w:val="clear" w:color="auto" w:fill="FFFFFF"/>
            <w:vAlign w:val="bottom"/>
          </w:tcPr>
          <w:p w14:paraId="199551F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w:t>
            </w:r>
          </w:p>
        </w:tc>
        <w:tc>
          <w:tcPr>
            <w:tcW w:w="1215" w:type="dxa"/>
            <w:gridSpan w:val="4"/>
            <w:tcBorders>
              <w:top w:val="nil"/>
              <w:left w:val="single" w:sz="8" w:space="0" w:color="E0E0E0"/>
              <w:bottom w:val="single" w:sz="8" w:space="0" w:color="152935"/>
              <w:right w:val="single" w:sz="8" w:space="0" w:color="E0E0E0"/>
            </w:tcBorders>
            <w:shd w:val="clear" w:color="auto" w:fill="FFFFFF"/>
            <w:vAlign w:val="bottom"/>
          </w:tcPr>
          <w:p w14:paraId="1076C82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 Square</w:t>
            </w:r>
          </w:p>
        </w:tc>
        <w:tc>
          <w:tcPr>
            <w:tcW w:w="1643" w:type="dxa"/>
            <w:gridSpan w:val="4"/>
            <w:tcBorders>
              <w:top w:val="nil"/>
              <w:left w:val="single" w:sz="8" w:space="0" w:color="E0E0E0"/>
              <w:bottom w:val="single" w:sz="8" w:space="0" w:color="152935"/>
              <w:right w:val="single" w:sz="8" w:space="0" w:color="E0E0E0"/>
            </w:tcBorders>
            <w:shd w:val="clear" w:color="auto" w:fill="FFFFFF"/>
            <w:vAlign w:val="bottom"/>
          </w:tcPr>
          <w:p w14:paraId="37E93BF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Adjusted R Square</w:t>
            </w:r>
          </w:p>
        </w:tc>
        <w:tc>
          <w:tcPr>
            <w:tcW w:w="1643" w:type="dxa"/>
            <w:gridSpan w:val="4"/>
            <w:tcBorders>
              <w:top w:val="nil"/>
              <w:left w:val="single" w:sz="8" w:space="0" w:color="E0E0E0"/>
              <w:bottom w:val="single" w:sz="8" w:space="0" w:color="152935"/>
              <w:right w:val="nil"/>
            </w:tcBorders>
            <w:shd w:val="clear" w:color="auto" w:fill="FFFFFF"/>
            <w:vAlign w:val="bottom"/>
          </w:tcPr>
          <w:p w14:paraId="09AE244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 of the Estimate</w:t>
            </w:r>
          </w:p>
        </w:tc>
      </w:tr>
      <w:tr w:rsidR="00C7217E" w:rsidRPr="00530906" w14:paraId="618CF21F" w14:textId="77777777" w:rsidTr="00C7217E">
        <w:trPr>
          <w:gridAfter w:val="8"/>
          <w:wAfter w:w="3634" w:type="dxa"/>
          <w:cantSplit/>
        </w:trPr>
        <w:tc>
          <w:tcPr>
            <w:tcW w:w="888" w:type="dxa"/>
            <w:gridSpan w:val="3"/>
            <w:tcBorders>
              <w:top w:val="single" w:sz="8" w:space="0" w:color="152935"/>
              <w:left w:val="nil"/>
              <w:bottom w:val="single" w:sz="8" w:space="0" w:color="152935"/>
              <w:right w:val="nil"/>
            </w:tcBorders>
            <w:shd w:val="clear" w:color="auto" w:fill="E0E0E0"/>
          </w:tcPr>
          <w:p w14:paraId="5929EC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147" w:type="dxa"/>
            <w:gridSpan w:val="2"/>
            <w:tcBorders>
              <w:top w:val="single" w:sz="8" w:space="0" w:color="152935"/>
              <w:left w:val="nil"/>
              <w:bottom w:val="single" w:sz="8" w:space="0" w:color="152935"/>
              <w:right w:val="single" w:sz="8" w:space="0" w:color="E0E0E0"/>
            </w:tcBorders>
            <w:shd w:val="clear" w:color="auto" w:fill="FFFFFF"/>
          </w:tcPr>
          <w:p w14:paraId="385C3D7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.663</w:t>
            </w:r>
            <w:r w:rsidRPr="00530906">
              <w:rPr>
                <w:rFonts w:ascii="Cambria" w:eastAsia="Times New Roman" w:hAnsi="Cambria" w:cs="Calibri"/>
                <w:color w:val="000000"/>
                <w:sz w:val="18"/>
                <w:szCs w:val="18"/>
                <w:vertAlign w:val="superscript"/>
                <w:lang w:val="en-US"/>
              </w:rPr>
              <w:t>a</w:t>
            </w:r>
          </w:p>
        </w:tc>
        <w:tc>
          <w:tcPr>
            <w:tcW w:w="1215" w:type="dxa"/>
            <w:gridSpan w:val="4"/>
            <w:tcBorders>
              <w:top w:val="single" w:sz="8" w:space="0" w:color="152935"/>
              <w:left w:val="single" w:sz="8" w:space="0" w:color="E0E0E0"/>
              <w:bottom w:val="single" w:sz="8" w:space="0" w:color="152935"/>
              <w:right w:val="single" w:sz="8" w:space="0" w:color="E0E0E0"/>
            </w:tcBorders>
            <w:shd w:val="clear" w:color="auto" w:fill="FFFFFF"/>
          </w:tcPr>
          <w:p w14:paraId="45ADD33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.439</w:t>
            </w:r>
          </w:p>
        </w:tc>
        <w:tc>
          <w:tcPr>
            <w:tcW w:w="1643" w:type="dxa"/>
            <w:gridSpan w:val="4"/>
            <w:tcBorders>
              <w:top w:val="single" w:sz="8" w:space="0" w:color="152935"/>
              <w:left w:val="single" w:sz="8" w:space="0" w:color="E0E0E0"/>
              <w:bottom w:val="single" w:sz="8" w:space="0" w:color="152935"/>
              <w:right w:val="single" w:sz="8" w:space="0" w:color="E0E0E0"/>
            </w:tcBorders>
            <w:shd w:val="clear" w:color="auto" w:fill="FFFFFF"/>
          </w:tcPr>
          <w:p w14:paraId="388DDE6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.431</w:t>
            </w:r>
          </w:p>
        </w:tc>
        <w:tc>
          <w:tcPr>
            <w:tcW w:w="1643" w:type="dxa"/>
            <w:gridSpan w:val="4"/>
            <w:tcBorders>
              <w:top w:val="single" w:sz="8" w:space="0" w:color="152935"/>
              <w:left w:val="single" w:sz="8" w:space="0" w:color="E0E0E0"/>
              <w:bottom w:val="single" w:sz="8" w:space="0" w:color="152935"/>
              <w:right w:val="nil"/>
            </w:tcBorders>
            <w:shd w:val="clear" w:color="auto" w:fill="FFFFFF"/>
          </w:tcPr>
          <w:p w14:paraId="35999F9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.89042</w:t>
            </w:r>
          </w:p>
        </w:tc>
      </w:tr>
      <w:tr w:rsidR="00C7217E" w:rsidRPr="00530906" w14:paraId="3E9F7059" w14:textId="77777777" w:rsidTr="00C7217E">
        <w:trPr>
          <w:gridAfter w:val="8"/>
          <w:wAfter w:w="3634" w:type="dxa"/>
          <w:cantSplit/>
        </w:trPr>
        <w:tc>
          <w:tcPr>
            <w:tcW w:w="6536" w:type="dxa"/>
            <w:gridSpan w:val="17"/>
            <w:tcBorders>
              <w:top w:val="nil"/>
              <w:left w:val="nil"/>
              <w:bottom w:val="nil"/>
              <w:right w:val="nil"/>
            </w:tcBorders>
            <w:shd w:val="clear" w:color="auto" w:fill="FFFFFF"/>
          </w:tcPr>
          <w:p w14:paraId="77316FE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Predictors: (Constant), Mental fluency, Engrossment, Image quality, Self–projection</w:t>
            </w:r>
          </w:p>
        </w:tc>
      </w:tr>
      <w:tr w:rsidR="00C7217E" w:rsidRPr="00530906" w14:paraId="48D1FB6E" w14:textId="77777777" w:rsidTr="00C7217E">
        <w:trPr>
          <w:gridAfter w:val="8"/>
          <w:wAfter w:w="3634" w:type="dxa"/>
          <w:cantSplit/>
        </w:trPr>
        <w:tc>
          <w:tcPr>
            <w:tcW w:w="6536" w:type="dxa"/>
            <w:gridSpan w:val="17"/>
            <w:tcBorders>
              <w:top w:val="nil"/>
              <w:left w:val="nil"/>
              <w:bottom w:val="nil"/>
              <w:right w:val="nil"/>
            </w:tcBorders>
            <w:shd w:val="clear" w:color="auto" w:fill="FFFFFF"/>
          </w:tcPr>
          <w:p w14:paraId="05A5E86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Dependent Variable: Pleasure</w:t>
            </w:r>
          </w:p>
        </w:tc>
      </w:tr>
      <w:tr w:rsidR="00C7217E" w:rsidRPr="00530906" w14:paraId="489B72C3" w14:textId="77777777" w:rsidTr="00C7217E">
        <w:trPr>
          <w:gridAfter w:val="4"/>
          <w:wAfter w:w="2250" w:type="dxa"/>
          <w:cantSplit/>
        </w:trPr>
        <w:tc>
          <w:tcPr>
            <w:tcW w:w="7920" w:type="dxa"/>
            <w:gridSpan w:val="21"/>
            <w:tcBorders>
              <w:top w:val="nil"/>
              <w:left w:val="nil"/>
              <w:bottom w:val="nil"/>
              <w:right w:val="nil"/>
            </w:tcBorders>
            <w:shd w:val="clear" w:color="auto" w:fill="FFFFFF"/>
            <w:vAlign w:val="center"/>
          </w:tcPr>
          <w:p w14:paraId="3AA78B65"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ANOVA</w:t>
            </w:r>
            <w:r w:rsidRPr="00530906">
              <w:rPr>
                <w:rFonts w:ascii="Cambria" w:eastAsia="Times New Roman" w:hAnsi="Cambria" w:cs="Calibri"/>
                <w:b/>
                <w:bCs/>
                <w:color w:val="000000"/>
                <w:vertAlign w:val="superscript"/>
                <w:lang w:val="en-US"/>
              </w:rPr>
              <w:t>a</w:t>
            </w:r>
          </w:p>
        </w:tc>
      </w:tr>
      <w:tr w:rsidR="00C7217E" w:rsidRPr="00530906" w14:paraId="07A63F90" w14:textId="77777777" w:rsidTr="00C7217E">
        <w:trPr>
          <w:gridAfter w:val="4"/>
          <w:wAfter w:w="2250" w:type="dxa"/>
          <w:cantSplit/>
        </w:trPr>
        <w:tc>
          <w:tcPr>
            <w:tcW w:w="2260" w:type="dxa"/>
            <w:gridSpan w:val="7"/>
            <w:tcBorders>
              <w:top w:val="nil"/>
              <w:left w:val="nil"/>
              <w:bottom w:val="single" w:sz="8" w:space="0" w:color="152935"/>
              <w:right w:val="nil"/>
            </w:tcBorders>
            <w:shd w:val="clear" w:color="auto" w:fill="FFFFFF"/>
            <w:vAlign w:val="bottom"/>
          </w:tcPr>
          <w:p w14:paraId="0E8E913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642" w:type="dxa"/>
            <w:gridSpan w:val="3"/>
            <w:tcBorders>
              <w:top w:val="nil"/>
              <w:left w:val="nil"/>
              <w:bottom w:val="single" w:sz="8" w:space="0" w:color="152935"/>
              <w:right w:val="single" w:sz="8" w:space="0" w:color="E0E0E0"/>
            </w:tcBorders>
            <w:shd w:val="clear" w:color="auto" w:fill="FFFFFF"/>
            <w:vAlign w:val="bottom"/>
          </w:tcPr>
          <w:p w14:paraId="0E658D7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Sum of Squares</w:t>
            </w:r>
          </w:p>
        </w:tc>
        <w:tc>
          <w:tcPr>
            <w:tcW w:w="1146" w:type="dxa"/>
            <w:gridSpan w:val="5"/>
            <w:tcBorders>
              <w:top w:val="nil"/>
              <w:left w:val="single" w:sz="8" w:space="0" w:color="E0E0E0"/>
              <w:bottom w:val="single" w:sz="8" w:space="0" w:color="152935"/>
              <w:right w:val="single" w:sz="8" w:space="0" w:color="E0E0E0"/>
            </w:tcBorders>
            <w:shd w:val="clear" w:color="auto" w:fill="FFFFFF"/>
            <w:vAlign w:val="bottom"/>
          </w:tcPr>
          <w:p w14:paraId="68F03D8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df</w:t>
            </w:r>
          </w:p>
        </w:tc>
        <w:tc>
          <w:tcPr>
            <w:tcW w:w="1574" w:type="dxa"/>
            <w:gridSpan w:val="3"/>
            <w:tcBorders>
              <w:top w:val="nil"/>
              <w:left w:val="single" w:sz="8" w:space="0" w:color="E0E0E0"/>
              <w:bottom w:val="single" w:sz="8" w:space="0" w:color="152935"/>
              <w:right w:val="single" w:sz="8" w:space="0" w:color="E0E0E0"/>
            </w:tcBorders>
            <w:shd w:val="clear" w:color="auto" w:fill="FFFFFF"/>
            <w:vAlign w:val="bottom"/>
          </w:tcPr>
          <w:p w14:paraId="6375728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Mean Square</w:t>
            </w:r>
          </w:p>
        </w:tc>
        <w:tc>
          <w:tcPr>
            <w:tcW w:w="568" w:type="dxa"/>
            <w:gridSpan w:val="2"/>
            <w:tcBorders>
              <w:top w:val="nil"/>
              <w:left w:val="single" w:sz="8" w:space="0" w:color="E0E0E0"/>
              <w:bottom w:val="single" w:sz="8" w:space="0" w:color="152935"/>
              <w:right w:val="single" w:sz="8" w:space="0" w:color="E0E0E0"/>
            </w:tcBorders>
            <w:shd w:val="clear" w:color="auto" w:fill="FFFFFF"/>
            <w:vAlign w:val="bottom"/>
          </w:tcPr>
          <w:p w14:paraId="2BB89DD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F</w:t>
            </w:r>
          </w:p>
        </w:tc>
        <w:tc>
          <w:tcPr>
            <w:tcW w:w="730" w:type="dxa"/>
            <w:tcBorders>
              <w:top w:val="nil"/>
              <w:left w:val="single" w:sz="8" w:space="0" w:color="E0E0E0"/>
              <w:bottom w:val="single" w:sz="8" w:space="0" w:color="152935"/>
              <w:right w:val="nil"/>
            </w:tcBorders>
            <w:shd w:val="clear" w:color="auto" w:fill="FFFFFF"/>
            <w:vAlign w:val="bottom"/>
          </w:tcPr>
          <w:p w14:paraId="648CC67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r>
      <w:tr w:rsidR="00C7217E" w:rsidRPr="00530906" w14:paraId="33494CD6" w14:textId="77777777" w:rsidTr="00C7217E">
        <w:trPr>
          <w:gridAfter w:val="4"/>
          <w:wAfter w:w="2250" w:type="dxa"/>
          <w:cantSplit/>
        </w:trPr>
        <w:tc>
          <w:tcPr>
            <w:tcW w:w="822" w:type="dxa"/>
            <w:gridSpan w:val="2"/>
            <w:vMerge w:val="restart"/>
            <w:tcBorders>
              <w:top w:val="single" w:sz="8" w:space="0" w:color="152935"/>
              <w:left w:val="nil"/>
              <w:bottom w:val="single" w:sz="8" w:space="0" w:color="152935"/>
              <w:right w:val="nil"/>
            </w:tcBorders>
            <w:shd w:val="clear" w:color="auto" w:fill="E0E0E0"/>
          </w:tcPr>
          <w:p w14:paraId="0FE12E9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438" w:type="dxa"/>
            <w:gridSpan w:val="5"/>
            <w:tcBorders>
              <w:top w:val="single" w:sz="8" w:space="0" w:color="152935"/>
              <w:left w:val="nil"/>
              <w:bottom w:val="single" w:sz="8" w:space="0" w:color="AEAEAE"/>
              <w:right w:val="nil"/>
            </w:tcBorders>
            <w:shd w:val="clear" w:color="auto" w:fill="E0E0E0"/>
          </w:tcPr>
          <w:p w14:paraId="4CC5F27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Regression</w:t>
            </w:r>
          </w:p>
        </w:tc>
        <w:tc>
          <w:tcPr>
            <w:tcW w:w="1642" w:type="dxa"/>
            <w:gridSpan w:val="3"/>
            <w:tcBorders>
              <w:top w:val="single" w:sz="8" w:space="0" w:color="152935"/>
              <w:left w:val="nil"/>
              <w:bottom w:val="single" w:sz="8" w:space="0" w:color="AEAEAE"/>
              <w:right w:val="single" w:sz="8" w:space="0" w:color="E0E0E0"/>
            </w:tcBorders>
            <w:shd w:val="clear" w:color="auto" w:fill="FFFFFF"/>
          </w:tcPr>
          <w:p w14:paraId="60F35FE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170.104</w:t>
            </w:r>
          </w:p>
        </w:tc>
        <w:tc>
          <w:tcPr>
            <w:tcW w:w="1146" w:type="dxa"/>
            <w:gridSpan w:val="5"/>
            <w:tcBorders>
              <w:top w:val="single" w:sz="8" w:space="0" w:color="152935"/>
              <w:left w:val="single" w:sz="8" w:space="0" w:color="E0E0E0"/>
              <w:bottom w:val="single" w:sz="8" w:space="0" w:color="AEAEAE"/>
              <w:right w:val="single" w:sz="8" w:space="0" w:color="E0E0E0"/>
            </w:tcBorders>
            <w:shd w:val="clear" w:color="auto" w:fill="FFFFFF"/>
          </w:tcPr>
          <w:p w14:paraId="73B2DBE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w:t>
            </w:r>
          </w:p>
        </w:tc>
        <w:tc>
          <w:tcPr>
            <w:tcW w:w="1574" w:type="dxa"/>
            <w:gridSpan w:val="3"/>
            <w:tcBorders>
              <w:top w:val="single" w:sz="8" w:space="0" w:color="152935"/>
              <w:left w:val="single" w:sz="8" w:space="0" w:color="E0E0E0"/>
              <w:bottom w:val="single" w:sz="8" w:space="0" w:color="AEAEAE"/>
              <w:right w:val="single" w:sz="8" w:space="0" w:color="E0E0E0"/>
            </w:tcBorders>
            <w:shd w:val="clear" w:color="auto" w:fill="FFFFFF"/>
          </w:tcPr>
          <w:p w14:paraId="2FAA6B6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42.526</w:t>
            </w:r>
          </w:p>
        </w:tc>
        <w:tc>
          <w:tcPr>
            <w:tcW w:w="568" w:type="dxa"/>
            <w:gridSpan w:val="2"/>
            <w:tcBorders>
              <w:top w:val="single" w:sz="8" w:space="0" w:color="152935"/>
              <w:left w:val="single" w:sz="8" w:space="0" w:color="E0E0E0"/>
              <w:bottom w:val="single" w:sz="8" w:space="0" w:color="AEAEAE"/>
              <w:right w:val="single" w:sz="8" w:space="0" w:color="E0E0E0"/>
            </w:tcBorders>
            <w:shd w:val="clear" w:color="auto" w:fill="FFFFFF"/>
          </w:tcPr>
          <w:p w14:paraId="37E83E6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53.637</w:t>
            </w:r>
          </w:p>
        </w:tc>
        <w:tc>
          <w:tcPr>
            <w:tcW w:w="730" w:type="dxa"/>
            <w:tcBorders>
              <w:top w:val="single" w:sz="8" w:space="0" w:color="152935"/>
              <w:left w:val="single" w:sz="8" w:space="0" w:color="E0E0E0"/>
              <w:bottom w:val="single" w:sz="8" w:space="0" w:color="AEAEAE"/>
              <w:right w:val="nil"/>
            </w:tcBorders>
            <w:shd w:val="clear" w:color="auto" w:fill="FFFFFF"/>
          </w:tcPr>
          <w:p w14:paraId="63AE5D9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r w:rsidRPr="00530906">
              <w:rPr>
                <w:rFonts w:ascii="Cambria" w:eastAsia="Times New Roman" w:hAnsi="Cambria" w:cs="Calibri"/>
                <w:color w:val="000000"/>
                <w:sz w:val="18"/>
                <w:szCs w:val="18"/>
                <w:vertAlign w:val="superscript"/>
                <w:lang w:val="en-US"/>
              </w:rPr>
              <w:t>b</w:t>
            </w:r>
          </w:p>
        </w:tc>
      </w:tr>
      <w:tr w:rsidR="00C7217E" w:rsidRPr="00530906" w14:paraId="33640AB5" w14:textId="77777777" w:rsidTr="00C7217E">
        <w:trPr>
          <w:gridAfter w:val="4"/>
          <w:wAfter w:w="2250" w:type="dxa"/>
          <w:cantSplit/>
        </w:trPr>
        <w:tc>
          <w:tcPr>
            <w:tcW w:w="822" w:type="dxa"/>
            <w:gridSpan w:val="2"/>
            <w:vMerge/>
            <w:tcBorders>
              <w:top w:val="single" w:sz="8" w:space="0" w:color="152935"/>
              <w:left w:val="nil"/>
              <w:bottom w:val="single" w:sz="8" w:space="0" w:color="152935"/>
              <w:right w:val="nil"/>
            </w:tcBorders>
            <w:shd w:val="clear" w:color="auto" w:fill="E0E0E0"/>
          </w:tcPr>
          <w:p w14:paraId="1E15858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438" w:type="dxa"/>
            <w:gridSpan w:val="5"/>
            <w:tcBorders>
              <w:top w:val="single" w:sz="8" w:space="0" w:color="AEAEAE"/>
              <w:left w:val="nil"/>
              <w:bottom w:val="single" w:sz="8" w:space="0" w:color="AEAEAE"/>
              <w:right w:val="nil"/>
            </w:tcBorders>
            <w:shd w:val="clear" w:color="auto" w:fill="E0E0E0"/>
          </w:tcPr>
          <w:p w14:paraId="3AB1944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Residual</w:t>
            </w:r>
          </w:p>
        </w:tc>
        <w:tc>
          <w:tcPr>
            <w:tcW w:w="1642" w:type="dxa"/>
            <w:gridSpan w:val="3"/>
            <w:tcBorders>
              <w:top w:val="single" w:sz="8" w:space="0" w:color="AEAEAE"/>
              <w:left w:val="nil"/>
              <w:bottom w:val="single" w:sz="8" w:space="0" w:color="AEAEAE"/>
              <w:right w:val="single" w:sz="8" w:space="0" w:color="E0E0E0"/>
            </w:tcBorders>
            <w:shd w:val="clear" w:color="auto" w:fill="FFFFFF"/>
          </w:tcPr>
          <w:p w14:paraId="4992D6D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217.242</w:t>
            </w:r>
          </w:p>
        </w:tc>
        <w:tc>
          <w:tcPr>
            <w:tcW w:w="1146" w:type="dxa"/>
            <w:gridSpan w:val="5"/>
            <w:tcBorders>
              <w:top w:val="single" w:sz="8" w:space="0" w:color="AEAEAE"/>
              <w:left w:val="single" w:sz="8" w:space="0" w:color="E0E0E0"/>
              <w:bottom w:val="single" w:sz="8" w:space="0" w:color="AEAEAE"/>
              <w:right w:val="single" w:sz="8" w:space="0" w:color="E0E0E0"/>
            </w:tcBorders>
            <w:shd w:val="clear" w:color="auto" w:fill="FFFFFF"/>
          </w:tcPr>
          <w:p w14:paraId="2147D40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274</w:t>
            </w:r>
          </w:p>
        </w:tc>
        <w:tc>
          <w:tcPr>
            <w:tcW w:w="1574" w:type="dxa"/>
            <w:gridSpan w:val="3"/>
            <w:tcBorders>
              <w:top w:val="single" w:sz="8" w:space="0" w:color="AEAEAE"/>
              <w:left w:val="single" w:sz="8" w:space="0" w:color="E0E0E0"/>
              <w:bottom w:val="single" w:sz="8" w:space="0" w:color="AEAEAE"/>
              <w:right w:val="single" w:sz="8" w:space="0" w:color="E0E0E0"/>
            </w:tcBorders>
            <w:shd w:val="clear" w:color="auto" w:fill="FFFFFF"/>
          </w:tcPr>
          <w:p w14:paraId="5B9E3B6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.793</w:t>
            </w:r>
          </w:p>
        </w:tc>
        <w:tc>
          <w:tcPr>
            <w:tcW w:w="568"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058D778"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730" w:type="dxa"/>
            <w:tcBorders>
              <w:top w:val="single" w:sz="8" w:space="0" w:color="AEAEAE"/>
              <w:left w:val="single" w:sz="8" w:space="0" w:color="E0E0E0"/>
              <w:bottom w:val="single" w:sz="8" w:space="0" w:color="AEAEAE"/>
              <w:right w:val="nil"/>
            </w:tcBorders>
            <w:shd w:val="clear" w:color="auto" w:fill="FFFFFF"/>
            <w:vAlign w:val="center"/>
          </w:tcPr>
          <w:p w14:paraId="4B4F11A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3ECB797B" w14:textId="77777777" w:rsidTr="00C7217E">
        <w:trPr>
          <w:gridAfter w:val="4"/>
          <w:wAfter w:w="2250" w:type="dxa"/>
          <w:cantSplit/>
        </w:trPr>
        <w:tc>
          <w:tcPr>
            <w:tcW w:w="822" w:type="dxa"/>
            <w:gridSpan w:val="2"/>
            <w:vMerge/>
            <w:tcBorders>
              <w:top w:val="single" w:sz="8" w:space="0" w:color="152935"/>
              <w:left w:val="nil"/>
              <w:bottom w:val="single" w:sz="8" w:space="0" w:color="152935"/>
              <w:right w:val="nil"/>
            </w:tcBorders>
            <w:shd w:val="clear" w:color="auto" w:fill="E0E0E0"/>
          </w:tcPr>
          <w:p w14:paraId="1FFB8498"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438" w:type="dxa"/>
            <w:gridSpan w:val="5"/>
            <w:tcBorders>
              <w:top w:val="single" w:sz="8" w:space="0" w:color="AEAEAE"/>
              <w:left w:val="nil"/>
              <w:bottom w:val="single" w:sz="8" w:space="0" w:color="152935"/>
              <w:right w:val="nil"/>
            </w:tcBorders>
            <w:shd w:val="clear" w:color="auto" w:fill="E0E0E0"/>
          </w:tcPr>
          <w:p w14:paraId="0F1A6F9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Total</w:t>
            </w:r>
          </w:p>
        </w:tc>
        <w:tc>
          <w:tcPr>
            <w:tcW w:w="1642" w:type="dxa"/>
            <w:gridSpan w:val="3"/>
            <w:tcBorders>
              <w:top w:val="single" w:sz="8" w:space="0" w:color="AEAEAE"/>
              <w:left w:val="nil"/>
              <w:bottom w:val="single" w:sz="8" w:space="0" w:color="152935"/>
              <w:right w:val="single" w:sz="8" w:space="0" w:color="E0E0E0"/>
            </w:tcBorders>
            <w:shd w:val="clear" w:color="auto" w:fill="FFFFFF"/>
          </w:tcPr>
          <w:p w14:paraId="0437F2C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387.346</w:t>
            </w:r>
          </w:p>
        </w:tc>
        <w:tc>
          <w:tcPr>
            <w:tcW w:w="1146" w:type="dxa"/>
            <w:gridSpan w:val="5"/>
            <w:tcBorders>
              <w:top w:val="single" w:sz="8" w:space="0" w:color="AEAEAE"/>
              <w:left w:val="single" w:sz="8" w:space="0" w:color="E0E0E0"/>
              <w:bottom w:val="single" w:sz="8" w:space="0" w:color="152935"/>
              <w:right w:val="single" w:sz="8" w:space="0" w:color="E0E0E0"/>
            </w:tcBorders>
            <w:shd w:val="clear" w:color="auto" w:fill="FFFFFF"/>
          </w:tcPr>
          <w:p w14:paraId="7169D75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278</w:t>
            </w:r>
          </w:p>
        </w:tc>
        <w:tc>
          <w:tcPr>
            <w:tcW w:w="1574"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0476378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6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463C6472"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730" w:type="dxa"/>
            <w:tcBorders>
              <w:top w:val="single" w:sz="8" w:space="0" w:color="AEAEAE"/>
              <w:left w:val="single" w:sz="8" w:space="0" w:color="E0E0E0"/>
              <w:bottom w:val="single" w:sz="8" w:space="0" w:color="152935"/>
              <w:right w:val="nil"/>
            </w:tcBorders>
            <w:shd w:val="clear" w:color="auto" w:fill="FFFFFF"/>
            <w:vAlign w:val="center"/>
          </w:tcPr>
          <w:p w14:paraId="15E64AAD"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694D57F1" w14:textId="77777777" w:rsidTr="00C7217E">
        <w:trPr>
          <w:gridAfter w:val="4"/>
          <w:wAfter w:w="2250" w:type="dxa"/>
          <w:cantSplit/>
        </w:trPr>
        <w:tc>
          <w:tcPr>
            <w:tcW w:w="7920" w:type="dxa"/>
            <w:gridSpan w:val="21"/>
            <w:tcBorders>
              <w:top w:val="nil"/>
              <w:left w:val="nil"/>
              <w:bottom w:val="nil"/>
              <w:right w:val="nil"/>
            </w:tcBorders>
            <w:shd w:val="clear" w:color="auto" w:fill="FFFFFF"/>
          </w:tcPr>
          <w:p w14:paraId="1F004B1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Pleasure</w:t>
            </w:r>
          </w:p>
        </w:tc>
      </w:tr>
      <w:tr w:rsidR="00C7217E" w:rsidRPr="00530906" w14:paraId="73A5D3EA" w14:textId="77777777" w:rsidTr="00C7217E">
        <w:trPr>
          <w:gridAfter w:val="4"/>
          <w:wAfter w:w="2250" w:type="dxa"/>
          <w:cantSplit/>
        </w:trPr>
        <w:tc>
          <w:tcPr>
            <w:tcW w:w="7920" w:type="dxa"/>
            <w:gridSpan w:val="21"/>
            <w:tcBorders>
              <w:top w:val="nil"/>
              <w:left w:val="nil"/>
              <w:bottom w:val="nil"/>
              <w:right w:val="nil"/>
            </w:tcBorders>
            <w:shd w:val="clear" w:color="auto" w:fill="FFFFFF"/>
          </w:tcPr>
          <w:p w14:paraId="5733A74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Predictors: (Constant), Mental fluency, Engrossment, Image quality, Self–projection</w:t>
            </w:r>
          </w:p>
        </w:tc>
      </w:tr>
      <w:tr w:rsidR="00C7217E" w:rsidRPr="00530906" w14:paraId="4524A020" w14:textId="77777777" w:rsidTr="00C7217E">
        <w:trPr>
          <w:cantSplit/>
        </w:trPr>
        <w:tc>
          <w:tcPr>
            <w:tcW w:w="10170" w:type="dxa"/>
            <w:gridSpan w:val="25"/>
            <w:tcBorders>
              <w:top w:val="nil"/>
              <w:left w:val="nil"/>
              <w:bottom w:val="nil"/>
              <w:right w:val="nil"/>
            </w:tcBorders>
            <w:shd w:val="clear" w:color="auto" w:fill="FFFFFF"/>
            <w:vAlign w:val="center"/>
          </w:tcPr>
          <w:p w14:paraId="3BBFB8E3"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Coefficients</w:t>
            </w:r>
            <w:r w:rsidRPr="00530906">
              <w:rPr>
                <w:rFonts w:ascii="Cambria" w:eastAsia="Times New Roman" w:hAnsi="Cambria" w:cs="Calibri"/>
                <w:b/>
                <w:bCs/>
                <w:color w:val="000000"/>
                <w:vertAlign w:val="superscript"/>
                <w:lang w:val="en-US"/>
              </w:rPr>
              <w:t>a</w:t>
            </w:r>
          </w:p>
        </w:tc>
      </w:tr>
      <w:tr w:rsidR="00C7217E" w:rsidRPr="00530906" w14:paraId="3EEC639D" w14:textId="77777777" w:rsidTr="00C7217E">
        <w:trPr>
          <w:cantSplit/>
        </w:trPr>
        <w:tc>
          <w:tcPr>
            <w:tcW w:w="1800" w:type="dxa"/>
            <w:gridSpan w:val="4"/>
            <w:vMerge w:val="restart"/>
            <w:tcBorders>
              <w:top w:val="nil"/>
              <w:left w:val="nil"/>
              <w:bottom w:val="nil"/>
              <w:right w:val="nil"/>
            </w:tcBorders>
            <w:shd w:val="clear" w:color="auto" w:fill="FFFFFF"/>
            <w:vAlign w:val="bottom"/>
          </w:tcPr>
          <w:p w14:paraId="291FC64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70" w:type="dxa"/>
            <w:gridSpan w:val="4"/>
            <w:tcBorders>
              <w:top w:val="nil"/>
              <w:left w:val="nil"/>
              <w:bottom w:val="nil"/>
              <w:right w:val="single" w:sz="8" w:space="0" w:color="E0E0E0"/>
            </w:tcBorders>
            <w:shd w:val="clear" w:color="auto" w:fill="FFFFFF"/>
            <w:vAlign w:val="bottom"/>
          </w:tcPr>
          <w:p w14:paraId="4306D67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Unstandardized Coefficients</w:t>
            </w:r>
          </w:p>
        </w:tc>
        <w:tc>
          <w:tcPr>
            <w:tcW w:w="990" w:type="dxa"/>
            <w:gridSpan w:val="3"/>
            <w:tcBorders>
              <w:top w:val="nil"/>
              <w:left w:val="single" w:sz="8" w:space="0" w:color="E0E0E0"/>
              <w:bottom w:val="nil"/>
              <w:right w:val="single" w:sz="8" w:space="0" w:color="E0E0E0"/>
            </w:tcBorders>
            <w:shd w:val="clear" w:color="auto" w:fill="FFFFFF"/>
            <w:vAlign w:val="bottom"/>
          </w:tcPr>
          <w:p w14:paraId="785EFF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Standardized Coefficients</w:t>
            </w:r>
          </w:p>
        </w:tc>
        <w:tc>
          <w:tcPr>
            <w:tcW w:w="540" w:type="dxa"/>
            <w:vMerge w:val="restart"/>
            <w:tcBorders>
              <w:top w:val="nil"/>
              <w:left w:val="single" w:sz="8" w:space="0" w:color="E0E0E0"/>
              <w:bottom w:val="nil"/>
              <w:right w:val="single" w:sz="8" w:space="0" w:color="E0E0E0"/>
            </w:tcBorders>
            <w:shd w:val="clear" w:color="auto" w:fill="FFFFFF"/>
            <w:vAlign w:val="bottom"/>
          </w:tcPr>
          <w:p w14:paraId="6F6D812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5700A6F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c>
          <w:tcPr>
            <w:tcW w:w="2070" w:type="dxa"/>
            <w:gridSpan w:val="5"/>
            <w:tcBorders>
              <w:top w:val="nil"/>
              <w:left w:val="single" w:sz="8" w:space="0" w:color="E0E0E0"/>
              <w:bottom w:val="nil"/>
              <w:right w:val="single" w:sz="8" w:space="0" w:color="E0E0E0"/>
            </w:tcBorders>
            <w:shd w:val="clear" w:color="auto" w:fill="FFFFFF"/>
            <w:vAlign w:val="bottom"/>
          </w:tcPr>
          <w:p w14:paraId="4F12E81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95.0% Confidence Interval for B</w:t>
            </w:r>
          </w:p>
        </w:tc>
        <w:tc>
          <w:tcPr>
            <w:tcW w:w="1890" w:type="dxa"/>
            <w:gridSpan w:val="4"/>
            <w:tcBorders>
              <w:top w:val="nil"/>
              <w:left w:val="single" w:sz="8" w:space="0" w:color="E0E0E0"/>
              <w:bottom w:val="nil"/>
              <w:right w:val="single" w:sz="8" w:space="0" w:color="E0E0E0"/>
            </w:tcBorders>
            <w:shd w:val="clear" w:color="auto" w:fill="FFFFFF"/>
            <w:vAlign w:val="bottom"/>
          </w:tcPr>
          <w:p w14:paraId="235E8C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7D3A416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Collinearity Statistics</w:t>
            </w:r>
          </w:p>
        </w:tc>
      </w:tr>
      <w:tr w:rsidR="00C7217E" w:rsidRPr="00530906" w14:paraId="54911289" w14:textId="77777777" w:rsidTr="00C7217E">
        <w:trPr>
          <w:cantSplit/>
        </w:trPr>
        <w:tc>
          <w:tcPr>
            <w:tcW w:w="1800" w:type="dxa"/>
            <w:gridSpan w:val="4"/>
            <w:vMerge/>
            <w:tcBorders>
              <w:top w:val="nil"/>
              <w:left w:val="nil"/>
              <w:bottom w:val="nil"/>
              <w:right w:val="nil"/>
            </w:tcBorders>
            <w:shd w:val="clear" w:color="auto" w:fill="FFFFFF"/>
            <w:vAlign w:val="bottom"/>
          </w:tcPr>
          <w:p w14:paraId="0DB64B4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gridSpan w:val="2"/>
            <w:tcBorders>
              <w:top w:val="nil"/>
              <w:left w:val="nil"/>
              <w:bottom w:val="single" w:sz="8" w:space="0" w:color="152935"/>
              <w:right w:val="single" w:sz="8" w:space="0" w:color="E0E0E0"/>
            </w:tcBorders>
            <w:shd w:val="clear" w:color="auto" w:fill="FFFFFF"/>
            <w:vAlign w:val="bottom"/>
          </w:tcPr>
          <w:p w14:paraId="257313C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w:t>
            </w: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4ACA6E1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w:t>
            </w: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52EF50E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Beta</w:t>
            </w:r>
          </w:p>
        </w:tc>
        <w:tc>
          <w:tcPr>
            <w:tcW w:w="540" w:type="dxa"/>
            <w:vMerge/>
            <w:tcBorders>
              <w:top w:val="nil"/>
              <w:left w:val="single" w:sz="8" w:space="0" w:color="E0E0E0"/>
              <w:bottom w:val="nil"/>
              <w:right w:val="single" w:sz="8" w:space="0" w:color="E0E0E0"/>
            </w:tcBorders>
            <w:shd w:val="clear" w:color="auto" w:fill="FFFFFF"/>
            <w:vAlign w:val="bottom"/>
          </w:tcPr>
          <w:p w14:paraId="41FFD69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gridSpan w:val="2"/>
            <w:vMerge/>
            <w:tcBorders>
              <w:top w:val="nil"/>
              <w:left w:val="single" w:sz="8" w:space="0" w:color="E0E0E0"/>
              <w:bottom w:val="nil"/>
              <w:right w:val="single" w:sz="8" w:space="0" w:color="E0E0E0"/>
            </w:tcBorders>
            <w:shd w:val="clear" w:color="auto" w:fill="FFFFFF"/>
            <w:vAlign w:val="bottom"/>
          </w:tcPr>
          <w:p w14:paraId="0ED7E7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0BC9832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Lower Bound</w:t>
            </w:r>
          </w:p>
        </w:tc>
        <w:tc>
          <w:tcPr>
            <w:tcW w:w="1080" w:type="dxa"/>
            <w:gridSpan w:val="3"/>
            <w:tcBorders>
              <w:top w:val="nil"/>
              <w:left w:val="single" w:sz="8" w:space="0" w:color="E0E0E0"/>
              <w:bottom w:val="single" w:sz="8" w:space="0" w:color="152935"/>
              <w:right w:val="single" w:sz="8" w:space="0" w:color="E0E0E0"/>
            </w:tcBorders>
            <w:shd w:val="clear" w:color="auto" w:fill="FFFFFF"/>
            <w:vAlign w:val="bottom"/>
          </w:tcPr>
          <w:p w14:paraId="4CBA07B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Upper Bound</w:t>
            </w:r>
          </w:p>
        </w:tc>
        <w:tc>
          <w:tcPr>
            <w:tcW w:w="900" w:type="dxa"/>
            <w:gridSpan w:val="2"/>
            <w:tcBorders>
              <w:top w:val="nil"/>
              <w:left w:val="single" w:sz="8" w:space="0" w:color="E0E0E0"/>
              <w:bottom w:val="single" w:sz="8" w:space="0" w:color="152935"/>
              <w:right w:val="single" w:sz="8" w:space="0" w:color="E0E0E0"/>
            </w:tcBorders>
            <w:shd w:val="clear" w:color="auto" w:fill="FFFFFF"/>
            <w:vAlign w:val="bottom"/>
          </w:tcPr>
          <w:p w14:paraId="17C63A4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2AB60D2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25248CA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0635C96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587D28B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VIF</w:t>
            </w:r>
          </w:p>
        </w:tc>
      </w:tr>
      <w:tr w:rsidR="00C7217E" w:rsidRPr="00530906" w14:paraId="6DD5AE45" w14:textId="77777777" w:rsidTr="00C7217E">
        <w:trPr>
          <w:cantSplit/>
        </w:trPr>
        <w:tc>
          <w:tcPr>
            <w:tcW w:w="180" w:type="dxa"/>
            <w:vMerge w:val="restart"/>
            <w:tcBorders>
              <w:top w:val="single" w:sz="8" w:space="0" w:color="152935"/>
              <w:left w:val="nil"/>
              <w:bottom w:val="single" w:sz="8" w:space="0" w:color="152935"/>
              <w:right w:val="nil"/>
            </w:tcBorders>
            <w:shd w:val="clear" w:color="auto" w:fill="E0E0E0"/>
          </w:tcPr>
          <w:p w14:paraId="5C80E1D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620" w:type="dxa"/>
            <w:gridSpan w:val="3"/>
            <w:tcBorders>
              <w:top w:val="single" w:sz="8" w:space="0" w:color="152935"/>
              <w:left w:val="nil"/>
              <w:bottom w:val="single" w:sz="8" w:space="0" w:color="AEAEAE"/>
              <w:right w:val="nil"/>
            </w:tcBorders>
            <w:shd w:val="clear" w:color="auto" w:fill="E0E0E0"/>
          </w:tcPr>
          <w:p w14:paraId="5765E22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(Constant)</w:t>
            </w:r>
          </w:p>
        </w:tc>
        <w:tc>
          <w:tcPr>
            <w:tcW w:w="450" w:type="dxa"/>
            <w:gridSpan w:val="2"/>
            <w:tcBorders>
              <w:top w:val="single" w:sz="8" w:space="0" w:color="152935"/>
              <w:left w:val="nil"/>
              <w:bottom w:val="single" w:sz="8" w:space="0" w:color="AEAEAE"/>
              <w:right w:val="single" w:sz="8" w:space="0" w:color="E0E0E0"/>
            </w:tcBorders>
            <w:shd w:val="clear" w:color="auto" w:fill="FFFFFF"/>
          </w:tcPr>
          <w:p w14:paraId="7AA1F09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2.080</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3196FB4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08330F3E"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29DC6A5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10.422</w:t>
            </w: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7E80A3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BDB759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1.687</w:t>
            </w:r>
          </w:p>
        </w:tc>
        <w:tc>
          <w:tcPr>
            <w:tcW w:w="1080" w:type="dxa"/>
            <w:gridSpan w:val="3"/>
            <w:tcBorders>
              <w:top w:val="single" w:sz="8" w:space="0" w:color="152935"/>
              <w:left w:val="single" w:sz="8" w:space="0" w:color="E0E0E0"/>
              <w:bottom w:val="single" w:sz="8" w:space="0" w:color="AEAEAE"/>
              <w:right w:val="single" w:sz="8" w:space="0" w:color="E0E0E0"/>
            </w:tcBorders>
            <w:shd w:val="clear" w:color="auto" w:fill="FFFFFF"/>
          </w:tcPr>
          <w:p w14:paraId="5D3B8E8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2.473</w:t>
            </w:r>
          </w:p>
        </w:tc>
        <w:tc>
          <w:tcPr>
            <w:tcW w:w="90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0D8AFEE"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3E22F3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739AD6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ABDA47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185AC8CA"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482AE141"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398B7272"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620" w:type="dxa"/>
            <w:gridSpan w:val="3"/>
            <w:tcBorders>
              <w:top w:val="single" w:sz="8" w:space="0" w:color="AEAEAE"/>
              <w:left w:val="nil"/>
              <w:bottom w:val="single" w:sz="8" w:space="0" w:color="AEAEAE"/>
              <w:right w:val="nil"/>
            </w:tcBorders>
            <w:shd w:val="clear" w:color="auto" w:fill="E0E0E0"/>
          </w:tcPr>
          <w:p w14:paraId="35B2501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Image quality</w:t>
            </w:r>
          </w:p>
        </w:tc>
        <w:tc>
          <w:tcPr>
            <w:tcW w:w="450" w:type="dxa"/>
            <w:gridSpan w:val="2"/>
            <w:tcBorders>
              <w:top w:val="single" w:sz="8" w:space="0" w:color="AEAEAE"/>
              <w:left w:val="nil"/>
              <w:bottom w:val="single" w:sz="8" w:space="0" w:color="AEAEAE"/>
              <w:right w:val="single" w:sz="8" w:space="0" w:color="E0E0E0"/>
            </w:tcBorders>
            <w:shd w:val="clear" w:color="auto" w:fill="FFFFFF"/>
          </w:tcPr>
          <w:p w14:paraId="14B8341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.297</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B2273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.042</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4298892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.379</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0D1B0E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7.047</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77C2F5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30D0A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.214</w:t>
            </w:r>
          </w:p>
        </w:tc>
        <w:tc>
          <w:tcPr>
            <w:tcW w:w="1080" w:type="dxa"/>
            <w:gridSpan w:val="3"/>
            <w:tcBorders>
              <w:top w:val="single" w:sz="8" w:space="0" w:color="AEAEAE"/>
              <w:left w:val="single" w:sz="8" w:space="0" w:color="E0E0E0"/>
              <w:bottom w:val="single" w:sz="8" w:space="0" w:color="AEAEAE"/>
              <w:right w:val="single" w:sz="8" w:space="0" w:color="E0E0E0"/>
            </w:tcBorders>
            <w:shd w:val="clear" w:color="auto" w:fill="FFFFFF"/>
          </w:tcPr>
          <w:p w14:paraId="15C2864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.380</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2A5BD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.570</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B6335A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.392</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780D5DC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.319</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3D41BB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.707</w:t>
            </w:r>
          </w:p>
        </w:tc>
        <w:tc>
          <w:tcPr>
            <w:tcW w:w="450" w:type="dxa"/>
            <w:tcBorders>
              <w:top w:val="single" w:sz="8" w:space="0" w:color="AEAEAE"/>
              <w:left w:val="single" w:sz="8" w:space="0" w:color="E0E0E0"/>
              <w:bottom w:val="single" w:sz="8" w:space="0" w:color="AEAEAE"/>
              <w:right w:val="nil"/>
            </w:tcBorders>
            <w:shd w:val="clear" w:color="auto" w:fill="FFFFFF"/>
          </w:tcPr>
          <w:p w14:paraId="6B376BA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1.414</w:t>
            </w:r>
          </w:p>
        </w:tc>
      </w:tr>
      <w:tr w:rsidR="00C7217E" w:rsidRPr="00530906" w14:paraId="47195BF5"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30105BF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3"/>
            <w:tcBorders>
              <w:top w:val="single" w:sz="8" w:space="0" w:color="AEAEAE"/>
              <w:left w:val="nil"/>
              <w:bottom w:val="single" w:sz="8" w:space="0" w:color="AEAEAE"/>
              <w:right w:val="nil"/>
            </w:tcBorders>
            <w:shd w:val="clear" w:color="auto" w:fill="E0E0E0"/>
          </w:tcPr>
          <w:p w14:paraId="7EA42AE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Engrossment</w:t>
            </w:r>
          </w:p>
        </w:tc>
        <w:tc>
          <w:tcPr>
            <w:tcW w:w="450" w:type="dxa"/>
            <w:gridSpan w:val="2"/>
            <w:tcBorders>
              <w:top w:val="single" w:sz="8" w:space="0" w:color="AEAEAE"/>
              <w:left w:val="nil"/>
              <w:bottom w:val="single" w:sz="8" w:space="0" w:color="AEAEAE"/>
              <w:right w:val="single" w:sz="8" w:space="0" w:color="E0E0E0"/>
            </w:tcBorders>
            <w:shd w:val="clear" w:color="auto" w:fill="FFFFFF"/>
          </w:tcPr>
          <w:p w14:paraId="7B0DDD0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–.019</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E4D63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.048</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2EFAEE3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–.020</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B92C0C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–.401</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7FB511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.689</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F639AE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–.113</w:t>
            </w:r>
          </w:p>
        </w:tc>
        <w:tc>
          <w:tcPr>
            <w:tcW w:w="1080" w:type="dxa"/>
            <w:gridSpan w:val="3"/>
            <w:tcBorders>
              <w:top w:val="single" w:sz="8" w:space="0" w:color="AEAEAE"/>
              <w:left w:val="single" w:sz="8" w:space="0" w:color="E0E0E0"/>
              <w:bottom w:val="single" w:sz="8" w:space="0" w:color="AEAEAE"/>
              <w:right w:val="single" w:sz="8" w:space="0" w:color="E0E0E0"/>
            </w:tcBorders>
            <w:shd w:val="clear" w:color="auto" w:fill="FFFFFF"/>
          </w:tcPr>
          <w:p w14:paraId="2B397F6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.075</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7D89DC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.156</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C28D61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–.024</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35A94C0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–.018</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AD67A1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.857</w:t>
            </w:r>
          </w:p>
        </w:tc>
        <w:tc>
          <w:tcPr>
            <w:tcW w:w="450" w:type="dxa"/>
            <w:tcBorders>
              <w:top w:val="single" w:sz="8" w:space="0" w:color="AEAEAE"/>
              <w:left w:val="single" w:sz="8" w:space="0" w:color="E0E0E0"/>
              <w:bottom w:val="single" w:sz="8" w:space="0" w:color="AEAEAE"/>
              <w:right w:val="nil"/>
            </w:tcBorders>
            <w:shd w:val="clear" w:color="auto" w:fill="FFFFFF"/>
          </w:tcPr>
          <w:p w14:paraId="5115A9A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1.167</w:t>
            </w:r>
          </w:p>
        </w:tc>
      </w:tr>
      <w:tr w:rsidR="00C7217E" w:rsidRPr="00530906" w14:paraId="1C84089D"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32E9910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3"/>
            <w:tcBorders>
              <w:top w:val="single" w:sz="8" w:space="0" w:color="AEAEAE"/>
              <w:left w:val="nil"/>
              <w:bottom w:val="single" w:sz="8" w:space="0" w:color="AEAEAE"/>
              <w:right w:val="nil"/>
            </w:tcBorders>
            <w:shd w:val="clear" w:color="auto" w:fill="E0E0E0"/>
          </w:tcPr>
          <w:p w14:paraId="456CCCB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Self–projection</w:t>
            </w:r>
          </w:p>
        </w:tc>
        <w:tc>
          <w:tcPr>
            <w:tcW w:w="450" w:type="dxa"/>
            <w:gridSpan w:val="2"/>
            <w:tcBorders>
              <w:top w:val="single" w:sz="8" w:space="0" w:color="AEAEAE"/>
              <w:left w:val="nil"/>
              <w:bottom w:val="single" w:sz="8" w:space="0" w:color="AEAEAE"/>
              <w:right w:val="single" w:sz="8" w:space="0" w:color="E0E0E0"/>
            </w:tcBorders>
            <w:shd w:val="clear" w:color="auto" w:fill="FFFFFF"/>
          </w:tcPr>
          <w:p w14:paraId="79F79F1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.081</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BA012A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.058</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36F9232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.099</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EC5903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1.405</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C3B598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.161</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BE6D3C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–.032</w:t>
            </w:r>
          </w:p>
        </w:tc>
        <w:tc>
          <w:tcPr>
            <w:tcW w:w="1080" w:type="dxa"/>
            <w:gridSpan w:val="3"/>
            <w:tcBorders>
              <w:top w:val="single" w:sz="8" w:space="0" w:color="AEAEAE"/>
              <w:left w:val="single" w:sz="8" w:space="0" w:color="E0E0E0"/>
              <w:bottom w:val="single" w:sz="8" w:space="0" w:color="AEAEAE"/>
              <w:right w:val="single" w:sz="8" w:space="0" w:color="E0E0E0"/>
            </w:tcBorders>
            <w:shd w:val="clear" w:color="auto" w:fill="FFFFFF"/>
          </w:tcPr>
          <w:p w14:paraId="01567E0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.194</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E2E00D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.513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5E28B8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0F0F763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F36CA0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.414</w:t>
            </w:r>
          </w:p>
        </w:tc>
        <w:tc>
          <w:tcPr>
            <w:tcW w:w="450" w:type="dxa"/>
            <w:tcBorders>
              <w:top w:val="single" w:sz="8" w:space="0" w:color="AEAEAE"/>
              <w:left w:val="single" w:sz="8" w:space="0" w:color="E0E0E0"/>
              <w:bottom w:val="single" w:sz="8" w:space="0" w:color="AEAEAE"/>
              <w:right w:val="nil"/>
            </w:tcBorders>
            <w:shd w:val="clear" w:color="auto" w:fill="FFFFFF"/>
          </w:tcPr>
          <w:p w14:paraId="53F296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2.414</w:t>
            </w:r>
          </w:p>
        </w:tc>
      </w:tr>
      <w:tr w:rsidR="00C7217E" w:rsidRPr="00530906" w14:paraId="44A61AD5"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104B224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3"/>
            <w:tcBorders>
              <w:top w:val="single" w:sz="8" w:space="0" w:color="AEAEAE"/>
              <w:left w:val="nil"/>
              <w:bottom w:val="single" w:sz="8" w:space="0" w:color="152935"/>
              <w:right w:val="nil"/>
            </w:tcBorders>
            <w:shd w:val="clear" w:color="auto" w:fill="E0E0E0"/>
          </w:tcPr>
          <w:p w14:paraId="2D6F2DA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Mental fluency</w:t>
            </w:r>
          </w:p>
        </w:tc>
        <w:tc>
          <w:tcPr>
            <w:tcW w:w="450" w:type="dxa"/>
            <w:gridSpan w:val="2"/>
            <w:tcBorders>
              <w:top w:val="single" w:sz="8" w:space="0" w:color="AEAEAE"/>
              <w:left w:val="nil"/>
              <w:bottom w:val="single" w:sz="8" w:space="0" w:color="152935"/>
              <w:right w:val="single" w:sz="8" w:space="0" w:color="E0E0E0"/>
            </w:tcBorders>
            <w:shd w:val="clear" w:color="auto" w:fill="FFFFFF"/>
          </w:tcPr>
          <w:p w14:paraId="1D371F0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.234</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6AF4F8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.047</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E8BAA8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.318</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7F1A538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4.974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00496A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B1448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w:t>
            </w:r>
          </w:p>
        </w:tc>
        <w:tc>
          <w:tcPr>
            <w:tcW w:w="108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427992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.326</w:t>
            </w:r>
          </w:p>
        </w:tc>
        <w:tc>
          <w:tcPr>
            <w:tcW w:w="90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E2C4B4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.553</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1451E82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.288</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2542BF9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.225</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0CBD8F0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.502</w:t>
            </w:r>
          </w:p>
        </w:tc>
        <w:tc>
          <w:tcPr>
            <w:tcW w:w="450" w:type="dxa"/>
            <w:tcBorders>
              <w:top w:val="single" w:sz="8" w:space="0" w:color="AEAEAE"/>
              <w:left w:val="single" w:sz="8" w:space="0" w:color="E0E0E0"/>
              <w:bottom w:val="single" w:sz="8" w:space="0" w:color="152935"/>
              <w:right w:val="nil"/>
            </w:tcBorders>
            <w:shd w:val="clear" w:color="auto" w:fill="FFFFFF"/>
          </w:tcPr>
          <w:p w14:paraId="5F25B53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1.991</w:t>
            </w:r>
          </w:p>
        </w:tc>
      </w:tr>
      <w:tr w:rsidR="00C7217E" w:rsidRPr="00530906" w14:paraId="0C1F3D6F" w14:textId="77777777" w:rsidTr="00C7217E">
        <w:trPr>
          <w:cantSplit/>
        </w:trPr>
        <w:tc>
          <w:tcPr>
            <w:tcW w:w="10170" w:type="dxa"/>
            <w:gridSpan w:val="25"/>
            <w:tcBorders>
              <w:top w:val="nil"/>
              <w:left w:val="nil"/>
              <w:bottom w:val="nil"/>
              <w:right w:val="nil"/>
            </w:tcBorders>
            <w:shd w:val="clear" w:color="auto" w:fill="FFFFFF"/>
          </w:tcPr>
          <w:p w14:paraId="3360300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Pleasure</w:t>
            </w:r>
          </w:p>
        </w:tc>
      </w:tr>
    </w:tbl>
    <w:p w14:paraId="25848A57" w14:textId="4471BF29" w:rsidR="00C7217E" w:rsidRPr="00530906" w:rsidRDefault="00C7217E" w:rsidP="008756B1">
      <w:pPr>
        <w:pStyle w:val="Heading3"/>
        <w:jc w:val="both"/>
        <w:rPr>
          <w:rFonts w:eastAsia="Times New Roman"/>
          <w:lang w:val="en-US"/>
        </w:rPr>
      </w:pPr>
      <w:bookmarkStart w:id="146" w:name="_Toc115726301"/>
      <w:r w:rsidRPr="00530906">
        <w:rPr>
          <w:rFonts w:eastAsia="Times New Roman"/>
          <w:lang w:val="en-US"/>
        </w:rPr>
        <w:t>Regression analysis between ‘Pleasure’ and ‘ad attitude’</w:t>
      </w:r>
      <w:bookmarkEnd w:id="146"/>
    </w:p>
    <w:p w14:paraId="68BBFC3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4"/>
        <w:gridCol w:w="69"/>
        <w:gridCol w:w="197"/>
        <w:gridCol w:w="540"/>
        <w:gridCol w:w="400"/>
        <w:gridCol w:w="220"/>
        <w:gridCol w:w="280"/>
        <w:gridCol w:w="705"/>
        <w:gridCol w:w="285"/>
        <w:gridCol w:w="361"/>
        <w:gridCol w:w="179"/>
        <w:gridCol w:w="450"/>
        <w:gridCol w:w="356"/>
        <w:gridCol w:w="153"/>
        <w:gridCol w:w="571"/>
        <w:gridCol w:w="907"/>
        <w:gridCol w:w="85"/>
        <w:gridCol w:w="88"/>
        <w:gridCol w:w="900"/>
        <w:gridCol w:w="150"/>
        <w:gridCol w:w="390"/>
        <w:gridCol w:w="450"/>
        <w:gridCol w:w="298"/>
        <w:gridCol w:w="512"/>
        <w:gridCol w:w="518"/>
      </w:tblGrid>
      <w:tr w:rsidR="00C7217E" w:rsidRPr="00530906" w14:paraId="2FB31CD5" w14:textId="77777777" w:rsidTr="00C7217E">
        <w:trPr>
          <w:gridAfter w:val="9"/>
          <w:wAfter w:w="3391" w:type="dxa"/>
          <w:cantSplit/>
        </w:trPr>
        <w:tc>
          <w:tcPr>
            <w:tcW w:w="6487" w:type="dxa"/>
            <w:gridSpan w:val="17"/>
            <w:tcBorders>
              <w:top w:val="nil"/>
              <w:left w:val="nil"/>
              <w:bottom w:val="nil"/>
              <w:right w:val="nil"/>
            </w:tcBorders>
            <w:shd w:val="clear" w:color="auto" w:fill="FFFFFF"/>
            <w:vAlign w:val="center"/>
          </w:tcPr>
          <w:p w14:paraId="0EC827FF"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6EE1F7FC" w14:textId="77777777" w:rsidTr="00C7217E">
        <w:trPr>
          <w:gridAfter w:val="9"/>
          <w:wAfter w:w="3391" w:type="dxa"/>
          <w:cantSplit/>
        </w:trPr>
        <w:tc>
          <w:tcPr>
            <w:tcW w:w="883" w:type="dxa"/>
            <w:gridSpan w:val="3"/>
            <w:tcBorders>
              <w:top w:val="nil"/>
              <w:left w:val="nil"/>
              <w:bottom w:val="single" w:sz="8" w:space="0" w:color="152935"/>
              <w:right w:val="nil"/>
            </w:tcBorders>
            <w:shd w:val="clear" w:color="auto" w:fill="FFFFFF"/>
            <w:vAlign w:val="bottom"/>
          </w:tcPr>
          <w:p w14:paraId="0565DDE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2FFE24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3"/>
            <w:tcBorders>
              <w:top w:val="nil"/>
              <w:left w:val="single" w:sz="8" w:space="0" w:color="E0E0E0"/>
              <w:bottom w:val="single" w:sz="8" w:space="0" w:color="152935"/>
              <w:right w:val="single" w:sz="8" w:space="0" w:color="E0E0E0"/>
            </w:tcBorders>
            <w:shd w:val="clear" w:color="auto" w:fill="FFFFFF"/>
            <w:vAlign w:val="bottom"/>
          </w:tcPr>
          <w:p w14:paraId="43C692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5"/>
            <w:tcBorders>
              <w:top w:val="nil"/>
              <w:left w:val="single" w:sz="8" w:space="0" w:color="E0E0E0"/>
              <w:bottom w:val="single" w:sz="8" w:space="0" w:color="152935"/>
              <w:right w:val="single" w:sz="8" w:space="0" w:color="E0E0E0"/>
            </w:tcBorders>
            <w:shd w:val="clear" w:color="auto" w:fill="FFFFFF"/>
            <w:vAlign w:val="bottom"/>
          </w:tcPr>
          <w:p w14:paraId="33DDDD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631" w:type="dxa"/>
            <w:gridSpan w:val="3"/>
            <w:tcBorders>
              <w:top w:val="nil"/>
              <w:left w:val="single" w:sz="8" w:space="0" w:color="E0E0E0"/>
              <w:bottom w:val="single" w:sz="8" w:space="0" w:color="152935"/>
              <w:right w:val="nil"/>
            </w:tcBorders>
            <w:shd w:val="clear" w:color="auto" w:fill="FFFFFF"/>
            <w:vAlign w:val="bottom"/>
          </w:tcPr>
          <w:p w14:paraId="6182B8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74A0CBE6" w14:textId="77777777" w:rsidTr="00C7217E">
        <w:trPr>
          <w:gridAfter w:val="9"/>
          <w:wAfter w:w="3391" w:type="dxa"/>
          <w:cantSplit/>
        </w:trPr>
        <w:tc>
          <w:tcPr>
            <w:tcW w:w="883" w:type="dxa"/>
            <w:gridSpan w:val="3"/>
            <w:tcBorders>
              <w:top w:val="single" w:sz="8" w:space="0" w:color="152935"/>
              <w:left w:val="nil"/>
              <w:bottom w:val="single" w:sz="8" w:space="0" w:color="152935"/>
              <w:right w:val="nil"/>
            </w:tcBorders>
            <w:shd w:val="clear" w:color="auto" w:fill="E0E0E0"/>
          </w:tcPr>
          <w:p w14:paraId="6DF36E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2EF0F8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r w:rsidRPr="00530906">
              <w:rPr>
                <w:rFonts w:ascii="Cambria" w:eastAsia="Times New Roman" w:hAnsi="Cambria" w:cs="Times New Roman"/>
                <w:color w:val="000000"/>
                <w:sz w:val="18"/>
                <w:szCs w:val="18"/>
                <w:vertAlign w:val="superscript"/>
                <w:lang w:val="en-US"/>
              </w:rPr>
              <w:t>a</w:t>
            </w:r>
          </w:p>
        </w:tc>
        <w:tc>
          <w:tcPr>
            <w:tcW w:w="1205" w:type="dxa"/>
            <w:gridSpan w:val="3"/>
            <w:tcBorders>
              <w:top w:val="single" w:sz="8" w:space="0" w:color="152935"/>
              <w:left w:val="single" w:sz="8" w:space="0" w:color="E0E0E0"/>
              <w:bottom w:val="single" w:sz="8" w:space="0" w:color="152935"/>
              <w:right w:val="single" w:sz="8" w:space="0" w:color="E0E0E0"/>
            </w:tcBorders>
            <w:shd w:val="clear" w:color="auto" w:fill="FFFFFF"/>
          </w:tcPr>
          <w:p w14:paraId="6D8A00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.573</w:t>
            </w:r>
          </w:p>
        </w:tc>
        <w:tc>
          <w:tcPr>
            <w:tcW w:w="1631" w:type="dxa"/>
            <w:gridSpan w:val="5"/>
            <w:tcBorders>
              <w:top w:val="single" w:sz="8" w:space="0" w:color="152935"/>
              <w:left w:val="single" w:sz="8" w:space="0" w:color="E0E0E0"/>
              <w:bottom w:val="single" w:sz="8" w:space="0" w:color="152935"/>
              <w:right w:val="single" w:sz="8" w:space="0" w:color="E0E0E0"/>
            </w:tcBorders>
            <w:shd w:val="clear" w:color="auto" w:fill="FFFFFF"/>
          </w:tcPr>
          <w:p w14:paraId="624B94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.572</w:t>
            </w:r>
          </w:p>
        </w:tc>
        <w:tc>
          <w:tcPr>
            <w:tcW w:w="1631" w:type="dxa"/>
            <w:gridSpan w:val="3"/>
            <w:tcBorders>
              <w:top w:val="single" w:sz="8" w:space="0" w:color="152935"/>
              <w:left w:val="single" w:sz="8" w:space="0" w:color="E0E0E0"/>
              <w:bottom w:val="single" w:sz="8" w:space="0" w:color="152935"/>
              <w:right w:val="nil"/>
            </w:tcBorders>
            <w:shd w:val="clear" w:color="auto" w:fill="FFFFFF"/>
          </w:tcPr>
          <w:p w14:paraId="087E69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.89299</w:t>
            </w:r>
          </w:p>
        </w:tc>
      </w:tr>
      <w:tr w:rsidR="00C7217E" w:rsidRPr="00530906" w14:paraId="441F4300" w14:textId="77777777" w:rsidTr="00C7217E">
        <w:trPr>
          <w:gridAfter w:val="9"/>
          <w:wAfter w:w="3391" w:type="dxa"/>
          <w:cantSplit/>
        </w:trPr>
        <w:tc>
          <w:tcPr>
            <w:tcW w:w="6487" w:type="dxa"/>
            <w:gridSpan w:val="17"/>
            <w:tcBorders>
              <w:top w:val="nil"/>
              <w:left w:val="nil"/>
              <w:bottom w:val="nil"/>
              <w:right w:val="nil"/>
            </w:tcBorders>
            <w:shd w:val="clear" w:color="auto" w:fill="FFFFFF"/>
          </w:tcPr>
          <w:p w14:paraId="57BB36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Pleasure</w:t>
            </w:r>
          </w:p>
        </w:tc>
      </w:tr>
      <w:tr w:rsidR="00C7217E" w:rsidRPr="00530906" w14:paraId="63FF6610" w14:textId="77777777" w:rsidTr="00C7217E">
        <w:trPr>
          <w:gridAfter w:val="9"/>
          <w:wAfter w:w="3391" w:type="dxa"/>
          <w:cantSplit/>
        </w:trPr>
        <w:tc>
          <w:tcPr>
            <w:tcW w:w="6487" w:type="dxa"/>
            <w:gridSpan w:val="17"/>
            <w:tcBorders>
              <w:top w:val="nil"/>
              <w:left w:val="nil"/>
              <w:bottom w:val="nil"/>
              <w:right w:val="nil"/>
            </w:tcBorders>
            <w:shd w:val="clear" w:color="auto" w:fill="FFFFFF"/>
          </w:tcPr>
          <w:p w14:paraId="7E5A29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Attitude</w:t>
            </w:r>
          </w:p>
        </w:tc>
      </w:tr>
      <w:tr w:rsidR="00C7217E" w:rsidRPr="00530906" w14:paraId="5FFE4468" w14:textId="77777777" w:rsidTr="00C7217E">
        <w:trPr>
          <w:gridAfter w:val="2"/>
          <w:wAfter w:w="1030" w:type="dxa"/>
          <w:cantSplit/>
        </w:trPr>
        <w:tc>
          <w:tcPr>
            <w:tcW w:w="8848" w:type="dxa"/>
            <w:gridSpan w:val="24"/>
            <w:tcBorders>
              <w:top w:val="nil"/>
              <w:left w:val="nil"/>
              <w:bottom w:val="nil"/>
              <w:right w:val="nil"/>
            </w:tcBorders>
            <w:shd w:val="clear" w:color="auto" w:fill="FFFFFF"/>
            <w:vAlign w:val="center"/>
          </w:tcPr>
          <w:p w14:paraId="57FB552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71098F94" w14:textId="77777777" w:rsidTr="00C7217E">
        <w:trPr>
          <w:gridAfter w:val="2"/>
          <w:wAfter w:w="1030" w:type="dxa"/>
          <w:cantSplit/>
        </w:trPr>
        <w:tc>
          <w:tcPr>
            <w:tcW w:w="2240" w:type="dxa"/>
            <w:gridSpan w:val="7"/>
            <w:tcBorders>
              <w:top w:val="nil"/>
              <w:left w:val="nil"/>
              <w:bottom w:val="single" w:sz="8" w:space="0" w:color="152935"/>
              <w:right w:val="nil"/>
            </w:tcBorders>
            <w:shd w:val="clear" w:color="auto" w:fill="FFFFFF"/>
            <w:vAlign w:val="bottom"/>
          </w:tcPr>
          <w:p w14:paraId="38932D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01348C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4"/>
            <w:tcBorders>
              <w:top w:val="nil"/>
              <w:left w:val="single" w:sz="8" w:space="0" w:color="E0E0E0"/>
              <w:bottom w:val="single" w:sz="8" w:space="0" w:color="152935"/>
              <w:right w:val="single" w:sz="8" w:space="0" w:color="E0E0E0"/>
            </w:tcBorders>
            <w:shd w:val="clear" w:color="auto" w:fill="FFFFFF"/>
            <w:vAlign w:val="bottom"/>
          </w:tcPr>
          <w:p w14:paraId="57F105F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63" w:type="dxa"/>
            <w:gridSpan w:val="3"/>
            <w:tcBorders>
              <w:top w:val="nil"/>
              <w:left w:val="single" w:sz="8" w:space="0" w:color="E0E0E0"/>
              <w:bottom w:val="single" w:sz="8" w:space="0" w:color="152935"/>
              <w:right w:val="single" w:sz="8" w:space="0" w:color="E0E0E0"/>
            </w:tcBorders>
            <w:shd w:val="clear" w:color="auto" w:fill="FFFFFF"/>
            <w:vAlign w:val="bottom"/>
          </w:tcPr>
          <w:p w14:paraId="547D9F4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1138" w:type="dxa"/>
            <w:gridSpan w:val="3"/>
            <w:tcBorders>
              <w:top w:val="nil"/>
              <w:left w:val="single" w:sz="8" w:space="0" w:color="E0E0E0"/>
              <w:bottom w:val="single" w:sz="8" w:space="0" w:color="152935"/>
              <w:right w:val="single" w:sz="8" w:space="0" w:color="E0E0E0"/>
            </w:tcBorders>
            <w:shd w:val="clear" w:color="auto" w:fill="FFFFFF"/>
            <w:vAlign w:val="bottom"/>
          </w:tcPr>
          <w:p w14:paraId="725368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138" w:type="dxa"/>
            <w:gridSpan w:val="3"/>
            <w:tcBorders>
              <w:top w:val="nil"/>
              <w:left w:val="single" w:sz="8" w:space="0" w:color="E0E0E0"/>
              <w:bottom w:val="single" w:sz="8" w:space="0" w:color="152935"/>
              <w:right w:val="nil"/>
            </w:tcBorders>
            <w:shd w:val="clear" w:color="auto" w:fill="FFFFFF"/>
            <w:vAlign w:val="bottom"/>
          </w:tcPr>
          <w:p w14:paraId="04DB6D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3B6E6A83" w14:textId="77777777" w:rsidTr="00C7217E">
        <w:trPr>
          <w:gridAfter w:val="2"/>
          <w:wAfter w:w="1030"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16D615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5"/>
            <w:tcBorders>
              <w:top w:val="single" w:sz="8" w:space="0" w:color="152935"/>
              <w:left w:val="nil"/>
              <w:bottom w:val="single" w:sz="8" w:space="0" w:color="AEAEAE"/>
              <w:right w:val="nil"/>
            </w:tcBorders>
            <w:shd w:val="clear" w:color="auto" w:fill="E0E0E0"/>
          </w:tcPr>
          <w:p w14:paraId="2E098F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3FCB12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296.965</w:t>
            </w:r>
          </w:p>
        </w:tc>
        <w:tc>
          <w:tcPr>
            <w:tcW w:w="1138" w:type="dxa"/>
            <w:gridSpan w:val="4"/>
            <w:tcBorders>
              <w:top w:val="single" w:sz="8" w:space="0" w:color="152935"/>
              <w:left w:val="single" w:sz="8" w:space="0" w:color="E0E0E0"/>
              <w:bottom w:val="single" w:sz="8" w:space="0" w:color="AEAEAE"/>
              <w:right w:val="single" w:sz="8" w:space="0" w:color="E0E0E0"/>
            </w:tcBorders>
            <w:shd w:val="clear" w:color="auto" w:fill="FFFFFF"/>
          </w:tcPr>
          <w:p w14:paraId="6C8251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63" w:type="dxa"/>
            <w:gridSpan w:val="3"/>
            <w:tcBorders>
              <w:top w:val="single" w:sz="8" w:space="0" w:color="152935"/>
              <w:left w:val="single" w:sz="8" w:space="0" w:color="E0E0E0"/>
              <w:bottom w:val="single" w:sz="8" w:space="0" w:color="AEAEAE"/>
              <w:right w:val="single" w:sz="8" w:space="0" w:color="E0E0E0"/>
            </w:tcBorders>
            <w:shd w:val="clear" w:color="auto" w:fill="FFFFFF"/>
          </w:tcPr>
          <w:p w14:paraId="5E89F8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296.965</w:t>
            </w:r>
          </w:p>
        </w:tc>
        <w:tc>
          <w:tcPr>
            <w:tcW w:w="11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6E0D23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372.400</w:t>
            </w:r>
          </w:p>
        </w:tc>
        <w:tc>
          <w:tcPr>
            <w:tcW w:w="1138" w:type="dxa"/>
            <w:gridSpan w:val="3"/>
            <w:tcBorders>
              <w:top w:val="single" w:sz="8" w:space="0" w:color="152935"/>
              <w:left w:val="single" w:sz="8" w:space="0" w:color="E0E0E0"/>
              <w:bottom w:val="single" w:sz="8" w:space="0" w:color="AEAEAE"/>
              <w:right w:val="nil"/>
            </w:tcBorders>
            <w:shd w:val="clear" w:color="auto" w:fill="FFFFFF"/>
          </w:tcPr>
          <w:p w14:paraId="092069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046AC14D" w14:textId="77777777" w:rsidTr="00C7217E">
        <w:trPr>
          <w:gridAfter w:val="2"/>
          <w:wAfter w:w="1030" w:type="dxa"/>
          <w:cantSplit/>
        </w:trPr>
        <w:tc>
          <w:tcPr>
            <w:tcW w:w="814" w:type="dxa"/>
            <w:gridSpan w:val="2"/>
            <w:vMerge/>
            <w:tcBorders>
              <w:top w:val="single" w:sz="8" w:space="0" w:color="152935"/>
              <w:left w:val="nil"/>
              <w:bottom w:val="single" w:sz="8" w:space="0" w:color="152935"/>
              <w:right w:val="nil"/>
            </w:tcBorders>
            <w:shd w:val="clear" w:color="auto" w:fill="E0E0E0"/>
          </w:tcPr>
          <w:p w14:paraId="15F8F4A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5"/>
            <w:tcBorders>
              <w:top w:val="single" w:sz="8" w:space="0" w:color="AEAEAE"/>
              <w:left w:val="nil"/>
              <w:bottom w:val="single" w:sz="8" w:space="0" w:color="AEAEAE"/>
              <w:right w:val="nil"/>
            </w:tcBorders>
            <w:shd w:val="clear" w:color="auto" w:fill="E0E0E0"/>
          </w:tcPr>
          <w:p w14:paraId="0ACEE5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3E51590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220.890</w:t>
            </w:r>
          </w:p>
        </w:tc>
        <w:tc>
          <w:tcPr>
            <w:tcW w:w="1138" w:type="dxa"/>
            <w:gridSpan w:val="4"/>
            <w:tcBorders>
              <w:top w:val="single" w:sz="8" w:space="0" w:color="AEAEAE"/>
              <w:left w:val="single" w:sz="8" w:space="0" w:color="E0E0E0"/>
              <w:bottom w:val="single" w:sz="8" w:space="0" w:color="AEAEAE"/>
              <w:right w:val="single" w:sz="8" w:space="0" w:color="E0E0E0"/>
            </w:tcBorders>
            <w:shd w:val="clear" w:color="auto" w:fill="FFFFFF"/>
          </w:tcPr>
          <w:p w14:paraId="51D1770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63" w:type="dxa"/>
            <w:gridSpan w:val="3"/>
            <w:tcBorders>
              <w:top w:val="single" w:sz="8" w:space="0" w:color="AEAEAE"/>
              <w:left w:val="single" w:sz="8" w:space="0" w:color="E0E0E0"/>
              <w:bottom w:val="single" w:sz="8" w:space="0" w:color="AEAEAE"/>
              <w:right w:val="single" w:sz="8" w:space="0" w:color="E0E0E0"/>
            </w:tcBorders>
            <w:shd w:val="clear" w:color="auto" w:fill="FFFFFF"/>
          </w:tcPr>
          <w:p w14:paraId="6BD009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.797</w:t>
            </w:r>
          </w:p>
        </w:tc>
        <w:tc>
          <w:tcPr>
            <w:tcW w:w="1138" w:type="dxa"/>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14:paraId="2702C7C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3"/>
            <w:tcBorders>
              <w:top w:val="single" w:sz="8" w:space="0" w:color="AEAEAE"/>
              <w:left w:val="single" w:sz="8" w:space="0" w:color="E0E0E0"/>
              <w:bottom w:val="single" w:sz="8" w:space="0" w:color="AEAEAE"/>
              <w:right w:val="nil"/>
            </w:tcBorders>
            <w:shd w:val="clear" w:color="auto" w:fill="FFFFFF"/>
            <w:vAlign w:val="center"/>
          </w:tcPr>
          <w:p w14:paraId="30B755F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766CC09" w14:textId="77777777" w:rsidTr="00C7217E">
        <w:trPr>
          <w:gridAfter w:val="2"/>
          <w:wAfter w:w="1030" w:type="dxa"/>
          <w:cantSplit/>
        </w:trPr>
        <w:tc>
          <w:tcPr>
            <w:tcW w:w="814" w:type="dxa"/>
            <w:gridSpan w:val="2"/>
            <w:vMerge/>
            <w:tcBorders>
              <w:top w:val="single" w:sz="8" w:space="0" w:color="152935"/>
              <w:left w:val="nil"/>
              <w:bottom w:val="single" w:sz="8" w:space="0" w:color="152935"/>
              <w:right w:val="nil"/>
            </w:tcBorders>
            <w:shd w:val="clear" w:color="auto" w:fill="E0E0E0"/>
          </w:tcPr>
          <w:p w14:paraId="0E865A2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5"/>
            <w:tcBorders>
              <w:top w:val="single" w:sz="8" w:space="0" w:color="AEAEAE"/>
              <w:left w:val="nil"/>
              <w:bottom w:val="single" w:sz="8" w:space="0" w:color="152935"/>
              <w:right w:val="nil"/>
            </w:tcBorders>
            <w:shd w:val="clear" w:color="auto" w:fill="E0E0E0"/>
          </w:tcPr>
          <w:p w14:paraId="533D3F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6FCBD0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517.855</w:t>
            </w:r>
          </w:p>
        </w:tc>
        <w:tc>
          <w:tcPr>
            <w:tcW w:w="1138" w:type="dxa"/>
            <w:gridSpan w:val="4"/>
            <w:tcBorders>
              <w:top w:val="single" w:sz="8" w:space="0" w:color="AEAEAE"/>
              <w:left w:val="single" w:sz="8" w:space="0" w:color="E0E0E0"/>
              <w:bottom w:val="single" w:sz="8" w:space="0" w:color="152935"/>
              <w:right w:val="single" w:sz="8" w:space="0" w:color="E0E0E0"/>
            </w:tcBorders>
            <w:shd w:val="clear" w:color="auto" w:fill="FFFFFF"/>
          </w:tcPr>
          <w:p w14:paraId="790E97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63"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3FC50E1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05BB19E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3"/>
            <w:tcBorders>
              <w:top w:val="single" w:sz="8" w:space="0" w:color="AEAEAE"/>
              <w:left w:val="single" w:sz="8" w:space="0" w:color="E0E0E0"/>
              <w:bottom w:val="single" w:sz="8" w:space="0" w:color="152935"/>
              <w:right w:val="nil"/>
            </w:tcBorders>
            <w:shd w:val="clear" w:color="auto" w:fill="FFFFFF"/>
            <w:vAlign w:val="center"/>
          </w:tcPr>
          <w:p w14:paraId="75DE2CB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56D24C2A" w14:textId="77777777" w:rsidTr="00C7217E">
        <w:trPr>
          <w:gridAfter w:val="2"/>
          <w:wAfter w:w="1030" w:type="dxa"/>
          <w:cantSplit/>
        </w:trPr>
        <w:tc>
          <w:tcPr>
            <w:tcW w:w="8848" w:type="dxa"/>
            <w:gridSpan w:val="24"/>
            <w:tcBorders>
              <w:top w:val="nil"/>
              <w:left w:val="nil"/>
              <w:bottom w:val="nil"/>
              <w:right w:val="nil"/>
            </w:tcBorders>
            <w:shd w:val="clear" w:color="auto" w:fill="FFFFFF"/>
          </w:tcPr>
          <w:p w14:paraId="6DAE67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r w:rsidR="00C7217E" w:rsidRPr="00530906" w14:paraId="6CD60A0F" w14:textId="77777777" w:rsidTr="00C7217E">
        <w:trPr>
          <w:gridAfter w:val="2"/>
          <w:wAfter w:w="1030" w:type="dxa"/>
          <w:cantSplit/>
        </w:trPr>
        <w:tc>
          <w:tcPr>
            <w:tcW w:w="8848" w:type="dxa"/>
            <w:gridSpan w:val="24"/>
            <w:tcBorders>
              <w:top w:val="nil"/>
              <w:left w:val="nil"/>
              <w:bottom w:val="nil"/>
              <w:right w:val="nil"/>
            </w:tcBorders>
            <w:shd w:val="clear" w:color="auto" w:fill="FFFFFF"/>
          </w:tcPr>
          <w:p w14:paraId="5CC0D5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Pleasure</w:t>
            </w:r>
          </w:p>
        </w:tc>
      </w:tr>
      <w:tr w:rsidR="00C7217E" w:rsidRPr="00530906" w14:paraId="1EAE0121" w14:textId="77777777" w:rsidTr="00C7217E">
        <w:trPr>
          <w:cantSplit/>
        </w:trPr>
        <w:tc>
          <w:tcPr>
            <w:tcW w:w="9878" w:type="dxa"/>
            <w:gridSpan w:val="26"/>
            <w:tcBorders>
              <w:top w:val="nil"/>
              <w:left w:val="nil"/>
              <w:bottom w:val="nil"/>
              <w:right w:val="nil"/>
            </w:tcBorders>
            <w:shd w:val="clear" w:color="auto" w:fill="FFFFFF"/>
            <w:vAlign w:val="center"/>
          </w:tcPr>
          <w:p w14:paraId="6A4CC85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2E95A5CF" w14:textId="77777777" w:rsidTr="00C7217E">
        <w:trPr>
          <w:cantSplit/>
        </w:trPr>
        <w:tc>
          <w:tcPr>
            <w:tcW w:w="1080" w:type="dxa"/>
            <w:gridSpan w:val="4"/>
            <w:vMerge w:val="restart"/>
            <w:tcBorders>
              <w:top w:val="nil"/>
              <w:left w:val="nil"/>
              <w:bottom w:val="nil"/>
              <w:right w:val="nil"/>
            </w:tcBorders>
            <w:shd w:val="clear" w:color="auto" w:fill="FFFFFF"/>
            <w:vAlign w:val="bottom"/>
          </w:tcPr>
          <w:p w14:paraId="146E14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440" w:type="dxa"/>
            <w:gridSpan w:val="4"/>
            <w:tcBorders>
              <w:top w:val="nil"/>
              <w:left w:val="nil"/>
              <w:bottom w:val="nil"/>
              <w:right w:val="single" w:sz="8" w:space="0" w:color="E0E0E0"/>
            </w:tcBorders>
            <w:shd w:val="clear" w:color="auto" w:fill="FFFFFF"/>
            <w:vAlign w:val="bottom"/>
          </w:tcPr>
          <w:p w14:paraId="5E21A1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4B32AE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725E01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1B7050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160" w:type="dxa"/>
            <w:gridSpan w:val="6"/>
            <w:tcBorders>
              <w:top w:val="nil"/>
              <w:left w:val="single" w:sz="8" w:space="0" w:color="E0E0E0"/>
              <w:bottom w:val="nil"/>
              <w:right w:val="single" w:sz="8" w:space="0" w:color="E0E0E0"/>
            </w:tcBorders>
            <w:shd w:val="clear" w:color="auto" w:fill="FFFFFF"/>
            <w:vAlign w:val="bottom"/>
          </w:tcPr>
          <w:p w14:paraId="3EC3A9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90" w:type="dxa"/>
            <w:gridSpan w:val="4"/>
            <w:tcBorders>
              <w:top w:val="nil"/>
              <w:left w:val="single" w:sz="8" w:space="0" w:color="E0E0E0"/>
              <w:bottom w:val="nil"/>
              <w:right w:val="single" w:sz="8" w:space="0" w:color="E0E0E0"/>
            </w:tcBorders>
            <w:shd w:val="clear" w:color="auto" w:fill="FFFFFF"/>
            <w:vAlign w:val="bottom"/>
          </w:tcPr>
          <w:p w14:paraId="7340DB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328" w:type="dxa"/>
            <w:gridSpan w:val="3"/>
            <w:tcBorders>
              <w:top w:val="nil"/>
              <w:left w:val="single" w:sz="8" w:space="0" w:color="E0E0E0"/>
              <w:bottom w:val="nil"/>
              <w:right w:val="nil"/>
            </w:tcBorders>
            <w:shd w:val="clear" w:color="auto" w:fill="FFFFFF"/>
            <w:vAlign w:val="bottom"/>
          </w:tcPr>
          <w:p w14:paraId="1A3998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19B35E5A" w14:textId="77777777" w:rsidTr="00C7217E">
        <w:trPr>
          <w:cantSplit/>
        </w:trPr>
        <w:tc>
          <w:tcPr>
            <w:tcW w:w="1080" w:type="dxa"/>
            <w:gridSpan w:val="4"/>
            <w:vMerge/>
            <w:tcBorders>
              <w:top w:val="nil"/>
              <w:left w:val="nil"/>
              <w:bottom w:val="nil"/>
              <w:right w:val="nil"/>
            </w:tcBorders>
            <w:shd w:val="clear" w:color="auto" w:fill="FFFFFF"/>
            <w:vAlign w:val="bottom"/>
          </w:tcPr>
          <w:p w14:paraId="3E06C12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540" w:type="dxa"/>
            <w:tcBorders>
              <w:top w:val="nil"/>
              <w:left w:val="nil"/>
              <w:bottom w:val="single" w:sz="8" w:space="0" w:color="152935"/>
              <w:right w:val="single" w:sz="8" w:space="0" w:color="E0E0E0"/>
            </w:tcBorders>
            <w:shd w:val="clear" w:color="auto" w:fill="FFFFFF"/>
            <w:vAlign w:val="bottom"/>
          </w:tcPr>
          <w:p w14:paraId="242BDB0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417EF6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3EC2C3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50D0C2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73BFE3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080" w:type="dxa"/>
            <w:gridSpan w:val="3"/>
            <w:tcBorders>
              <w:top w:val="nil"/>
              <w:left w:val="single" w:sz="8" w:space="0" w:color="E0E0E0"/>
              <w:bottom w:val="single" w:sz="8" w:space="0" w:color="152935"/>
              <w:right w:val="single" w:sz="8" w:space="0" w:color="E0E0E0"/>
            </w:tcBorders>
            <w:shd w:val="clear" w:color="auto" w:fill="FFFFFF"/>
            <w:vAlign w:val="bottom"/>
          </w:tcPr>
          <w:p w14:paraId="23961A7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gridSpan w:val="3"/>
            <w:tcBorders>
              <w:top w:val="nil"/>
              <w:left w:val="single" w:sz="8" w:space="0" w:color="E0E0E0"/>
              <w:bottom w:val="single" w:sz="8" w:space="0" w:color="152935"/>
              <w:right w:val="single" w:sz="8" w:space="0" w:color="E0E0E0"/>
            </w:tcBorders>
            <w:shd w:val="clear" w:color="auto" w:fill="FFFFFF"/>
            <w:vAlign w:val="bottom"/>
          </w:tcPr>
          <w:p w14:paraId="5082E8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492528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3196BAB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7E868D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gridSpan w:val="2"/>
            <w:tcBorders>
              <w:top w:val="nil"/>
              <w:left w:val="single" w:sz="8" w:space="0" w:color="E0E0E0"/>
              <w:bottom w:val="single" w:sz="8" w:space="0" w:color="152935"/>
              <w:right w:val="single" w:sz="8" w:space="0" w:color="E0E0E0"/>
            </w:tcBorders>
            <w:shd w:val="clear" w:color="auto" w:fill="FFFFFF"/>
            <w:vAlign w:val="bottom"/>
          </w:tcPr>
          <w:p w14:paraId="0AE0BB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18" w:type="dxa"/>
            <w:tcBorders>
              <w:top w:val="nil"/>
              <w:left w:val="single" w:sz="8" w:space="0" w:color="E0E0E0"/>
              <w:bottom w:val="single" w:sz="8" w:space="0" w:color="152935"/>
              <w:right w:val="nil"/>
            </w:tcBorders>
            <w:shd w:val="clear" w:color="auto" w:fill="FFFFFF"/>
            <w:vAlign w:val="bottom"/>
          </w:tcPr>
          <w:p w14:paraId="6A8209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19109AF8" w14:textId="77777777" w:rsidTr="00C7217E">
        <w:trPr>
          <w:cantSplit/>
        </w:trPr>
        <w:tc>
          <w:tcPr>
            <w:tcW w:w="270" w:type="dxa"/>
            <w:vMerge w:val="restart"/>
            <w:tcBorders>
              <w:top w:val="single" w:sz="8" w:space="0" w:color="152935"/>
              <w:left w:val="nil"/>
              <w:bottom w:val="single" w:sz="8" w:space="0" w:color="152935"/>
              <w:right w:val="nil"/>
            </w:tcBorders>
            <w:shd w:val="clear" w:color="auto" w:fill="E0E0E0"/>
          </w:tcPr>
          <w:p w14:paraId="113756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810" w:type="dxa"/>
            <w:gridSpan w:val="3"/>
            <w:tcBorders>
              <w:top w:val="single" w:sz="8" w:space="0" w:color="152935"/>
              <w:left w:val="nil"/>
              <w:bottom w:val="single" w:sz="8" w:space="0" w:color="AEAEAE"/>
              <w:right w:val="nil"/>
            </w:tcBorders>
            <w:shd w:val="clear" w:color="auto" w:fill="E0E0E0"/>
          </w:tcPr>
          <w:p w14:paraId="130E66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540" w:type="dxa"/>
            <w:tcBorders>
              <w:top w:val="single" w:sz="8" w:space="0" w:color="152935"/>
              <w:left w:val="nil"/>
              <w:bottom w:val="single" w:sz="8" w:space="0" w:color="AEAEAE"/>
              <w:right w:val="single" w:sz="8" w:space="0" w:color="E0E0E0"/>
            </w:tcBorders>
            <w:shd w:val="clear" w:color="auto" w:fill="FFFFFF"/>
          </w:tcPr>
          <w:p w14:paraId="2A79D4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1.087</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tcPr>
          <w:p w14:paraId="1ED36C7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.216</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FF5C65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2C5A8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5.038</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73E9B4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080" w:type="dxa"/>
            <w:gridSpan w:val="3"/>
            <w:tcBorders>
              <w:top w:val="single" w:sz="8" w:space="0" w:color="152935"/>
              <w:left w:val="single" w:sz="8" w:space="0" w:color="E0E0E0"/>
              <w:bottom w:val="single" w:sz="8" w:space="0" w:color="AEAEAE"/>
              <w:right w:val="single" w:sz="8" w:space="0" w:color="E0E0E0"/>
            </w:tcBorders>
            <w:shd w:val="clear" w:color="auto" w:fill="FFFFFF"/>
          </w:tcPr>
          <w:p w14:paraId="67AE94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.662</w:t>
            </w:r>
          </w:p>
        </w:tc>
        <w:tc>
          <w:tcPr>
            <w:tcW w:w="1080" w:type="dxa"/>
            <w:gridSpan w:val="3"/>
            <w:tcBorders>
              <w:top w:val="single" w:sz="8" w:space="0" w:color="152935"/>
              <w:left w:val="single" w:sz="8" w:space="0" w:color="E0E0E0"/>
              <w:bottom w:val="single" w:sz="8" w:space="0" w:color="AEAEAE"/>
              <w:right w:val="single" w:sz="8" w:space="0" w:color="E0E0E0"/>
            </w:tcBorders>
            <w:shd w:val="clear" w:color="auto" w:fill="FFFFFF"/>
          </w:tcPr>
          <w:p w14:paraId="2F7A27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1.512</w:t>
            </w:r>
          </w:p>
        </w:tc>
        <w:tc>
          <w:tcPr>
            <w:tcW w:w="90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C3CDD1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5FA474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D8CF76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3FC4CB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18" w:type="dxa"/>
            <w:tcBorders>
              <w:top w:val="single" w:sz="8" w:space="0" w:color="152935"/>
              <w:left w:val="single" w:sz="8" w:space="0" w:color="E0E0E0"/>
              <w:bottom w:val="single" w:sz="8" w:space="0" w:color="AEAEAE"/>
              <w:right w:val="nil"/>
            </w:tcBorders>
            <w:shd w:val="clear" w:color="auto" w:fill="FFFFFF"/>
            <w:vAlign w:val="center"/>
          </w:tcPr>
          <w:p w14:paraId="5117CC9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2304171" w14:textId="77777777" w:rsidTr="00C7217E">
        <w:trPr>
          <w:cantSplit/>
        </w:trPr>
        <w:tc>
          <w:tcPr>
            <w:tcW w:w="270" w:type="dxa"/>
            <w:vMerge/>
            <w:tcBorders>
              <w:top w:val="single" w:sz="8" w:space="0" w:color="152935"/>
              <w:left w:val="nil"/>
              <w:bottom w:val="single" w:sz="8" w:space="0" w:color="152935"/>
              <w:right w:val="nil"/>
            </w:tcBorders>
            <w:shd w:val="clear" w:color="auto" w:fill="E0E0E0"/>
          </w:tcPr>
          <w:p w14:paraId="2D15D4F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3"/>
            <w:tcBorders>
              <w:top w:val="single" w:sz="8" w:space="0" w:color="AEAEAE"/>
              <w:left w:val="nil"/>
              <w:bottom w:val="single" w:sz="8" w:space="0" w:color="152935"/>
              <w:right w:val="nil"/>
            </w:tcBorders>
            <w:shd w:val="clear" w:color="auto" w:fill="E0E0E0"/>
          </w:tcPr>
          <w:p w14:paraId="3997DC6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Pleasure</w:t>
            </w:r>
          </w:p>
        </w:tc>
        <w:tc>
          <w:tcPr>
            <w:tcW w:w="540" w:type="dxa"/>
            <w:tcBorders>
              <w:top w:val="single" w:sz="8" w:space="0" w:color="AEAEAE"/>
              <w:left w:val="nil"/>
              <w:bottom w:val="single" w:sz="8" w:space="0" w:color="152935"/>
              <w:right w:val="single" w:sz="8" w:space="0" w:color="E0E0E0"/>
            </w:tcBorders>
            <w:shd w:val="clear" w:color="auto" w:fill="FFFFFF"/>
          </w:tcPr>
          <w:p w14:paraId="11EF18A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.876</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C90E8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E2315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2FB28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19.298</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184AF8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080" w:type="dxa"/>
            <w:gridSpan w:val="3"/>
            <w:tcBorders>
              <w:top w:val="single" w:sz="8" w:space="0" w:color="AEAEAE"/>
              <w:left w:val="single" w:sz="8" w:space="0" w:color="E0E0E0"/>
              <w:bottom w:val="single" w:sz="8" w:space="0" w:color="152935"/>
              <w:right w:val="single" w:sz="8" w:space="0" w:color="E0E0E0"/>
            </w:tcBorders>
            <w:shd w:val="clear" w:color="auto" w:fill="FFFFFF"/>
          </w:tcPr>
          <w:p w14:paraId="0F36A4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.786</w:t>
            </w:r>
          </w:p>
        </w:tc>
        <w:tc>
          <w:tcPr>
            <w:tcW w:w="1080" w:type="dxa"/>
            <w:gridSpan w:val="3"/>
            <w:tcBorders>
              <w:top w:val="single" w:sz="8" w:space="0" w:color="AEAEAE"/>
              <w:left w:val="single" w:sz="8" w:space="0" w:color="E0E0E0"/>
              <w:bottom w:val="single" w:sz="8" w:space="0" w:color="152935"/>
              <w:right w:val="single" w:sz="8" w:space="0" w:color="E0E0E0"/>
            </w:tcBorders>
            <w:shd w:val="clear" w:color="auto" w:fill="FFFFFF"/>
          </w:tcPr>
          <w:p w14:paraId="3E54F4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.965</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5C3381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EFFBA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73B1EE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.757</w:t>
            </w:r>
          </w:p>
        </w:tc>
        <w:tc>
          <w:tcPr>
            <w:tcW w:w="81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C0878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18" w:type="dxa"/>
            <w:tcBorders>
              <w:top w:val="single" w:sz="8" w:space="0" w:color="AEAEAE"/>
              <w:left w:val="single" w:sz="8" w:space="0" w:color="E0E0E0"/>
              <w:bottom w:val="single" w:sz="8" w:space="0" w:color="152935"/>
              <w:right w:val="nil"/>
            </w:tcBorders>
            <w:shd w:val="clear" w:color="auto" w:fill="FFFFFF"/>
          </w:tcPr>
          <w:p w14:paraId="3C11CE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441B5555" w14:textId="77777777" w:rsidTr="00C7217E">
        <w:trPr>
          <w:cantSplit/>
        </w:trPr>
        <w:tc>
          <w:tcPr>
            <w:tcW w:w="9878" w:type="dxa"/>
            <w:gridSpan w:val="26"/>
            <w:tcBorders>
              <w:top w:val="nil"/>
              <w:left w:val="nil"/>
              <w:bottom w:val="nil"/>
              <w:right w:val="nil"/>
            </w:tcBorders>
            <w:shd w:val="clear" w:color="auto" w:fill="FFFFFF"/>
          </w:tcPr>
          <w:p w14:paraId="604B4E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bl>
    <w:p w14:paraId="67A57A9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525BDA9A"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28DE1C31" w14:textId="263CC7FE" w:rsidR="00C7217E" w:rsidRPr="00530906" w:rsidRDefault="00C7217E" w:rsidP="008756B1">
      <w:pPr>
        <w:pStyle w:val="Heading3"/>
        <w:jc w:val="both"/>
        <w:rPr>
          <w:rFonts w:eastAsia="Times New Roman"/>
          <w:lang w:val="en-US"/>
        </w:rPr>
      </w:pPr>
      <w:bookmarkStart w:id="147" w:name="_Toc115726302"/>
      <w:r w:rsidRPr="00530906">
        <w:rPr>
          <w:rFonts w:eastAsia="Times New Roman"/>
          <w:lang w:val="en-US"/>
        </w:rPr>
        <w:t>Multiple Regression analysis between ‘SCV’ and ‘Arousal’</w:t>
      </w:r>
      <w:bookmarkEnd w:id="147"/>
    </w:p>
    <w:p w14:paraId="6BEC39E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
        <w:gridCol w:w="655"/>
        <w:gridCol w:w="73"/>
        <w:gridCol w:w="981"/>
        <w:gridCol w:w="187"/>
        <w:gridCol w:w="224"/>
        <w:gridCol w:w="39"/>
        <w:gridCol w:w="720"/>
        <w:gridCol w:w="255"/>
        <w:gridCol w:w="661"/>
        <w:gridCol w:w="74"/>
        <w:gridCol w:w="630"/>
        <w:gridCol w:w="310"/>
        <w:gridCol w:w="140"/>
        <w:gridCol w:w="15"/>
        <w:gridCol w:w="975"/>
        <w:gridCol w:w="545"/>
        <w:gridCol w:w="85"/>
        <w:gridCol w:w="56"/>
        <w:gridCol w:w="728"/>
        <w:gridCol w:w="172"/>
        <w:gridCol w:w="540"/>
        <w:gridCol w:w="450"/>
        <w:gridCol w:w="9"/>
        <w:gridCol w:w="801"/>
        <w:gridCol w:w="542"/>
        <w:gridCol w:w="9"/>
      </w:tblGrid>
      <w:tr w:rsidR="00C7217E" w:rsidRPr="00530906" w14:paraId="2BB4D8DF" w14:textId="77777777" w:rsidTr="00EE722D">
        <w:trPr>
          <w:gridAfter w:val="10"/>
          <w:wAfter w:w="3392" w:type="dxa"/>
          <w:cantSplit/>
        </w:trPr>
        <w:tc>
          <w:tcPr>
            <w:tcW w:w="6663" w:type="dxa"/>
            <w:gridSpan w:val="17"/>
            <w:tcBorders>
              <w:top w:val="nil"/>
              <w:left w:val="nil"/>
              <w:bottom w:val="nil"/>
              <w:right w:val="nil"/>
            </w:tcBorders>
            <w:shd w:val="clear" w:color="auto" w:fill="FFFFFF"/>
            <w:vAlign w:val="center"/>
          </w:tcPr>
          <w:p w14:paraId="60760BF0"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Model Summary</w:t>
            </w:r>
            <w:r w:rsidRPr="00530906">
              <w:rPr>
                <w:rFonts w:ascii="Cambria" w:eastAsia="Times New Roman" w:hAnsi="Cambria" w:cs="Calibri"/>
                <w:b/>
                <w:bCs/>
                <w:color w:val="000000"/>
                <w:vertAlign w:val="superscript"/>
                <w:lang w:val="en-US"/>
              </w:rPr>
              <w:t>b</w:t>
            </w:r>
          </w:p>
        </w:tc>
      </w:tr>
      <w:tr w:rsidR="00C7217E" w:rsidRPr="00530906" w14:paraId="3CB49B28" w14:textId="77777777" w:rsidTr="00EE722D">
        <w:trPr>
          <w:gridAfter w:val="10"/>
          <w:wAfter w:w="3392" w:type="dxa"/>
          <w:cantSplit/>
        </w:trPr>
        <w:tc>
          <w:tcPr>
            <w:tcW w:w="907" w:type="dxa"/>
            <w:gridSpan w:val="3"/>
            <w:tcBorders>
              <w:top w:val="nil"/>
              <w:left w:val="nil"/>
              <w:bottom w:val="single" w:sz="8" w:space="0" w:color="152935"/>
              <w:right w:val="nil"/>
            </w:tcBorders>
            <w:shd w:val="clear" w:color="auto" w:fill="FFFFFF"/>
            <w:vAlign w:val="bottom"/>
          </w:tcPr>
          <w:p w14:paraId="53F09EF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68" w:type="dxa"/>
            <w:gridSpan w:val="2"/>
            <w:tcBorders>
              <w:top w:val="nil"/>
              <w:left w:val="nil"/>
              <w:bottom w:val="single" w:sz="8" w:space="0" w:color="152935"/>
              <w:right w:val="single" w:sz="8" w:space="0" w:color="E0E0E0"/>
            </w:tcBorders>
            <w:shd w:val="clear" w:color="auto" w:fill="FFFFFF"/>
            <w:vAlign w:val="bottom"/>
          </w:tcPr>
          <w:p w14:paraId="510EDC7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w:t>
            </w:r>
          </w:p>
        </w:tc>
        <w:tc>
          <w:tcPr>
            <w:tcW w:w="1238" w:type="dxa"/>
            <w:gridSpan w:val="4"/>
            <w:tcBorders>
              <w:top w:val="nil"/>
              <w:left w:val="single" w:sz="8" w:space="0" w:color="E0E0E0"/>
              <w:bottom w:val="single" w:sz="8" w:space="0" w:color="152935"/>
              <w:right w:val="single" w:sz="8" w:space="0" w:color="E0E0E0"/>
            </w:tcBorders>
            <w:shd w:val="clear" w:color="auto" w:fill="FFFFFF"/>
            <w:vAlign w:val="bottom"/>
          </w:tcPr>
          <w:p w14:paraId="422CBBA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 Square</w:t>
            </w:r>
          </w:p>
        </w:tc>
        <w:tc>
          <w:tcPr>
            <w:tcW w:w="1675" w:type="dxa"/>
            <w:gridSpan w:val="4"/>
            <w:tcBorders>
              <w:top w:val="nil"/>
              <w:left w:val="single" w:sz="8" w:space="0" w:color="E0E0E0"/>
              <w:bottom w:val="single" w:sz="8" w:space="0" w:color="152935"/>
              <w:right w:val="single" w:sz="8" w:space="0" w:color="E0E0E0"/>
            </w:tcBorders>
            <w:shd w:val="clear" w:color="auto" w:fill="FFFFFF"/>
            <w:vAlign w:val="bottom"/>
          </w:tcPr>
          <w:p w14:paraId="49283AF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Adjusted R Square</w:t>
            </w:r>
          </w:p>
        </w:tc>
        <w:tc>
          <w:tcPr>
            <w:tcW w:w="1675" w:type="dxa"/>
            <w:gridSpan w:val="4"/>
            <w:tcBorders>
              <w:top w:val="nil"/>
              <w:left w:val="single" w:sz="8" w:space="0" w:color="E0E0E0"/>
              <w:bottom w:val="single" w:sz="8" w:space="0" w:color="152935"/>
              <w:right w:val="nil"/>
            </w:tcBorders>
            <w:shd w:val="clear" w:color="auto" w:fill="FFFFFF"/>
            <w:vAlign w:val="bottom"/>
          </w:tcPr>
          <w:p w14:paraId="276A867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 of the Estimate</w:t>
            </w:r>
          </w:p>
        </w:tc>
      </w:tr>
      <w:tr w:rsidR="00C7217E" w:rsidRPr="00530906" w14:paraId="65077F79" w14:textId="77777777" w:rsidTr="00EE722D">
        <w:trPr>
          <w:gridAfter w:val="10"/>
          <w:wAfter w:w="3392" w:type="dxa"/>
          <w:cantSplit/>
        </w:trPr>
        <w:tc>
          <w:tcPr>
            <w:tcW w:w="907" w:type="dxa"/>
            <w:gridSpan w:val="3"/>
            <w:tcBorders>
              <w:top w:val="single" w:sz="8" w:space="0" w:color="152935"/>
              <w:left w:val="nil"/>
              <w:bottom w:val="single" w:sz="8" w:space="0" w:color="152935"/>
              <w:right w:val="nil"/>
            </w:tcBorders>
            <w:shd w:val="clear" w:color="auto" w:fill="E0E0E0"/>
          </w:tcPr>
          <w:p w14:paraId="77B11BE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168" w:type="dxa"/>
            <w:gridSpan w:val="2"/>
            <w:tcBorders>
              <w:top w:val="single" w:sz="8" w:space="0" w:color="152935"/>
              <w:left w:val="nil"/>
              <w:bottom w:val="single" w:sz="8" w:space="0" w:color="152935"/>
              <w:right w:val="single" w:sz="8" w:space="0" w:color="E0E0E0"/>
            </w:tcBorders>
            <w:shd w:val="clear" w:color="auto" w:fill="FFFFFF"/>
          </w:tcPr>
          <w:p w14:paraId="60886CF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.502</w:t>
            </w:r>
            <w:r w:rsidRPr="00530906">
              <w:rPr>
                <w:rFonts w:ascii="Cambria" w:eastAsia="Times New Roman" w:hAnsi="Cambria" w:cs="Calibri"/>
                <w:color w:val="000000"/>
                <w:sz w:val="18"/>
                <w:szCs w:val="18"/>
                <w:vertAlign w:val="superscript"/>
                <w:lang w:val="en-US"/>
              </w:rPr>
              <w:t>a</w:t>
            </w:r>
          </w:p>
        </w:tc>
        <w:tc>
          <w:tcPr>
            <w:tcW w:w="1238" w:type="dxa"/>
            <w:gridSpan w:val="4"/>
            <w:tcBorders>
              <w:top w:val="single" w:sz="8" w:space="0" w:color="152935"/>
              <w:left w:val="single" w:sz="8" w:space="0" w:color="E0E0E0"/>
              <w:bottom w:val="single" w:sz="8" w:space="0" w:color="152935"/>
              <w:right w:val="single" w:sz="8" w:space="0" w:color="E0E0E0"/>
            </w:tcBorders>
            <w:shd w:val="clear" w:color="auto" w:fill="FFFFFF"/>
          </w:tcPr>
          <w:p w14:paraId="6CC9504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.252</w:t>
            </w:r>
          </w:p>
        </w:tc>
        <w:tc>
          <w:tcPr>
            <w:tcW w:w="1675" w:type="dxa"/>
            <w:gridSpan w:val="4"/>
            <w:tcBorders>
              <w:top w:val="single" w:sz="8" w:space="0" w:color="152935"/>
              <w:left w:val="single" w:sz="8" w:space="0" w:color="E0E0E0"/>
              <w:bottom w:val="single" w:sz="8" w:space="0" w:color="152935"/>
              <w:right w:val="single" w:sz="8" w:space="0" w:color="E0E0E0"/>
            </w:tcBorders>
            <w:shd w:val="clear" w:color="auto" w:fill="FFFFFF"/>
          </w:tcPr>
          <w:p w14:paraId="0219294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.241</w:t>
            </w:r>
          </w:p>
        </w:tc>
        <w:tc>
          <w:tcPr>
            <w:tcW w:w="1675" w:type="dxa"/>
            <w:gridSpan w:val="4"/>
            <w:tcBorders>
              <w:top w:val="single" w:sz="8" w:space="0" w:color="152935"/>
              <w:left w:val="single" w:sz="8" w:space="0" w:color="E0E0E0"/>
              <w:bottom w:val="single" w:sz="8" w:space="0" w:color="152935"/>
              <w:right w:val="nil"/>
            </w:tcBorders>
            <w:shd w:val="clear" w:color="auto" w:fill="FFFFFF"/>
          </w:tcPr>
          <w:p w14:paraId="1A525EB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.86815</w:t>
            </w:r>
          </w:p>
        </w:tc>
      </w:tr>
      <w:tr w:rsidR="00C7217E" w:rsidRPr="00530906" w14:paraId="2C991B2B" w14:textId="77777777" w:rsidTr="00EE722D">
        <w:trPr>
          <w:gridAfter w:val="10"/>
          <w:wAfter w:w="3392" w:type="dxa"/>
          <w:cantSplit/>
        </w:trPr>
        <w:tc>
          <w:tcPr>
            <w:tcW w:w="6663" w:type="dxa"/>
            <w:gridSpan w:val="17"/>
            <w:tcBorders>
              <w:top w:val="nil"/>
              <w:left w:val="nil"/>
              <w:bottom w:val="nil"/>
              <w:right w:val="nil"/>
            </w:tcBorders>
            <w:shd w:val="clear" w:color="auto" w:fill="FFFFFF"/>
          </w:tcPr>
          <w:p w14:paraId="6BB2274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Predictors: (Constant), Mental fluency, Engrossment, Image quality, Self–projection</w:t>
            </w:r>
          </w:p>
        </w:tc>
      </w:tr>
      <w:tr w:rsidR="00C7217E" w:rsidRPr="00530906" w14:paraId="7F8D7C5D" w14:textId="77777777" w:rsidTr="00EE722D">
        <w:trPr>
          <w:gridAfter w:val="10"/>
          <w:wAfter w:w="3392" w:type="dxa"/>
          <w:cantSplit/>
        </w:trPr>
        <w:tc>
          <w:tcPr>
            <w:tcW w:w="6663" w:type="dxa"/>
            <w:gridSpan w:val="17"/>
            <w:tcBorders>
              <w:top w:val="nil"/>
              <w:left w:val="nil"/>
              <w:bottom w:val="nil"/>
              <w:right w:val="nil"/>
            </w:tcBorders>
            <w:shd w:val="clear" w:color="auto" w:fill="FFFFFF"/>
          </w:tcPr>
          <w:p w14:paraId="08B414C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Dependent Variable: Arousal</w:t>
            </w:r>
          </w:p>
        </w:tc>
      </w:tr>
      <w:tr w:rsidR="00C7217E" w:rsidRPr="00530906" w14:paraId="12F82093" w14:textId="77777777" w:rsidTr="00EE722D">
        <w:trPr>
          <w:gridAfter w:val="3"/>
          <w:wAfter w:w="1352" w:type="dxa"/>
          <w:cantSplit/>
        </w:trPr>
        <w:tc>
          <w:tcPr>
            <w:tcW w:w="8703" w:type="dxa"/>
            <w:gridSpan w:val="24"/>
            <w:tcBorders>
              <w:top w:val="nil"/>
              <w:left w:val="nil"/>
              <w:bottom w:val="nil"/>
              <w:right w:val="nil"/>
            </w:tcBorders>
            <w:shd w:val="clear" w:color="auto" w:fill="FFFFFF"/>
            <w:vAlign w:val="center"/>
          </w:tcPr>
          <w:p w14:paraId="71E901D4"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ANOVA</w:t>
            </w:r>
            <w:r w:rsidRPr="00530906">
              <w:rPr>
                <w:rFonts w:ascii="Cambria" w:eastAsia="Times New Roman" w:hAnsi="Cambria" w:cs="Calibri"/>
                <w:b/>
                <w:bCs/>
                <w:color w:val="000000"/>
                <w:vertAlign w:val="superscript"/>
                <w:lang w:val="en-US"/>
              </w:rPr>
              <w:t>a</w:t>
            </w:r>
          </w:p>
        </w:tc>
      </w:tr>
      <w:tr w:rsidR="00C7217E" w:rsidRPr="00530906" w14:paraId="169627D9" w14:textId="77777777" w:rsidTr="00EE722D">
        <w:trPr>
          <w:gridAfter w:val="3"/>
          <w:wAfter w:w="1352" w:type="dxa"/>
          <w:cantSplit/>
        </w:trPr>
        <w:tc>
          <w:tcPr>
            <w:tcW w:w="2299" w:type="dxa"/>
            <w:gridSpan w:val="6"/>
            <w:tcBorders>
              <w:top w:val="nil"/>
              <w:left w:val="nil"/>
              <w:bottom w:val="single" w:sz="8" w:space="0" w:color="152935"/>
              <w:right w:val="nil"/>
            </w:tcBorders>
            <w:shd w:val="clear" w:color="auto" w:fill="FFFFFF"/>
            <w:vAlign w:val="bottom"/>
          </w:tcPr>
          <w:p w14:paraId="540652E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675" w:type="dxa"/>
            <w:gridSpan w:val="4"/>
            <w:tcBorders>
              <w:top w:val="nil"/>
              <w:left w:val="nil"/>
              <w:bottom w:val="single" w:sz="8" w:space="0" w:color="152935"/>
              <w:right w:val="single" w:sz="8" w:space="0" w:color="E0E0E0"/>
            </w:tcBorders>
            <w:shd w:val="clear" w:color="auto" w:fill="FFFFFF"/>
            <w:vAlign w:val="bottom"/>
          </w:tcPr>
          <w:p w14:paraId="11A8891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Sum of Squares</w:t>
            </w:r>
          </w:p>
        </w:tc>
        <w:tc>
          <w:tcPr>
            <w:tcW w:w="1169" w:type="dxa"/>
            <w:gridSpan w:val="5"/>
            <w:tcBorders>
              <w:top w:val="nil"/>
              <w:left w:val="single" w:sz="8" w:space="0" w:color="E0E0E0"/>
              <w:bottom w:val="single" w:sz="8" w:space="0" w:color="152935"/>
              <w:right w:val="single" w:sz="8" w:space="0" w:color="E0E0E0"/>
            </w:tcBorders>
            <w:shd w:val="clear" w:color="auto" w:fill="FFFFFF"/>
            <w:vAlign w:val="bottom"/>
          </w:tcPr>
          <w:p w14:paraId="09A12C2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df</w:t>
            </w:r>
          </w:p>
        </w:tc>
        <w:tc>
          <w:tcPr>
            <w:tcW w:w="1605" w:type="dxa"/>
            <w:gridSpan w:val="3"/>
            <w:tcBorders>
              <w:top w:val="nil"/>
              <w:left w:val="single" w:sz="8" w:space="0" w:color="E0E0E0"/>
              <w:bottom w:val="single" w:sz="8" w:space="0" w:color="152935"/>
              <w:right w:val="single" w:sz="8" w:space="0" w:color="E0E0E0"/>
            </w:tcBorders>
            <w:shd w:val="clear" w:color="auto" w:fill="FFFFFF"/>
            <w:vAlign w:val="bottom"/>
          </w:tcPr>
          <w:p w14:paraId="0726948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Mean Square</w:t>
            </w:r>
          </w:p>
        </w:tc>
        <w:tc>
          <w:tcPr>
            <w:tcW w:w="784" w:type="dxa"/>
            <w:gridSpan w:val="2"/>
            <w:tcBorders>
              <w:top w:val="nil"/>
              <w:left w:val="single" w:sz="8" w:space="0" w:color="E0E0E0"/>
              <w:bottom w:val="single" w:sz="8" w:space="0" w:color="152935"/>
              <w:right w:val="single" w:sz="8" w:space="0" w:color="E0E0E0"/>
            </w:tcBorders>
            <w:shd w:val="clear" w:color="auto" w:fill="FFFFFF"/>
            <w:vAlign w:val="bottom"/>
          </w:tcPr>
          <w:p w14:paraId="6E1BDA4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F</w:t>
            </w:r>
          </w:p>
        </w:tc>
        <w:tc>
          <w:tcPr>
            <w:tcW w:w="1171" w:type="dxa"/>
            <w:gridSpan w:val="4"/>
            <w:tcBorders>
              <w:top w:val="nil"/>
              <w:left w:val="single" w:sz="8" w:space="0" w:color="E0E0E0"/>
              <w:bottom w:val="single" w:sz="8" w:space="0" w:color="152935"/>
              <w:right w:val="nil"/>
            </w:tcBorders>
            <w:shd w:val="clear" w:color="auto" w:fill="FFFFFF"/>
            <w:vAlign w:val="bottom"/>
          </w:tcPr>
          <w:p w14:paraId="3D919F3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r>
      <w:tr w:rsidR="00C7217E" w:rsidRPr="00530906" w14:paraId="45842E72" w14:textId="77777777" w:rsidTr="00EE722D">
        <w:trPr>
          <w:gridAfter w:val="3"/>
          <w:wAfter w:w="1352" w:type="dxa"/>
          <w:cantSplit/>
        </w:trPr>
        <w:tc>
          <w:tcPr>
            <w:tcW w:w="834" w:type="dxa"/>
            <w:gridSpan w:val="2"/>
            <w:vMerge w:val="restart"/>
            <w:tcBorders>
              <w:top w:val="single" w:sz="8" w:space="0" w:color="152935"/>
              <w:left w:val="nil"/>
              <w:bottom w:val="single" w:sz="8" w:space="0" w:color="152935"/>
              <w:right w:val="nil"/>
            </w:tcBorders>
            <w:shd w:val="clear" w:color="auto" w:fill="E0E0E0"/>
          </w:tcPr>
          <w:p w14:paraId="1983770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465" w:type="dxa"/>
            <w:gridSpan w:val="4"/>
            <w:tcBorders>
              <w:top w:val="single" w:sz="8" w:space="0" w:color="152935"/>
              <w:left w:val="nil"/>
              <w:bottom w:val="single" w:sz="8" w:space="0" w:color="AEAEAE"/>
              <w:right w:val="nil"/>
            </w:tcBorders>
            <w:shd w:val="clear" w:color="auto" w:fill="E0E0E0"/>
          </w:tcPr>
          <w:p w14:paraId="63799D5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Regression</w:t>
            </w:r>
          </w:p>
        </w:tc>
        <w:tc>
          <w:tcPr>
            <w:tcW w:w="1675" w:type="dxa"/>
            <w:gridSpan w:val="4"/>
            <w:tcBorders>
              <w:top w:val="single" w:sz="8" w:space="0" w:color="152935"/>
              <w:left w:val="nil"/>
              <w:bottom w:val="single" w:sz="8" w:space="0" w:color="AEAEAE"/>
              <w:right w:val="single" w:sz="8" w:space="0" w:color="E0E0E0"/>
            </w:tcBorders>
            <w:shd w:val="clear" w:color="auto" w:fill="FFFFFF"/>
          </w:tcPr>
          <w:p w14:paraId="4B96A22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69.493</w:t>
            </w:r>
          </w:p>
        </w:tc>
        <w:tc>
          <w:tcPr>
            <w:tcW w:w="1169" w:type="dxa"/>
            <w:gridSpan w:val="5"/>
            <w:tcBorders>
              <w:top w:val="single" w:sz="8" w:space="0" w:color="152935"/>
              <w:left w:val="single" w:sz="8" w:space="0" w:color="E0E0E0"/>
              <w:bottom w:val="single" w:sz="8" w:space="0" w:color="AEAEAE"/>
              <w:right w:val="single" w:sz="8" w:space="0" w:color="E0E0E0"/>
            </w:tcBorders>
            <w:shd w:val="clear" w:color="auto" w:fill="FFFFFF"/>
          </w:tcPr>
          <w:p w14:paraId="6CD7497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w:t>
            </w:r>
          </w:p>
        </w:tc>
        <w:tc>
          <w:tcPr>
            <w:tcW w:w="1605" w:type="dxa"/>
            <w:gridSpan w:val="3"/>
            <w:tcBorders>
              <w:top w:val="single" w:sz="8" w:space="0" w:color="152935"/>
              <w:left w:val="single" w:sz="8" w:space="0" w:color="E0E0E0"/>
              <w:bottom w:val="single" w:sz="8" w:space="0" w:color="AEAEAE"/>
              <w:right w:val="single" w:sz="8" w:space="0" w:color="E0E0E0"/>
            </w:tcBorders>
            <w:shd w:val="clear" w:color="auto" w:fill="FFFFFF"/>
          </w:tcPr>
          <w:p w14:paraId="1A2A6D3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17.373</w:t>
            </w:r>
          </w:p>
        </w:tc>
        <w:tc>
          <w:tcPr>
            <w:tcW w:w="784" w:type="dxa"/>
            <w:gridSpan w:val="2"/>
            <w:tcBorders>
              <w:top w:val="single" w:sz="8" w:space="0" w:color="152935"/>
              <w:left w:val="single" w:sz="8" w:space="0" w:color="E0E0E0"/>
              <w:bottom w:val="single" w:sz="8" w:space="0" w:color="AEAEAE"/>
              <w:right w:val="single" w:sz="8" w:space="0" w:color="E0E0E0"/>
            </w:tcBorders>
            <w:shd w:val="clear" w:color="auto" w:fill="FFFFFF"/>
          </w:tcPr>
          <w:p w14:paraId="68ADA5A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23.051</w:t>
            </w:r>
          </w:p>
        </w:tc>
        <w:tc>
          <w:tcPr>
            <w:tcW w:w="1171" w:type="dxa"/>
            <w:gridSpan w:val="4"/>
            <w:tcBorders>
              <w:top w:val="single" w:sz="8" w:space="0" w:color="152935"/>
              <w:left w:val="single" w:sz="8" w:space="0" w:color="E0E0E0"/>
              <w:bottom w:val="single" w:sz="8" w:space="0" w:color="AEAEAE"/>
              <w:right w:val="nil"/>
            </w:tcBorders>
            <w:shd w:val="clear" w:color="auto" w:fill="FFFFFF"/>
          </w:tcPr>
          <w:p w14:paraId="68BA135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r w:rsidRPr="00530906">
              <w:rPr>
                <w:rFonts w:ascii="Cambria" w:eastAsia="Times New Roman" w:hAnsi="Cambria" w:cs="Calibri"/>
                <w:color w:val="000000"/>
                <w:sz w:val="18"/>
                <w:szCs w:val="18"/>
                <w:vertAlign w:val="superscript"/>
                <w:lang w:val="en-US"/>
              </w:rPr>
              <w:t>b</w:t>
            </w:r>
          </w:p>
        </w:tc>
      </w:tr>
      <w:tr w:rsidR="00C7217E" w:rsidRPr="00530906" w14:paraId="05E1A1F3" w14:textId="77777777" w:rsidTr="00EE722D">
        <w:trPr>
          <w:gridAfter w:val="3"/>
          <w:wAfter w:w="1352" w:type="dxa"/>
          <w:cantSplit/>
        </w:trPr>
        <w:tc>
          <w:tcPr>
            <w:tcW w:w="834" w:type="dxa"/>
            <w:gridSpan w:val="2"/>
            <w:vMerge/>
            <w:tcBorders>
              <w:top w:val="single" w:sz="8" w:space="0" w:color="152935"/>
              <w:left w:val="nil"/>
              <w:bottom w:val="single" w:sz="8" w:space="0" w:color="152935"/>
              <w:right w:val="nil"/>
            </w:tcBorders>
            <w:shd w:val="clear" w:color="auto" w:fill="E0E0E0"/>
          </w:tcPr>
          <w:p w14:paraId="7AF6965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465" w:type="dxa"/>
            <w:gridSpan w:val="4"/>
            <w:tcBorders>
              <w:top w:val="single" w:sz="8" w:space="0" w:color="AEAEAE"/>
              <w:left w:val="nil"/>
              <w:bottom w:val="single" w:sz="8" w:space="0" w:color="AEAEAE"/>
              <w:right w:val="nil"/>
            </w:tcBorders>
            <w:shd w:val="clear" w:color="auto" w:fill="E0E0E0"/>
          </w:tcPr>
          <w:p w14:paraId="60F27A0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Residual</w:t>
            </w:r>
          </w:p>
        </w:tc>
        <w:tc>
          <w:tcPr>
            <w:tcW w:w="1675" w:type="dxa"/>
            <w:gridSpan w:val="4"/>
            <w:tcBorders>
              <w:top w:val="single" w:sz="8" w:space="0" w:color="AEAEAE"/>
              <w:left w:val="nil"/>
              <w:bottom w:val="single" w:sz="8" w:space="0" w:color="AEAEAE"/>
              <w:right w:val="single" w:sz="8" w:space="0" w:color="E0E0E0"/>
            </w:tcBorders>
            <w:shd w:val="clear" w:color="auto" w:fill="FFFFFF"/>
          </w:tcPr>
          <w:p w14:paraId="513FF9B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206.510</w:t>
            </w:r>
          </w:p>
        </w:tc>
        <w:tc>
          <w:tcPr>
            <w:tcW w:w="1169" w:type="dxa"/>
            <w:gridSpan w:val="5"/>
            <w:tcBorders>
              <w:top w:val="single" w:sz="8" w:space="0" w:color="AEAEAE"/>
              <w:left w:val="single" w:sz="8" w:space="0" w:color="E0E0E0"/>
              <w:bottom w:val="single" w:sz="8" w:space="0" w:color="AEAEAE"/>
              <w:right w:val="single" w:sz="8" w:space="0" w:color="E0E0E0"/>
            </w:tcBorders>
            <w:shd w:val="clear" w:color="auto" w:fill="FFFFFF"/>
          </w:tcPr>
          <w:p w14:paraId="1E5CC56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274</w:t>
            </w:r>
          </w:p>
        </w:tc>
        <w:tc>
          <w:tcPr>
            <w:tcW w:w="1605" w:type="dxa"/>
            <w:gridSpan w:val="3"/>
            <w:tcBorders>
              <w:top w:val="single" w:sz="8" w:space="0" w:color="AEAEAE"/>
              <w:left w:val="single" w:sz="8" w:space="0" w:color="E0E0E0"/>
              <w:bottom w:val="single" w:sz="8" w:space="0" w:color="AEAEAE"/>
              <w:right w:val="single" w:sz="8" w:space="0" w:color="E0E0E0"/>
            </w:tcBorders>
            <w:shd w:val="clear" w:color="auto" w:fill="FFFFFF"/>
          </w:tcPr>
          <w:p w14:paraId="680D5F3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.754</w:t>
            </w:r>
          </w:p>
        </w:tc>
        <w:tc>
          <w:tcPr>
            <w:tcW w:w="784"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40AFC0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171" w:type="dxa"/>
            <w:gridSpan w:val="4"/>
            <w:tcBorders>
              <w:top w:val="single" w:sz="8" w:space="0" w:color="AEAEAE"/>
              <w:left w:val="single" w:sz="8" w:space="0" w:color="E0E0E0"/>
              <w:bottom w:val="single" w:sz="8" w:space="0" w:color="AEAEAE"/>
              <w:right w:val="nil"/>
            </w:tcBorders>
            <w:shd w:val="clear" w:color="auto" w:fill="FFFFFF"/>
            <w:vAlign w:val="center"/>
          </w:tcPr>
          <w:p w14:paraId="1472743A"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1BC81203" w14:textId="77777777" w:rsidTr="00EE722D">
        <w:trPr>
          <w:gridAfter w:val="3"/>
          <w:wAfter w:w="1352" w:type="dxa"/>
          <w:cantSplit/>
        </w:trPr>
        <w:tc>
          <w:tcPr>
            <w:tcW w:w="834" w:type="dxa"/>
            <w:gridSpan w:val="2"/>
            <w:vMerge/>
            <w:tcBorders>
              <w:top w:val="single" w:sz="8" w:space="0" w:color="152935"/>
              <w:left w:val="nil"/>
              <w:bottom w:val="single" w:sz="8" w:space="0" w:color="152935"/>
              <w:right w:val="nil"/>
            </w:tcBorders>
            <w:shd w:val="clear" w:color="auto" w:fill="E0E0E0"/>
          </w:tcPr>
          <w:p w14:paraId="3C0EA8B1"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465" w:type="dxa"/>
            <w:gridSpan w:val="4"/>
            <w:tcBorders>
              <w:top w:val="single" w:sz="8" w:space="0" w:color="AEAEAE"/>
              <w:left w:val="nil"/>
              <w:bottom w:val="single" w:sz="8" w:space="0" w:color="152935"/>
              <w:right w:val="nil"/>
            </w:tcBorders>
            <w:shd w:val="clear" w:color="auto" w:fill="E0E0E0"/>
          </w:tcPr>
          <w:p w14:paraId="196A57B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Total</w:t>
            </w:r>
          </w:p>
        </w:tc>
        <w:tc>
          <w:tcPr>
            <w:tcW w:w="1675" w:type="dxa"/>
            <w:gridSpan w:val="4"/>
            <w:tcBorders>
              <w:top w:val="single" w:sz="8" w:space="0" w:color="AEAEAE"/>
              <w:left w:val="nil"/>
              <w:bottom w:val="single" w:sz="8" w:space="0" w:color="152935"/>
              <w:right w:val="single" w:sz="8" w:space="0" w:color="E0E0E0"/>
            </w:tcBorders>
            <w:shd w:val="clear" w:color="auto" w:fill="FFFFFF"/>
          </w:tcPr>
          <w:p w14:paraId="1FB47B1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276.003</w:t>
            </w:r>
          </w:p>
        </w:tc>
        <w:tc>
          <w:tcPr>
            <w:tcW w:w="1169" w:type="dxa"/>
            <w:gridSpan w:val="5"/>
            <w:tcBorders>
              <w:top w:val="single" w:sz="8" w:space="0" w:color="AEAEAE"/>
              <w:left w:val="single" w:sz="8" w:space="0" w:color="E0E0E0"/>
              <w:bottom w:val="single" w:sz="8" w:space="0" w:color="152935"/>
              <w:right w:val="single" w:sz="8" w:space="0" w:color="E0E0E0"/>
            </w:tcBorders>
            <w:shd w:val="clear" w:color="auto" w:fill="FFFFFF"/>
          </w:tcPr>
          <w:p w14:paraId="69E24F1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278</w:t>
            </w:r>
          </w:p>
        </w:tc>
        <w:tc>
          <w:tcPr>
            <w:tcW w:w="1605"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2A00C7E6"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784"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B019246"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171" w:type="dxa"/>
            <w:gridSpan w:val="4"/>
            <w:tcBorders>
              <w:top w:val="single" w:sz="8" w:space="0" w:color="AEAEAE"/>
              <w:left w:val="single" w:sz="8" w:space="0" w:color="E0E0E0"/>
              <w:bottom w:val="single" w:sz="8" w:space="0" w:color="152935"/>
              <w:right w:val="nil"/>
            </w:tcBorders>
            <w:shd w:val="clear" w:color="auto" w:fill="FFFFFF"/>
            <w:vAlign w:val="center"/>
          </w:tcPr>
          <w:p w14:paraId="065591D3"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5926773B" w14:textId="77777777" w:rsidTr="00EE722D">
        <w:trPr>
          <w:gridAfter w:val="3"/>
          <w:wAfter w:w="1352" w:type="dxa"/>
          <w:cantSplit/>
        </w:trPr>
        <w:tc>
          <w:tcPr>
            <w:tcW w:w="8703" w:type="dxa"/>
            <w:gridSpan w:val="24"/>
            <w:tcBorders>
              <w:top w:val="nil"/>
              <w:left w:val="nil"/>
              <w:bottom w:val="nil"/>
              <w:right w:val="nil"/>
            </w:tcBorders>
            <w:shd w:val="clear" w:color="auto" w:fill="FFFFFF"/>
          </w:tcPr>
          <w:p w14:paraId="6567C61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Arousal</w:t>
            </w:r>
          </w:p>
        </w:tc>
      </w:tr>
      <w:tr w:rsidR="00C7217E" w:rsidRPr="00530906" w14:paraId="5935E0A0" w14:textId="77777777" w:rsidTr="00EE722D">
        <w:trPr>
          <w:gridAfter w:val="3"/>
          <w:wAfter w:w="1352" w:type="dxa"/>
          <w:cantSplit/>
        </w:trPr>
        <w:tc>
          <w:tcPr>
            <w:tcW w:w="8703" w:type="dxa"/>
            <w:gridSpan w:val="24"/>
            <w:tcBorders>
              <w:top w:val="nil"/>
              <w:left w:val="nil"/>
              <w:bottom w:val="nil"/>
              <w:right w:val="nil"/>
            </w:tcBorders>
            <w:shd w:val="clear" w:color="auto" w:fill="FFFFFF"/>
          </w:tcPr>
          <w:p w14:paraId="33B8F25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Predictors: (Constant), Mental fluency, Engrossment, Image quality, Self–projection</w:t>
            </w:r>
          </w:p>
        </w:tc>
      </w:tr>
      <w:tr w:rsidR="00C7217E" w:rsidRPr="00530906" w14:paraId="6237E964" w14:textId="77777777" w:rsidTr="00EE722D">
        <w:trPr>
          <w:cantSplit/>
        </w:trPr>
        <w:tc>
          <w:tcPr>
            <w:tcW w:w="10055" w:type="dxa"/>
            <w:gridSpan w:val="27"/>
            <w:tcBorders>
              <w:top w:val="nil"/>
              <w:left w:val="nil"/>
              <w:bottom w:val="nil"/>
              <w:right w:val="nil"/>
            </w:tcBorders>
            <w:shd w:val="clear" w:color="auto" w:fill="FFFFFF"/>
            <w:vAlign w:val="center"/>
          </w:tcPr>
          <w:p w14:paraId="02F73EFC"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Coefficients</w:t>
            </w:r>
            <w:r w:rsidRPr="00530906">
              <w:rPr>
                <w:rFonts w:ascii="Cambria" w:eastAsia="Times New Roman" w:hAnsi="Cambria" w:cs="Calibri"/>
                <w:b/>
                <w:bCs/>
                <w:color w:val="000000"/>
                <w:vertAlign w:val="superscript"/>
                <w:lang w:val="en-US"/>
              </w:rPr>
              <w:t>a</w:t>
            </w:r>
          </w:p>
        </w:tc>
      </w:tr>
      <w:tr w:rsidR="00C7217E" w:rsidRPr="00530906" w14:paraId="14669475" w14:textId="77777777" w:rsidTr="00EE722D">
        <w:trPr>
          <w:gridAfter w:val="1"/>
          <w:wAfter w:w="9" w:type="dxa"/>
          <w:cantSplit/>
        </w:trPr>
        <w:tc>
          <w:tcPr>
            <w:tcW w:w="1888" w:type="dxa"/>
            <w:gridSpan w:val="4"/>
            <w:vMerge w:val="restart"/>
            <w:tcBorders>
              <w:top w:val="nil"/>
              <w:left w:val="nil"/>
              <w:bottom w:val="nil"/>
              <w:right w:val="nil"/>
            </w:tcBorders>
            <w:shd w:val="clear" w:color="auto" w:fill="FFFFFF"/>
            <w:vAlign w:val="bottom"/>
          </w:tcPr>
          <w:p w14:paraId="160182B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70" w:type="dxa"/>
            <w:gridSpan w:val="4"/>
            <w:tcBorders>
              <w:top w:val="nil"/>
              <w:left w:val="nil"/>
              <w:bottom w:val="nil"/>
              <w:right w:val="single" w:sz="8" w:space="0" w:color="E0E0E0"/>
            </w:tcBorders>
            <w:shd w:val="clear" w:color="auto" w:fill="FFFFFF"/>
            <w:vAlign w:val="bottom"/>
          </w:tcPr>
          <w:p w14:paraId="53015C3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Unstandardized Coefficients</w:t>
            </w:r>
          </w:p>
        </w:tc>
        <w:tc>
          <w:tcPr>
            <w:tcW w:w="990" w:type="dxa"/>
            <w:gridSpan w:val="3"/>
            <w:tcBorders>
              <w:top w:val="nil"/>
              <w:left w:val="single" w:sz="8" w:space="0" w:color="E0E0E0"/>
              <w:bottom w:val="nil"/>
              <w:right w:val="single" w:sz="8" w:space="0" w:color="E0E0E0"/>
            </w:tcBorders>
            <w:shd w:val="clear" w:color="auto" w:fill="FFFFFF"/>
            <w:vAlign w:val="bottom"/>
          </w:tcPr>
          <w:p w14:paraId="763C3FE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Standardized Coefficients</w:t>
            </w:r>
          </w:p>
        </w:tc>
        <w:tc>
          <w:tcPr>
            <w:tcW w:w="630" w:type="dxa"/>
            <w:vMerge w:val="restart"/>
            <w:tcBorders>
              <w:top w:val="nil"/>
              <w:left w:val="single" w:sz="8" w:space="0" w:color="E0E0E0"/>
              <w:bottom w:val="nil"/>
              <w:right w:val="single" w:sz="8" w:space="0" w:color="E0E0E0"/>
            </w:tcBorders>
            <w:shd w:val="clear" w:color="auto" w:fill="FFFFFF"/>
            <w:vAlign w:val="bottom"/>
          </w:tcPr>
          <w:p w14:paraId="006BDC5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44F1505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c>
          <w:tcPr>
            <w:tcW w:w="1676" w:type="dxa"/>
            <w:gridSpan w:val="5"/>
            <w:tcBorders>
              <w:top w:val="nil"/>
              <w:left w:val="single" w:sz="8" w:space="0" w:color="E0E0E0"/>
              <w:bottom w:val="nil"/>
              <w:right w:val="single" w:sz="8" w:space="0" w:color="E0E0E0"/>
            </w:tcBorders>
            <w:shd w:val="clear" w:color="auto" w:fill="FFFFFF"/>
            <w:vAlign w:val="bottom"/>
          </w:tcPr>
          <w:p w14:paraId="78A33BA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95.0% Confidence Interval for B</w:t>
            </w:r>
          </w:p>
        </w:tc>
        <w:tc>
          <w:tcPr>
            <w:tcW w:w="1890" w:type="dxa"/>
            <w:gridSpan w:val="4"/>
            <w:tcBorders>
              <w:top w:val="nil"/>
              <w:left w:val="single" w:sz="8" w:space="0" w:color="E0E0E0"/>
              <w:bottom w:val="nil"/>
              <w:right w:val="single" w:sz="8" w:space="0" w:color="E0E0E0"/>
            </w:tcBorders>
            <w:shd w:val="clear" w:color="auto" w:fill="FFFFFF"/>
            <w:vAlign w:val="bottom"/>
          </w:tcPr>
          <w:p w14:paraId="293416C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Correlations</w:t>
            </w:r>
          </w:p>
        </w:tc>
        <w:tc>
          <w:tcPr>
            <w:tcW w:w="1352" w:type="dxa"/>
            <w:gridSpan w:val="3"/>
            <w:tcBorders>
              <w:top w:val="nil"/>
              <w:left w:val="single" w:sz="8" w:space="0" w:color="E0E0E0"/>
              <w:bottom w:val="nil"/>
              <w:right w:val="nil"/>
            </w:tcBorders>
            <w:shd w:val="clear" w:color="auto" w:fill="FFFFFF"/>
            <w:vAlign w:val="bottom"/>
          </w:tcPr>
          <w:p w14:paraId="4E5B01F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Collinearity Statistics</w:t>
            </w:r>
          </w:p>
        </w:tc>
      </w:tr>
      <w:tr w:rsidR="00D905F9" w:rsidRPr="00530906" w14:paraId="25BB8F9D" w14:textId="77777777" w:rsidTr="00A41CEA">
        <w:trPr>
          <w:gridAfter w:val="1"/>
          <w:wAfter w:w="9" w:type="dxa"/>
          <w:cantSplit/>
        </w:trPr>
        <w:tc>
          <w:tcPr>
            <w:tcW w:w="1888" w:type="dxa"/>
            <w:gridSpan w:val="4"/>
            <w:vMerge/>
            <w:tcBorders>
              <w:top w:val="nil"/>
              <w:left w:val="nil"/>
              <w:bottom w:val="nil"/>
              <w:right w:val="nil"/>
            </w:tcBorders>
            <w:shd w:val="clear" w:color="auto" w:fill="FFFFFF"/>
            <w:vAlign w:val="bottom"/>
          </w:tcPr>
          <w:p w14:paraId="3E5A036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gridSpan w:val="3"/>
            <w:tcBorders>
              <w:top w:val="nil"/>
              <w:left w:val="nil"/>
              <w:bottom w:val="single" w:sz="8" w:space="0" w:color="152935"/>
              <w:right w:val="single" w:sz="8" w:space="0" w:color="E0E0E0"/>
            </w:tcBorders>
            <w:shd w:val="clear" w:color="auto" w:fill="FFFFFF"/>
            <w:vAlign w:val="bottom"/>
          </w:tcPr>
          <w:p w14:paraId="1E424BE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7066DEE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w:t>
            </w: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3582BCD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Beta</w:t>
            </w:r>
          </w:p>
        </w:tc>
        <w:tc>
          <w:tcPr>
            <w:tcW w:w="630" w:type="dxa"/>
            <w:vMerge/>
            <w:tcBorders>
              <w:top w:val="nil"/>
              <w:left w:val="single" w:sz="8" w:space="0" w:color="E0E0E0"/>
              <w:bottom w:val="nil"/>
              <w:right w:val="single" w:sz="8" w:space="0" w:color="E0E0E0"/>
            </w:tcBorders>
            <w:shd w:val="clear" w:color="auto" w:fill="FFFFFF"/>
            <w:vAlign w:val="bottom"/>
          </w:tcPr>
          <w:p w14:paraId="7392FAB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gridSpan w:val="2"/>
            <w:vMerge/>
            <w:tcBorders>
              <w:top w:val="nil"/>
              <w:left w:val="single" w:sz="8" w:space="0" w:color="E0E0E0"/>
              <w:bottom w:val="nil"/>
              <w:right w:val="single" w:sz="8" w:space="0" w:color="E0E0E0"/>
            </w:tcBorders>
            <w:shd w:val="clear" w:color="auto" w:fill="FFFFFF"/>
            <w:vAlign w:val="bottom"/>
          </w:tcPr>
          <w:p w14:paraId="68AA09D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5E4752C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Lower Bound</w:t>
            </w:r>
          </w:p>
        </w:tc>
        <w:tc>
          <w:tcPr>
            <w:tcW w:w="686" w:type="dxa"/>
            <w:gridSpan w:val="3"/>
            <w:tcBorders>
              <w:top w:val="nil"/>
              <w:left w:val="single" w:sz="8" w:space="0" w:color="E0E0E0"/>
              <w:bottom w:val="single" w:sz="8" w:space="0" w:color="152935"/>
              <w:right w:val="single" w:sz="8" w:space="0" w:color="E0E0E0"/>
            </w:tcBorders>
            <w:shd w:val="clear" w:color="auto" w:fill="FFFFFF"/>
            <w:vAlign w:val="bottom"/>
          </w:tcPr>
          <w:p w14:paraId="7140149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Upper Bound</w:t>
            </w:r>
          </w:p>
        </w:tc>
        <w:tc>
          <w:tcPr>
            <w:tcW w:w="900" w:type="dxa"/>
            <w:gridSpan w:val="2"/>
            <w:tcBorders>
              <w:top w:val="nil"/>
              <w:left w:val="single" w:sz="8" w:space="0" w:color="E0E0E0"/>
              <w:bottom w:val="single" w:sz="8" w:space="0" w:color="152935"/>
              <w:right w:val="single" w:sz="8" w:space="0" w:color="E0E0E0"/>
            </w:tcBorders>
            <w:shd w:val="clear" w:color="auto" w:fill="FFFFFF"/>
            <w:vAlign w:val="bottom"/>
          </w:tcPr>
          <w:p w14:paraId="4263568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77FA3E6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563896F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w:t>
            </w:r>
          </w:p>
        </w:tc>
        <w:tc>
          <w:tcPr>
            <w:tcW w:w="810" w:type="dxa"/>
            <w:gridSpan w:val="2"/>
            <w:tcBorders>
              <w:top w:val="nil"/>
              <w:left w:val="single" w:sz="8" w:space="0" w:color="E0E0E0"/>
              <w:bottom w:val="single" w:sz="8" w:space="0" w:color="152935"/>
              <w:right w:val="single" w:sz="8" w:space="0" w:color="E0E0E0"/>
            </w:tcBorders>
            <w:shd w:val="clear" w:color="auto" w:fill="FFFFFF"/>
            <w:vAlign w:val="bottom"/>
          </w:tcPr>
          <w:p w14:paraId="540529C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Tolerance</w:t>
            </w:r>
          </w:p>
        </w:tc>
        <w:tc>
          <w:tcPr>
            <w:tcW w:w="542" w:type="dxa"/>
            <w:tcBorders>
              <w:top w:val="nil"/>
              <w:left w:val="single" w:sz="8" w:space="0" w:color="E0E0E0"/>
              <w:bottom w:val="single" w:sz="8" w:space="0" w:color="152935"/>
              <w:right w:val="nil"/>
            </w:tcBorders>
            <w:shd w:val="clear" w:color="auto" w:fill="FFFFFF"/>
            <w:vAlign w:val="bottom"/>
          </w:tcPr>
          <w:p w14:paraId="65205DC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VIF</w:t>
            </w:r>
          </w:p>
        </w:tc>
      </w:tr>
      <w:tr w:rsidR="00D905F9" w:rsidRPr="00530906" w14:paraId="4308ADAA" w14:textId="77777777" w:rsidTr="00A41CEA">
        <w:trPr>
          <w:gridAfter w:val="1"/>
          <w:wAfter w:w="9" w:type="dxa"/>
          <w:cantSplit/>
        </w:trPr>
        <w:tc>
          <w:tcPr>
            <w:tcW w:w="179" w:type="dxa"/>
            <w:vMerge w:val="restart"/>
            <w:tcBorders>
              <w:top w:val="single" w:sz="8" w:space="0" w:color="152935"/>
              <w:left w:val="nil"/>
              <w:bottom w:val="single" w:sz="8" w:space="0" w:color="152935"/>
              <w:right w:val="nil"/>
            </w:tcBorders>
            <w:shd w:val="clear" w:color="auto" w:fill="E0E0E0"/>
          </w:tcPr>
          <w:p w14:paraId="2781437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709" w:type="dxa"/>
            <w:gridSpan w:val="3"/>
            <w:tcBorders>
              <w:top w:val="single" w:sz="8" w:space="0" w:color="152935"/>
              <w:left w:val="nil"/>
              <w:bottom w:val="single" w:sz="8" w:space="0" w:color="AEAEAE"/>
              <w:right w:val="nil"/>
            </w:tcBorders>
            <w:shd w:val="clear" w:color="auto" w:fill="E0E0E0"/>
          </w:tcPr>
          <w:p w14:paraId="2506065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(Constant)</w:t>
            </w:r>
          </w:p>
        </w:tc>
        <w:tc>
          <w:tcPr>
            <w:tcW w:w="450" w:type="dxa"/>
            <w:gridSpan w:val="3"/>
            <w:tcBorders>
              <w:top w:val="single" w:sz="8" w:space="0" w:color="152935"/>
              <w:left w:val="nil"/>
              <w:bottom w:val="single" w:sz="8" w:space="0" w:color="AEAEAE"/>
              <w:right w:val="single" w:sz="8" w:space="0" w:color="E0E0E0"/>
            </w:tcBorders>
            <w:shd w:val="clear" w:color="auto" w:fill="FFFFFF"/>
          </w:tcPr>
          <w:p w14:paraId="732F31B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2.097</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7492429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.195</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2A10AAD7"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5C76BED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10.773</w:t>
            </w: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5283210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B97FAB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1.713</w:t>
            </w:r>
          </w:p>
        </w:tc>
        <w:tc>
          <w:tcPr>
            <w:tcW w:w="686" w:type="dxa"/>
            <w:gridSpan w:val="3"/>
            <w:tcBorders>
              <w:top w:val="single" w:sz="8" w:space="0" w:color="152935"/>
              <w:left w:val="single" w:sz="8" w:space="0" w:color="E0E0E0"/>
              <w:bottom w:val="single" w:sz="8" w:space="0" w:color="AEAEAE"/>
              <w:right w:val="single" w:sz="8" w:space="0" w:color="E0E0E0"/>
            </w:tcBorders>
            <w:shd w:val="clear" w:color="auto" w:fill="FFFFFF"/>
          </w:tcPr>
          <w:p w14:paraId="607A162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2.480</w:t>
            </w:r>
          </w:p>
        </w:tc>
        <w:tc>
          <w:tcPr>
            <w:tcW w:w="90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6B07736"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ADA306D"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F80AF53"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81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6D2C205"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2" w:type="dxa"/>
            <w:tcBorders>
              <w:top w:val="single" w:sz="8" w:space="0" w:color="152935"/>
              <w:left w:val="single" w:sz="8" w:space="0" w:color="E0E0E0"/>
              <w:bottom w:val="single" w:sz="8" w:space="0" w:color="AEAEAE"/>
              <w:right w:val="nil"/>
            </w:tcBorders>
            <w:shd w:val="clear" w:color="auto" w:fill="FFFFFF"/>
            <w:vAlign w:val="center"/>
          </w:tcPr>
          <w:p w14:paraId="7E69FC8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D905F9" w:rsidRPr="00530906" w14:paraId="70162AC2" w14:textId="77777777" w:rsidTr="00A41CEA">
        <w:trPr>
          <w:gridAfter w:val="1"/>
          <w:wAfter w:w="9" w:type="dxa"/>
          <w:cantSplit/>
        </w:trPr>
        <w:tc>
          <w:tcPr>
            <w:tcW w:w="179" w:type="dxa"/>
            <w:vMerge/>
            <w:tcBorders>
              <w:top w:val="single" w:sz="8" w:space="0" w:color="152935"/>
              <w:left w:val="nil"/>
              <w:bottom w:val="single" w:sz="8" w:space="0" w:color="152935"/>
              <w:right w:val="nil"/>
            </w:tcBorders>
            <w:shd w:val="clear" w:color="auto" w:fill="E0E0E0"/>
          </w:tcPr>
          <w:p w14:paraId="3EFB33A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709" w:type="dxa"/>
            <w:gridSpan w:val="3"/>
            <w:tcBorders>
              <w:top w:val="single" w:sz="8" w:space="0" w:color="AEAEAE"/>
              <w:left w:val="nil"/>
              <w:bottom w:val="single" w:sz="8" w:space="0" w:color="AEAEAE"/>
              <w:right w:val="nil"/>
            </w:tcBorders>
            <w:shd w:val="clear" w:color="auto" w:fill="E0E0E0"/>
          </w:tcPr>
          <w:p w14:paraId="45F8EF1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Image quality</w:t>
            </w:r>
          </w:p>
        </w:tc>
        <w:tc>
          <w:tcPr>
            <w:tcW w:w="450" w:type="dxa"/>
            <w:gridSpan w:val="3"/>
            <w:tcBorders>
              <w:top w:val="single" w:sz="8" w:space="0" w:color="AEAEAE"/>
              <w:left w:val="nil"/>
              <w:bottom w:val="single" w:sz="8" w:space="0" w:color="AEAEAE"/>
              <w:right w:val="single" w:sz="8" w:space="0" w:color="E0E0E0"/>
            </w:tcBorders>
            <w:shd w:val="clear" w:color="auto" w:fill="FFFFFF"/>
          </w:tcPr>
          <w:p w14:paraId="79F967B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.129</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00D15A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.041</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41045B7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.195</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5F34EBA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3.141</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41F55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.002</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96E960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.048</w:t>
            </w:r>
          </w:p>
        </w:tc>
        <w:tc>
          <w:tcPr>
            <w:tcW w:w="686" w:type="dxa"/>
            <w:gridSpan w:val="3"/>
            <w:tcBorders>
              <w:top w:val="single" w:sz="8" w:space="0" w:color="AEAEAE"/>
              <w:left w:val="single" w:sz="8" w:space="0" w:color="E0E0E0"/>
              <w:bottom w:val="single" w:sz="8" w:space="0" w:color="AEAEAE"/>
              <w:right w:val="single" w:sz="8" w:space="0" w:color="E0E0E0"/>
            </w:tcBorders>
            <w:shd w:val="clear" w:color="auto" w:fill="FFFFFF"/>
          </w:tcPr>
          <w:p w14:paraId="027E489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.210</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1B3654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.393</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1A40426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.186</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E3F9D4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.164</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9820B1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.707</w:t>
            </w:r>
          </w:p>
        </w:tc>
        <w:tc>
          <w:tcPr>
            <w:tcW w:w="542" w:type="dxa"/>
            <w:tcBorders>
              <w:top w:val="single" w:sz="8" w:space="0" w:color="AEAEAE"/>
              <w:left w:val="single" w:sz="8" w:space="0" w:color="E0E0E0"/>
              <w:bottom w:val="single" w:sz="8" w:space="0" w:color="AEAEAE"/>
              <w:right w:val="nil"/>
            </w:tcBorders>
            <w:shd w:val="clear" w:color="auto" w:fill="FFFFFF"/>
          </w:tcPr>
          <w:p w14:paraId="6CF0E1D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1.414</w:t>
            </w:r>
          </w:p>
        </w:tc>
      </w:tr>
      <w:tr w:rsidR="00D905F9" w:rsidRPr="00530906" w14:paraId="5FCCDBD9" w14:textId="77777777" w:rsidTr="00A41CEA">
        <w:trPr>
          <w:gridAfter w:val="1"/>
          <w:wAfter w:w="9" w:type="dxa"/>
          <w:cantSplit/>
        </w:trPr>
        <w:tc>
          <w:tcPr>
            <w:tcW w:w="179" w:type="dxa"/>
            <w:vMerge/>
            <w:tcBorders>
              <w:top w:val="single" w:sz="8" w:space="0" w:color="152935"/>
              <w:left w:val="nil"/>
              <w:bottom w:val="single" w:sz="8" w:space="0" w:color="152935"/>
              <w:right w:val="nil"/>
            </w:tcBorders>
            <w:shd w:val="clear" w:color="auto" w:fill="E0E0E0"/>
          </w:tcPr>
          <w:p w14:paraId="1D73535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709" w:type="dxa"/>
            <w:gridSpan w:val="3"/>
            <w:tcBorders>
              <w:top w:val="single" w:sz="8" w:space="0" w:color="AEAEAE"/>
              <w:left w:val="nil"/>
              <w:bottom w:val="single" w:sz="8" w:space="0" w:color="AEAEAE"/>
              <w:right w:val="nil"/>
            </w:tcBorders>
            <w:shd w:val="clear" w:color="auto" w:fill="E0E0E0"/>
          </w:tcPr>
          <w:p w14:paraId="6C50AB4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Engrossment</w:t>
            </w:r>
          </w:p>
        </w:tc>
        <w:tc>
          <w:tcPr>
            <w:tcW w:w="450" w:type="dxa"/>
            <w:gridSpan w:val="3"/>
            <w:tcBorders>
              <w:top w:val="single" w:sz="8" w:space="0" w:color="AEAEAE"/>
              <w:left w:val="nil"/>
              <w:bottom w:val="single" w:sz="8" w:space="0" w:color="AEAEAE"/>
              <w:right w:val="single" w:sz="8" w:space="0" w:color="E0E0E0"/>
            </w:tcBorders>
            <w:shd w:val="clear" w:color="auto" w:fill="FFFFFF"/>
          </w:tcPr>
          <w:p w14:paraId="6DC7ED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.049</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9E8993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.047</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5B4B9E6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.059</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7F08250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1.045</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680D74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.297</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7CEB97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–.043</w:t>
            </w:r>
          </w:p>
        </w:tc>
        <w:tc>
          <w:tcPr>
            <w:tcW w:w="686" w:type="dxa"/>
            <w:gridSpan w:val="3"/>
            <w:tcBorders>
              <w:top w:val="single" w:sz="8" w:space="0" w:color="AEAEAE"/>
              <w:left w:val="single" w:sz="8" w:space="0" w:color="E0E0E0"/>
              <w:bottom w:val="single" w:sz="8" w:space="0" w:color="AEAEAE"/>
              <w:right w:val="single" w:sz="8" w:space="0" w:color="E0E0E0"/>
            </w:tcBorders>
            <w:shd w:val="clear" w:color="auto" w:fill="FFFFFF"/>
          </w:tcPr>
          <w:p w14:paraId="60AF11B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7480F8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.217</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628934D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.063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4BC104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.055</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DC9C2F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.857</w:t>
            </w:r>
          </w:p>
        </w:tc>
        <w:tc>
          <w:tcPr>
            <w:tcW w:w="542" w:type="dxa"/>
            <w:tcBorders>
              <w:top w:val="single" w:sz="8" w:space="0" w:color="AEAEAE"/>
              <w:left w:val="single" w:sz="8" w:space="0" w:color="E0E0E0"/>
              <w:bottom w:val="single" w:sz="8" w:space="0" w:color="AEAEAE"/>
              <w:right w:val="nil"/>
            </w:tcBorders>
            <w:shd w:val="clear" w:color="auto" w:fill="FFFFFF"/>
          </w:tcPr>
          <w:p w14:paraId="4049870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1.167</w:t>
            </w:r>
          </w:p>
        </w:tc>
      </w:tr>
      <w:tr w:rsidR="00D905F9" w:rsidRPr="00530906" w14:paraId="09AA884C" w14:textId="77777777" w:rsidTr="00A41CEA">
        <w:trPr>
          <w:gridAfter w:val="1"/>
          <w:wAfter w:w="9" w:type="dxa"/>
          <w:cantSplit/>
        </w:trPr>
        <w:tc>
          <w:tcPr>
            <w:tcW w:w="179" w:type="dxa"/>
            <w:vMerge/>
            <w:tcBorders>
              <w:top w:val="single" w:sz="8" w:space="0" w:color="152935"/>
              <w:left w:val="nil"/>
              <w:bottom w:val="single" w:sz="8" w:space="0" w:color="152935"/>
              <w:right w:val="nil"/>
            </w:tcBorders>
            <w:shd w:val="clear" w:color="auto" w:fill="E0E0E0"/>
          </w:tcPr>
          <w:p w14:paraId="511AED4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709" w:type="dxa"/>
            <w:gridSpan w:val="3"/>
            <w:tcBorders>
              <w:top w:val="single" w:sz="8" w:space="0" w:color="AEAEAE"/>
              <w:left w:val="nil"/>
              <w:bottom w:val="single" w:sz="8" w:space="0" w:color="AEAEAE"/>
              <w:right w:val="nil"/>
            </w:tcBorders>
            <w:shd w:val="clear" w:color="auto" w:fill="E0E0E0"/>
          </w:tcPr>
          <w:p w14:paraId="110E51C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Self–projection</w:t>
            </w:r>
          </w:p>
        </w:tc>
        <w:tc>
          <w:tcPr>
            <w:tcW w:w="450" w:type="dxa"/>
            <w:gridSpan w:val="3"/>
            <w:tcBorders>
              <w:top w:val="single" w:sz="8" w:space="0" w:color="AEAEAE"/>
              <w:left w:val="nil"/>
              <w:bottom w:val="single" w:sz="8" w:space="0" w:color="AEAEAE"/>
              <w:right w:val="single" w:sz="8" w:space="0" w:color="E0E0E0"/>
            </w:tcBorders>
            <w:shd w:val="clear" w:color="auto" w:fill="FFFFFF"/>
          </w:tcPr>
          <w:p w14:paraId="6D65137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.184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9A8AEF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.056</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374C575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.266</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06BFDE9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3.271</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9CAA72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.001</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E7BB0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.073</w:t>
            </w:r>
          </w:p>
        </w:tc>
        <w:tc>
          <w:tcPr>
            <w:tcW w:w="686" w:type="dxa"/>
            <w:gridSpan w:val="3"/>
            <w:tcBorders>
              <w:top w:val="single" w:sz="8" w:space="0" w:color="AEAEAE"/>
              <w:left w:val="single" w:sz="8" w:space="0" w:color="E0E0E0"/>
              <w:bottom w:val="single" w:sz="8" w:space="0" w:color="AEAEAE"/>
              <w:right w:val="single" w:sz="8" w:space="0" w:color="E0E0E0"/>
            </w:tcBorders>
            <w:shd w:val="clear" w:color="auto" w:fill="FFFFFF"/>
          </w:tcPr>
          <w:p w14:paraId="2A1FB7F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.294</w:t>
            </w:r>
          </w:p>
        </w:tc>
        <w:tc>
          <w:tcPr>
            <w:tcW w:w="9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DE1C63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.462</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797D0D8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.194</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4D7C078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.171</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A3A5F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.414</w:t>
            </w:r>
          </w:p>
        </w:tc>
        <w:tc>
          <w:tcPr>
            <w:tcW w:w="542" w:type="dxa"/>
            <w:tcBorders>
              <w:top w:val="single" w:sz="8" w:space="0" w:color="AEAEAE"/>
              <w:left w:val="single" w:sz="8" w:space="0" w:color="E0E0E0"/>
              <w:bottom w:val="single" w:sz="8" w:space="0" w:color="AEAEAE"/>
              <w:right w:val="nil"/>
            </w:tcBorders>
            <w:shd w:val="clear" w:color="auto" w:fill="FFFFFF"/>
          </w:tcPr>
          <w:p w14:paraId="1C5F28B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2.414</w:t>
            </w:r>
          </w:p>
        </w:tc>
      </w:tr>
      <w:tr w:rsidR="00D905F9" w:rsidRPr="00530906" w14:paraId="1E5391FE" w14:textId="77777777" w:rsidTr="00A41CEA">
        <w:trPr>
          <w:gridAfter w:val="1"/>
          <w:wAfter w:w="9" w:type="dxa"/>
          <w:cantSplit/>
        </w:trPr>
        <w:tc>
          <w:tcPr>
            <w:tcW w:w="179" w:type="dxa"/>
            <w:vMerge/>
            <w:tcBorders>
              <w:top w:val="single" w:sz="8" w:space="0" w:color="152935"/>
              <w:left w:val="nil"/>
              <w:bottom w:val="single" w:sz="8" w:space="0" w:color="152935"/>
              <w:right w:val="nil"/>
            </w:tcBorders>
            <w:shd w:val="clear" w:color="auto" w:fill="E0E0E0"/>
          </w:tcPr>
          <w:p w14:paraId="6E3B707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709" w:type="dxa"/>
            <w:gridSpan w:val="3"/>
            <w:tcBorders>
              <w:top w:val="single" w:sz="8" w:space="0" w:color="AEAEAE"/>
              <w:left w:val="nil"/>
              <w:bottom w:val="single" w:sz="8" w:space="0" w:color="152935"/>
              <w:right w:val="nil"/>
            </w:tcBorders>
            <w:shd w:val="clear" w:color="auto" w:fill="E0E0E0"/>
          </w:tcPr>
          <w:p w14:paraId="7956B9E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Mental fluency</w:t>
            </w:r>
          </w:p>
        </w:tc>
        <w:tc>
          <w:tcPr>
            <w:tcW w:w="450" w:type="dxa"/>
            <w:gridSpan w:val="3"/>
            <w:tcBorders>
              <w:top w:val="single" w:sz="8" w:space="0" w:color="AEAEAE"/>
              <w:left w:val="nil"/>
              <w:bottom w:val="single" w:sz="8" w:space="0" w:color="152935"/>
              <w:right w:val="single" w:sz="8" w:space="0" w:color="E0E0E0"/>
            </w:tcBorders>
            <w:shd w:val="clear" w:color="auto" w:fill="FFFFFF"/>
          </w:tcPr>
          <w:p w14:paraId="0F25EA8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.064</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3CA3AF7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.046</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E8E267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.102</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5E6687B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1.387</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E711AE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.166</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422A65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–.027</w:t>
            </w:r>
          </w:p>
        </w:tc>
        <w:tc>
          <w:tcPr>
            <w:tcW w:w="686" w:type="dxa"/>
            <w:gridSpan w:val="3"/>
            <w:tcBorders>
              <w:top w:val="single" w:sz="8" w:space="0" w:color="AEAEAE"/>
              <w:left w:val="single" w:sz="8" w:space="0" w:color="E0E0E0"/>
              <w:bottom w:val="single" w:sz="8" w:space="0" w:color="152935"/>
              <w:right w:val="single" w:sz="8" w:space="0" w:color="E0E0E0"/>
            </w:tcBorders>
            <w:shd w:val="clear" w:color="auto" w:fill="FFFFFF"/>
          </w:tcPr>
          <w:p w14:paraId="7054A3A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.154</w:t>
            </w:r>
          </w:p>
        </w:tc>
        <w:tc>
          <w:tcPr>
            <w:tcW w:w="90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A166F1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.387</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49AFCAB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.084</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780001A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.072</w:t>
            </w:r>
          </w:p>
        </w:tc>
        <w:tc>
          <w:tcPr>
            <w:tcW w:w="81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34D431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.502</w:t>
            </w:r>
          </w:p>
        </w:tc>
        <w:tc>
          <w:tcPr>
            <w:tcW w:w="542" w:type="dxa"/>
            <w:tcBorders>
              <w:top w:val="single" w:sz="8" w:space="0" w:color="AEAEAE"/>
              <w:left w:val="single" w:sz="8" w:space="0" w:color="E0E0E0"/>
              <w:bottom w:val="single" w:sz="8" w:space="0" w:color="152935"/>
              <w:right w:val="nil"/>
            </w:tcBorders>
            <w:shd w:val="clear" w:color="auto" w:fill="FFFFFF"/>
          </w:tcPr>
          <w:p w14:paraId="3613529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1.991</w:t>
            </w:r>
          </w:p>
        </w:tc>
      </w:tr>
      <w:tr w:rsidR="00C7217E" w:rsidRPr="00530906" w14:paraId="39836167" w14:textId="77777777" w:rsidTr="00EE722D">
        <w:trPr>
          <w:cantSplit/>
        </w:trPr>
        <w:tc>
          <w:tcPr>
            <w:tcW w:w="10055" w:type="dxa"/>
            <w:gridSpan w:val="27"/>
            <w:tcBorders>
              <w:top w:val="nil"/>
              <w:left w:val="nil"/>
              <w:bottom w:val="nil"/>
              <w:right w:val="nil"/>
            </w:tcBorders>
            <w:shd w:val="clear" w:color="auto" w:fill="FFFFFF"/>
          </w:tcPr>
          <w:p w14:paraId="071486C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Arousal</w:t>
            </w:r>
          </w:p>
        </w:tc>
      </w:tr>
    </w:tbl>
    <w:p w14:paraId="003C6F7C" w14:textId="38E4163E" w:rsidR="00C7217E" w:rsidRPr="00530906" w:rsidRDefault="00C7217E" w:rsidP="008756B1">
      <w:pPr>
        <w:pStyle w:val="Heading3"/>
        <w:jc w:val="both"/>
        <w:rPr>
          <w:rFonts w:eastAsia="Times New Roman"/>
          <w:lang w:val="en-US"/>
        </w:rPr>
      </w:pPr>
      <w:bookmarkStart w:id="148" w:name="_Toc115726303"/>
      <w:r w:rsidRPr="00530906">
        <w:rPr>
          <w:rFonts w:eastAsia="Times New Roman"/>
          <w:lang w:val="en-US"/>
        </w:rPr>
        <w:t>Regression analysis between ‘Arousal’ and ‘ad attitude’</w:t>
      </w:r>
      <w:bookmarkEnd w:id="148"/>
    </w:p>
    <w:p w14:paraId="298D8AF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4"/>
        <w:gridCol w:w="69"/>
        <w:gridCol w:w="287"/>
        <w:gridCol w:w="540"/>
        <w:gridCol w:w="310"/>
        <w:gridCol w:w="220"/>
        <w:gridCol w:w="280"/>
        <w:gridCol w:w="705"/>
        <w:gridCol w:w="285"/>
        <w:gridCol w:w="361"/>
        <w:gridCol w:w="179"/>
        <w:gridCol w:w="360"/>
        <w:gridCol w:w="446"/>
        <w:gridCol w:w="153"/>
        <w:gridCol w:w="391"/>
        <w:gridCol w:w="1080"/>
        <w:gridCol w:w="7"/>
        <w:gridCol w:w="85"/>
        <w:gridCol w:w="808"/>
        <w:gridCol w:w="330"/>
        <w:gridCol w:w="210"/>
        <w:gridCol w:w="360"/>
        <w:gridCol w:w="568"/>
        <w:gridCol w:w="242"/>
        <w:gridCol w:w="630"/>
      </w:tblGrid>
      <w:tr w:rsidR="00C7217E" w:rsidRPr="00530906" w14:paraId="76063BA2" w14:textId="77777777" w:rsidTr="00C7217E">
        <w:trPr>
          <w:gridAfter w:val="8"/>
          <w:wAfter w:w="3233" w:type="dxa"/>
          <w:cantSplit/>
        </w:trPr>
        <w:tc>
          <w:tcPr>
            <w:tcW w:w="6487" w:type="dxa"/>
            <w:gridSpan w:val="18"/>
            <w:tcBorders>
              <w:top w:val="nil"/>
              <w:left w:val="nil"/>
              <w:bottom w:val="nil"/>
              <w:right w:val="nil"/>
            </w:tcBorders>
            <w:shd w:val="clear" w:color="auto" w:fill="FFFFFF"/>
            <w:vAlign w:val="center"/>
          </w:tcPr>
          <w:p w14:paraId="3618F1EF"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24E73768" w14:textId="77777777" w:rsidTr="00C7217E">
        <w:trPr>
          <w:gridAfter w:val="8"/>
          <w:wAfter w:w="3233" w:type="dxa"/>
          <w:cantSplit/>
        </w:trPr>
        <w:tc>
          <w:tcPr>
            <w:tcW w:w="883" w:type="dxa"/>
            <w:gridSpan w:val="3"/>
            <w:tcBorders>
              <w:top w:val="nil"/>
              <w:left w:val="nil"/>
              <w:bottom w:val="single" w:sz="8" w:space="0" w:color="152935"/>
              <w:right w:val="nil"/>
            </w:tcBorders>
            <w:shd w:val="clear" w:color="auto" w:fill="FFFFFF"/>
            <w:vAlign w:val="bottom"/>
          </w:tcPr>
          <w:p w14:paraId="682A9F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4638AFA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3"/>
            <w:tcBorders>
              <w:top w:val="nil"/>
              <w:left w:val="single" w:sz="8" w:space="0" w:color="E0E0E0"/>
              <w:bottom w:val="single" w:sz="8" w:space="0" w:color="152935"/>
              <w:right w:val="single" w:sz="8" w:space="0" w:color="E0E0E0"/>
            </w:tcBorders>
            <w:shd w:val="clear" w:color="auto" w:fill="FFFFFF"/>
            <w:vAlign w:val="bottom"/>
          </w:tcPr>
          <w:p w14:paraId="07B69C8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5"/>
            <w:tcBorders>
              <w:top w:val="nil"/>
              <w:left w:val="single" w:sz="8" w:space="0" w:color="E0E0E0"/>
              <w:bottom w:val="single" w:sz="8" w:space="0" w:color="152935"/>
              <w:right w:val="single" w:sz="8" w:space="0" w:color="E0E0E0"/>
            </w:tcBorders>
            <w:shd w:val="clear" w:color="auto" w:fill="FFFFFF"/>
            <w:vAlign w:val="bottom"/>
          </w:tcPr>
          <w:p w14:paraId="03A026F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631" w:type="dxa"/>
            <w:gridSpan w:val="4"/>
            <w:tcBorders>
              <w:top w:val="nil"/>
              <w:left w:val="single" w:sz="8" w:space="0" w:color="E0E0E0"/>
              <w:bottom w:val="single" w:sz="8" w:space="0" w:color="152935"/>
              <w:right w:val="nil"/>
            </w:tcBorders>
            <w:shd w:val="clear" w:color="auto" w:fill="FFFFFF"/>
            <w:vAlign w:val="bottom"/>
          </w:tcPr>
          <w:p w14:paraId="32027F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0B125B5A" w14:textId="77777777" w:rsidTr="00C7217E">
        <w:trPr>
          <w:gridAfter w:val="8"/>
          <w:wAfter w:w="3233" w:type="dxa"/>
          <w:cantSplit/>
        </w:trPr>
        <w:tc>
          <w:tcPr>
            <w:tcW w:w="883" w:type="dxa"/>
            <w:gridSpan w:val="3"/>
            <w:tcBorders>
              <w:top w:val="single" w:sz="8" w:space="0" w:color="152935"/>
              <w:left w:val="nil"/>
              <w:bottom w:val="single" w:sz="8" w:space="0" w:color="152935"/>
              <w:right w:val="nil"/>
            </w:tcBorders>
            <w:shd w:val="clear" w:color="auto" w:fill="E0E0E0"/>
          </w:tcPr>
          <w:p w14:paraId="554544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5D5589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.420</w:t>
            </w:r>
            <w:r w:rsidRPr="00530906">
              <w:rPr>
                <w:rFonts w:ascii="Cambria" w:eastAsia="Times New Roman" w:hAnsi="Cambria" w:cs="Times New Roman"/>
                <w:color w:val="000000"/>
                <w:sz w:val="18"/>
                <w:szCs w:val="18"/>
                <w:vertAlign w:val="superscript"/>
                <w:lang w:val="en-US"/>
              </w:rPr>
              <w:t>a</w:t>
            </w:r>
          </w:p>
        </w:tc>
        <w:tc>
          <w:tcPr>
            <w:tcW w:w="1205" w:type="dxa"/>
            <w:gridSpan w:val="3"/>
            <w:tcBorders>
              <w:top w:val="single" w:sz="8" w:space="0" w:color="152935"/>
              <w:left w:val="single" w:sz="8" w:space="0" w:color="E0E0E0"/>
              <w:bottom w:val="single" w:sz="8" w:space="0" w:color="152935"/>
              <w:right w:val="single" w:sz="8" w:space="0" w:color="E0E0E0"/>
            </w:tcBorders>
            <w:shd w:val="clear" w:color="auto" w:fill="FFFFFF"/>
          </w:tcPr>
          <w:p w14:paraId="359374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.177</w:t>
            </w:r>
          </w:p>
        </w:tc>
        <w:tc>
          <w:tcPr>
            <w:tcW w:w="1631" w:type="dxa"/>
            <w:gridSpan w:val="5"/>
            <w:tcBorders>
              <w:top w:val="single" w:sz="8" w:space="0" w:color="152935"/>
              <w:left w:val="single" w:sz="8" w:space="0" w:color="E0E0E0"/>
              <w:bottom w:val="single" w:sz="8" w:space="0" w:color="152935"/>
              <w:right w:val="single" w:sz="8" w:space="0" w:color="E0E0E0"/>
            </w:tcBorders>
            <w:shd w:val="clear" w:color="auto" w:fill="FFFFFF"/>
          </w:tcPr>
          <w:p w14:paraId="74F4D0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.174</w:t>
            </w:r>
          </w:p>
        </w:tc>
        <w:tc>
          <w:tcPr>
            <w:tcW w:w="1631" w:type="dxa"/>
            <w:gridSpan w:val="4"/>
            <w:tcBorders>
              <w:top w:val="single" w:sz="8" w:space="0" w:color="152935"/>
              <w:left w:val="single" w:sz="8" w:space="0" w:color="E0E0E0"/>
              <w:bottom w:val="single" w:sz="8" w:space="0" w:color="152935"/>
              <w:right w:val="nil"/>
            </w:tcBorders>
            <w:shd w:val="clear" w:color="auto" w:fill="FFFFFF"/>
          </w:tcPr>
          <w:p w14:paraId="6EF6BF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1.24063</w:t>
            </w:r>
          </w:p>
        </w:tc>
      </w:tr>
      <w:tr w:rsidR="00C7217E" w:rsidRPr="00530906" w14:paraId="7D2F2B8C" w14:textId="77777777" w:rsidTr="00C7217E">
        <w:trPr>
          <w:gridAfter w:val="8"/>
          <w:wAfter w:w="3233" w:type="dxa"/>
          <w:cantSplit/>
        </w:trPr>
        <w:tc>
          <w:tcPr>
            <w:tcW w:w="6487" w:type="dxa"/>
            <w:gridSpan w:val="18"/>
            <w:tcBorders>
              <w:top w:val="nil"/>
              <w:left w:val="nil"/>
              <w:bottom w:val="nil"/>
              <w:right w:val="nil"/>
            </w:tcBorders>
            <w:shd w:val="clear" w:color="auto" w:fill="FFFFFF"/>
          </w:tcPr>
          <w:p w14:paraId="5A4752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Arousal</w:t>
            </w:r>
          </w:p>
        </w:tc>
      </w:tr>
      <w:tr w:rsidR="00C7217E" w:rsidRPr="00530906" w14:paraId="30800B72" w14:textId="77777777" w:rsidTr="00C7217E">
        <w:trPr>
          <w:gridAfter w:val="8"/>
          <w:wAfter w:w="3233" w:type="dxa"/>
          <w:cantSplit/>
        </w:trPr>
        <w:tc>
          <w:tcPr>
            <w:tcW w:w="6487" w:type="dxa"/>
            <w:gridSpan w:val="18"/>
            <w:tcBorders>
              <w:top w:val="nil"/>
              <w:left w:val="nil"/>
              <w:bottom w:val="nil"/>
              <w:right w:val="nil"/>
            </w:tcBorders>
            <w:shd w:val="clear" w:color="auto" w:fill="FFFFFF"/>
          </w:tcPr>
          <w:p w14:paraId="15A686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Attitude</w:t>
            </w:r>
          </w:p>
        </w:tc>
      </w:tr>
      <w:tr w:rsidR="00C7217E" w:rsidRPr="00530906" w14:paraId="342712AE" w14:textId="77777777" w:rsidTr="00C7217E">
        <w:trPr>
          <w:gridAfter w:val="2"/>
          <w:wAfter w:w="872" w:type="dxa"/>
          <w:cantSplit/>
        </w:trPr>
        <w:tc>
          <w:tcPr>
            <w:tcW w:w="8848" w:type="dxa"/>
            <w:gridSpan w:val="24"/>
            <w:tcBorders>
              <w:top w:val="nil"/>
              <w:left w:val="nil"/>
              <w:bottom w:val="nil"/>
              <w:right w:val="nil"/>
            </w:tcBorders>
            <w:shd w:val="clear" w:color="auto" w:fill="FFFFFF"/>
            <w:vAlign w:val="center"/>
          </w:tcPr>
          <w:p w14:paraId="3B43D3F4"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51046057" w14:textId="77777777" w:rsidTr="00C7217E">
        <w:trPr>
          <w:gridAfter w:val="2"/>
          <w:wAfter w:w="872" w:type="dxa"/>
          <w:cantSplit/>
        </w:trPr>
        <w:tc>
          <w:tcPr>
            <w:tcW w:w="2240" w:type="dxa"/>
            <w:gridSpan w:val="7"/>
            <w:tcBorders>
              <w:top w:val="nil"/>
              <w:left w:val="nil"/>
              <w:bottom w:val="single" w:sz="8" w:space="0" w:color="152935"/>
              <w:right w:val="nil"/>
            </w:tcBorders>
            <w:shd w:val="clear" w:color="auto" w:fill="FFFFFF"/>
            <w:vAlign w:val="bottom"/>
          </w:tcPr>
          <w:p w14:paraId="5A046B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7694B3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4"/>
            <w:tcBorders>
              <w:top w:val="nil"/>
              <w:left w:val="single" w:sz="8" w:space="0" w:color="E0E0E0"/>
              <w:bottom w:val="single" w:sz="8" w:space="0" w:color="152935"/>
              <w:right w:val="single" w:sz="8" w:space="0" w:color="E0E0E0"/>
            </w:tcBorders>
            <w:shd w:val="clear" w:color="auto" w:fill="FFFFFF"/>
            <w:vAlign w:val="bottom"/>
          </w:tcPr>
          <w:p w14:paraId="41BEAE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63" w:type="dxa"/>
            <w:gridSpan w:val="4"/>
            <w:tcBorders>
              <w:top w:val="nil"/>
              <w:left w:val="single" w:sz="8" w:space="0" w:color="E0E0E0"/>
              <w:bottom w:val="single" w:sz="8" w:space="0" w:color="152935"/>
              <w:right w:val="single" w:sz="8" w:space="0" w:color="E0E0E0"/>
            </w:tcBorders>
            <w:shd w:val="clear" w:color="auto" w:fill="FFFFFF"/>
            <w:vAlign w:val="bottom"/>
          </w:tcPr>
          <w:p w14:paraId="4B2F87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1138" w:type="dxa"/>
            <w:gridSpan w:val="2"/>
            <w:tcBorders>
              <w:top w:val="nil"/>
              <w:left w:val="single" w:sz="8" w:space="0" w:color="E0E0E0"/>
              <w:bottom w:val="single" w:sz="8" w:space="0" w:color="152935"/>
              <w:right w:val="single" w:sz="8" w:space="0" w:color="E0E0E0"/>
            </w:tcBorders>
            <w:shd w:val="clear" w:color="auto" w:fill="FFFFFF"/>
            <w:vAlign w:val="bottom"/>
          </w:tcPr>
          <w:p w14:paraId="795BA6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138" w:type="dxa"/>
            <w:gridSpan w:val="3"/>
            <w:tcBorders>
              <w:top w:val="nil"/>
              <w:left w:val="single" w:sz="8" w:space="0" w:color="E0E0E0"/>
              <w:bottom w:val="single" w:sz="8" w:space="0" w:color="152935"/>
              <w:right w:val="nil"/>
            </w:tcBorders>
            <w:shd w:val="clear" w:color="auto" w:fill="FFFFFF"/>
            <w:vAlign w:val="bottom"/>
          </w:tcPr>
          <w:p w14:paraId="4C0AAF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1A3F30AF" w14:textId="77777777" w:rsidTr="00C7217E">
        <w:trPr>
          <w:gridAfter w:val="2"/>
          <w:wAfter w:w="872"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2FF0C7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5"/>
            <w:tcBorders>
              <w:top w:val="single" w:sz="8" w:space="0" w:color="152935"/>
              <w:left w:val="nil"/>
              <w:bottom w:val="single" w:sz="8" w:space="0" w:color="AEAEAE"/>
              <w:right w:val="nil"/>
            </w:tcBorders>
            <w:shd w:val="clear" w:color="auto" w:fill="E0E0E0"/>
          </w:tcPr>
          <w:p w14:paraId="431F17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1ACB17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91.506</w:t>
            </w:r>
          </w:p>
        </w:tc>
        <w:tc>
          <w:tcPr>
            <w:tcW w:w="1138" w:type="dxa"/>
            <w:gridSpan w:val="4"/>
            <w:tcBorders>
              <w:top w:val="single" w:sz="8" w:space="0" w:color="152935"/>
              <w:left w:val="single" w:sz="8" w:space="0" w:color="E0E0E0"/>
              <w:bottom w:val="single" w:sz="8" w:space="0" w:color="AEAEAE"/>
              <w:right w:val="single" w:sz="8" w:space="0" w:color="E0E0E0"/>
            </w:tcBorders>
            <w:shd w:val="clear" w:color="auto" w:fill="FFFFFF"/>
          </w:tcPr>
          <w:p w14:paraId="7C54B7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63" w:type="dxa"/>
            <w:gridSpan w:val="4"/>
            <w:tcBorders>
              <w:top w:val="single" w:sz="8" w:space="0" w:color="152935"/>
              <w:left w:val="single" w:sz="8" w:space="0" w:color="E0E0E0"/>
              <w:bottom w:val="single" w:sz="8" w:space="0" w:color="AEAEAE"/>
              <w:right w:val="single" w:sz="8" w:space="0" w:color="E0E0E0"/>
            </w:tcBorders>
            <w:shd w:val="clear" w:color="auto" w:fill="FFFFFF"/>
          </w:tcPr>
          <w:p w14:paraId="591353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91.506</w:t>
            </w:r>
          </w:p>
        </w:tc>
        <w:tc>
          <w:tcPr>
            <w:tcW w:w="1138" w:type="dxa"/>
            <w:gridSpan w:val="2"/>
            <w:tcBorders>
              <w:top w:val="single" w:sz="8" w:space="0" w:color="152935"/>
              <w:left w:val="single" w:sz="8" w:space="0" w:color="E0E0E0"/>
              <w:bottom w:val="single" w:sz="8" w:space="0" w:color="AEAEAE"/>
              <w:right w:val="single" w:sz="8" w:space="0" w:color="E0E0E0"/>
            </w:tcBorders>
            <w:shd w:val="clear" w:color="auto" w:fill="FFFFFF"/>
          </w:tcPr>
          <w:p w14:paraId="557077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59.451</w:t>
            </w:r>
          </w:p>
        </w:tc>
        <w:tc>
          <w:tcPr>
            <w:tcW w:w="1138" w:type="dxa"/>
            <w:gridSpan w:val="3"/>
            <w:tcBorders>
              <w:top w:val="single" w:sz="8" w:space="0" w:color="152935"/>
              <w:left w:val="single" w:sz="8" w:space="0" w:color="E0E0E0"/>
              <w:bottom w:val="single" w:sz="8" w:space="0" w:color="AEAEAE"/>
              <w:right w:val="nil"/>
            </w:tcBorders>
            <w:shd w:val="clear" w:color="auto" w:fill="FFFFFF"/>
          </w:tcPr>
          <w:p w14:paraId="56A886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457955B5" w14:textId="77777777" w:rsidTr="00C7217E">
        <w:trPr>
          <w:gridAfter w:val="2"/>
          <w:wAfter w:w="872" w:type="dxa"/>
          <w:cantSplit/>
        </w:trPr>
        <w:tc>
          <w:tcPr>
            <w:tcW w:w="814" w:type="dxa"/>
            <w:gridSpan w:val="2"/>
            <w:vMerge/>
            <w:tcBorders>
              <w:top w:val="single" w:sz="8" w:space="0" w:color="152935"/>
              <w:left w:val="nil"/>
              <w:bottom w:val="single" w:sz="8" w:space="0" w:color="152935"/>
              <w:right w:val="nil"/>
            </w:tcBorders>
            <w:shd w:val="clear" w:color="auto" w:fill="E0E0E0"/>
          </w:tcPr>
          <w:p w14:paraId="053B72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5"/>
            <w:tcBorders>
              <w:top w:val="single" w:sz="8" w:space="0" w:color="AEAEAE"/>
              <w:left w:val="nil"/>
              <w:bottom w:val="single" w:sz="8" w:space="0" w:color="AEAEAE"/>
              <w:right w:val="nil"/>
            </w:tcBorders>
            <w:shd w:val="clear" w:color="auto" w:fill="E0E0E0"/>
          </w:tcPr>
          <w:p w14:paraId="54A0C8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373A17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426.349</w:t>
            </w:r>
          </w:p>
        </w:tc>
        <w:tc>
          <w:tcPr>
            <w:tcW w:w="1138" w:type="dxa"/>
            <w:gridSpan w:val="4"/>
            <w:tcBorders>
              <w:top w:val="single" w:sz="8" w:space="0" w:color="AEAEAE"/>
              <w:left w:val="single" w:sz="8" w:space="0" w:color="E0E0E0"/>
              <w:bottom w:val="single" w:sz="8" w:space="0" w:color="AEAEAE"/>
              <w:right w:val="single" w:sz="8" w:space="0" w:color="E0E0E0"/>
            </w:tcBorders>
            <w:shd w:val="clear" w:color="auto" w:fill="FFFFFF"/>
          </w:tcPr>
          <w:p w14:paraId="4AB47E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63" w:type="dxa"/>
            <w:gridSpan w:val="4"/>
            <w:tcBorders>
              <w:top w:val="single" w:sz="8" w:space="0" w:color="AEAEAE"/>
              <w:left w:val="single" w:sz="8" w:space="0" w:color="E0E0E0"/>
              <w:bottom w:val="single" w:sz="8" w:space="0" w:color="AEAEAE"/>
              <w:right w:val="single" w:sz="8" w:space="0" w:color="E0E0E0"/>
            </w:tcBorders>
            <w:shd w:val="clear" w:color="auto" w:fill="FFFFFF"/>
          </w:tcPr>
          <w:p w14:paraId="096B457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1.539</w:t>
            </w:r>
          </w:p>
        </w:tc>
        <w:tc>
          <w:tcPr>
            <w:tcW w:w="1138"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355225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3"/>
            <w:tcBorders>
              <w:top w:val="single" w:sz="8" w:space="0" w:color="AEAEAE"/>
              <w:left w:val="single" w:sz="8" w:space="0" w:color="E0E0E0"/>
              <w:bottom w:val="single" w:sz="8" w:space="0" w:color="AEAEAE"/>
              <w:right w:val="nil"/>
            </w:tcBorders>
            <w:shd w:val="clear" w:color="auto" w:fill="FFFFFF"/>
            <w:vAlign w:val="center"/>
          </w:tcPr>
          <w:p w14:paraId="24149A8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D491BE0" w14:textId="77777777" w:rsidTr="00C7217E">
        <w:trPr>
          <w:gridAfter w:val="2"/>
          <w:wAfter w:w="872" w:type="dxa"/>
          <w:cantSplit/>
        </w:trPr>
        <w:tc>
          <w:tcPr>
            <w:tcW w:w="814" w:type="dxa"/>
            <w:gridSpan w:val="2"/>
            <w:vMerge/>
            <w:tcBorders>
              <w:top w:val="single" w:sz="8" w:space="0" w:color="152935"/>
              <w:left w:val="nil"/>
              <w:bottom w:val="single" w:sz="8" w:space="0" w:color="152935"/>
              <w:right w:val="nil"/>
            </w:tcBorders>
            <w:shd w:val="clear" w:color="auto" w:fill="E0E0E0"/>
          </w:tcPr>
          <w:p w14:paraId="5AD9D5B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5"/>
            <w:tcBorders>
              <w:top w:val="single" w:sz="8" w:space="0" w:color="AEAEAE"/>
              <w:left w:val="nil"/>
              <w:bottom w:val="single" w:sz="8" w:space="0" w:color="152935"/>
              <w:right w:val="nil"/>
            </w:tcBorders>
            <w:shd w:val="clear" w:color="auto" w:fill="E0E0E0"/>
          </w:tcPr>
          <w:p w14:paraId="71E8F3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10CA83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517.855</w:t>
            </w:r>
          </w:p>
        </w:tc>
        <w:tc>
          <w:tcPr>
            <w:tcW w:w="1138" w:type="dxa"/>
            <w:gridSpan w:val="4"/>
            <w:tcBorders>
              <w:top w:val="single" w:sz="8" w:space="0" w:color="AEAEAE"/>
              <w:left w:val="single" w:sz="8" w:space="0" w:color="E0E0E0"/>
              <w:bottom w:val="single" w:sz="8" w:space="0" w:color="152935"/>
              <w:right w:val="single" w:sz="8" w:space="0" w:color="E0E0E0"/>
            </w:tcBorders>
            <w:shd w:val="clear" w:color="auto" w:fill="FFFFFF"/>
          </w:tcPr>
          <w:p w14:paraId="441CE3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63"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234C3DC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EEBF6C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138" w:type="dxa"/>
            <w:gridSpan w:val="3"/>
            <w:tcBorders>
              <w:top w:val="single" w:sz="8" w:space="0" w:color="AEAEAE"/>
              <w:left w:val="single" w:sz="8" w:space="0" w:color="E0E0E0"/>
              <w:bottom w:val="single" w:sz="8" w:space="0" w:color="152935"/>
              <w:right w:val="nil"/>
            </w:tcBorders>
            <w:shd w:val="clear" w:color="auto" w:fill="FFFFFF"/>
            <w:vAlign w:val="center"/>
          </w:tcPr>
          <w:p w14:paraId="7D68170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80445DC" w14:textId="77777777" w:rsidTr="00C7217E">
        <w:trPr>
          <w:gridAfter w:val="2"/>
          <w:wAfter w:w="872" w:type="dxa"/>
          <w:cantSplit/>
        </w:trPr>
        <w:tc>
          <w:tcPr>
            <w:tcW w:w="8848" w:type="dxa"/>
            <w:gridSpan w:val="24"/>
            <w:tcBorders>
              <w:top w:val="nil"/>
              <w:left w:val="nil"/>
              <w:bottom w:val="nil"/>
              <w:right w:val="nil"/>
            </w:tcBorders>
            <w:shd w:val="clear" w:color="auto" w:fill="FFFFFF"/>
          </w:tcPr>
          <w:p w14:paraId="18BF25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r w:rsidR="00C7217E" w:rsidRPr="00530906" w14:paraId="2B419DFA" w14:textId="77777777" w:rsidTr="00C7217E">
        <w:trPr>
          <w:gridAfter w:val="2"/>
          <w:wAfter w:w="872" w:type="dxa"/>
          <w:cantSplit/>
        </w:trPr>
        <w:tc>
          <w:tcPr>
            <w:tcW w:w="8848" w:type="dxa"/>
            <w:gridSpan w:val="24"/>
            <w:tcBorders>
              <w:top w:val="nil"/>
              <w:left w:val="nil"/>
              <w:bottom w:val="nil"/>
              <w:right w:val="nil"/>
            </w:tcBorders>
            <w:shd w:val="clear" w:color="auto" w:fill="FFFFFF"/>
          </w:tcPr>
          <w:p w14:paraId="56F90BA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Arousal</w:t>
            </w:r>
          </w:p>
        </w:tc>
      </w:tr>
      <w:tr w:rsidR="00C7217E" w:rsidRPr="00530906" w14:paraId="7BF47A02" w14:textId="77777777" w:rsidTr="00C7217E">
        <w:trPr>
          <w:cantSplit/>
        </w:trPr>
        <w:tc>
          <w:tcPr>
            <w:tcW w:w="9720" w:type="dxa"/>
            <w:gridSpan w:val="26"/>
            <w:tcBorders>
              <w:top w:val="nil"/>
              <w:left w:val="nil"/>
              <w:bottom w:val="nil"/>
              <w:right w:val="nil"/>
            </w:tcBorders>
            <w:shd w:val="clear" w:color="auto" w:fill="FFFFFF"/>
            <w:vAlign w:val="center"/>
          </w:tcPr>
          <w:p w14:paraId="0F564728"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682AB5A2" w14:textId="77777777" w:rsidTr="00C7217E">
        <w:trPr>
          <w:cantSplit/>
        </w:trPr>
        <w:tc>
          <w:tcPr>
            <w:tcW w:w="1170" w:type="dxa"/>
            <w:gridSpan w:val="4"/>
            <w:vMerge w:val="restart"/>
            <w:tcBorders>
              <w:top w:val="nil"/>
              <w:left w:val="nil"/>
              <w:bottom w:val="nil"/>
              <w:right w:val="nil"/>
            </w:tcBorders>
            <w:shd w:val="clear" w:color="auto" w:fill="FFFFFF"/>
            <w:vAlign w:val="bottom"/>
          </w:tcPr>
          <w:p w14:paraId="6CF98C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350" w:type="dxa"/>
            <w:gridSpan w:val="4"/>
            <w:tcBorders>
              <w:top w:val="nil"/>
              <w:left w:val="nil"/>
              <w:bottom w:val="nil"/>
              <w:right w:val="single" w:sz="8" w:space="0" w:color="E0E0E0"/>
            </w:tcBorders>
            <w:shd w:val="clear" w:color="auto" w:fill="FFFFFF"/>
            <w:vAlign w:val="bottom"/>
          </w:tcPr>
          <w:p w14:paraId="3C92A1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605C74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55E8383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360" w:type="dxa"/>
            <w:vMerge w:val="restart"/>
            <w:tcBorders>
              <w:top w:val="nil"/>
              <w:left w:val="single" w:sz="8" w:space="0" w:color="E0E0E0"/>
              <w:bottom w:val="nil"/>
              <w:right w:val="single" w:sz="8" w:space="0" w:color="E0E0E0"/>
            </w:tcBorders>
            <w:shd w:val="clear" w:color="auto" w:fill="FFFFFF"/>
            <w:vAlign w:val="bottom"/>
          </w:tcPr>
          <w:p w14:paraId="48C1BD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4B9ED6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00" w:type="dxa"/>
            <w:gridSpan w:val="6"/>
            <w:tcBorders>
              <w:top w:val="nil"/>
              <w:left w:val="single" w:sz="8" w:space="0" w:color="E0E0E0"/>
              <w:bottom w:val="nil"/>
              <w:right w:val="single" w:sz="8" w:space="0" w:color="E0E0E0"/>
            </w:tcBorders>
            <w:shd w:val="clear" w:color="auto" w:fill="FFFFFF"/>
            <w:vAlign w:val="bottom"/>
          </w:tcPr>
          <w:p w14:paraId="278C64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440" w:type="dxa"/>
            <w:gridSpan w:val="3"/>
            <w:tcBorders>
              <w:top w:val="nil"/>
              <w:left w:val="single" w:sz="8" w:space="0" w:color="E0E0E0"/>
              <w:bottom w:val="nil"/>
              <w:right w:val="nil"/>
            </w:tcBorders>
            <w:shd w:val="clear" w:color="auto" w:fill="FFFFFF"/>
            <w:vAlign w:val="bottom"/>
          </w:tcPr>
          <w:p w14:paraId="5004ED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64A503B0" w14:textId="77777777" w:rsidTr="00C7217E">
        <w:trPr>
          <w:cantSplit/>
        </w:trPr>
        <w:tc>
          <w:tcPr>
            <w:tcW w:w="1170" w:type="dxa"/>
            <w:gridSpan w:val="4"/>
            <w:vMerge/>
            <w:tcBorders>
              <w:top w:val="nil"/>
              <w:left w:val="nil"/>
              <w:bottom w:val="nil"/>
              <w:right w:val="nil"/>
            </w:tcBorders>
            <w:shd w:val="clear" w:color="auto" w:fill="FFFFFF"/>
            <w:vAlign w:val="bottom"/>
          </w:tcPr>
          <w:p w14:paraId="498706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540" w:type="dxa"/>
            <w:tcBorders>
              <w:top w:val="nil"/>
              <w:left w:val="nil"/>
              <w:bottom w:val="single" w:sz="8" w:space="0" w:color="152935"/>
              <w:right w:val="single" w:sz="8" w:space="0" w:color="E0E0E0"/>
            </w:tcBorders>
            <w:shd w:val="clear" w:color="auto" w:fill="FFFFFF"/>
            <w:vAlign w:val="bottom"/>
          </w:tcPr>
          <w:p w14:paraId="5C21B4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810" w:type="dxa"/>
            <w:gridSpan w:val="3"/>
            <w:tcBorders>
              <w:top w:val="nil"/>
              <w:left w:val="single" w:sz="8" w:space="0" w:color="E0E0E0"/>
              <w:bottom w:val="single" w:sz="8" w:space="0" w:color="152935"/>
              <w:right w:val="single" w:sz="8" w:space="0" w:color="E0E0E0"/>
            </w:tcBorders>
            <w:shd w:val="clear" w:color="auto" w:fill="FFFFFF"/>
            <w:vAlign w:val="bottom"/>
          </w:tcPr>
          <w:p w14:paraId="141E01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5E2CA0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7122E5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vMerge/>
            <w:tcBorders>
              <w:top w:val="nil"/>
              <w:left w:val="single" w:sz="8" w:space="0" w:color="E0E0E0"/>
              <w:bottom w:val="nil"/>
              <w:right w:val="single" w:sz="8" w:space="0" w:color="E0E0E0"/>
            </w:tcBorders>
            <w:shd w:val="clear" w:color="auto" w:fill="FFFFFF"/>
            <w:vAlign w:val="bottom"/>
          </w:tcPr>
          <w:p w14:paraId="62CEC6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319CEF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6C97E6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1A7598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2C5AE8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tcBorders>
              <w:top w:val="nil"/>
              <w:left w:val="single" w:sz="8" w:space="0" w:color="E0E0E0"/>
              <w:bottom w:val="single" w:sz="8" w:space="0" w:color="152935"/>
              <w:right w:val="single" w:sz="8" w:space="0" w:color="E0E0E0"/>
            </w:tcBorders>
            <w:shd w:val="clear" w:color="auto" w:fill="FFFFFF"/>
            <w:vAlign w:val="bottom"/>
          </w:tcPr>
          <w:p w14:paraId="369C62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gridSpan w:val="2"/>
            <w:tcBorders>
              <w:top w:val="nil"/>
              <w:left w:val="single" w:sz="8" w:space="0" w:color="E0E0E0"/>
              <w:bottom w:val="single" w:sz="8" w:space="0" w:color="152935"/>
              <w:right w:val="single" w:sz="8" w:space="0" w:color="E0E0E0"/>
            </w:tcBorders>
            <w:shd w:val="clear" w:color="auto" w:fill="FFFFFF"/>
            <w:vAlign w:val="bottom"/>
          </w:tcPr>
          <w:p w14:paraId="288450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630" w:type="dxa"/>
            <w:tcBorders>
              <w:top w:val="nil"/>
              <w:left w:val="single" w:sz="8" w:space="0" w:color="E0E0E0"/>
              <w:bottom w:val="single" w:sz="8" w:space="0" w:color="152935"/>
              <w:right w:val="nil"/>
            </w:tcBorders>
            <w:shd w:val="clear" w:color="auto" w:fill="FFFFFF"/>
            <w:vAlign w:val="bottom"/>
          </w:tcPr>
          <w:p w14:paraId="770DB9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539FA06C" w14:textId="77777777" w:rsidTr="00C7217E">
        <w:trPr>
          <w:cantSplit/>
        </w:trPr>
        <w:tc>
          <w:tcPr>
            <w:tcW w:w="270" w:type="dxa"/>
            <w:vMerge w:val="restart"/>
            <w:tcBorders>
              <w:top w:val="single" w:sz="8" w:space="0" w:color="152935"/>
              <w:left w:val="nil"/>
              <w:bottom w:val="single" w:sz="8" w:space="0" w:color="152935"/>
              <w:right w:val="nil"/>
            </w:tcBorders>
            <w:shd w:val="clear" w:color="auto" w:fill="E0E0E0"/>
          </w:tcPr>
          <w:p w14:paraId="298B5C9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gridSpan w:val="3"/>
            <w:tcBorders>
              <w:top w:val="single" w:sz="8" w:space="0" w:color="152935"/>
              <w:left w:val="nil"/>
              <w:bottom w:val="single" w:sz="8" w:space="0" w:color="AEAEAE"/>
              <w:right w:val="nil"/>
            </w:tcBorders>
            <w:shd w:val="clear" w:color="auto" w:fill="E0E0E0"/>
          </w:tcPr>
          <w:p w14:paraId="626CDF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540" w:type="dxa"/>
            <w:tcBorders>
              <w:top w:val="single" w:sz="8" w:space="0" w:color="152935"/>
              <w:left w:val="nil"/>
              <w:bottom w:val="single" w:sz="8" w:space="0" w:color="AEAEAE"/>
              <w:right w:val="single" w:sz="8" w:space="0" w:color="E0E0E0"/>
            </w:tcBorders>
            <w:shd w:val="clear" w:color="auto" w:fill="FFFFFF"/>
          </w:tcPr>
          <w:p w14:paraId="05C83E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2.997</w:t>
            </w:r>
          </w:p>
        </w:tc>
        <w:tc>
          <w:tcPr>
            <w:tcW w:w="810" w:type="dxa"/>
            <w:gridSpan w:val="3"/>
            <w:tcBorders>
              <w:top w:val="single" w:sz="8" w:space="0" w:color="152935"/>
              <w:left w:val="single" w:sz="8" w:space="0" w:color="E0E0E0"/>
              <w:bottom w:val="single" w:sz="8" w:space="0" w:color="AEAEAE"/>
              <w:right w:val="single" w:sz="8" w:space="0" w:color="E0E0E0"/>
            </w:tcBorders>
            <w:shd w:val="clear" w:color="auto" w:fill="FFFFFF"/>
          </w:tcPr>
          <w:p w14:paraId="6E1FC7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.285</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4363E7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0072C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10.505</w:t>
            </w:r>
          </w:p>
        </w:tc>
        <w:tc>
          <w:tcPr>
            <w:tcW w:w="360" w:type="dxa"/>
            <w:tcBorders>
              <w:top w:val="single" w:sz="8" w:space="0" w:color="152935"/>
              <w:left w:val="single" w:sz="8" w:space="0" w:color="E0E0E0"/>
              <w:bottom w:val="single" w:sz="8" w:space="0" w:color="AEAEAE"/>
              <w:right w:val="single" w:sz="8" w:space="0" w:color="E0E0E0"/>
            </w:tcBorders>
            <w:shd w:val="clear" w:color="auto" w:fill="FFFFFF"/>
          </w:tcPr>
          <w:p w14:paraId="6E4413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44BE5A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2.435</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55A19D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3.559</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3433D83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3F9ED3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60E959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88DEC0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tcBorders>
              <w:top w:val="single" w:sz="8" w:space="0" w:color="152935"/>
              <w:left w:val="single" w:sz="8" w:space="0" w:color="E0E0E0"/>
              <w:bottom w:val="single" w:sz="8" w:space="0" w:color="AEAEAE"/>
              <w:right w:val="nil"/>
            </w:tcBorders>
            <w:shd w:val="clear" w:color="auto" w:fill="FFFFFF"/>
            <w:vAlign w:val="center"/>
          </w:tcPr>
          <w:p w14:paraId="57A442B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583C0FC" w14:textId="77777777" w:rsidTr="00C7217E">
        <w:trPr>
          <w:cantSplit/>
        </w:trPr>
        <w:tc>
          <w:tcPr>
            <w:tcW w:w="270" w:type="dxa"/>
            <w:vMerge/>
            <w:tcBorders>
              <w:top w:val="single" w:sz="8" w:space="0" w:color="152935"/>
              <w:left w:val="nil"/>
              <w:bottom w:val="single" w:sz="8" w:space="0" w:color="152935"/>
              <w:right w:val="nil"/>
            </w:tcBorders>
            <w:shd w:val="clear" w:color="auto" w:fill="E0E0E0"/>
          </w:tcPr>
          <w:p w14:paraId="2DDA2F7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00" w:type="dxa"/>
            <w:gridSpan w:val="3"/>
            <w:tcBorders>
              <w:top w:val="single" w:sz="8" w:space="0" w:color="AEAEAE"/>
              <w:left w:val="nil"/>
              <w:bottom w:val="single" w:sz="8" w:space="0" w:color="152935"/>
              <w:right w:val="nil"/>
            </w:tcBorders>
            <w:shd w:val="clear" w:color="auto" w:fill="E0E0E0"/>
          </w:tcPr>
          <w:p w14:paraId="265AE4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Arousal</w:t>
            </w:r>
          </w:p>
        </w:tc>
        <w:tc>
          <w:tcPr>
            <w:tcW w:w="540" w:type="dxa"/>
            <w:tcBorders>
              <w:top w:val="single" w:sz="8" w:space="0" w:color="AEAEAE"/>
              <w:left w:val="nil"/>
              <w:bottom w:val="single" w:sz="8" w:space="0" w:color="152935"/>
              <w:right w:val="single" w:sz="8" w:space="0" w:color="E0E0E0"/>
            </w:tcBorders>
            <w:shd w:val="clear" w:color="auto" w:fill="FFFFFF"/>
          </w:tcPr>
          <w:p w14:paraId="07FFFC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.576</w:t>
            </w:r>
          </w:p>
        </w:tc>
        <w:tc>
          <w:tcPr>
            <w:tcW w:w="810" w:type="dxa"/>
            <w:gridSpan w:val="3"/>
            <w:tcBorders>
              <w:top w:val="single" w:sz="8" w:space="0" w:color="AEAEAE"/>
              <w:left w:val="single" w:sz="8" w:space="0" w:color="E0E0E0"/>
              <w:bottom w:val="single" w:sz="8" w:space="0" w:color="152935"/>
              <w:right w:val="single" w:sz="8" w:space="0" w:color="E0E0E0"/>
            </w:tcBorders>
            <w:shd w:val="clear" w:color="auto" w:fill="FFFFFF"/>
          </w:tcPr>
          <w:p w14:paraId="028682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D3DFE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.420</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E5C26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7.710</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40435F3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73A94B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0CAEA9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.723</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4397BD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.420</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F54E0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.420</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662DE2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.420</w:t>
            </w:r>
          </w:p>
        </w:tc>
        <w:tc>
          <w:tcPr>
            <w:tcW w:w="81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94CDFB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630" w:type="dxa"/>
            <w:tcBorders>
              <w:top w:val="single" w:sz="8" w:space="0" w:color="AEAEAE"/>
              <w:left w:val="single" w:sz="8" w:space="0" w:color="E0E0E0"/>
              <w:bottom w:val="single" w:sz="8" w:space="0" w:color="152935"/>
              <w:right w:val="nil"/>
            </w:tcBorders>
            <w:shd w:val="clear" w:color="auto" w:fill="FFFFFF"/>
          </w:tcPr>
          <w:p w14:paraId="652FCA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4B1518A8" w14:textId="77777777" w:rsidTr="00C7217E">
        <w:trPr>
          <w:cantSplit/>
        </w:trPr>
        <w:tc>
          <w:tcPr>
            <w:tcW w:w="9720" w:type="dxa"/>
            <w:gridSpan w:val="26"/>
            <w:tcBorders>
              <w:top w:val="nil"/>
              <w:left w:val="nil"/>
              <w:bottom w:val="nil"/>
              <w:right w:val="nil"/>
            </w:tcBorders>
            <w:shd w:val="clear" w:color="auto" w:fill="FFFFFF"/>
          </w:tcPr>
          <w:p w14:paraId="5A8F6B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bl>
    <w:p w14:paraId="035FC62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0C411624"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37FB2C5C" w14:textId="7120EE39" w:rsidR="00C7217E" w:rsidRPr="00530906" w:rsidRDefault="00C7217E" w:rsidP="008756B1">
      <w:pPr>
        <w:pStyle w:val="Heading3"/>
        <w:jc w:val="both"/>
        <w:rPr>
          <w:rFonts w:eastAsia="Times New Roman"/>
          <w:lang w:val="en-US"/>
        </w:rPr>
      </w:pPr>
      <w:bookmarkStart w:id="149" w:name="_Toc115726304"/>
      <w:r w:rsidRPr="00530906">
        <w:rPr>
          <w:rFonts w:eastAsia="Times New Roman"/>
          <w:lang w:val="en-US"/>
        </w:rPr>
        <w:t>Multiple Regression analysis between ‘SCV’ and ‘Dominance’</w:t>
      </w:r>
      <w:bookmarkEnd w:id="149"/>
    </w:p>
    <w:p w14:paraId="39E191A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
        <w:gridCol w:w="655"/>
        <w:gridCol w:w="72"/>
        <w:gridCol w:w="802"/>
        <w:gridCol w:w="366"/>
        <w:gridCol w:w="174"/>
        <w:gridCol w:w="51"/>
        <w:gridCol w:w="669"/>
        <w:gridCol w:w="344"/>
        <w:gridCol w:w="646"/>
        <w:gridCol w:w="16"/>
        <w:gridCol w:w="524"/>
        <w:gridCol w:w="450"/>
        <w:gridCol w:w="39"/>
        <w:gridCol w:w="156"/>
        <w:gridCol w:w="526"/>
        <w:gridCol w:w="726"/>
        <w:gridCol w:w="86"/>
        <w:gridCol w:w="41"/>
        <w:gridCol w:w="900"/>
        <w:gridCol w:w="16"/>
        <w:gridCol w:w="524"/>
        <w:gridCol w:w="450"/>
        <w:gridCol w:w="195"/>
        <w:gridCol w:w="615"/>
        <w:gridCol w:w="451"/>
        <w:gridCol w:w="18"/>
      </w:tblGrid>
      <w:tr w:rsidR="00C7217E" w:rsidRPr="00530906" w14:paraId="167CC762" w14:textId="77777777" w:rsidTr="00EE722D">
        <w:trPr>
          <w:gridAfter w:val="10"/>
          <w:wAfter w:w="3296" w:type="dxa"/>
          <w:cantSplit/>
        </w:trPr>
        <w:tc>
          <w:tcPr>
            <w:tcW w:w="6394" w:type="dxa"/>
            <w:gridSpan w:val="17"/>
            <w:tcBorders>
              <w:top w:val="nil"/>
              <w:left w:val="nil"/>
              <w:bottom w:val="nil"/>
              <w:right w:val="nil"/>
            </w:tcBorders>
            <w:shd w:val="clear" w:color="auto" w:fill="FFFFFF"/>
            <w:vAlign w:val="center"/>
          </w:tcPr>
          <w:p w14:paraId="1D9C768D"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Model Summary</w:t>
            </w:r>
            <w:r w:rsidRPr="00530906">
              <w:rPr>
                <w:rFonts w:ascii="Cambria" w:eastAsia="Times New Roman" w:hAnsi="Cambria" w:cs="Calibri"/>
                <w:b/>
                <w:bCs/>
                <w:color w:val="000000"/>
                <w:vertAlign w:val="superscript"/>
                <w:lang w:val="en-US"/>
              </w:rPr>
              <w:t>b</w:t>
            </w:r>
          </w:p>
        </w:tc>
      </w:tr>
      <w:tr w:rsidR="00C7217E" w:rsidRPr="00530906" w14:paraId="5C92F63A" w14:textId="77777777" w:rsidTr="00EE722D">
        <w:trPr>
          <w:gridAfter w:val="10"/>
          <w:wAfter w:w="3296" w:type="dxa"/>
          <w:cantSplit/>
        </w:trPr>
        <w:tc>
          <w:tcPr>
            <w:tcW w:w="905" w:type="dxa"/>
            <w:gridSpan w:val="3"/>
            <w:tcBorders>
              <w:top w:val="nil"/>
              <w:left w:val="nil"/>
              <w:bottom w:val="single" w:sz="8" w:space="0" w:color="152935"/>
              <w:right w:val="nil"/>
            </w:tcBorders>
            <w:shd w:val="clear" w:color="auto" w:fill="FFFFFF"/>
            <w:vAlign w:val="bottom"/>
          </w:tcPr>
          <w:p w14:paraId="4BF9AB0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68" w:type="dxa"/>
            <w:gridSpan w:val="2"/>
            <w:tcBorders>
              <w:top w:val="nil"/>
              <w:left w:val="nil"/>
              <w:bottom w:val="single" w:sz="8" w:space="0" w:color="152935"/>
              <w:right w:val="single" w:sz="8" w:space="0" w:color="E0E0E0"/>
            </w:tcBorders>
            <w:shd w:val="clear" w:color="auto" w:fill="FFFFFF"/>
            <w:vAlign w:val="bottom"/>
          </w:tcPr>
          <w:p w14:paraId="44222C3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w:t>
            </w:r>
          </w:p>
        </w:tc>
        <w:tc>
          <w:tcPr>
            <w:tcW w:w="1238" w:type="dxa"/>
            <w:gridSpan w:val="4"/>
            <w:tcBorders>
              <w:top w:val="nil"/>
              <w:left w:val="single" w:sz="8" w:space="0" w:color="E0E0E0"/>
              <w:bottom w:val="single" w:sz="8" w:space="0" w:color="152935"/>
              <w:right w:val="single" w:sz="8" w:space="0" w:color="E0E0E0"/>
            </w:tcBorders>
            <w:shd w:val="clear" w:color="auto" w:fill="FFFFFF"/>
            <w:vAlign w:val="bottom"/>
          </w:tcPr>
          <w:p w14:paraId="6E08090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 Square</w:t>
            </w:r>
          </w:p>
        </w:tc>
        <w:tc>
          <w:tcPr>
            <w:tcW w:w="1675" w:type="dxa"/>
            <w:gridSpan w:val="5"/>
            <w:tcBorders>
              <w:top w:val="nil"/>
              <w:left w:val="single" w:sz="8" w:space="0" w:color="E0E0E0"/>
              <w:bottom w:val="single" w:sz="8" w:space="0" w:color="152935"/>
              <w:right w:val="single" w:sz="8" w:space="0" w:color="E0E0E0"/>
            </w:tcBorders>
            <w:shd w:val="clear" w:color="auto" w:fill="FFFFFF"/>
            <w:vAlign w:val="bottom"/>
          </w:tcPr>
          <w:p w14:paraId="455069A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Adjusted R Square</w:t>
            </w:r>
          </w:p>
        </w:tc>
        <w:tc>
          <w:tcPr>
            <w:tcW w:w="1408" w:type="dxa"/>
            <w:gridSpan w:val="3"/>
            <w:tcBorders>
              <w:top w:val="nil"/>
              <w:left w:val="single" w:sz="8" w:space="0" w:color="E0E0E0"/>
              <w:bottom w:val="single" w:sz="8" w:space="0" w:color="152935"/>
              <w:right w:val="nil"/>
            </w:tcBorders>
            <w:shd w:val="clear" w:color="auto" w:fill="FFFFFF"/>
            <w:vAlign w:val="bottom"/>
          </w:tcPr>
          <w:p w14:paraId="38F2FAF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 of the Estimate</w:t>
            </w:r>
          </w:p>
        </w:tc>
      </w:tr>
      <w:tr w:rsidR="00C7217E" w:rsidRPr="00530906" w14:paraId="551C5EE6" w14:textId="77777777" w:rsidTr="00EE722D">
        <w:trPr>
          <w:gridAfter w:val="10"/>
          <w:wAfter w:w="3296" w:type="dxa"/>
          <w:cantSplit/>
        </w:trPr>
        <w:tc>
          <w:tcPr>
            <w:tcW w:w="905" w:type="dxa"/>
            <w:gridSpan w:val="3"/>
            <w:tcBorders>
              <w:top w:val="single" w:sz="8" w:space="0" w:color="152935"/>
              <w:left w:val="nil"/>
              <w:bottom w:val="single" w:sz="8" w:space="0" w:color="152935"/>
              <w:right w:val="nil"/>
            </w:tcBorders>
            <w:shd w:val="clear" w:color="auto" w:fill="E0E0E0"/>
          </w:tcPr>
          <w:p w14:paraId="0CFCEBC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168" w:type="dxa"/>
            <w:gridSpan w:val="2"/>
            <w:tcBorders>
              <w:top w:val="single" w:sz="8" w:space="0" w:color="152935"/>
              <w:left w:val="nil"/>
              <w:bottom w:val="single" w:sz="8" w:space="0" w:color="152935"/>
              <w:right w:val="single" w:sz="8" w:space="0" w:color="E0E0E0"/>
            </w:tcBorders>
            <w:shd w:val="clear" w:color="auto" w:fill="FFFFFF"/>
          </w:tcPr>
          <w:p w14:paraId="5DED3F6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.262</w:t>
            </w:r>
            <w:r w:rsidRPr="00530906">
              <w:rPr>
                <w:rFonts w:ascii="Cambria" w:eastAsia="Times New Roman" w:hAnsi="Cambria" w:cs="Calibri"/>
                <w:color w:val="000000"/>
                <w:sz w:val="18"/>
                <w:szCs w:val="18"/>
                <w:vertAlign w:val="superscript"/>
                <w:lang w:val="en-US"/>
              </w:rPr>
              <w:t>a</w:t>
            </w:r>
          </w:p>
        </w:tc>
        <w:tc>
          <w:tcPr>
            <w:tcW w:w="1238" w:type="dxa"/>
            <w:gridSpan w:val="4"/>
            <w:tcBorders>
              <w:top w:val="single" w:sz="8" w:space="0" w:color="152935"/>
              <w:left w:val="single" w:sz="8" w:space="0" w:color="E0E0E0"/>
              <w:bottom w:val="single" w:sz="8" w:space="0" w:color="152935"/>
              <w:right w:val="single" w:sz="8" w:space="0" w:color="E0E0E0"/>
            </w:tcBorders>
            <w:shd w:val="clear" w:color="auto" w:fill="FFFFFF"/>
          </w:tcPr>
          <w:p w14:paraId="71A628A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.069</w:t>
            </w:r>
          </w:p>
        </w:tc>
        <w:tc>
          <w:tcPr>
            <w:tcW w:w="1675" w:type="dxa"/>
            <w:gridSpan w:val="5"/>
            <w:tcBorders>
              <w:top w:val="single" w:sz="8" w:space="0" w:color="152935"/>
              <w:left w:val="single" w:sz="8" w:space="0" w:color="E0E0E0"/>
              <w:bottom w:val="single" w:sz="8" w:space="0" w:color="152935"/>
              <w:right w:val="single" w:sz="8" w:space="0" w:color="E0E0E0"/>
            </w:tcBorders>
            <w:shd w:val="clear" w:color="auto" w:fill="FFFFFF"/>
          </w:tcPr>
          <w:p w14:paraId="0E72B7D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.055</w:t>
            </w:r>
          </w:p>
        </w:tc>
        <w:tc>
          <w:tcPr>
            <w:tcW w:w="1408" w:type="dxa"/>
            <w:gridSpan w:val="3"/>
            <w:tcBorders>
              <w:top w:val="single" w:sz="8" w:space="0" w:color="152935"/>
              <w:left w:val="single" w:sz="8" w:space="0" w:color="E0E0E0"/>
              <w:bottom w:val="single" w:sz="8" w:space="0" w:color="152935"/>
              <w:right w:val="nil"/>
            </w:tcBorders>
            <w:shd w:val="clear" w:color="auto" w:fill="FFFFFF"/>
          </w:tcPr>
          <w:p w14:paraId="62042C1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.85100</w:t>
            </w:r>
          </w:p>
        </w:tc>
      </w:tr>
      <w:tr w:rsidR="00C7217E" w:rsidRPr="00530906" w14:paraId="66FB7B00" w14:textId="77777777" w:rsidTr="00EE722D">
        <w:trPr>
          <w:gridAfter w:val="10"/>
          <w:wAfter w:w="3296" w:type="dxa"/>
          <w:cantSplit/>
        </w:trPr>
        <w:tc>
          <w:tcPr>
            <w:tcW w:w="6394" w:type="dxa"/>
            <w:gridSpan w:val="17"/>
            <w:tcBorders>
              <w:top w:val="nil"/>
              <w:left w:val="nil"/>
              <w:bottom w:val="nil"/>
              <w:right w:val="nil"/>
            </w:tcBorders>
            <w:shd w:val="clear" w:color="auto" w:fill="FFFFFF"/>
          </w:tcPr>
          <w:p w14:paraId="3C7170A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Predictors: (Constant), Mental fluency, Engrossment, Image quality, Self–projection</w:t>
            </w:r>
          </w:p>
        </w:tc>
      </w:tr>
      <w:tr w:rsidR="00C7217E" w:rsidRPr="00530906" w14:paraId="25164653" w14:textId="77777777" w:rsidTr="00EE722D">
        <w:trPr>
          <w:gridAfter w:val="10"/>
          <w:wAfter w:w="3296" w:type="dxa"/>
          <w:cantSplit/>
        </w:trPr>
        <w:tc>
          <w:tcPr>
            <w:tcW w:w="6394" w:type="dxa"/>
            <w:gridSpan w:val="17"/>
            <w:tcBorders>
              <w:top w:val="nil"/>
              <w:left w:val="nil"/>
              <w:bottom w:val="nil"/>
              <w:right w:val="nil"/>
            </w:tcBorders>
            <w:shd w:val="clear" w:color="auto" w:fill="FFFFFF"/>
          </w:tcPr>
          <w:p w14:paraId="58AAA20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Dependent Variable: Dominance</w:t>
            </w:r>
          </w:p>
        </w:tc>
      </w:tr>
      <w:tr w:rsidR="00C7217E" w:rsidRPr="00530906" w14:paraId="7DC823ED" w14:textId="77777777" w:rsidTr="00EE722D">
        <w:trPr>
          <w:gridAfter w:val="3"/>
          <w:wAfter w:w="1084" w:type="dxa"/>
          <w:cantSplit/>
        </w:trPr>
        <w:tc>
          <w:tcPr>
            <w:tcW w:w="8606" w:type="dxa"/>
            <w:gridSpan w:val="24"/>
            <w:tcBorders>
              <w:top w:val="nil"/>
              <w:left w:val="nil"/>
              <w:bottom w:val="nil"/>
              <w:right w:val="nil"/>
            </w:tcBorders>
            <w:shd w:val="clear" w:color="auto" w:fill="FFFFFF"/>
            <w:vAlign w:val="center"/>
          </w:tcPr>
          <w:p w14:paraId="6294B3F2"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ANOVA</w:t>
            </w:r>
            <w:r w:rsidRPr="00530906">
              <w:rPr>
                <w:rFonts w:ascii="Cambria" w:eastAsia="Times New Roman" w:hAnsi="Cambria" w:cs="Calibri"/>
                <w:b/>
                <w:bCs/>
                <w:color w:val="000000"/>
                <w:vertAlign w:val="superscript"/>
                <w:lang w:val="en-US"/>
              </w:rPr>
              <w:t>a</w:t>
            </w:r>
          </w:p>
        </w:tc>
      </w:tr>
      <w:tr w:rsidR="00C7217E" w:rsidRPr="00530906" w14:paraId="3B70C33D" w14:textId="77777777" w:rsidTr="00EE722D">
        <w:trPr>
          <w:gridAfter w:val="3"/>
          <w:wAfter w:w="1084" w:type="dxa"/>
          <w:cantSplit/>
        </w:trPr>
        <w:tc>
          <w:tcPr>
            <w:tcW w:w="2298" w:type="dxa"/>
            <w:gridSpan w:val="7"/>
            <w:tcBorders>
              <w:top w:val="nil"/>
              <w:left w:val="nil"/>
              <w:bottom w:val="single" w:sz="8" w:space="0" w:color="152935"/>
              <w:right w:val="nil"/>
            </w:tcBorders>
            <w:shd w:val="clear" w:color="auto" w:fill="FFFFFF"/>
            <w:vAlign w:val="bottom"/>
          </w:tcPr>
          <w:p w14:paraId="0217333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675" w:type="dxa"/>
            <w:gridSpan w:val="4"/>
            <w:tcBorders>
              <w:top w:val="nil"/>
              <w:left w:val="nil"/>
              <w:bottom w:val="single" w:sz="8" w:space="0" w:color="152935"/>
              <w:right w:val="single" w:sz="8" w:space="0" w:color="E0E0E0"/>
            </w:tcBorders>
            <w:shd w:val="clear" w:color="auto" w:fill="FFFFFF"/>
            <w:vAlign w:val="bottom"/>
          </w:tcPr>
          <w:p w14:paraId="4F1458B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Sum of Squares</w:t>
            </w:r>
          </w:p>
        </w:tc>
        <w:tc>
          <w:tcPr>
            <w:tcW w:w="1169" w:type="dxa"/>
            <w:gridSpan w:val="4"/>
            <w:tcBorders>
              <w:top w:val="nil"/>
              <w:left w:val="single" w:sz="8" w:space="0" w:color="E0E0E0"/>
              <w:bottom w:val="single" w:sz="8" w:space="0" w:color="152935"/>
              <w:right w:val="single" w:sz="8" w:space="0" w:color="E0E0E0"/>
            </w:tcBorders>
            <w:shd w:val="clear" w:color="auto" w:fill="FFFFFF"/>
            <w:vAlign w:val="bottom"/>
          </w:tcPr>
          <w:p w14:paraId="5A9B290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df</w:t>
            </w:r>
          </w:p>
        </w:tc>
        <w:tc>
          <w:tcPr>
            <w:tcW w:w="1338" w:type="dxa"/>
            <w:gridSpan w:val="3"/>
            <w:tcBorders>
              <w:top w:val="nil"/>
              <w:left w:val="single" w:sz="8" w:space="0" w:color="E0E0E0"/>
              <w:bottom w:val="single" w:sz="8" w:space="0" w:color="152935"/>
              <w:right w:val="single" w:sz="8" w:space="0" w:color="E0E0E0"/>
            </w:tcBorders>
            <w:shd w:val="clear" w:color="auto" w:fill="FFFFFF"/>
            <w:vAlign w:val="bottom"/>
          </w:tcPr>
          <w:p w14:paraId="0D8137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Mean Square</w:t>
            </w:r>
          </w:p>
        </w:tc>
        <w:tc>
          <w:tcPr>
            <w:tcW w:w="957" w:type="dxa"/>
            <w:gridSpan w:val="3"/>
            <w:tcBorders>
              <w:top w:val="nil"/>
              <w:left w:val="single" w:sz="8" w:space="0" w:color="E0E0E0"/>
              <w:bottom w:val="single" w:sz="8" w:space="0" w:color="152935"/>
              <w:right w:val="single" w:sz="8" w:space="0" w:color="E0E0E0"/>
            </w:tcBorders>
            <w:shd w:val="clear" w:color="auto" w:fill="FFFFFF"/>
            <w:vAlign w:val="bottom"/>
          </w:tcPr>
          <w:p w14:paraId="312BA03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F</w:t>
            </w:r>
          </w:p>
        </w:tc>
        <w:tc>
          <w:tcPr>
            <w:tcW w:w="1169" w:type="dxa"/>
            <w:gridSpan w:val="3"/>
            <w:tcBorders>
              <w:top w:val="nil"/>
              <w:left w:val="single" w:sz="8" w:space="0" w:color="E0E0E0"/>
              <w:bottom w:val="single" w:sz="8" w:space="0" w:color="152935"/>
              <w:right w:val="nil"/>
            </w:tcBorders>
            <w:shd w:val="clear" w:color="auto" w:fill="FFFFFF"/>
            <w:vAlign w:val="bottom"/>
          </w:tcPr>
          <w:p w14:paraId="71AE013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r>
      <w:tr w:rsidR="00C7217E" w:rsidRPr="00530906" w14:paraId="5500AC90" w14:textId="77777777" w:rsidTr="00EE722D">
        <w:trPr>
          <w:gridAfter w:val="3"/>
          <w:wAfter w:w="1084" w:type="dxa"/>
          <w:cantSplit/>
        </w:trPr>
        <w:tc>
          <w:tcPr>
            <w:tcW w:w="833" w:type="dxa"/>
            <w:gridSpan w:val="2"/>
            <w:vMerge w:val="restart"/>
            <w:tcBorders>
              <w:top w:val="single" w:sz="8" w:space="0" w:color="152935"/>
              <w:left w:val="nil"/>
              <w:bottom w:val="single" w:sz="8" w:space="0" w:color="152935"/>
              <w:right w:val="nil"/>
            </w:tcBorders>
            <w:shd w:val="clear" w:color="auto" w:fill="E0E0E0"/>
          </w:tcPr>
          <w:p w14:paraId="6FFEE08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465" w:type="dxa"/>
            <w:gridSpan w:val="5"/>
            <w:tcBorders>
              <w:top w:val="single" w:sz="8" w:space="0" w:color="152935"/>
              <w:left w:val="nil"/>
              <w:bottom w:val="single" w:sz="8" w:space="0" w:color="AEAEAE"/>
              <w:right w:val="nil"/>
            </w:tcBorders>
            <w:shd w:val="clear" w:color="auto" w:fill="E0E0E0"/>
          </w:tcPr>
          <w:p w14:paraId="1FF8DEC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Regression</w:t>
            </w:r>
          </w:p>
        </w:tc>
        <w:tc>
          <w:tcPr>
            <w:tcW w:w="1675" w:type="dxa"/>
            <w:gridSpan w:val="4"/>
            <w:tcBorders>
              <w:top w:val="single" w:sz="8" w:space="0" w:color="152935"/>
              <w:left w:val="nil"/>
              <w:bottom w:val="single" w:sz="8" w:space="0" w:color="AEAEAE"/>
              <w:right w:val="single" w:sz="8" w:space="0" w:color="E0E0E0"/>
            </w:tcBorders>
            <w:shd w:val="clear" w:color="auto" w:fill="FFFFFF"/>
          </w:tcPr>
          <w:p w14:paraId="29867D0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14.676</w:t>
            </w:r>
          </w:p>
        </w:tc>
        <w:tc>
          <w:tcPr>
            <w:tcW w:w="1169" w:type="dxa"/>
            <w:gridSpan w:val="4"/>
            <w:tcBorders>
              <w:top w:val="single" w:sz="8" w:space="0" w:color="152935"/>
              <w:left w:val="single" w:sz="8" w:space="0" w:color="E0E0E0"/>
              <w:bottom w:val="single" w:sz="8" w:space="0" w:color="AEAEAE"/>
              <w:right w:val="single" w:sz="8" w:space="0" w:color="E0E0E0"/>
            </w:tcBorders>
            <w:shd w:val="clear" w:color="auto" w:fill="FFFFFF"/>
          </w:tcPr>
          <w:p w14:paraId="2777A3D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w:t>
            </w:r>
          </w:p>
        </w:tc>
        <w:tc>
          <w:tcPr>
            <w:tcW w:w="13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33D4C28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3.669</w:t>
            </w:r>
          </w:p>
        </w:tc>
        <w:tc>
          <w:tcPr>
            <w:tcW w:w="957" w:type="dxa"/>
            <w:gridSpan w:val="3"/>
            <w:tcBorders>
              <w:top w:val="single" w:sz="8" w:space="0" w:color="152935"/>
              <w:left w:val="single" w:sz="8" w:space="0" w:color="E0E0E0"/>
              <w:bottom w:val="single" w:sz="8" w:space="0" w:color="AEAEAE"/>
              <w:right w:val="single" w:sz="8" w:space="0" w:color="E0E0E0"/>
            </w:tcBorders>
            <w:shd w:val="clear" w:color="auto" w:fill="FFFFFF"/>
          </w:tcPr>
          <w:p w14:paraId="0437659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5.066</w:t>
            </w:r>
          </w:p>
        </w:tc>
        <w:tc>
          <w:tcPr>
            <w:tcW w:w="1169" w:type="dxa"/>
            <w:gridSpan w:val="3"/>
            <w:tcBorders>
              <w:top w:val="single" w:sz="8" w:space="0" w:color="152935"/>
              <w:left w:val="single" w:sz="8" w:space="0" w:color="E0E0E0"/>
              <w:bottom w:val="single" w:sz="8" w:space="0" w:color="AEAEAE"/>
              <w:right w:val="nil"/>
            </w:tcBorders>
            <w:shd w:val="clear" w:color="auto" w:fill="FFFFFF"/>
          </w:tcPr>
          <w:p w14:paraId="5C416D0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.001</w:t>
            </w:r>
            <w:r w:rsidRPr="00530906">
              <w:rPr>
                <w:rFonts w:ascii="Cambria" w:eastAsia="Times New Roman" w:hAnsi="Cambria" w:cs="Calibri"/>
                <w:color w:val="000000"/>
                <w:sz w:val="18"/>
                <w:szCs w:val="18"/>
                <w:vertAlign w:val="superscript"/>
                <w:lang w:val="en-US"/>
              </w:rPr>
              <w:t>b</w:t>
            </w:r>
          </w:p>
        </w:tc>
      </w:tr>
      <w:tr w:rsidR="00C7217E" w:rsidRPr="00530906" w14:paraId="58B8D926" w14:textId="77777777" w:rsidTr="00EE722D">
        <w:trPr>
          <w:gridAfter w:val="3"/>
          <w:wAfter w:w="1084" w:type="dxa"/>
          <w:cantSplit/>
        </w:trPr>
        <w:tc>
          <w:tcPr>
            <w:tcW w:w="833" w:type="dxa"/>
            <w:gridSpan w:val="2"/>
            <w:vMerge/>
            <w:tcBorders>
              <w:top w:val="single" w:sz="8" w:space="0" w:color="152935"/>
              <w:left w:val="nil"/>
              <w:bottom w:val="single" w:sz="8" w:space="0" w:color="152935"/>
              <w:right w:val="nil"/>
            </w:tcBorders>
            <w:shd w:val="clear" w:color="auto" w:fill="E0E0E0"/>
          </w:tcPr>
          <w:p w14:paraId="15E8F64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465" w:type="dxa"/>
            <w:gridSpan w:val="5"/>
            <w:tcBorders>
              <w:top w:val="single" w:sz="8" w:space="0" w:color="AEAEAE"/>
              <w:left w:val="nil"/>
              <w:bottom w:val="single" w:sz="8" w:space="0" w:color="AEAEAE"/>
              <w:right w:val="nil"/>
            </w:tcBorders>
            <w:shd w:val="clear" w:color="auto" w:fill="E0E0E0"/>
          </w:tcPr>
          <w:p w14:paraId="253D56E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Residual</w:t>
            </w:r>
          </w:p>
        </w:tc>
        <w:tc>
          <w:tcPr>
            <w:tcW w:w="1675" w:type="dxa"/>
            <w:gridSpan w:val="4"/>
            <w:tcBorders>
              <w:top w:val="single" w:sz="8" w:space="0" w:color="AEAEAE"/>
              <w:left w:val="nil"/>
              <w:bottom w:val="single" w:sz="8" w:space="0" w:color="AEAEAE"/>
              <w:right w:val="single" w:sz="8" w:space="0" w:color="E0E0E0"/>
            </w:tcBorders>
            <w:shd w:val="clear" w:color="auto" w:fill="FFFFFF"/>
          </w:tcPr>
          <w:p w14:paraId="3D3B32C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198.432</w:t>
            </w:r>
          </w:p>
        </w:tc>
        <w:tc>
          <w:tcPr>
            <w:tcW w:w="1169" w:type="dxa"/>
            <w:gridSpan w:val="4"/>
            <w:tcBorders>
              <w:top w:val="single" w:sz="8" w:space="0" w:color="AEAEAE"/>
              <w:left w:val="single" w:sz="8" w:space="0" w:color="E0E0E0"/>
              <w:bottom w:val="single" w:sz="8" w:space="0" w:color="AEAEAE"/>
              <w:right w:val="single" w:sz="8" w:space="0" w:color="E0E0E0"/>
            </w:tcBorders>
            <w:shd w:val="clear" w:color="auto" w:fill="FFFFFF"/>
          </w:tcPr>
          <w:p w14:paraId="2318073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274</w:t>
            </w:r>
          </w:p>
        </w:tc>
        <w:tc>
          <w:tcPr>
            <w:tcW w:w="13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6BD9735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.724</w:t>
            </w:r>
          </w:p>
        </w:tc>
        <w:tc>
          <w:tcPr>
            <w:tcW w:w="957" w:type="dxa"/>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14:paraId="1029B5F5"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169" w:type="dxa"/>
            <w:gridSpan w:val="3"/>
            <w:tcBorders>
              <w:top w:val="single" w:sz="8" w:space="0" w:color="AEAEAE"/>
              <w:left w:val="single" w:sz="8" w:space="0" w:color="E0E0E0"/>
              <w:bottom w:val="single" w:sz="8" w:space="0" w:color="AEAEAE"/>
              <w:right w:val="nil"/>
            </w:tcBorders>
            <w:shd w:val="clear" w:color="auto" w:fill="FFFFFF"/>
            <w:vAlign w:val="center"/>
          </w:tcPr>
          <w:p w14:paraId="2B362F1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0B9466DB" w14:textId="77777777" w:rsidTr="00EE722D">
        <w:trPr>
          <w:gridAfter w:val="3"/>
          <w:wAfter w:w="1084" w:type="dxa"/>
          <w:cantSplit/>
        </w:trPr>
        <w:tc>
          <w:tcPr>
            <w:tcW w:w="833" w:type="dxa"/>
            <w:gridSpan w:val="2"/>
            <w:vMerge/>
            <w:tcBorders>
              <w:top w:val="single" w:sz="8" w:space="0" w:color="152935"/>
              <w:left w:val="nil"/>
              <w:bottom w:val="single" w:sz="8" w:space="0" w:color="152935"/>
              <w:right w:val="nil"/>
            </w:tcBorders>
            <w:shd w:val="clear" w:color="auto" w:fill="E0E0E0"/>
          </w:tcPr>
          <w:p w14:paraId="466F5A33"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465" w:type="dxa"/>
            <w:gridSpan w:val="5"/>
            <w:tcBorders>
              <w:top w:val="single" w:sz="8" w:space="0" w:color="AEAEAE"/>
              <w:left w:val="nil"/>
              <w:bottom w:val="single" w:sz="8" w:space="0" w:color="152935"/>
              <w:right w:val="nil"/>
            </w:tcBorders>
            <w:shd w:val="clear" w:color="auto" w:fill="E0E0E0"/>
          </w:tcPr>
          <w:p w14:paraId="38E436B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Total</w:t>
            </w:r>
          </w:p>
        </w:tc>
        <w:tc>
          <w:tcPr>
            <w:tcW w:w="1675" w:type="dxa"/>
            <w:gridSpan w:val="4"/>
            <w:tcBorders>
              <w:top w:val="single" w:sz="8" w:space="0" w:color="AEAEAE"/>
              <w:left w:val="nil"/>
              <w:bottom w:val="single" w:sz="8" w:space="0" w:color="152935"/>
              <w:right w:val="single" w:sz="8" w:space="0" w:color="E0E0E0"/>
            </w:tcBorders>
            <w:shd w:val="clear" w:color="auto" w:fill="FFFFFF"/>
          </w:tcPr>
          <w:p w14:paraId="2614ACD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213.108</w:t>
            </w:r>
          </w:p>
        </w:tc>
        <w:tc>
          <w:tcPr>
            <w:tcW w:w="1169" w:type="dxa"/>
            <w:gridSpan w:val="4"/>
            <w:tcBorders>
              <w:top w:val="single" w:sz="8" w:space="0" w:color="AEAEAE"/>
              <w:left w:val="single" w:sz="8" w:space="0" w:color="E0E0E0"/>
              <w:bottom w:val="single" w:sz="8" w:space="0" w:color="152935"/>
              <w:right w:val="single" w:sz="8" w:space="0" w:color="E0E0E0"/>
            </w:tcBorders>
            <w:shd w:val="clear" w:color="auto" w:fill="FFFFFF"/>
          </w:tcPr>
          <w:p w14:paraId="0237156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278</w:t>
            </w:r>
          </w:p>
        </w:tc>
        <w:tc>
          <w:tcPr>
            <w:tcW w:w="1338"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163C3EAD"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957"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203D1FCF"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169" w:type="dxa"/>
            <w:gridSpan w:val="3"/>
            <w:tcBorders>
              <w:top w:val="single" w:sz="8" w:space="0" w:color="AEAEAE"/>
              <w:left w:val="single" w:sz="8" w:space="0" w:color="E0E0E0"/>
              <w:bottom w:val="single" w:sz="8" w:space="0" w:color="152935"/>
              <w:right w:val="nil"/>
            </w:tcBorders>
            <w:shd w:val="clear" w:color="auto" w:fill="FFFFFF"/>
            <w:vAlign w:val="center"/>
          </w:tcPr>
          <w:p w14:paraId="63FA121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7C66FA9A" w14:textId="77777777" w:rsidTr="00EE722D">
        <w:trPr>
          <w:gridAfter w:val="3"/>
          <w:wAfter w:w="1084" w:type="dxa"/>
          <w:cantSplit/>
        </w:trPr>
        <w:tc>
          <w:tcPr>
            <w:tcW w:w="8606" w:type="dxa"/>
            <w:gridSpan w:val="24"/>
            <w:tcBorders>
              <w:top w:val="nil"/>
              <w:left w:val="nil"/>
              <w:bottom w:val="nil"/>
              <w:right w:val="nil"/>
            </w:tcBorders>
            <w:shd w:val="clear" w:color="auto" w:fill="FFFFFF"/>
          </w:tcPr>
          <w:p w14:paraId="573A8E0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Dominance</w:t>
            </w:r>
          </w:p>
        </w:tc>
      </w:tr>
      <w:tr w:rsidR="00C7217E" w:rsidRPr="00530906" w14:paraId="0CA32558" w14:textId="77777777" w:rsidTr="00EE722D">
        <w:trPr>
          <w:gridAfter w:val="3"/>
          <w:wAfter w:w="1084" w:type="dxa"/>
          <w:cantSplit/>
        </w:trPr>
        <w:tc>
          <w:tcPr>
            <w:tcW w:w="8606" w:type="dxa"/>
            <w:gridSpan w:val="24"/>
            <w:tcBorders>
              <w:top w:val="nil"/>
              <w:left w:val="nil"/>
              <w:bottom w:val="nil"/>
              <w:right w:val="nil"/>
            </w:tcBorders>
            <w:shd w:val="clear" w:color="auto" w:fill="FFFFFF"/>
          </w:tcPr>
          <w:p w14:paraId="15A8ED4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Predictors: (Constant), Mental fluency, Engrossment, Image quality, Self–projection</w:t>
            </w:r>
          </w:p>
        </w:tc>
      </w:tr>
      <w:tr w:rsidR="00C7217E" w:rsidRPr="00530906" w14:paraId="45780163" w14:textId="77777777" w:rsidTr="00EE722D">
        <w:trPr>
          <w:cantSplit/>
        </w:trPr>
        <w:tc>
          <w:tcPr>
            <w:tcW w:w="9690" w:type="dxa"/>
            <w:gridSpan w:val="27"/>
            <w:tcBorders>
              <w:top w:val="nil"/>
              <w:left w:val="nil"/>
              <w:bottom w:val="nil"/>
              <w:right w:val="nil"/>
            </w:tcBorders>
            <w:shd w:val="clear" w:color="auto" w:fill="FFFFFF"/>
            <w:vAlign w:val="center"/>
          </w:tcPr>
          <w:p w14:paraId="69DC5A10"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Coefficients</w:t>
            </w:r>
            <w:r w:rsidRPr="00530906">
              <w:rPr>
                <w:rFonts w:ascii="Cambria" w:eastAsia="Times New Roman" w:hAnsi="Cambria" w:cs="Calibri"/>
                <w:b/>
                <w:bCs/>
                <w:color w:val="000000"/>
                <w:vertAlign w:val="superscript"/>
                <w:lang w:val="en-US"/>
              </w:rPr>
              <w:t>a</w:t>
            </w:r>
          </w:p>
        </w:tc>
      </w:tr>
      <w:tr w:rsidR="00C7217E" w:rsidRPr="00530906" w14:paraId="1AB1BCDF" w14:textId="77777777" w:rsidTr="00EE722D">
        <w:trPr>
          <w:gridAfter w:val="1"/>
          <w:wAfter w:w="18" w:type="dxa"/>
          <w:cantSplit/>
        </w:trPr>
        <w:tc>
          <w:tcPr>
            <w:tcW w:w="1707" w:type="dxa"/>
            <w:gridSpan w:val="4"/>
            <w:vMerge w:val="restart"/>
            <w:tcBorders>
              <w:top w:val="nil"/>
              <w:left w:val="nil"/>
              <w:bottom w:val="nil"/>
              <w:right w:val="nil"/>
            </w:tcBorders>
            <w:shd w:val="clear" w:color="auto" w:fill="FFFFFF"/>
            <w:vAlign w:val="bottom"/>
          </w:tcPr>
          <w:p w14:paraId="27DA0A2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260" w:type="dxa"/>
            <w:gridSpan w:val="4"/>
            <w:tcBorders>
              <w:top w:val="nil"/>
              <w:left w:val="nil"/>
              <w:bottom w:val="nil"/>
              <w:right w:val="single" w:sz="8" w:space="0" w:color="E0E0E0"/>
            </w:tcBorders>
            <w:shd w:val="clear" w:color="auto" w:fill="FFFFFF"/>
            <w:vAlign w:val="bottom"/>
          </w:tcPr>
          <w:p w14:paraId="72C5710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1B8E367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39CB74A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4D47F2B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c>
          <w:tcPr>
            <w:tcW w:w="1574" w:type="dxa"/>
            <w:gridSpan w:val="6"/>
            <w:tcBorders>
              <w:top w:val="nil"/>
              <w:left w:val="single" w:sz="8" w:space="0" w:color="E0E0E0"/>
              <w:bottom w:val="nil"/>
              <w:right w:val="single" w:sz="8" w:space="0" w:color="E0E0E0"/>
            </w:tcBorders>
            <w:shd w:val="clear" w:color="auto" w:fill="FFFFFF"/>
            <w:vAlign w:val="bottom"/>
          </w:tcPr>
          <w:p w14:paraId="5C36C5C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95.0% Confidence Interval for B</w:t>
            </w:r>
          </w:p>
        </w:tc>
        <w:tc>
          <w:tcPr>
            <w:tcW w:w="1890" w:type="dxa"/>
            <w:gridSpan w:val="4"/>
            <w:tcBorders>
              <w:top w:val="nil"/>
              <w:left w:val="single" w:sz="8" w:space="0" w:color="E0E0E0"/>
              <w:bottom w:val="nil"/>
              <w:right w:val="single" w:sz="8" w:space="0" w:color="E0E0E0"/>
            </w:tcBorders>
            <w:shd w:val="clear" w:color="auto" w:fill="FFFFFF"/>
            <w:vAlign w:val="bottom"/>
          </w:tcPr>
          <w:p w14:paraId="3C4E035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Correlations</w:t>
            </w:r>
          </w:p>
        </w:tc>
        <w:tc>
          <w:tcPr>
            <w:tcW w:w="1261" w:type="dxa"/>
            <w:gridSpan w:val="3"/>
            <w:tcBorders>
              <w:top w:val="nil"/>
              <w:left w:val="single" w:sz="8" w:space="0" w:color="E0E0E0"/>
              <w:bottom w:val="nil"/>
              <w:right w:val="nil"/>
            </w:tcBorders>
            <w:shd w:val="clear" w:color="auto" w:fill="FFFFFF"/>
            <w:vAlign w:val="bottom"/>
          </w:tcPr>
          <w:p w14:paraId="17E3D6B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Collinearity Statistics</w:t>
            </w:r>
          </w:p>
        </w:tc>
      </w:tr>
      <w:tr w:rsidR="00D905F9" w:rsidRPr="00530906" w14:paraId="2AC8D767" w14:textId="77777777" w:rsidTr="00A41CEA">
        <w:trPr>
          <w:gridAfter w:val="1"/>
          <w:wAfter w:w="18" w:type="dxa"/>
          <w:cantSplit/>
        </w:trPr>
        <w:tc>
          <w:tcPr>
            <w:tcW w:w="1707" w:type="dxa"/>
            <w:gridSpan w:val="4"/>
            <w:vMerge/>
            <w:tcBorders>
              <w:top w:val="nil"/>
              <w:left w:val="nil"/>
              <w:bottom w:val="nil"/>
              <w:right w:val="nil"/>
            </w:tcBorders>
            <w:shd w:val="clear" w:color="auto" w:fill="FFFFFF"/>
            <w:vAlign w:val="bottom"/>
          </w:tcPr>
          <w:p w14:paraId="2FA770E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540" w:type="dxa"/>
            <w:gridSpan w:val="2"/>
            <w:tcBorders>
              <w:top w:val="nil"/>
              <w:left w:val="nil"/>
              <w:bottom w:val="single" w:sz="8" w:space="0" w:color="152935"/>
              <w:right w:val="single" w:sz="8" w:space="0" w:color="E0E0E0"/>
            </w:tcBorders>
            <w:shd w:val="clear" w:color="auto" w:fill="FFFFFF"/>
            <w:vAlign w:val="bottom"/>
          </w:tcPr>
          <w:p w14:paraId="45A443F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w:t>
            </w: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49D0049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4C4DE97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6402E37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5DDDD0A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721" w:type="dxa"/>
            <w:gridSpan w:val="3"/>
            <w:tcBorders>
              <w:top w:val="nil"/>
              <w:left w:val="single" w:sz="8" w:space="0" w:color="E0E0E0"/>
              <w:bottom w:val="single" w:sz="8" w:space="0" w:color="152935"/>
              <w:right w:val="single" w:sz="8" w:space="0" w:color="E0E0E0"/>
            </w:tcBorders>
            <w:shd w:val="clear" w:color="auto" w:fill="FFFFFF"/>
            <w:vAlign w:val="bottom"/>
          </w:tcPr>
          <w:p w14:paraId="219B8BB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Lower Bound</w:t>
            </w:r>
          </w:p>
        </w:tc>
        <w:tc>
          <w:tcPr>
            <w:tcW w:w="853" w:type="dxa"/>
            <w:gridSpan w:val="3"/>
            <w:tcBorders>
              <w:top w:val="nil"/>
              <w:left w:val="single" w:sz="8" w:space="0" w:color="E0E0E0"/>
              <w:bottom w:val="single" w:sz="8" w:space="0" w:color="152935"/>
              <w:right w:val="single" w:sz="8" w:space="0" w:color="E0E0E0"/>
            </w:tcBorders>
            <w:shd w:val="clear" w:color="auto" w:fill="FFFFFF"/>
            <w:vAlign w:val="bottom"/>
          </w:tcPr>
          <w:p w14:paraId="674C940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Upper Bound</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7FD867A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2C0D3C9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12DA85A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w:t>
            </w:r>
          </w:p>
        </w:tc>
        <w:tc>
          <w:tcPr>
            <w:tcW w:w="810" w:type="dxa"/>
            <w:gridSpan w:val="2"/>
            <w:tcBorders>
              <w:top w:val="nil"/>
              <w:left w:val="single" w:sz="8" w:space="0" w:color="E0E0E0"/>
              <w:bottom w:val="single" w:sz="8" w:space="0" w:color="152935"/>
              <w:right w:val="single" w:sz="8" w:space="0" w:color="E0E0E0"/>
            </w:tcBorders>
            <w:shd w:val="clear" w:color="auto" w:fill="FFFFFF"/>
            <w:vAlign w:val="bottom"/>
          </w:tcPr>
          <w:p w14:paraId="64457FB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Tolerance</w:t>
            </w:r>
          </w:p>
        </w:tc>
        <w:tc>
          <w:tcPr>
            <w:tcW w:w="451" w:type="dxa"/>
            <w:tcBorders>
              <w:top w:val="nil"/>
              <w:left w:val="single" w:sz="8" w:space="0" w:color="E0E0E0"/>
              <w:bottom w:val="single" w:sz="8" w:space="0" w:color="152935"/>
              <w:right w:val="nil"/>
            </w:tcBorders>
            <w:shd w:val="clear" w:color="auto" w:fill="FFFFFF"/>
            <w:vAlign w:val="bottom"/>
          </w:tcPr>
          <w:p w14:paraId="5940ECC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VIF</w:t>
            </w:r>
          </w:p>
        </w:tc>
      </w:tr>
      <w:tr w:rsidR="00D905F9" w:rsidRPr="00530906" w14:paraId="0F511BEA" w14:textId="77777777" w:rsidTr="00A41CEA">
        <w:trPr>
          <w:gridAfter w:val="1"/>
          <w:wAfter w:w="18" w:type="dxa"/>
          <w:cantSplit/>
        </w:trPr>
        <w:tc>
          <w:tcPr>
            <w:tcW w:w="178" w:type="dxa"/>
            <w:vMerge w:val="restart"/>
            <w:tcBorders>
              <w:top w:val="single" w:sz="8" w:space="0" w:color="152935"/>
              <w:left w:val="nil"/>
              <w:bottom w:val="single" w:sz="8" w:space="0" w:color="152935"/>
              <w:right w:val="nil"/>
            </w:tcBorders>
            <w:shd w:val="clear" w:color="auto" w:fill="E0E0E0"/>
          </w:tcPr>
          <w:p w14:paraId="75FC51F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529" w:type="dxa"/>
            <w:gridSpan w:val="3"/>
            <w:tcBorders>
              <w:top w:val="single" w:sz="8" w:space="0" w:color="152935"/>
              <w:left w:val="nil"/>
              <w:bottom w:val="single" w:sz="8" w:space="0" w:color="AEAEAE"/>
              <w:right w:val="nil"/>
            </w:tcBorders>
            <w:shd w:val="clear" w:color="auto" w:fill="E0E0E0"/>
          </w:tcPr>
          <w:p w14:paraId="6BE1A93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(Constant)</w:t>
            </w:r>
          </w:p>
        </w:tc>
        <w:tc>
          <w:tcPr>
            <w:tcW w:w="540" w:type="dxa"/>
            <w:gridSpan w:val="2"/>
            <w:tcBorders>
              <w:top w:val="single" w:sz="8" w:space="0" w:color="152935"/>
              <w:left w:val="nil"/>
              <w:bottom w:val="single" w:sz="8" w:space="0" w:color="AEAEAE"/>
              <w:right w:val="single" w:sz="8" w:space="0" w:color="E0E0E0"/>
            </w:tcBorders>
            <w:shd w:val="clear" w:color="auto" w:fill="FFFFFF"/>
          </w:tcPr>
          <w:p w14:paraId="4B25118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3.511</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81E0F3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.191</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43B2432"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BE8833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18.403</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31FF4BF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721" w:type="dxa"/>
            <w:gridSpan w:val="3"/>
            <w:tcBorders>
              <w:top w:val="single" w:sz="8" w:space="0" w:color="152935"/>
              <w:left w:val="single" w:sz="8" w:space="0" w:color="E0E0E0"/>
              <w:bottom w:val="single" w:sz="8" w:space="0" w:color="AEAEAE"/>
              <w:right w:val="single" w:sz="8" w:space="0" w:color="E0E0E0"/>
            </w:tcBorders>
            <w:shd w:val="clear" w:color="auto" w:fill="FFFFFF"/>
          </w:tcPr>
          <w:p w14:paraId="2A1150C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3.135</w:t>
            </w:r>
          </w:p>
        </w:tc>
        <w:tc>
          <w:tcPr>
            <w:tcW w:w="853" w:type="dxa"/>
            <w:gridSpan w:val="3"/>
            <w:tcBorders>
              <w:top w:val="single" w:sz="8" w:space="0" w:color="152935"/>
              <w:left w:val="single" w:sz="8" w:space="0" w:color="E0E0E0"/>
              <w:bottom w:val="single" w:sz="8" w:space="0" w:color="AEAEAE"/>
              <w:right w:val="single" w:sz="8" w:space="0" w:color="E0E0E0"/>
            </w:tcBorders>
            <w:shd w:val="clear" w:color="auto" w:fill="FFFFFF"/>
          </w:tcPr>
          <w:p w14:paraId="75543E7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3.886</w:t>
            </w:r>
          </w:p>
        </w:tc>
        <w:tc>
          <w:tcPr>
            <w:tcW w:w="90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BEDAEE7"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85BB301"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EEF418"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81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A17288A"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51" w:type="dxa"/>
            <w:tcBorders>
              <w:top w:val="single" w:sz="8" w:space="0" w:color="152935"/>
              <w:left w:val="single" w:sz="8" w:space="0" w:color="E0E0E0"/>
              <w:bottom w:val="single" w:sz="8" w:space="0" w:color="AEAEAE"/>
              <w:right w:val="nil"/>
            </w:tcBorders>
            <w:shd w:val="clear" w:color="auto" w:fill="FFFFFF"/>
            <w:vAlign w:val="center"/>
          </w:tcPr>
          <w:p w14:paraId="757B1E94"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D905F9" w:rsidRPr="00530906" w14:paraId="28C9C0A9" w14:textId="77777777" w:rsidTr="00A41CEA">
        <w:trPr>
          <w:gridAfter w:val="1"/>
          <w:wAfter w:w="18" w:type="dxa"/>
          <w:cantSplit/>
        </w:trPr>
        <w:tc>
          <w:tcPr>
            <w:tcW w:w="178" w:type="dxa"/>
            <w:vMerge/>
            <w:tcBorders>
              <w:top w:val="single" w:sz="8" w:space="0" w:color="152935"/>
              <w:left w:val="nil"/>
              <w:bottom w:val="single" w:sz="8" w:space="0" w:color="152935"/>
              <w:right w:val="nil"/>
            </w:tcBorders>
            <w:shd w:val="clear" w:color="auto" w:fill="E0E0E0"/>
          </w:tcPr>
          <w:p w14:paraId="35A89522"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529" w:type="dxa"/>
            <w:gridSpan w:val="3"/>
            <w:tcBorders>
              <w:top w:val="single" w:sz="8" w:space="0" w:color="AEAEAE"/>
              <w:left w:val="nil"/>
              <w:bottom w:val="single" w:sz="8" w:space="0" w:color="AEAEAE"/>
              <w:right w:val="nil"/>
            </w:tcBorders>
            <w:shd w:val="clear" w:color="auto" w:fill="E0E0E0"/>
          </w:tcPr>
          <w:p w14:paraId="1F6E0AE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Image quality</w:t>
            </w:r>
          </w:p>
        </w:tc>
        <w:tc>
          <w:tcPr>
            <w:tcW w:w="540" w:type="dxa"/>
            <w:gridSpan w:val="2"/>
            <w:tcBorders>
              <w:top w:val="single" w:sz="8" w:space="0" w:color="AEAEAE"/>
              <w:left w:val="nil"/>
              <w:bottom w:val="single" w:sz="8" w:space="0" w:color="AEAEAE"/>
              <w:right w:val="single" w:sz="8" w:space="0" w:color="E0E0E0"/>
            </w:tcBorders>
            <w:shd w:val="clear" w:color="auto" w:fill="FFFFFF"/>
          </w:tcPr>
          <w:p w14:paraId="5BA3FED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.098</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73E1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.040</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19E1D0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.169</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9CD4EB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2.434</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452B2C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.016</w:t>
            </w:r>
          </w:p>
        </w:tc>
        <w:tc>
          <w:tcPr>
            <w:tcW w:w="721" w:type="dxa"/>
            <w:gridSpan w:val="3"/>
            <w:tcBorders>
              <w:top w:val="single" w:sz="8" w:space="0" w:color="AEAEAE"/>
              <w:left w:val="single" w:sz="8" w:space="0" w:color="E0E0E0"/>
              <w:bottom w:val="single" w:sz="8" w:space="0" w:color="AEAEAE"/>
              <w:right w:val="single" w:sz="8" w:space="0" w:color="E0E0E0"/>
            </w:tcBorders>
            <w:shd w:val="clear" w:color="auto" w:fill="FFFFFF"/>
          </w:tcPr>
          <w:p w14:paraId="53A066E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.019</w:t>
            </w:r>
          </w:p>
        </w:tc>
        <w:tc>
          <w:tcPr>
            <w:tcW w:w="853" w:type="dxa"/>
            <w:gridSpan w:val="3"/>
            <w:tcBorders>
              <w:top w:val="single" w:sz="8" w:space="0" w:color="AEAEAE"/>
              <w:left w:val="single" w:sz="8" w:space="0" w:color="E0E0E0"/>
              <w:bottom w:val="single" w:sz="8" w:space="0" w:color="AEAEAE"/>
              <w:right w:val="single" w:sz="8" w:space="0" w:color="E0E0E0"/>
            </w:tcBorders>
            <w:shd w:val="clear" w:color="auto" w:fill="FFFFFF"/>
          </w:tcPr>
          <w:p w14:paraId="4B97E4F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D378AA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.226</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6D022D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.145</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9D5154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.142</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E9D2A5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.707</w:t>
            </w:r>
          </w:p>
        </w:tc>
        <w:tc>
          <w:tcPr>
            <w:tcW w:w="451" w:type="dxa"/>
            <w:tcBorders>
              <w:top w:val="single" w:sz="8" w:space="0" w:color="AEAEAE"/>
              <w:left w:val="single" w:sz="8" w:space="0" w:color="E0E0E0"/>
              <w:bottom w:val="single" w:sz="8" w:space="0" w:color="AEAEAE"/>
              <w:right w:val="nil"/>
            </w:tcBorders>
            <w:shd w:val="clear" w:color="auto" w:fill="FFFFFF"/>
          </w:tcPr>
          <w:p w14:paraId="1E6F242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1.414</w:t>
            </w:r>
          </w:p>
        </w:tc>
      </w:tr>
      <w:tr w:rsidR="00D905F9" w:rsidRPr="00530906" w14:paraId="3865FF45" w14:textId="77777777" w:rsidTr="00A41CEA">
        <w:trPr>
          <w:gridAfter w:val="1"/>
          <w:wAfter w:w="18" w:type="dxa"/>
          <w:cantSplit/>
        </w:trPr>
        <w:tc>
          <w:tcPr>
            <w:tcW w:w="178" w:type="dxa"/>
            <w:vMerge/>
            <w:tcBorders>
              <w:top w:val="single" w:sz="8" w:space="0" w:color="152935"/>
              <w:left w:val="nil"/>
              <w:bottom w:val="single" w:sz="8" w:space="0" w:color="152935"/>
              <w:right w:val="nil"/>
            </w:tcBorders>
            <w:shd w:val="clear" w:color="auto" w:fill="E0E0E0"/>
          </w:tcPr>
          <w:p w14:paraId="5EF0CF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529" w:type="dxa"/>
            <w:gridSpan w:val="3"/>
            <w:tcBorders>
              <w:top w:val="single" w:sz="8" w:space="0" w:color="AEAEAE"/>
              <w:left w:val="nil"/>
              <w:bottom w:val="single" w:sz="8" w:space="0" w:color="AEAEAE"/>
              <w:right w:val="nil"/>
            </w:tcBorders>
            <w:shd w:val="clear" w:color="auto" w:fill="E0E0E0"/>
          </w:tcPr>
          <w:p w14:paraId="5754BBC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Engrossment</w:t>
            </w:r>
          </w:p>
        </w:tc>
        <w:tc>
          <w:tcPr>
            <w:tcW w:w="540" w:type="dxa"/>
            <w:gridSpan w:val="2"/>
            <w:tcBorders>
              <w:top w:val="single" w:sz="8" w:space="0" w:color="AEAEAE"/>
              <w:left w:val="nil"/>
              <w:bottom w:val="single" w:sz="8" w:space="0" w:color="AEAEAE"/>
              <w:right w:val="single" w:sz="8" w:space="0" w:color="E0E0E0"/>
            </w:tcBorders>
            <w:shd w:val="clear" w:color="auto" w:fill="FFFFFF"/>
          </w:tcPr>
          <w:p w14:paraId="68B5E66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–.073</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545D4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.046</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08B233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–.101</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D1E3B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–1.607</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318F5C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.109</w:t>
            </w:r>
          </w:p>
        </w:tc>
        <w:tc>
          <w:tcPr>
            <w:tcW w:w="72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F99FCDB" w14:textId="77777777" w:rsidR="00C7217E" w:rsidRPr="00530906" w:rsidRDefault="00C7217E" w:rsidP="008756B1">
            <w:pPr>
              <w:tabs>
                <w:tab w:val="left" w:pos="2025"/>
              </w:tabs>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–.163</w:t>
            </w:r>
            <w:r w:rsidRPr="00530906">
              <w:rPr>
                <w:rFonts w:ascii="Cambria" w:eastAsia="Times New Roman" w:hAnsi="Cambria" w:cs="Calibri"/>
                <w:color w:val="000000"/>
                <w:sz w:val="18"/>
                <w:szCs w:val="18"/>
                <w:lang w:val="en-US"/>
              </w:rPr>
              <w:tab/>
            </w:r>
          </w:p>
        </w:tc>
        <w:tc>
          <w:tcPr>
            <w:tcW w:w="853" w:type="dxa"/>
            <w:gridSpan w:val="3"/>
            <w:tcBorders>
              <w:top w:val="single" w:sz="8" w:space="0" w:color="AEAEAE"/>
              <w:left w:val="single" w:sz="8" w:space="0" w:color="E0E0E0"/>
              <w:bottom w:val="single" w:sz="8" w:space="0" w:color="AEAEAE"/>
              <w:right w:val="single" w:sz="8" w:space="0" w:color="E0E0E0"/>
            </w:tcBorders>
            <w:shd w:val="clear" w:color="auto" w:fill="FFFFFF"/>
          </w:tcPr>
          <w:p w14:paraId="6186396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555B23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–.013</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A3850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–.097</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6332761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–.094</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1E84A0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.857</w:t>
            </w:r>
          </w:p>
        </w:tc>
        <w:tc>
          <w:tcPr>
            <w:tcW w:w="451" w:type="dxa"/>
            <w:tcBorders>
              <w:top w:val="single" w:sz="8" w:space="0" w:color="AEAEAE"/>
              <w:left w:val="single" w:sz="8" w:space="0" w:color="E0E0E0"/>
              <w:bottom w:val="single" w:sz="8" w:space="0" w:color="AEAEAE"/>
              <w:right w:val="nil"/>
            </w:tcBorders>
            <w:shd w:val="clear" w:color="auto" w:fill="FFFFFF"/>
          </w:tcPr>
          <w:p w14:paraId="676C14C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1.167</w:t>
            </w:r>
          </w:p>
        </w:tc>
      </w:tr>
      <w:tr w:rsidR="00D905F9" w:rsidRPr="00530906" w14:paraId="1EEA6B07" w14:textId="77777777" w:rsidTr="00A41CEA">
        <w:trPr>
          <w:gridAfter w:val="1"/>
          <w:wAfter w:w="18" w:type="dxa"/>
          <w:cantSplit/>
        </w:trPr>
        <w:tc>
          <w:tcPr>
            <w:tcW w:w="178" w:type="dxa"/>
            <w:vMerge/>
            <w:tcBorders>
              <w:top w:val="single" w:sz="8" w:space="0" w:color="152935"/>
              <w:left w:val="nil"/>
              <w:bottom w:val="single" w:sz="8" w:space="0" w:color="152935"/>
              <w:right w:val="nil"/>
            </w:tcBorders>
            <w:shd w:val="clear" w:color="auto" w:fill="E0E0E0"/>
          </w:tcPr>
          <w:p w14:paraId="3BFEBFE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529" w:type="dxa"/>
            <w:gridSpan w:val="3"/>
            <w:tcBorders>
              <w:top w:val="single" w:sz="8" w:space="0" w:color="AEAEAE"/>
              <w:left w:val="nil"/>
              <w:bottom w:val="single" w:sz="8" w:space="0" w:color="AEAEAE"/>
              <w:right w:val="nil"/>
            </w:tcBorders>
            <w:shd w:val="clear" w:color="auto" w:fill="E0E0E0"/>
          </w:tcPr>
          <w:p w14:paraId="3714BF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Self–projection</w:t>
            </w:r>
          </w:p>
        </w:tc>
        <w:tc>
          <w:tcPr>
            <w:tcW w:w="540" w:type="dxa"/>
            <w:gridSpan w:val="2"/>
            <w:tcBorders>
              <w:top w:val="single" w:sz="8" w:space="0" w:color="AEAEAE"/>
              <w:left w:val="nil"/>
              <w:bottom w:val="single" w:sz="8" w:space="0" w:color="AEAEAE"/>
              <w:right w:val="single" w:sz="8" w:space="0" w:color="E0E0E0"/>
            </w:tcBorders>
            <w:shd w:val="clear" w:color="auto" w:fill="FFFFFF"/>
          </w:tcPr>
          <w:p w14:paraId="3202C53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.086</w:t>
            </w:r>
          </w:p>
        </w:tc>
        <w:tc>
          <w:tcPr>
            <w:tcW w:w="7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54F8F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9E1079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.142</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ECBAC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1.563</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CC5D0A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.119</w:t>
            </w:r>
          </w:p>
        </w:tc>
        <w:tc>
          <w:tcPr>
            <w:tcW w:w="72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BE2CD1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–.022</w:t>
            </w:r>
          </w:p>
        </w:tc>
        <w:tc>
          <w:tcPr>
            <w:tcW w:w="853" w:type="dxa"/>
            <w:gridSpan w:val="3"/>
            <w:tcBorders>
              <w:top w:val="single" w:sz="8" w:space="0" w:color="AEAEAE"/>
              <w:left w:val="single" w:sz="8" w:space="0" w:color="E0E0E0"/>
              <w:bottom w:val="single" w:sz="8" w:space="0" w:color="AEAEAE"/>
              <w:right w:val="single" w:sz="8" w:space="0" w:color="E0E0E0"/>
            </w:tcBorders>
            <w:shd w:val="clear" w:color="auto" w:fill="FFFFFF"/>
          </w:tcPr>
          <w:p w14:paraId="06E3DD0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6EA41DC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.199</w:t>
            </w:r>
          </w:p>
        </w:tc>
        <w:tc>
          <w:tcPr>
            <w:tcW w:w="54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91838C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.094</w:t>
            </w:r>
          </w:p>
        </w:tc>
        <w:tc>
          <w:tcPr>
            <w:tcW w:w="450" w:type="dxa"/>
            <w:tcBorders>
              <w:top w:val="single" w:sz="8" w:space="0" w:color="AEAEAE"/>
              <w:left w:val="single" w:sz="8" w:space="0" w:color="E0E0E0"/>
              <w:bottom w:val="single" w:sz="8" w:space="0" w:color="AEAEAE"/>
              <w:right w:val="single" w:sz="8" w:space="0" w:color="E0E0E0"/>
            </w:tcBorders>
            <w:shd w:val="clear" w:color="auto" w:fill="FFFFFF"/>
          </w:tcPr>
          <w:p w14:paraId="21464AE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.091</w:t>
            </w:r>
          </w:p>
        </w:tc>
        <w:tc>
          <w:tcPr>
            <w:tcW w:w="81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0B49DB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.414</w:t>
            </w:r>
          </w:p>
        </w:tc>
        <w:tc>
          <w:tcPr>
            <w:tcW w:w="451" w:type="dxa"/>
            <w:tcBorders>
              <w:top w:val="single" w:sz="8" w:space="0" w:color="AEAEAE"/>
              <w:left w:val="single" w:sz="8" w:space="0" w:color="E0E0E0"/>
              <w:bottom w:val="single" w:sz="8" w:space="0" w:color="AEAEAE"/>
              <w:right w:val="nil"/>
            </w:tcBorders>
            <w:shd w:val="clear" w:color="auto" w:fill="FFFFFF"/>
          </w:tcPr>
          <w:p w14:paraId="4C1363D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2.414</w:t>
            </w:r>
          </w:p>
        </w:tc>
      </w:tr>
      <w:tr w:rsidR="00D905F9" w:rsidRPr="00530906" w14:paraId="77052565" w14:textId="77777777" w:rsidTr="00A41CEA">
        <w:trPr>
          <w:gridAfter w:val="1"/>
          <w:wAfter w:w="18" w:type="dxa"/>
          <w:cantSplit/>
        </w:trPr>
        <w:tc>
          <w:tcPr>
            <w:tcW w:w="178" w:type="dxa"/>
            <w:vMerge/>
            <w:tcBorders>
              <w:top w:val="single" w:sz="8" w:space="0" w:color="152935"/>
              <w:left w:val="nil"/>
              <w:bottom w:val="single" w:sz="8" w:space="0" w:color="152935"/>
              <w:right w:val="nil"/>
            </w:tcBorders>
            <w:shd w:val="clear" w:color="auto" w:fill="E0E0E0"/>
          </w:tcPr>
          <w:p w14:paraId="2218B44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529" w:type="dxa"/>
            <w:gridSpan w:val="3"/>
            <w:tcBorders>
              <w:top w:val="single" w:sz="8" w:space="0" w:color="AEAEAE"/>
              <w:left w:val="nil"/>
              <w:bottom w:val="single" w:sz="8" w:space="0" w:color="152935"/>
              <w:right w:val="nil"/>
            </w:tcBorders>
            <w:shd w:val="clear" w:color="auto" w:fill="E0E0E0"/>
          </w:tcPr>
          <w:p w14:paraId="28C9AFC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Mental fluency</w:t>
            </w:r>
          </w:p>
        </w:tc>
        <w:tc>
          <w:tcPr>
            <w:tcW w:w="540" w:type="dxa"/>
            <w:gridSpan w:val="2"/>
            <w:tcBorders>
              <w:top w:val="single" w:sz="8" w:space="0" w:color="AEAEAE"/>
              <w:left w:val="nil"/>
              <w:bottom w:val="single" w:sz="8" w:space="0" w:color="152935"/>
              <w:right w:val="single" w:sz="8" w:space="0" w:color="E0E0E0"/>
            </w:tcBorders>
            <w:shd w:val="clear" w:color="auto" w:fill="FFFFFF"/>
          </w:tcPr>
          <w:p w14:paraId="5C6891B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.004</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2AC384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3F8119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.007</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EC7121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.090</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260CCB9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.929</w:t>
            </w:r>
          </w:p>
        </w:tc>
        <w:tc>
          <w:tcPr>
            <w:tcW w:w="721" w:type="dxa"/>
            <w:gridSpan w:val="3"/>
            <w:tcBorders>
              <w:top w:val="single" w:sz="8" w:space="0" w:color="AEAEAE"/>
              <w:left w:val="single" w:sz="8" w:space="0" w:color="E0E0E0"/>
              <w:bottom w:val="single" w:sz="8" w:space="0" w:color="152935"/>
              <w:right w:val="single" w:sz="8" w:space="0" w:color="E0E0E0"/>
            </w:tcBorders>
            <w:shd w:val="clear" w:color="auto" w:fill="FFFFFF"/>
          </w:tcPr>
          <w:p w14:paraId="53EB99F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–.084</w:t>
            </w:r>
          </w:p>
        </w:tc>
        <w:tc>
          <w:tcPr>
            <w:tcW w:w="853" w:type="dxa"/>
            <w:gridSpan w:val="3"/>
            <w:tcBorders>
              <w:top w:val="single" w:sz="8" w:space="0" w:color="AEAEAE"/>
              <w:left w:val="single" w:sz="8" w:space="0" w:color="E0E0E0"/>
              <w:bottom w:val="single" w:sz="8" w:space="0" w:color="152935"/>
              <w:right w:val="single" w:sz="8" w:space="0" w:color="E0E0E0"/>
            </w:tcBorders>
            <w:shd w:val="clear" w:color="auto" w:fill="FFFFFF"/>
          </w:tcPr>
          <w:p w14:paraId="107EED2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.092</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705CC92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.162</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29D00A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.005</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4C2E144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.005</w:t>
            </w:r>
          </w:p>
        </w:tc>
        <w:tc>
          <w:tcPr>
            <w:tcW w:w="81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ECBCD7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.502</w:t>
            </w:r>
          </w:p>
        </w:tc>
        <w:tc>
          <w:tcPr>
            <w:tcW w:w="451" w:type="dxa"/>
            <w:tcBorders>
              <w:top w:val="single" w:sz="8" w:space="0" w:color="AEAEAE"/>
              <w:left w:val="single" w:sz="8" w:space="0" w:color="E0E0E0"/>
              <w:bottom w:val="single" w:sz="8" w:space="0" w:color="152935"/>
              <w:right w:val="nil"/>
            </w:tcBorders>
            <w:shd w:val="clear" w:color="auto" w:fill="FFFFFF"/>
          </w:tcPr>
          <w:p w14:paraId="0B953B0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1.991</w:t>
            </w:r>
          </w:p>
        </w:tc>
      </w:tr>
      <w:tr w:rsidR="00C7217E" w:rsidRPr="00530906" w14:paraId="7B10D278" w14:textId="77777777" w:rsidTr="00EE722D">
        <w:trPr>
          <w:cantSplit/>
        </w:trPr>
        <w:tc>
          <w:tcPr>
            <w:tcW w:w="9690" w:type="dxa"/>
            <w:gridSpan w:val="27"/>
            <w:tcBorders>
              <w:top w:val="nil"/>
              <w:left w:val="nil"/>
              <w:bottom w:val="nil"/>
              <w:right w:val="nil"/>
            </w:tcBorders>
            <w:shd w:val="clear" w:color="auto" w:fill="FFFFFF"/>
          </w:tcPr>
          <w:p w14:paraId="1B788EF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Dominance</w:t>
            </w:r>
          </w:p>
        </w:tc>
      </w:tr>
    </w:tbl>
    <w:p w14:paraId="4F674FC3"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p w14:paraId="496BC395" w14:textId="77777777" w:rsidR="00C7217E" w:rsidRPr="00530906" w:rsidRDefault="00C7217E" w:rsidP="008756B1">
      <w:pPr>
        <w:spacing w:after="0" w:line="240" w:lineRule="auto"/>
        <w:jc w:val="both"/>
        <w:rPr>
          <w:rFonts w:ascii="Cambria" w:eastAsia="Times New Roman" w:hAnsi="Cambria" w:cs="Calibri"/>
          <w:color w:val="000000"/>
          <w:lang w:val="en-US"/>
        </w:rPr>
      </w:pPr>
    </w:p>
    <w:p w14:paraId="463AF981" w14:textId="77777777" w:rsidR="00C7217E" w:rsidRPr="00530906" w:rsidRDefault="00C7217E" w:rsidP="008756B1">
      <w:pPr>
        <w:spacing w:after="0" w:line="240" w:lineRule="auto"/>
        <w:jc w:val="both"/>
        <w:rPr>
          <w:rFonts w:ascii="Cambria" w:eastAsia="Times New Roman" w:hAnsi="Cambria" w:cs="Calibri"/>
          <w:color w:val="000000"/>
          <w:lang w:val="en-US"/>
        </w:rPr>
      </w:pPr>
    </w:p>
    <w:p w14:paraId="5F82A38D" w14:textId="0D9CE95B" w:rsidR="00C7217E" w:rsidRPr="00530906" w:rsidRDefault="00C7217E" w:rsidP="008756B1">
      <w:pPr>
        <w:pStyle w:val="Heading3"/>
        <w:jc w:val="both"/>
        <w:rPr>
          <w:rFonts w:eastAsia="Times New Roman"/>
          <w:lang w:val="en-US"/>
        </w:rPr>
      </w:pPr>
      <w:bookmarkStart w:id="150" w:name="_Toc115726305"/>
      <w:r w:rsidRPr="00530906">
        <w:rPr>
          <w:rFonts w:eastAsia="Times New Roman"/>
          <w:lang w:val="en-US"/>
        </w:rPr>
        <w:t>Regression analysis between ‘dominance’ and ‘ad attitude’</w:t>
      </w:r>
      <w:bookmarkEnd w:id="150"/>
    </w:p>
    <w:p w14:paraId="31C9425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4"/>
        <w:gridCol w:w="69"/>
        <w:gridCol w:w="287"/>
        <w:gridCol w:w="540"/>
        <w:gridCol w:w="312"/>
        <w:gridCol w:w="220"/>
        <w:gridCol w:w="188"/>
        <w:gridCol w:w="799"/>
        <w:gridCol w:w="191"/>
        <w:gridCol w:w="454"/>
        <w:gridCol w:w="176"/>
        <w:gridCol w:w="450"/>
        <w:gridCol w:w="361"/>
        <w:gridCol w:w="152"/>
        <w:gridCol w:w="477"/>
        <w:gridCol w:w="1080"/>
        <w:gridCol w:w="97"/>
        <w:gridCol w:w="483"/>
        <w:gridCol w:w="320"/>
        <w:gridCol w:w="384"/>
        <w:gridCol w:w="156"/>
        <w:gridCol w:w="360"/>
        <w:gridCol w:w="810"/>
        <w:gridCol w:w="540"/>
      </w:tblGrid>
      <w:tr w:rsidR="00C7217E" w:rsidRPr="00530906" w14:paraId="1A626DB6" w14:textId="77777777" w:rsidTr="00DA6237">
        <w:trPr>
          <w:gridAfter w:val="8"/>
          <w:wAfter w:w="3150" w:type="dxa"/>
          <w:cantSplit/>
        </w:trPr>
        <w:tc>
          <w:tcPr>
            <w:tcW w:w="6570" w:type="dxa"/>
            <w:gridSpan w:val="17"/>
            <w:tcBorders>
              <w:top w:val="nil"/>
              <w:left w:val="nil"/>
              <w:bottom w:val="nil"/>
              <w:right w:val="nil"/>
            </w:tcBorders>
            <w:shd w:val="clear" w:color="auto" w:fill="FFFFFF"/>
            <w:vAlign w:val="center"/>
          </w:tcPr>
          <w:p w14:paraId="1102256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7E1F8A9D" w14:textId="77777777" w:rsidTr="00DA6237">
        <w:trPr>
          <w:gridAfter w:val="8"/>
          <w:wAfter w:w="3150" w:type="dxa"/>
          <w:cantSplit/>
        </w:trPr>
        <w:tc>
          <w:tcPr>
            <w:tcW w:w="883" w:type="dxa"/>
            <w:gridSpan w:val="3"/>
            <w:tcBorders>
              <w:top w:val="nil"/>
              <w:left w:val="nil"/>
              <w:bottom w:val="single" w:sz="8" w:space="0" w:color="152935"/>
              <w:right w:val="nil"/>
            </w:tcBorders>
            <w:shd w:val="clear" w:color="auto" w:fill="FFFFFF"/>
            <w:vAlign w:val="bottom"/>
          </w:tcPr>
          <w:p w14:paraId="4D17B1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9" w:type="dxa"/>
            <w:gridSpan w:val="3"/>
            <w:tcBorders>
              <w:top w:val="nil"/>
              <w:left w:val="nil"/>
              <w:bottom w:val="single" w:sz="8" w:space="0" w:color="152935"/>
              <w:right w:val="single" w:sz="8" w:space="0" w:color="E0E0E0"/>
            </w:tcBorders>
            <w:shd w:val="clear" w:color="auto" w:fill="FFFFFF"/>
            <w:vAlign w:val="bottom"/>
          </w:tcPr>
          <w:p w14:paraId="21112C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7" w:type="dxa"/>
            <w:gridSpan w:val="3"/>
            <w:tcBorders>
              <w:top w:val="nil"/>
              <w:left w:val="single" w:sz="8" w:space="0" w:color="E0E0E0"/>
              <w:bottom w:val="single" w:sz="8" w:space="0" w:color="152935"/>
              <w:right w:val="single" w:sz="8" w:space="0" w:color="E0E0E0"/>
            </w:tcBorders>
            <w:shd w:val="clear" w:color="auto" w:fill="FFFFFF"/>
            <w:vAlign w:val="bottom"/>
          </w:tcPr>
          <w:p w14:paraId="2AF1C4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2" w:type="dxa"/>
            <w:gridSpan w:val="5"/>
            <w:tcBorders>
              <w:top w:val="nil"/>
              <w:left w:val="single" w:sz="8" w:space="0" w:color="E0E0E0"/>
              <w:bottom w:val="single" w:sz="8" w:space="0" w:color="152935"/>
              <w:right w:val="single" w:sz="8" w:space="0" w:color="E0E0E0"/>
            </w:tcBorders>
            <w:shd w:val="clear" w:color="auto" w:fill="FFFFFF"/>
            <w:vAlign w:val="bottom"/>
          </w:tcPr>
          <w:p w14:paraId="180CCD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09" w:type="dxa"/>
            <w:gridSpan w:val="3"/>
            <w:tcBorders>
              <w:top w:val="nil"/>
              <w:left w:val="single" w:sz="8" w:space="0" w:color="E0E0E0"/>
              <w:bottom w:val="single" w:sz="8" w:space="0" w:color="152935"/>
              <w:right w:val="nil"/>
            </w:tcBorders>
            <w:shd w:val="clear" w:color="auto" w:fill="FFFFFF"/>
            <w:vAlign w:val="bottom"/>
          </w:tcPr>
          <w:p w14:paraId="3E2DCD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10B5C92E" w14:textId="77777777" w:rsidTr="00DA6237">
        <w:trPr>
          <w:gridAfter w:val="8"/>
          <w:wAfter w:w="3150" w:type="dxa"/>
          <w:cantSplit/>
        </w:trPr>
        <w:tc>
          <w:tcPr>
            <w:tcW w:w="883" w:type="dxa"/>
            <w:gridSpan w:val="3"/>
            <w:tcBorders>
              <w:top w:val="single" w:sz="8" w:space="0" w:color="152935"/>
              <w:left w:val="nil"/>
              <w:bottom w:val="single" w:sz="8" w:space="0" w:color="152935"/>
              <w:right w:val="nil"/>
            </w:tcBorders>
            <w:shd w:val="clear" w:color="auto" w:fill="E0E0E0"/>
          </w:tcPr>
          <w:p w14:paraId="1B1599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9" w:type="dxa"/>
            <w:gridSpan w:val="3"/>
            <w:tcBorders>
              <w:top w:val="single" w:sz="8" w:space="0" w:color="152935"/>
              <w:left w:val="nil"/>
              <w:bottom w:val="single" w:sz="8" w:space="0" w:color="152935"/>
              <w:right w:val="single" w:sz="8" w:space="0" w:color="E0E0E0"/>
            </w:tcBorders>
            <w:shd w:val="clear" w:color="auto" w:fill="FFFFFF"/>
          </w:tcPr>
          <w:p w14:paraId="26B475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w:t>
            </w:r>
            <w:r w:rsidRPr="00530906">
              <w:rPr>
                <w:rFonts w:ascii="Cambria" w:eastAsia="Times New Roman" w:hAnsi="Cambria" w:cs="Times New Roman"/>
                <w:color w:val="000000"/>
                <w:sz w:val="18"/>
                <w:szCs w:val="18"/>
                <w:vertAlign w:val="superscript"/>
                <w:lang w:val="en-US"/>
              </w:rPr>
              <w:t>a</w:t>
            </w:r>
          </w:p>
        </w:tc>
        <w:tc>
          <w:tcPr>
            <w:tcW w:w="1207" w:type="dxa"/>
            <w:gridSpan w:val="3"/>
            <w:tcBorders>
              <w:top w:val="single" w:sz="8" w:space="0" w:color="152935"/>
              <w:left w:val="single" w:sz="8" w:space="0" w:color="E0E0E0"/>
              <w:bottom w:val="single" w:sz="8" w:space="0" w:color="152935"/>
              <w:right w:val="single" w:sz="8" w:space="0" w:color="E0E0E0"/>
            </w:tcBorders>
            <w:shd w:val="clear" w:color="auto" w:fill="FFFFFF"/>
          </w:tcPr>
          <w:p w14:paraId="74184D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.027</w:t>
            </w:r>
          </w:p>
        </w:tc>
        <w:tc>
          <w:tcPr>
            <w:tcW w:w="1632" w:type="dxa"/>
            <w:gridSpan w:val="5"/>
            <w:tcBorders>
              <w:top w:val="single" w:sz="8" w:space="0" w:color="152935"/>
              <w:left w:val="single" w:sz="8" w:space="0" w:color="E0E0E0"/>
              <w:bottom w:val="single" w:sz="8" w:space="0" w:color="152935"/>
              <w:right w:val="single" w:sz="8" w:space="0" w:color="E0E0E0"/>
            </w:tcBorders>
            <w:shd w:val="clear" w:color="auto" w:fill="FFFFFF"/>
          </w:tcPr>
          <w:p w14:paraId="635D71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.023</w:t>
            </w:r>
          </w:p>
        </w:tc>
        <w:tc>
          <w:tcPr>
            <w:tcW w:w="1709" w:type="dxa"/>
            <w:gridSpan w:val="3"/>
            <w:tcBorders>
              <w:top w:val="single" w:sz="8" w:space="0" w:color="152935"/>
              <w:left w:val="single" w:sz="8" w:space="0" w:color="E0E0E0"/>
              <w:bottom w:val="single" w:sz="8" w:space="0" w:color="152935"/>
              <w:right w:val="nil"/>
            </w:tcBorders>
            <w:shd w:val="clear" w:color="auto" w:fill="FFFFFF"/>
          </w:tcPr>
          <w:p w14:paraId="12D8580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1.34886</w:t>
            </w:r>
          </w:p>
        </w:tc>
      </w:tr>
      <w:tr w:rsidR="00C7217E" w:rsidRPr="00530906" w14:paraId="271572C3" w14:textId="77777777" w:rsidTr="00DA6237">
        <w:trPr>
          <w:gridAfter w:val="8"/>
          <w:wAfter w:w="3150" w:type="dxa"/>
          <w:cantSplit/>
        </w:trPr>
        <w:tc>
          <w:tcPr>
            <w:tcW w:w="6570" w:type="dxa"/>
            <w:gridSpan w:val="17"/>
            <w:tcBorders>
              <w:top w:val="nil"/>
              <w:left w:val="nil"/>
              <w:bottom w:val="nil"/>
              <w:right w:val="nil"/>
            </w:tcBorders>
            <w:shd w:val="clear" w:color="auto" w:fill="FFFFFF"/>
          </w:tcPr>
          <w:p w14:paraId="28F3AB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Dominance</w:t>
            </w:r>
          </w:p>
        </w:tc>
      </w:tr>
      <w:tr w:rsidR="00C7217E" w:rsidRPr="00530906" w14:paraId="4ABA3548" w14:textId="77777777" w:rsidTr="00DA6237">
        <w:trPr>
          <w:gridAfter w:val="8"/>
          <w:wAfter w:w="3150" w:type="dxa"/>
          <w:cantSplit/>
        </w:trPr>
        <w:tc>
          <w:tcPr>
            <w:tcW w:w="6570" w:type="dxa"/>
            <w:gridSpan w:val="17"/>
            <w:tcBorders>
              <w:top w:val="nil"/>
              <w:left w:val="nil"/>
              <w:bottom w:val="nil"/>
              <w:right w:val="nil"/>
            </w:tcBorders>
            <w:shd w:val="clear" w:color="auto" w:fill="FFFFFF"/>
          </w:tcPr>
          <w:p w14:paraId="7CE07A2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Attitude</w:t>
            </w:r>
          </w:p>
        </w:tc>
      </w:tr>
      <w:tr w:rsidR="00C7217E" w:rsidRPr="00530906" w14:paraId="233EF41B" w14:textId="77777777" w:rsidTr="00DA6237">
        <w:trPr>
          <w:gridAfter w:val="4"/>
          <w:wAfter w:w="1866" w:type="dxa"/>
          <w:cantSplit/>
        </w:trPr>
        <w:tc>
          <w:tcPr>
            <w:tcW w:w="7854" w:type="dxa"/>
            <w:gridSpan w:val="21"/>
            <w:tcBorders>
              <w:top w:val="nil"/>
              <w:left w:val="nil"/>
              <w:bottom w:val="nil"/>
              <w:right w:val="nil"/>
            </w:tcBorders>
            <w:shd w:val="clear" w:color="auto" w:fill="FFFFFF"/>
            <w:vAlign w:val="center"/>
          </w:tcPr>
          <w:p w14:paraId="649AD73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5F8DC5FE" w14:textId="77777777" w:rsidTr="00DA6237">
        <w:trPr>
          <w:gridAfter w:val="4"/>
          <w:wAfter w:w="1866" w:type="dxa"/>
          <w:cantSplit/>
        </w:trPr>
        <w:tc>
          <w:tcPr>
            <w:tcW w:w="2242" w:type="dxa"/>
            <w:gridSpan w:val="7"/>
            <w:tcBorders>
              <w:top w:val="nil"/>
              <w:left w:val="nil"/>
              <w:bottom w:val="single" w:sz="8" w:space="0" w:color="152935"/>
              <w:right w:val="nil"/>
            </w:tcBorders>
            <w:shd w:val="clear" w:color="auto" w:fill="FFFFFF"/>
            <w:vAlign w:val="bottom"/>
          </w:tcPr>
          <w:p w14:paraId="412780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2" w:type="dxa"/>
            <w:gridSpan w:val="4"/>
            <w:tcBorders>
              <w:top w:val="nil"/>
              <w:left w:val="nil"/>
              <w:bottom w:val="single" w:sz="8" w:space="0" w:color="152935"/>
              <w:right w:val="single" w:sz="8" w:space="0" w:color="E0E0E0"/>
            </w:tcBorders>
            <w:shd w:val="clear" w:color="auto" w:fill="FFFFFF"/>
            <w:vAlign w:val="bottom"/>
          </w:tcPr>
          <w:p w14:paraId="236E47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9" w:type="dxa"/>
            <w:gridSpan w:val="4"/>
            <w:tcBorders>
              <w:top w:val="nil"/>
              <w:left w:val="single" w:sz="8" w:space="0" w:color="E0E0E0"/>
              <w:bottom w:val="single" w:sz="8" w:space="0" w:color="152935"/>
              <w:right w:val="single" w:sz="8" w:space="0" w:color="E0E0E0"/>
            </w:tcBorders>
            <w:shd w:val="clear" w:color="auto" w:fill="FFFFFF"/>
            <w:vAlign w:val="bottom"/>
          </w:tcPr>
          <w:p w14:paraId="58B10F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4" w:type="dxa"/>
            <w:gridSpan w:val="3"/>
            <w:tcBorders>
              <w:top w:val="nil"/>
              <w:left w:val="single" w:sz="8" w:space="0" w:color="E0E0E0"/>
              <w:bottom w:val="single" w:sz="8" w:space="0" w:color="152935"/>
              <w:right w:val="single" w:sz="8" w:space="0" w:color="E0E0E0"/>
            </w:tcBorders>
            <w:shd w:val="clear" w:color="auto" w:fill="FFFFFF"/>
            <w:vAlign w:val="bottom"/>
          </w:tcPr>
          <w:p w14:paraId="1BBF22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3" w:type="dxa"/>
            <w:tcBorders>
              <w:top w:val="nil"/>
              <w:left w:val="single" w:sz="8" w:space="0" w:color="E0E0E0"/>
              <w:bottom w:val="single" w:sz="8" w:space="0" w:color="152935"/>
              <w:right w:val="single" w:sz="8" w:space="0" w:color="E0E0E0"/>
            </w:tcBorders>
            <w:shd w:val="clear" w:color="auto" w:fill="FFFFFF"/>
            <w:vAlign w:val="bottom"/>
          </w:tcPr>
          <w:p w14:paraId="0E9378B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4" w:type="dxa"/>
            <w:gridSpan w:val="2"/>
            <w:tcBorders>
              <w:top w:val="nil"/>
              <w:left w:val="single" w:sz="8" w:space="0" w:color="E0E0E0"/>
              <w:bottom w:val="single" w:sz="8" w:space="0" w:color="152935"/>
              <w:right w:val="nil"/>
            </w:tcBorders>
            <w:shd w:val="clear" w:color="auto" w:fill="FFFFFF"/>
            <w:vAlign w:val="bottom"/>
          </w:tcPr>
          <w:p w14:paraId="4A8B5D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4C4655B0" w14:textId="77777777" w:rsidTr="00DA6237">
        <w:trPr>
          <w:gridAfter w:val="4"/>
          <w:wAfter w:w="1866"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5CF195B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8" w:type="dxa"/>
            <w:gridSpan w:val="5"/>
            <w:tcBorders>
              <w:top w:val="single" w:sz="8" w:space="0" w:color="152935"/>
              <w:left w:val="nil"/>
              <w:bottom w:val="single" w:sz="8" w:space="0" w:color="AEAEAE"/>
              <w:right w:val="nil"/>
            </w:tcBorders>
            <w:shd w:val="clear" w:color="auto" w:fill="E0E0E0"/>
          </w:tcPr>
          <w:p w14:paraId="3B094B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2" w:type="dxa"/>
            <w:gridSpan w:val="4"/>
            <w:tcBorders>
              <w:top w:val="single" w:sz="8" w:space="0" w:color="152935"/>
              <w:left w:val="nil"/>
              <w:bottom w:val="single" w:sz="8" w:space="0" w:color="AEAEAE"/>
              <w:right w:val="single" w:sz="8" w:space="0" w:color="E0E0E0"/>
            </w:tcBorders>
            <w:shd w:val="clear" w:color="auto" w:fill="FFFFFF"/>
          </w:tcPr>
          <w:p w14:paraId="6E9A76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13.872</w:t>
            </w:r>
          </w:p>
        </w:tc>
        <w:tc>
          <w:tcPr>
            <w:tcW w:w="1139" w:type="dxa"/>
            <w:gridSpan w:val="4"/>
            <w:tcBorders>
              <w:top w:val="single" w:sz="8" w:space="0" w:color="152935"/>
              <w:left w:val="single" w:sz="8" w:space="0" w:color="E0E0E0"/>
              <w:bottom w:val="single" w:sz="8" w:space="0" w:color="AEAEAE"/>
              <w:right w:val="single" w:sz="8" w:space="0" w:color="E0E0E0"/>
            </w:tcBorders>
            <w:shd w:val="clear" w:color="auto" w:fill="FFFFFF"/>
          </w:tcPr>
          <w:p w14:paraId="36CD83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4" w:type="dxa"/>
            <w:gridSpan w:val="3"/>
            <w:tcBorders>
              <w:top w:val="single" w:sz="8" w:space="0" w:color="152935"/>
              <w:left w:val="single" w:sz="8" w:space="0" w:color="E0E0E0"/>
              <w:bottom w:val="single" w:sz="8" w:space="0" w:color="AEAEAE"/>
              <w:right w:val="single" w:sz="8" w:space="0" w:color="E0E0E0"/>
            </w:tcBorders>
            <w:shd w:val="clear" w:color="auto" w:fill="FFFFFF"/>
          </w:tcPr>
          <w:p w14:paraId="052D24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13.872</w:t>
            </w:r>
          </w:p>
        </w:tc>
        <w:tc>
          <w:tcPr>
            <w:tcW w:w="483" w:type="dxa"/>
            <w:tcBorders>
              <w:top w:val="single" w:sz="8" w:space="0" w:color="152935"/>
              <w:left w:val="single" w:sz="8" w:space="0" w:color="E0E0E0"/>
              <w:bottom w:val="single" w:sz="8" w:space="0" w:color="AEAEAE"/>
              <w:right w:val="single" w:sz="8" w:space="0" w:color="E0E0E0"/>
            </w:tcBorders>
            <w:shd w:val="clear" w:color="auto" w:fill="FFFFFF"/>
          </w:tcPr>
          <w:p w14:paraId="2FDBE28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7.624</w:t>
            </w:r>
          </w:p>
        </w:tc>
        <w:tc>
          <w:tcPr>
            <w:tcW w:w="704" w:type="dxa"/>
            <w:gridSpan w:val="2"/>
            <w:tcBorders>
              <w:top w:val="single" w:sz="8" w:space="0" w:color="152935"/>
              <w:left w:val="single" w:sz="8" w:space="0" w:color="E0E0E0"/>
              <w:bottom w:val="single" w:sz="8" w:space="0" w:color="AEAEAE"/>
              <w:right w:val="nil"/>
            </w:tcBorders>
            <w:shd w:val="clear" w:color="auto" w:fill="FFFFFF"/>
          </w:tcPr>
          <w:p w14:paraId="218D7E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.006</w:t>
            </w:r>
            <w:r w:rsidRPr="00530906">
              <w:rPr>
                <w:rFonts w:ascii="Cambria" w:eastAsia="Times New Roman" w:hAnsi="Cambria" w:cs="Times New Roman"/>
                <w:color w:val="000000"/>
                <w:sz w:val="18"/>
                <w:szCs w:val="18"/>
                <w:vertAlign w:val="superscript"/>
                <w:lang w:val="en-US"/>
              </w:rPr>
              <w:t>b</w:t>
            </w:r>
          </w:p>
        </w:tc>
      </w:tr>
      <w:tr w:rsidR="00C7217E" w:rsidRPr="00530906" w14:paraId="3E2ECDB4" w14:textId="77777777" w:rsidTr="00DA6237">
        <w:trPr>
          <w:gridAfter w:val="4"/>
          <w:wAfter w:w="1866" w:type="dxa"/>
          <w:cantSplit/>
        </w:trPr>
        <w:tc>
          <w:tcPr>
            <w:tcW w:w="814" w:type="dxa"/>
            <w:gridSpan w:val="2"/>
            <w:vMerge/>
            <w:tcBorders>
              <w:top w:val="single" w:sz="8" w:space="0" w:color="152935"/>
              <w:left w:val="nil"/>
              <w:bottom w:val="single" w:sz="8" w:space="0" w:color="152935"/>
              <w:right w:val="nil"/>
            </w:tcBorders>
            <w:shd w:val="clear" w:color="auto" w:fill="E0E0E0"/>
          </w:tcPr>
          <w:p w14:paraId="41522B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8" w:type="dxa"/>
            <w:gridSpan w:val="5"/>
            <w:tcBorders>
              <w:top w:val="single" w:sz="8" w:space="0" w:color="AEAEAE"/>
              <w:left w:val="nil"/>
              <w:bottom w:val="single" w:sz="8" w:space="0" w:color="AEAEAE"/>
              <w:right w:val="nil"/>
            </w:tcBorders>
            <w:shd w:val="clear" w:color="auto" w:fill="E0E0E0"/>
          </w:tcPr>
          <w:p w14:paraId="085279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2" w:type="dxa"/>
            <w:gridSpan w:val="4"/>
            <w:tcBorders>
              <w:top w:val="single" w:sz="8" w:space="0" w:color="AEAEAE"/>
              <w:left w:val="nil"/>
              <w:bottom w:val="single" w:sz="8" w:space="0" w:color="AEAEAE"/>
              <w:right w:val="single" w:sz="8" w:space="0" w:color="E0E0E0"/>
            </w:tcBorders>
            <w:shd w:val="clear" w:color="auto" w:fill="FFFFFF"/>
          </w:tcPr>
          <w:p w14:paraId="5F0C7E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503.983</w:t>
            </w:r>
          </w:p>
        </w:tc>
        <w:tc>
          <w:tcPr>
            <w:tcW w:w="1139" w:type="dxa"/>
            <w:gridSpan w:val="4"/>
            <w:tcBorders>
              <w:top w:val="single" w:sz="8" w:space="0" w:color="AEAEAE"/>
              <w:left w:val="single" w:sz="8" w:space="0" w:color="E0E0E0"/>
              <w:bottom w:val="single" w:sz="8" w:space="0" w:color="AEAEAE"/>
              <w:right w:val="single" w:sz="8" w:space="0" w:color="E0E0E0"/>
            </w:tcBorders>
            <w:shd w:val="clear" w:color="auto" w:fill="FFFFFF"/>
          </w:tcPr>
          <w:p w14:paraId="7D4D26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4" w:type="dxa"/>
            <w:gridSpan w:val="3"/>
            <w:tcBorders>
              <w:top w:val="single" w:sz="8" w:space="0" w:color="AEAEAE"/>
              <w:left w:val="single" w:sz="8" w:space="0" w:color="E0E0E0"/>
              <w:bottom w:val="single" w:sz="8" w:space="0" w:color="AEAEAE"/>
              <w:right w:val="single" w:sz="8" w:space="0" w:color="E0E0E0"/>
            </w:tcBorders>
            <w:shd w:val="clear" w:color="auto" w:fill="FFFFFF"/>
          </w:tcPr>
          <w:p w14:paraId="13BB51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1.819</w:t>
            </w:r>
          </w:p>
        </w:tc>
        <w:tc>
          <w:tcPr>
            <w:tcW w:w="48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2C62B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2"/>
            <w:tcBorders>
              <w:top w:val="single" w:sz="8" w:space="0" w:color="AEAEAE"/>
              <w:left w:val="single" w:sz="8" w:space="0" w:color="E0E0E0"/>
              <w:bottom w:val="single" w:sz="8" w:space="0" w:color="AEAEAE"/>
              <w:right w:val="nil"/>
            </w:tcBorders>
            <w:shd w:val="clear" w:color="auto" w:fill="FFFFFF"/>
            <w:vAlign w:val="center"/>
          </w:tcPr>
          <w:p w14:paraId="05D4578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51CD553E" w14:textId="77777777" w:rsidTr="00DA6237">
        <w:trPr>
          <w:gridAfter w:val="4"/>
          <w:wAfter w:w="1866" w:type="dxa"/>
          <w:cantSplit/>
        </w:trPr>
        <w:tc>
          <w:tcPr>
            <w:tcW w:w="814" w:type="dxa"/>
            <w:gridSpan w:val="2"/>
            <w:vMerge/>
            <w:tcBorders>
              <w:top w:val="single" w:sz="8" w:space="0" w:color="152935"/>
              <w:left w:val="nil"/>
              <w:bottom w:val="single" w:sz="8" w:space="0" w:color="152935"/>
              <w:right w:val="nil"/>
            </w:tcBorders>
            <w:shd w:val="clear" w:color="auto" w:fill="E0E0E0"/>
          </w:tcPr>
          <w:p w14:paraId="24964F4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8" w:type="dxa"/>
            <w:gridSpan w:val="5"/>
            <w:tcBorders>
              <w:top w:val="single" w:sz="8" w:space="0" w:color="AEAEAE"/>
              <w:left w:val="nil"/>
              <w:bottom w:val="single" w:sz="8" w:space="0" w:color="152935"/>
              <w:right w:val="nil"/>
            </w:tcBorders>
            <w:shd w:val="clear" w:color="auto" w:fill="E0E0E0"/>
          </w:tcPr>
          <w:p w14:paraId="356D1FC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2" w:type="dxa"/>
            <w:gridSpan w:val="4"/>
            <w:tcBorders>
              <w:top w:val="single" w:sz="8" w:space="0" w:color="AEAEAE"/>
              <w:left w:val="nil"/>
              <w:bottom w:val="single" w:sz="8" w:space="0" w:color="152935"/>
              <w:right w:val="single" w:sz="8" w:space="0" w:color="E0E0E0"/>
            </w:tcBorders>
            <w:shd w:val="clear" w:color="auto" w:fill="FFFFFF"/>
          </w:tcPr>
          <w:p w14:paraId="3669EB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517.855</w:t>
            </w:r>
          </w:p>
        </w:tc>
        <w:tc>
          <w:tcPr>
            <w:tcW w:w="1139" w:type="dxa"/>
            <w:gridSpan w:val="4"/>
            <w:tcBorders>
              <w:top w:val="single" w:sz="8" w:space="0" w:color="AEAEAE"/>
              <w:left w:val="single" w:sz="8" w:space="0" w:color="E0E0E0"/>
              <w:bottom w:val="single" w:sz="8" w:space="0" w:color="152935"/>
              <w:right w:val="single" w:sz="8" w:space="0" w:color="E0E0E0"/>
            </w:tcBorders>
            <w:shd w:val="clear" w:color="auto" w:fill="FFFFFF"/>
          </w:tcPr>
          <w:p w14:paraId="1884A9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4"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3456C5F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F692C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2"/>
            <w:tcBorders>
              <w:top w:val="single" w:sz="8" w:space="0" w:color="AEAEAE"/>
              <w:left w:val="single" w:sz="8" w:space="0" w:color="E0E0E0"/>
              <w:bottom w:val="single" w:sz="8" w:space="0" w:color="152935"/>
              <w:right w:val="nil"/>
            </w:tcBorders>
            <w:shd w:val="clear" w:color="auto" w:fill="FFFFFF"/>
            <w:vAlign w:val="center"/>
          </w:tcPr>
          <w:p w14:paraId="316A305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94E28C1" w14:textId="77777777" w:rsidTr="00DA6237">
        <w:trPr>
          <w:gridAfter w:val="4"/>
          <w:wAfter w:w="1866" w:type="dxa"/>
          <w:cantSplit/>
        </w:trPr>
        <w:tc>
          <w:tcPr>
            <w:tcW w:w="7854" w:type="dxa"/>
            <w:gridSpan w:val="21"/>
            <w:tcBorders>
              <w:top w:val="nil"/>
              <w:left w:val="nil"/>
              <w:bottom w:val="nil"/>
              <w:right w:val="nil"/>
            </w:tcBorders>
            <w:shd w:val="clear" w:color="auto" w:fill="FFFFFF"/>
          </w:tcPr>
          <w:p w14:paraId="4D4C0A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r w:rsidR="00C7217E" w:rsidRPr="00530906" w14:paraId="7BDC7D9F" w14:textId="77777777" w:rsidTr="00DA6237">
        <w:trPr>
          <w:gridAfter w:val="4"/>
          <w:wAfter w:w="1866" w:type="dxa"/>
          <w:cantSplit/>
        </w:trPr>
        <w:tc>
          <w:tcPr>
            <w:tcW w:w="7854" w:type="dxa"/>
            <w:gridSpan w:val="21"/>
            <w:tcBorders>
              <w:top w:val="nil"/>
              <w:left w:val="nil"/>
              <w:bottom w:val="nil"/>
              <w:right w:val="nil"/>
            </w:tcBorders>
            <w:shd w:val="clear" w:color="auto" w:fill="FFFFFF"/>
          </w:tcPr>
          <w:p w14:paraId="467E71B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Dominance</w:t>
            </w:r>
          </w:p>
        </w:tc>
      </w:tr>
      <w:tr w:rsidR="00C7217E" w:rsidRPr="00530906" w14:paraId="38D8D23C" w14:textId="77777777" w:rsidTr="00DA6237">
        <w:trPr>
          <w:cantSplit/>
        </w:trPr>
        <w:tc>
          <w:tcPr>
            <w:tcW w:w="9720" w:type="dxa"/>
            <w:gridSpan w:val="25"/>
            <w:tcBorders>
              <w:top w:val="nil"/>
              <w:left w:val="nil"/>
              <w:bottom w:val="nil"/>
              <w:right w:val="nil"/>
            </w:tcBorders>
            <w:shd w:val="clear" w:color="auto" w:fill="FFFFFF"/>
            <w:vAlign w:val="center"/>
          </w:tcPr>
          <w:p w14:paraId="54CC334C" w14:textId="05A93FAB"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47DB4075" w14:textId="77777777" w:rsidTr="00DA6237">
        <w:trPr>
          <w:cantSplit/>
        </w:trPr>
        <w:tc>
          <w:tcPr>
            <w:tcW w:w="1170" w:type="dxa"/>
            <w:gridSpan w:val="4"/>
            <w:vMerge w:val="restart"/>
            <w:tcBorders>
              <w:top w:val="nil"/>
              <w:left w:val="nil"/>
              <w:bottom w:val="nil"/>
              <w:right w:val="nil"/>
            </w:tcBorders>
            <w:shd w:val="clear" w:color="auto" w:fill="FFFFFF"/>
            <w:vAlign w:val="bottom"/>
          </w:tcPr>
          <w:p w14:paraId="710629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260" w:type="dxa"/>
            <w:gridSpan w:val="4"/>
            <w:tcBorders>
              <w:top w:val="nil"/>
              <w:left w:val="nil"/>
              <w:bottom w:val="nil"/>
              <w:right w:val="single" w:sz="8" w:space="0" w:color="E0E0E0"/>
            </w:tcBorders>
            <w:shd w:val="clear" w:color="auto" w:fill="FFFFFF"/>
            <w:vAlign w:val="bottom"/>
          </w:tcPr>
          <w:p w14:paraId="1478CE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79858F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630" w:type="dxa"/>
            <w:gridSpan w:val="2"/>
            <w:vMerge w:val="restart"/>
            <w:tcBorders>
              <w:top w:val="nil"/>
              <w:left w:val="single" w:sz="8" w:space="0" w:color="E0E0E0"/>
              <w:bottom w:val="nil"/>
              <w:right w:val="single" w:sz="8" w:space="0" w:color="E0E0E0"/>
            </w:tcBorders>
            <w:shd w:val="clear" w:color="auto" w:fill="FFFFFF"/>
            <w:vAlign w:val="bottom"/>
          </w:tcPr>
          <w:p w14:paraId="13D4A1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5F3EC8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069114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00" w:type="dxa"/>
            <w:gridSpan w:val="6"/>
            <w:tcBorders>
              <w:top w:val="nil"/>
              <w:left w:val="single" w:sz="8" w:space="0" w:color="E0E0E0"/>
              <w:bottom w:val="nil"/>
              <w:right w:val="single" w:sz="8" w:space="0" w:color="E0E0E0"/>
            </w:tcBorders>
            <w:shd w:val="clear" w:color="auto" w:fill="FFFFFF"/>
            <w:vAlign w:val="bottom"/>
          </w:tcPr>
          <w:p w14:paraId="06BCE9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350" w:type="dxa"/>
            <w:gridSpan w:val="2"/>
            <w:tcBorders>
              <w:top w:val="nil"/>
              <w:left w:val="single" w:sz="8" w:space="0" w:color="E0E0E0"/>
              <w:bottom w:val="nil"/>
              <w:right w:val="nil"/>
            </w:tcBorders>
            <w:shd w:val="clear" w:color="auto" w:fill="FFFFFF"/>
            <w:vAlign w:val="bottom"/>
          </w:tcPr>
          <w:p w14:paraId="1845C6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3799049A" w14:textId="77777777" w:rsidTr="00DA6237">
        <w:trPr>
          <w:cantSplit/>
        </w:trPr>
        <w:tc>
          <w:tcPr>
            <w:tcW w:w="1170" w:type="dxa"/>
            <w:gridSpan w:val="4"/>
            <w:vMerge/>
            <w:tcBorders>
              <w:top w:val="nil"/>
              <w:left w:val="nil"/>
              <w:bottom w:val="nil"/>
              <w:right w:val="nil"/>
            </w:tcBorders>
            <w:shd w:val="clear" w:color="auto" w:fill="FFFFFF"/>
            <w:vAlign w:val="bottom"/>
          </w:tcPr>
          <w:p w14:paraId="4144AD0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540" w:type="dxa"/>
            <w:tcBorders>
              <w:top w:val="nil"/>
              <w:left w:val="nil"/>
              <w:bottom w:val="single" w:sz="8" w:space="0" w:color="152935"/>
              <w:right w:val="single" w:sz="8" w:space="0" w:color="E0E0E0"/>
            </w:tcBorders>
            <w:shd w:val="clear" w:color="auto" w:fill="FFFFFF"/>
            <w:vAlign w:val="bottom"/>
          </w:tcPr>
          <w:p w14:paraId="02AFE9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3"/>
            <w:tcBorders>
              <w:top w:val="nil"/>
              <w:left w:val="single" w:sz="8" w:space="0" w:color="E0E0E0"/>
              <w:bottom w:val="single" w:sz="8" w:space="0" w:color="152935"/>
              <w:right w:val="single" w:sz="8" w:space="0" w:color="E0E0E0"/>
            </w:tcBorders>
            <w:shd w:val="clear" w:color="auto" w:fill="FFFFFF"/>
            <w:vAlign w:val="bottom"/>
          </w:tcPr>
          <w:p w14:paraId="319022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0181F4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630" w:type="dxa"/>
            <w:gridSpan w:val="2"/>
            <w:vMerge/>
            <w:tcBorders>
              <w:top w:val="nil"/>
              <w:left w:val="single" w:sz="8" w:space="0" w:color="E0E0E0"/>
              <w:bottom w:val="nil"/>
              <w:right w:val="single" w:sz="8" w:space="0" w:color="E0E0E0"/>
            </w:tcBorders>
            <w:shd w:val="clear" w:color="auto" w:fill="FFFFFF"/>
            <w:vAlign w:val="bottom"/>
          </w:tcPr>
          <w:p w14:paraId="7186A5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5580B8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462EC0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AAB18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60E9744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771F8D2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tcBorders>
              <w:top w:val="nil"/>
              <w:left w:val="single" w:sz="8" w:space="0" w:color="E0E0E0"/>
              <w:bottom w:val="single" w:sz="8" w:space="0" w:color="152935"/>
              <w:right w:val="single" w:sz="8" w:space="0" w:color="E0E0E0"/>
            </w:tcBorders>
            <w:shd w:val="clear" w:color="auto" w:fill="FFFFFF"/>
            <w:vAlign w:val="bottom"/>
          </w:tcPr>
          <w:p w14:paraId="10761F0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1E921D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668280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25B795C1" w14:textId="77777777" w:rsidTr="00DA6237">
        <w:trPr>
          <w:cantSplit/>
        </w:trPr>
        <w:tc>
          <w:tcPr>
            <w:tcW w:w="270" w:type="dxa"/>
            <w:vMerge w:val="restart"/>
            <w:tcBorders>
              <w:top w:val="single" w:sz="8" w:space="0" w:color="152935"/>
              <w:left w:val="nil"/>
              <w:bottom w:val="single" w:sz="8" w:space="0" w:color="152935"/>
              <w:right w:val="nil"/>
            </w:tcBorders>
            <w:shd w:val="clear" w:color="auto" w:fill="E0E0E0"/>
          </w:tcPr>
          <w:p w14:paraId="04524F2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gridSpan w:val="3"/>
            <w:tcBorders>
              <w:top w:val="single" w:sz="8" w:space="0" w:color="152935"/>
              <w:left w:val="nil"/>
              <w:bottom w:val="single" w:sz="8" w:space="0" w:color="AEAEAE"/>
              <w:right w:val="nil"/>
            </w:tcBorders>
            <w:shd w:val="clear" w:color="auto" w:fill="E0E0E0"/>
          </w:tcPr>
          <w:p w14:paraId="64B26DE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540" w:type="dxa"/>
            <w:tcBorders>
              <w:top w:val="single" w:sz="8" w:space="0" w:color="152935"/>
              <w:left w:val="nil"/>
              <w:bottom w:val="single" w:sz="8" w:space="0" w:color="AEAEAE"/>
              <w:right w:val="single" w:sz="8" w:space="0" w:color="E0E0E0"/>
            </w:tcBorders>
            <w:shd w:val="clear" w:color="auto" w:fill="FFFFFF"/>
          </w:tcPr>
          <w:p w14:paraId="2C2EB9E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4.087</w:t>
            </w:r>
          </w:p>
        </w:tc>
        <w:tc>
          <w:tcPr>
            <w:tcW w:w="720" w:type="dxa"/>
            <w:gridSpan w:val="3"/>
            <w:tcBorders>
              <w:top w:val="single" w:sz="8" w:space="0" w:color="152935"/>
              <w:left w:val="single" w:sz="8" w:space="0" w:color="E0E0E0"/>
              <w:bottom w:val="single" w:sz="8" w:space="0" w:color="AEAEAE"/>
              <w:right w:val="single" w:sz="8" w:space="0" w:color="E0E0E0"/>
            </w:tcBorders>
            <w:shd w:val="clear" w:color="auto" w:fill="FFFFFF"/>
          </w:tcPr>
          <w:p w14:paraId="179F2A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.383</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01C87E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719704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10.671</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498FFE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3420080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3.333</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4BE158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4.841</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1F00897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2A59EB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6C7F86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0915A5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73447E8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758449F" w14:textId="77777777" w:rsidTr="00DA6237">
        <w:trPr>
          <w:cantSplit/>
        </w:trPr>
        <w:tc>
          <w:tcPr>
            <w:tcW w:w="270" w:type="dxa"/>
            <w:vMerge/>
            <w:tcBorders>
              <w:top w:val="single" w:sz="8" w:space="0" w:color="152935"/>
              <w:left w:val="nil"/>
              <w:bottom w:val="single" w:sz="8" w:space="0" w:color="152935"/>
              <w:right w:val="nil"/>
            </w:tcBorders>
            <w:shd w:val="clear" w:color="auto" w:fill="E0E0E0"/>
          </w:tcPr>
          <w:p w14:paraId="0EF8DF5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00" w:type="dxa"/>
            <w:gridSpan w:val="3"/>
            <w:tcBorders>
              <w:top w:val="single" w:sz="8" w:space="0" w:color="AEAEAE"/>
              <w:left w:val="nil"/>
              <w:bottom w:val="single" w:sz="8" w:space="0" w:color="152935"/>
              <w:right w:val="nil"/>
            </w:tcBorders>
            <w:shd w:val="clear" w:color="auto" w:fill="E0E0E0"/>
          </w:tcPr>
          <w:p w14:paraId="7C9BBD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Dominance</w:t>
            </w:r>
          </w:p>
        </w:tc>
        <w:tc>
          <w:tcPr>
            <w:tcW w:w="540" w:type="dxa"/>
            <w:tcBorders>
              <w:top w:val="single" w:sz="8" w:space="0" w:color="AEAEAE"/>
              <w:left w:val="nil"/>
              <w:bottom w:val="single" w:sz="8" w:space="0" w:color="152935"/>
              <w:right w:val="single" w:sz="8" w:space="0" w:color="E0E0E0"/>
            </w:tcBorders>
            <w:shd w:val="clear" w:color="auto" w:fill="FFFFFF"/>
          </w:tcPr>
          <w:p w14:paraId="7DC1D5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.255</w:t>
            </w:r>
          </w:p>
        </w:tc>
        <w:tc>
          <w:tcPr>
            <w:tcW w:w="72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02C69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.092</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2E218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w:t>
            </w:r>
          </w:p>
        </w:tc>
        <w:tc>
          <w:tcPr>
            <w:tcW w:w="6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6C796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2.761</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31DA00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.006</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34EAC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.073</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C496EC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.437</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382B84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88297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44F5BC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225F95C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48015C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083DCDBA" w14:textId="77777777" w:rsidTr="00DA6237">
        <w:trPr>
          <w:cantSplit/>
        </w:trPr>
        <w:tc>
          <w:tcPr>
            <w:tcW w:w="9720" w:type="dxa"/>
            <w:gridSpan w:val="25"/>
            <w:tcBorders>
              <w:top w:val="nil"/>
              <w:left w:val="nil"/>
              <w:bottom w:val="nil"/>
              <w:right w:val="nil"/>
            </w:tcBorders>
            <w:shd w:val="clear" w:color="auto" w:fill="FFFFFF"/>
          </w:tcPr>
          <w:p w14:paraId="104D80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Attitude</w:t>
            </w:r>
          </w:p>
        </w:tc>
      </w:tr>
    </w:tbl>
    <w:p w14:paraId="460A0E12"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0ACA968B" w14:textId="2DAE5CA8" w:rsidR="00C7217E" w:rsidRPr="00530906" w:rsidRDefault="00C7217E" w:rsidP="008756B1">
      <w:pPr>
        <w:pStyle w:val="Heading3"/>
        <w:jc w:val="both"/>
        <w:rPr>
          <w:rFonts w:eastAsia="Times New Roman"/>
          <w:lang w:val="en-US"/>
        </w:rPr>
      </w:pPr>
      <w:bookmarkStart w:id="151" w:name="_Toc115726306"/>
      <w:r w:rsidRPr="00530906">
        <w:rPr>
          <w:rFonts w:eastAsia="Times New Roman"/>
          <w:lang w:val="en-US"/>
        </w:rPr>
        <w:t>Regression analysis between ‘ad attitude’ and ‘engagement’</w:t>
      </w:r>
      <w:bookmarkEnd w:id="151"/>
    </w:p>
    <w:p w14:paraId="18FE095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4"/>
        <w:gridCol w:w="69"/>
        <w:gridCol w:w="107"/>
        <w:gridCol w:w="450"/>
        <w:gridCol w:w="580"/>
        <w:gridCol w:w="140"/>
        <w:gridCol w:w="80"/>
        <w:gridCol w:w="910"/>
        <w:gridCol w:w="75"/>
        <w:gridCol w:w="555"/>
        <w:gridCol w:w="91"/>
        <w:gridCol w:w="269"/>
        <w:gridCol w:w="716"/>
        <w:gridCol w:w="153"/>
        <w:gridCol w:w="121"/>
        <w:gridCol w:w="1080"/>
        <w:gridCol w:w="367"/>
        <w:gridCol w:w="85"/>
        <w:gridCol w:w="483"/>
        <w:gridCol w:w="55"/>
        <w:gridCol w:w="540"/>
        <w:gridCol w:w="200"/>
        <w:gridCol w:w="160"/>
        <w:gridCol w:w="810"/>
        <w:gridCol w:w="450"/>
      </w:tblGrid>
      <w:tr w:rsidR="00C7217E" w:rsidRPr="00530906" w14:paraId="33D7AF75" w14:textId="77777777" w:rsidTr="00C7217E">
        <w:trPr>
          <w:gridAfter w:val="8"/>
          <w:wAfter w:w="2783" w:type="dxa"/>
          <w:cantSplit/>
        </w:trPr>
        <w:tc>
          <w:tcPr>
            <w:tcW w:w="6577" w:type="dxa"/>
            <w:gridSpan w:val="18"/>
            <w:tcBorders>
              <w:top w:val="nil"/>
              <w:left w:val="nil"/>
              <w:bottom w:val="nil"/>
              <w:right w:val="nil"/>
            </w:tcBorders>
            <w:shd w:val="clear" w:color="auto" w:fill="FFFFFF"/>
            <w:vAlign w:val="center"/>
          </w:tcPr>
          <w:p w14:paraId="64B94D4F"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6C026CD0" w14:textId="77777777" w:rsidTr="00C7217E">
        <w:trPr>
          <w:gridAfter w:val="8"/>
          <w:wAfter w:w="2783" w:type="dxa"/>
          <w:cantSplit/>
        </w:trPr>
        <w:tc>
          <w:tcPr>
            <w:tcW w:w="883" w:type="dxa"/>
            <w:gridSpan w:val="3"/>
            <w:tcBorders>
              <w:top w:val="nil"/>
              <w:left w:val="nil"/>
              <w:bottom w:val="single" w:sz="8" w:space="0" w:color="152935"/>
              <w:right w:val="nil"/>
            </w:tcBorders>
            <w:shd w:val="clear" w:color="auto" w:fill="FFFFFF"/>
            <w:vAlign w:val="bottom"/>
          </w:tcPr>
          <w:p w14:paraId="7472FA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7A0439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4"/>
            <w:tcBorders>
              <w:top w:val="nil"/>
              <w:left w:val="single" w:sz="8" w:space="0" w:color="E0E0E0"/>
              <w:bottom w:val="single" w:sz="8" w:space="0" w:color="152935"/>
              <w:right w:val="single" w:sz="8" w:space="0" w:color="E0E0E0"/>
            </w:tcBorders>
            <w:shd w:val="clear" w:color="auto" w:fill="FFFFFF"/>
            <w:vAlign w:val="bottom"/>
          </w:tcPr>
          <w:p w14:paraId="0F221B5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4"/>
            <w:tcBorders>
              <w:top w:val="nil"/>
              <w:left w:val="single" w:sz="8" w:space="0" w:color="E0E0E0"/>
              <w:bottom w:val="single" w:sz="8" w:space="0" w:color="152935"/>
              <w:right w:val="single" w:sz="8" w:space="0" w:color="E0E0E0"/>
            </w:tcBorders>
            <w:shd w:val="clear" w:color="auto" w:fill="FFFFFF"/>
            <w:vAlign w:val="bottom"/>
          </w:tcPr>
          <w:p w14:paraId="2A7EB4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21" w:type="dxa"/>
            <w:gridSpan w:val="4"/>
            <w:tcBorders>
              <w:top w:val="nil"/>
              <w:left w:val="single" w:sz="8" w:space="0" w:color="E0E0E0"/>
              <w:bottom w:val="single" w:sz="8" w:space="0" w:color="152935"/>
              <w:right w:val="nil"/>
            </w:tcBorders>
            <w:shd w:val="clear" w:color="auto" w:fill="FFFFFF"/>
            <w:vAlign w:val="bottom"/>
          </w:tcPr>
          <w:p w14:paraId="59E2C7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511AF313" w14:textId="77777777" w:rsidTr="00C7217E">
        <w:trPr>
          <w:gridAfter w:val="8"/>
          <w:wAfter w:w="2783" w:type="dxa"/>
          <w:cantSplit/>
        </w:trPr>
        <w:tc>
          <w:tcPr>
            <w:tcW w:w="883" w:type="dxa"/>
            <w:gridSpan w:val="3"/>
            <w:tcBorders>
              <w:top w:val="single" w:sz="8" w:space="0" w:color="152935"/>
              <w:left w:val="nil"/>
              <w:bottom w:val="single" w:sz="8" w:space="0" w:color="152935"/>
              <w:right w:val="nil"/>
            </w:tcBorders>
            <w:shd w:val="clear" w:color="auto" w:fill="E0E0E0"/>
          </w:tcPr>
          <w:p w14:paraId="341558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31FE95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r w:rsidRPr="00530906">
              <w:rPr>
                <w:rFonts w:ascii="Cambria" w:eastAsia="Times New Roman" w:hAnsi="Cambria" w:cs="Times New Roman"/>
                <w:color w:val="000000"/>
                <w:sz w:val="18"/>
                <w:szCs w:val="18"/>
                <w:vertAlign w:val="superscript"/>
                <w:lang w:val="en-US"/>
              </w:rPr>
              <w:t>a</w:t>
            </w:r>
          </w:p>
        </w:tc>
        <w:tc>
          <w:tcPr>
            <w:tcW w:w="1205" w:type="dxa"/>
            <w:gridSpan w:val="4"/>
            <w:tcBorders>
              <w:top w:val="single" w:sz="8" w:space="0" w:color="152935"/>
              <w:left w:val="single" w:sz="8" w:space="0" w:color="E0E0E0"/>
              <w:bottom w:val="single" w:sz="8" w:space="0" w:color="152935"/>
              <w:right w:val="single" w:sz="8" w:space="0" w:color="E0E0E0"/>
            </w:tcBorders>
            <w:shd w:val="clear" w:color="auto" w:fill="FFFFFF"/>
          </w:tcPr>
          <w:p w14:paraId="0EBE69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.290</w:t>
            </w:r>
          </w:p>
        </w:tc>
        <w:tc>
          <w:tcPr>
            <w:tcW w:w="1631" w:type="dxa"/>
            <w:gridSpan w:val="4"/>
            <w:tcBorders>
              <w:top w:val="single" w:sz="8" w:space="0" w:color="152935"/>
              <w:left w:val="single" w:sz="8" w:space="0" w:color="E0E0E0"/>
              <w:bottom w:val="single" w:sz="8" w:space="0" w:color="152935"/>
              <w:right w:val="single" w:sz="8" w:space="0" w:color="E0E0E0"/>
            </w:tcBorders>
            <w:shd w:val="clear" w:color="auto" w:fill="FFFFFF"/>
          </w:tcPr>
          <w:p w14:paraId="39E30A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.287</w:t>
            </w:r>
          </w:p>
        </w:tc>
        <w:tc>
          <w:tcPr>
            <w:tcW w:w="1721" w:type="dxa"/>
            <w:gridSpan w:val="4"/>
            <w:tcBorders>
              <w:top w:val="single" w:sz="8" w:space="0" w:color="152935"/>
              <w:left w:val="single" w:sz="8" w:space="0" w:color="E0E0E0"/>
              <w:bottom w:val="single" w:sz="8" w:space="0" w:color="152935"/>
              <w:right w:val="nil"/>
            </w:tcBorders>
            <w:shd w:val="clear" w:color="auto" w:fill="FFFFFF"/>
          </w:tcPr>
          <w:p w14:paraId="560677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1.12592</w:t>
            </w:r>
          </w:p>
        </w:tc>
      </w:tr>
      <w:tr w:rsidR="00C7217E" w:rsidRPr="00530906" w14:paraId="2787C0CA" w14:textId="77777777" w:rsidTr="00C7217E">
        <w:trPr>
          <w:gridAfter w:val="8"/>
          <w:wAfter w:w="2783" w:type="dxa"/>
          <w:cantSplit/>
        </w:trPr>
        <w:tc>
          <w:tcPr>
            <w:tcW w:w="6577" w:type="dxa"/>
            <w:gridSpan w:val="18"/>
            <w:tcBorders>
              <w:top w:val="nil"/>
              <w:left w:val="nil"/>
              <w:bottom w:val="nil"/>
              <w:right w:val="nil"/>
            </w:tcBorders>
            <w:shd w:val="clear" w:color="auto" w:fill="FFFFFF"/>
          </w:tcPr>
          <w:p w14:paraId="11EC0B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Attitude</w:t>
            </w:r>
          </w:p>
        </w:tc>
      </w:tr>
      <w:tr w:rsidR="00C7217E" w:rsidRPr="00530906" w14:paraId="5EBE6CC5" w14:textId="77777777" w:rsidTr="00C7217E">
        <w:trPr>
          <w:gridAfter w:val="8"/>
          <w:wAfter w:w="2783" w:type="dxa"/>
          <w:cantSplit/>
        </w:trPr>
        <w:tc>
          <w:tcPr>
            <w:tcW w:w="6577" w:type="dxa"/>
            <w:gridSpan w:val="18"/>
            <w:tcBorders>
              <w:top w:val="nil"/>
              <w:left w:val="nil"/>
              <w:bottom w:val="nil"/>
              <w:right w:val="nil"/>
            </w:tcBorders>
            <w:shd w:val="clear" w:color="auto" w:fill="FFFFFF"/>
          </w:tcPr>
          <w:p w14:paraId="1DFBC4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Engagement</w:t>
            </w:r>
          </w:p>
        </w:tc>
      </w:tr>
      <w:tr w:rsidR="00C7217E" w:rsidRPr="00530906" w14:paraId="54D6288B" w14:textId="77777777" w:rsidTr="00C7217E">
        <w:trPr>
          <w:gridAfter w:val="3"/>
          <w:wAfter w:w="1420" w:type="dxa"/>
          <w:cantSplit/>
        </w:trPr>
        <w:tc>
          <w:tcPr>
            <w:tcW w:w="7940" w:type="dxa"/>
            <w:gridSpan w:val="23"/>
            <w:tcBorders>
              <w:top w:val="nil"/>
              <w:left w:val="nil"/>
              <w:bottom w:val="nil"/>
              <w:right w:val="nil"/>
            </w:tcBorders>
            <w:shd w:val="clear" w:color="auto" w:fill="FFFFFF"/>
            <w:vAlign w:val="center"/>
          </w:tcPr>
          <w:p w14:paraId="4A5FB601"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4745EB0F" w14:textId="77777777" w:rsidTr="00C7217E">
        <w:trPr>
          <w:gridAfter w:val="3"/>
          <w:wAfter w:w="1420" w:type="dxa"/>
          <w:cantSplit/>
        </w:trPr>
        <w:tc>
          <w:tcPr>
            <w:tcW w:w="2240" w:type="dxa"/>
            <w:gridSpan w:val="8"/>
            <w:tcBorders>
              <w:top w:val="nil"/>
              <w:left w:val="nil"/>
              <w:bottom w:val="single" w:sz="8" w:space="0" w:color="152935"/>
              <w:right w:val="nil"/>
            </w:tcBorders>
            <w:shd w:val="clear" w:color="auto" w:fill="FFFFFF"/>
            <w:vAlign w:val="bottom"/>
          </w:tcPr>
          <w:p w14:paraId="36DE30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04FFBC9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3"/>
            <w:tcBorders>
              <w:top w:val="nil"/>
              <w:left w:val="single" w:sz="8" w:space="0" w:color="E0E0E0"/>
              <w:bottom w:val="single" w:sz="8" w:space="0" w:color="152935"/>
              <w:right w:val="single" w:sz="8" w:space="0" w:color="E0E0E0"/>
            </w:tcBorders>
            <w:shd w:val="clear" w:color="auto" w:fill="FFFFFF"/>
            <w:vAlign w:val="bottom"/>
          </w:tcPr>
          <w:p w14:paraId="61F3AE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3" w:type="dxa"/>
            <w:gridSpan w:val="4"/>
            <w:tcBorders>
              <w:top w:val="nil"/>
              <w:left w:val="single" w:sz="8" w:space="0" w:color="E0E0E0"/>
              <w:bottom w:val="single" w:sz="8" w:space="0" w:color="152935"/>
              <w:right w:val="single" w:sz="8" w:space="0" w:color="E0E0E0"/>
            </w:tcBorders>
            <w:shd w:val="clear" w:color="auto" w:fill="FFFFFF"/>
            <w:vAlign w:val="bottom"/>
          </w:tcPr>
          <w:p w14:paraId="5C7DFC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3" w:type="dxa"/>
            <w:tcBorders>
              <w:top w:val="nil"/>
              <w:left w:val="single" w:sz="8" w:space="0" w:color="E0E0E0"/>
              <w:bottom w:val="single" w:sz="8" w:space="0" w:color="152935"/>
              <w:right w:val="single" w:sz="8" w:space="0" w:color="E0E0E0"/>
            </w:tcBorders>
            <w:shd w:val="clear" w:color="auto" w:fill="FFFFFF"/>
            <w:vAlign w:val="bottom"/>
          </w:tcPr>
          <w:p w14:paraId="683C2C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95" w:type="dxa"/>
            <w:gridSpan w:val="3"/>
            <w:tcBorders>
              <w:top w:val="nil"/>
              <w:left w:val="single" w:sz="8" w:space="0" w:color="E0E0E0"/>
              <w:bottom w:val="single" w:sz="8" w:space="0" w:color="152935"/>
              <w:right w:val="nil"/>
            </w:tcBorders>
            <w:shd w:val="clear" w:color="auto" w:fill="FFFFFF"/>
            <w:vAlign w:val="bottom"/>
          </w:tcPr>
          <w:p w14:paraId="6779D0A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0D2C8041" w14:textId="77777777" w:rsidTr="00C7217E">
        <w:trPr>
          <w:gridAfter w:val="3"/>
          <w:wAfter w:w="1420"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605783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6"/>
            <w:tcBorders>
              <w:top w:val="single" w:sz="8" w:space="0" w:color="152935"/>
              <w:left w:val="nil"/>
              <w:bottom w:val="single" w:sz="8" w:space="0" w:color="AEAEAE"/>
              <w:right w:val="nil"/>
            </w:tcBorders>
            <w:shd w:val="clear" w:color="auto" w:fill="E0E0E0"/>
          </w:tcPr>
          <w:p w14:paraId="18522DA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23AF05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143.161</w:t>
            </w:r>
          </w:p>
        </w:tc>
        <w:tc>
          <w:tcPr>
            <w:tcW w:w="11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0C6022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3" w:type="dxa"/>
            <w:gridSpan w:val="4"/>
            <w:tcBorders>
              <w:top w:val="single" w:sz="8" w:space="0" w:color="152935"/>
              <w:left w:val="single" w:sz="8" w:space="0" w:color="E0E0E0"/>
              <w:bottom w:val="single" w:sz="8" w:space="0" w:color="AEAEAE"/>
              <w:right w:val="single" w:sz="8" w:space="0" w:color="E0E0E0"/>
            </w:tcBorders>
            <w:shd w:val="clear" w:color="auto" w:fill="FFFFFF"/>
          </w:tcPr>
          <w:p w14:paraId="5F1E1C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143.161</w:t>
            </w:r>
          </w:p>
        </w:tc>
        <w:tc>
          <w:tcPr>
            <w:tcW w:w="483" w:type="dxa"/>
            <w:tcBorders>
              <w:top w:val="single" w:sz="8" w:space="0" w:color="152935"/>
              <w:left w:val="single" w:sz="8" w:space="0" w:color="E0E0E0"/>
              <w:bottom w:val="single" w:sz="8" w:space="0" w:color="AEAEAE"/>
              <w:right w:val="single" w:sz="8" w:space="0" w:color="E0E0E0"/>
            </w:tcBorders>
            <w:shd w:val="clear" w:color="auto" w:fill="FFFFFF"/>
          </w:tcPr>
          <w:p w14:paraId="214AD1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112.930</w:t>
            </w:r>
          </w:p>
        </w:tc>
        <w:tc>
          <w:tcPr>
            <w:tcW w:w="795" w:type="dxa"/>
            <w:gridSpan w:val="3"/>
            <w:tcBorders>
              <w:top w:val="single" w:sz="8" w:space="0" w:color="152935"/>
              <w:left w:val="single" w:sz="8" w:space="0" w:color="E0E0E0"/>
              <w:bottom w:val="single" w:sz="8" w:space="0" w:color="AEAEAE"/>
              <w:right w:val="nil"/>
            </w:tcBorders>
            <w:shd w:val="clear" w:color="auto" w:fill="FFFFFF"/>
          </w:tcPr>
          <w:p w14:paraId="4E617E0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2D8BFE82"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7F40E9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6"/>
            <w:tcBorders>
              <w:top w:val="single" w:sz="8" w:space="0" w:color="AEAEAE"/>
              <w:left w:val="nil"/>
              <w:bottom w:val="single" w:sz="8" w:space="0" w:color="AEAEAE"/>
              <w:right w:val="nil"/>
            </w:tcBorders>
            <w:shd w:val="clear" w:color="auto" w:fill="E0E0E0"/>
          </w:tcPr>
          <w:p w14:paraId="78489E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14EAA2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351.151</w:t>
            </w:r>
          </w:p>
        </w:tc>
        <w:tc>
          <w:tcPr>
            <w:tcW w:w="11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0858F4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3" w:type="dxa"/>
            <w:gridSpan w:val="4"/>
            <w:tcBorders>
              <w:top w:val="single" w:sz="8" w:space="0" w:color="AEAEAE"/>
              <w:left w:val="single" w:sz="8" w:space="0" w:color="E0E0E0"/>
              <w:bottom w:val="single" w:sz="8" w:space="0" w:color="AEAEAE"/>
              <w:right w:val="single" w:sz="8" w:space="0" w:color="E0E0E0"/>
            </w:tcBorders>
            <w:shd w:val="clear" w:color="auto" w:fill="FFFFFF"/>
          </w:tcPr>
          <w:p w14:paraId="57A673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1.268</w:t>
            </w:r>
          </w:p>
        </w:tc>
        <w:tc>
          <w:tcPr>
            <w:tcW w:w="48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B1CCB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95" w:type="dxa"/>
            <w:gridSpan w:val="3"/>
            <w:tcBorders>
              <w:top w:val="single" w:sz="8" w:space="0" w:color="AEAEAE"/>
              <w:left w:val="single" w:sz="8" w:space="0" w:color="E0E0E0"/>
              <w:bottom w:val="single" w:sz="8" w:space="0" w:color="AEAEAE"/>
              <w:right w:val="nil"/>
            </w:tcBorders>
            <w:shd w:val="clear" w:color="auto" w:fill="FFFFFF"/>
            <w:vAlign w:val="center"/>
          </w:tcPr>
          <w:p w14:paraId="6B0803F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AF616FD"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6EAF7F7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6"/>
            <w:tcBorders>
              <w:top w:val="single" w:sz="8" w:space="0" w:color="AEAEAE"/>
              <w:left w:val="nil"/>
              <w:bottom w:val="single" w:sz="8" w:space="0" w:color="152935"/>
              <w:right w:val="nil"/>
            </w:tcBorders>
            <w:shd w:val="clear" w:color="auto" w:fill="E0E0E0"/>
          </w:tcPr>
          <w:p w14:paraId="5DBADC7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64A7A29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494.312</w:t>
            </w:r>
          </w:p>
        </w:tc>
        <w:tc>
          <w:tcPr>
            <w:tcW w:w="1138" w:type="dxa"/>
            <w:gridSpan w:val="3"/>
            <w:tcBorders>
              <w:top w:val="single" w:sz="8" w:space="0" w:color="AEAEAE"/>
              <w:left w:val="single" w:sz="8" w:space="0" w:color="E0E0E0"/>
              <w:bottom w:val="single" w:sz="8" w:space="0" w:color="152935"/>
              <w:right w:val="single" w:sz="8" w:space="0" w:color="E0E0E0"/>
            </w:tcBorders>
            <w:shd w:val="clear" w:color="auto" w:fill="FFFFFF"/>
          </w:tcPr>
          <w:p w14:paraId="0E16000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3"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7D0CFA9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F572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95" w:type="dxa"/>
            <w:gridSpan w:val="3"/>
            <w:tcBorders>
              <w:top w:val="single" w:sz="8" w:space="0" w:color="AEAEAE"/>
              <w:left w:val="single" w:sz="8" w:space="0" w:color="E0E0E0"/>
              <w:bottom w:val="single" w:sz="8" w:space="0" w:color="152935"/>
              <w:right w:val="nil"/>
            </w:tcBorders>
            <w:shd w:val="clear" w:color="auto" w:fill="FFFFFF"/>
            <w:vAlign w:val="center"/>
          </w:tcPr>
          <w:p w14:paraId="643972C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5D9F8C3" w14:textId="77777777" w:rsidTr="00C7217E">
        <w:trPr>
          <w:gridAfter w:val="3"/>
          <w:wAfter w:w="1420" w:type="dxa"/>
          <w:cantSplit/>
        </w:trPr>
        <w:tc>
          <w:tcPr>
            <w:tcW w:w="7940" w:type="dxa"/>
            <w:gridSpan w:val="23"/>
            <w:tcBorders>
              <w:top w:val="nil"/>
              <w:left w:val="nil"/>
              <w:bottom w:val="nil"/>
              <w:right w:val="nil"/>
            </w:tcBorders>
            <w:shd w:val="clear" w:color="auto" w:fill="FFFFFF"/>
          </w:tcPr>
          <w:p w14:paraId="1DDCAC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Engagement</w:t>
            </w:r>
          </w:p>
        </w:tc>
      </w:tr>
      <w:tr w:rsidR="00C7217E" w:rsidRPr="00530906" w14:paraId="7556FB5F" w14:textId="77777777" w:rsidTr="00C7217E">
        <w:trPr>
          <w:gridAfter w:val="3"/>
          <w:wAfter w:w="1420" w:type="dxa"/>
          <w:cantSplit/>
        </w:trPr>
        <w:tc>
          <w:tcPr>
            <w:tcW w:w="7940" w:type="dxa"/>
            <w:gridSpan w:val="23"/>
            <w:tcBorders>
              <w:top w:val="nil"/>
              <w:left w:val="nil"/>
              <w:bottom w:val="nil"/>
              <w:right w:val="nil"/>
            </w:tcBorders>
            <w:shd w:val="clear" w:color="auto" w:fill="FFFFFF"/>
          </w:tcPr>
          <w:p w14:paraId="062931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Attitude</w:t>
            </w:r>
          </w:p>
        </w:tc>
      </w:tr>
      <w:tr w:rsidR="00C7217E" w:rsidRPr="00530906" w14:paraId="1944E333" w14:textId="77777777" w:rsidTr="00C7217E">
        <w:trPr>
          <w:cantSplit/>
        </w:trPr>
        <w:tc>
          <w:tcPr>
            <w:tcW w:w="9360" w:type="dxa"/>
            <w:gridSpan w:val="26"/>
            <w:tcBorders>
              <w:top w:val="nil"/>
              <w:left w:val="nil"/>
              <w:bottom w:val="nil"/>
              <w:right w:val="nil"/>
            </w:tcBorders>
            <w:shd w:val="clear" w:color="auto" w:fill="FFFFFF"/>
            <w:vAlign w:val="center"/>
          </w:tcPr>
          <w:p w14:paraId="24F655C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24A80B33" w14:textId="77777777" w:rsidTr="00C7217E">
        <w:trPr>
          <w:cantSplit/>
        </w:trPr>
        <w:tc>
          <w:tcPr>
            <w:tcW w:w="990" w:type="dxa"/>
            <w:gridSpan w:val="4"/>
            <w:vMerge w:val="restart"/>
            <w:tcBorders>
              <w:top w:val="nil"/>
              <w:left w:val="nil"/>
              <w:bottom w:val="nil"/>
              <w:right w:val="nil"/>
            </w:tcBorders>
            <w:shd w:val="clear" w:color="auto" w:fill="FFFFFF"/>
            <w:vAlign w:val="bottom"/>
          </w:tcPr>
          <w:p w14:paraId="02CCC8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70" w:type="dxa"/>
            <w:gridSpan w:val="3"/>
            <w:tcBorders>
              <w:top w:val="nil"/>
              <w:left w:val="nil"/>
              <w:bottom w:val="nil"/>
              <w:right w:val="single" w:sz="8" w:space="0" w:color="E0E0E0"/>
            </w:tcBorders>
            <w:shd w:val="clear" w:color="auto" w:fill="FFFFFF"/>
            <w:vAlign w:val="bottom"/>
          </w:tcPr>
          <w:p w14:paraId="052E56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5DBB01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630" w:type="dxa"/>
            <w:gridSpan w:val="2"/>
            <w:vMerge w:val="restart"/>
            <w:tcBorders>
              <w:top w:val="nil"/>
              <w:left w:val="single" w:sz="8" w:space="0" w:color="E0E0E0"/>
              <w:bottom w:val="nil"/>
              <w:right w:val="single" w:sz="8" w:space="0" w:color="E0E0E0"/>
            </w:tcBorders>
            <w:shd w:val="clear" w:color="auto" w:fill="FFFFFF"/>
            <w:vAlign w:val="bottom"/>
          </w:tcPr>
          <w:p w14:paraId="6A3143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360" w:type="dxa"/>
            <w:gridSpan w:val="2"/>
            <w:vMerge w:val="restart"/>
            <w:tcBorders>
              <w:top w:val="nil"/>
              <w:left w:val="single" w:sz="8" w:space="0" w:color="E0E0E0"/>
              <w:bottom w:val="nil"/>
              <w:right w:val="single" w:sz="8" w:space="0" w:color="E0E0E0"/>
            </w:tcBorders>
            <w:shd w:val="clear" w:color="auto" w:fill="FFFFFF"/>
            <w:vAlign w:val="bottom"/>
          </w:tcPr>
          <w:p w14:paraId="7EF9F1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55C42D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90" w:type="dxa"/>
            <w:gridSpan w:val="7"/>
            <w:tcBorders>
              <w:top w:val="nil"/>
              <w:left w:val="single" w:sz="8" w:space="0" w:color="E0E0E0"/>
              <w:bottom w:val="nil"/>
              <w:right w:val="single" w:sz="8" w:space="0" w:color="E0E0E0"/>
            </w:tcBorders>
            <w:shd w:val="clear" w:color="auto" w:fill="FFFFFF"/>
            <w:vAlign w:val="bottom"/>
          </w:tcPr>
          <w:p w14:paraId="62127E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7A7CE6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69ED04B9" w14:textId="77777777" w:rsidTr="00C7217E">
        <w:trPr>
          <w:cantSplit/>
        </w:trPr>
        <w:tc>
          <w:tcPr>
            <w:tcW w:w="990" w:type="dxa"/>
            <w:gridSpan w:val="4"/>
            <w:vMerge/>
            <w:tcBorders>
              <w:top w:val="nil"/>
              <w:left w:val="nil"/>
              <w:bottom w:val="nil"/>
              <w:right w:val="nil"/>
            </w:tcBorders>
            <w:shd w:val="clear" w:color="auto" w:fill="FFFFFF"/>
            <w:vAlign w:val="bottom"/>
          </w:tcPr>
          <w:p w14:paraId="5DC2683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tcBorders>
              <w:top w:val="nil"/>
              <w:left w:val="nil"/>
              <w:bottom w:val="single" w:sz="8" w:space="0" w:color="152935"/>
              <w:right w:val="single" w:sz="8" w:space="0" w:color="E0E0E0"/>
            </w:tcBorders>
            <w:shd w:val="clear" w:color="auto" w:fill="FFFFFF"/>
            <w:vAlign w:val="bottom"/>
          </w:tcPr>
          <w:p w14:paraId="0625B5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6FA8BC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3754C5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630" w:type="dxa"/>
            <w:gridSpan w:val="2"/>
            <w:vMerge/>
            <w:tcBorders>
              <w:top w:val="nil"/>
              <w:left w:val="single" w:sz="8" w:space="0" w:color="E0E0E0"/>
              <w:bottom w:val="nil"/>
              <w:right w:val="single" w:sz="8" w:space="0" w:color="E0E0E0"/>
            </w:tcBorders>
            <w:shd w:val="clear" w:color="auto" w:fill="FFFFFF"/>
            <w:vAlign w:val="bottom"/>
          </w:tcPr>
          <w:p w14:paraId="4A203C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gridSpan w:val="2"/>
            <w:vMerge/>
            <w:tcBorders>
              <w:top w:val="nil"/>
              <w:left w:val="single" w:sz="8" w:space="0" w:color="E0E0E0"/>
              <w:bottom w:val="nil"/>
              <w:right w:val="single" w:sz="8" w:space="0" w:color="E0E0E0"/>
            </w:tcBorders>
            <w:shd w:val="clear" w:color="auto" w:fill="FFFFFF"/>
            <w:vAlign w:val="bottom"/>
          </w:tcPr>
          <w:p w14:paraId="51BF19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2B34CE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23E89C3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90" w:type="dxa"/>
            <w:gridSpan w:val="4"/>
            <w:tcBorders>
              <w:top w:val="nil"/>
              <w:left w:val="single" w:sz="8" w:space="0" w:color="E0E0E0"/>
              <w:bottom w:val="single" w:sz="8" w:space="0" w:color="152935"/>
              <w:right w:val="single" w:sz="8" w:space="0" w:color="E0E0E0"/>
            </w:tcBorders>
            <w:shd w:val="clear" w:color="auto" w:fill="FFFFFF"/>
            <w:vAlign w:val="bottom"/>
          </w:tcPr>
          <w:p w14:paraId="2DBD78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58BCA3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gridSpan w:val="2"/>
            <w:tcBorders>
              <w:top w:val="nil"/>
              <w:left w:val="single" w:sz="8" w:space="0" w:color="E0E0E0"/>
              <w:bottom w:val="single" w:sz="8" w:space="0" w:color="152935"/>
              <w:right w:val="single" w:sz="8" w:space="0" w:color="E0E0E0"/>
            </w:tcBorders>
            <w:shd w:val="clear" w:color="auto" w:fill="FFFFFF"/>
            <w:vAlign w:val="bottom"/>
          </w:tcPr>
          <w:p w14:paraId="57D264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3D7852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4BFAA7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146CC415" w14:textId="77777777" w:rsidTr="00C7217E">
        <w:trPr>
          <w:cantSplit/>
        </w:trPr>
        <w:tc>
          <w:tcPr>
            <w:tcW w:w="180" w:type="dxa"/>
            <w:vMerge w:val="restart"/>
            <w:tcBorders>
              <w:top w:val="single" w:sz="8" w:space="0" w:color="152935"/>
              <w:left w:val="nil"/>
              <w:bottom w:val="single" w:sz="8" w:space="0" w:color="152935"/>
              <w:right w:val="nil"/>
            </w:tcBorders>
            <w:shd w:val="clear" w:color="auto" w:fill="E0E0E0"/>
          </w:tcPr>
          <w:p w14:paraId="44DB2C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810" w:type="dxa"/>
            <w:gridSpan w:val="3"/>
            <w:tcBorders>
              <w:top w:val="single" w:sz="8" w:space="0" w:color="152935"/>
              <w:left w:val="nil"/>
              <w:bottom w:val="single" w:sz="8" w:space="0" w:color="AEAEAE"/>
              <w:right w:val="nil"/>
            </w:tcBorders>
            <w:shd w:val="clear" w:color="auto" w:fill="E0E0E0"/>
          </w:tcPr>
          <w:p w14:paraId="273629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450" w:type="dxa"/>
            <w:tcBorders>
              <w:top w:val="single" w:sz="8" w:space="0" w:color="152935"/>
              <w:left w:val="nil"/>
              <w:bottom w:val="single" w:sz="8" w:space="0" w:color="AEAEAE"/>
              <w:right w:val="single" w:sz="8" w:space="0" w:color="E0E0E0"/>
            </w:tcBorders>
            <w:shd w:val="clear" w:color="auto" w:fill="FFFFFF"/>
          </w:tcPr>
          <w:p w14:paraId="63D547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.945</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81C83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.262</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8DA7BC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0CB66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3.606</w:t>
            </w:r>
          </w:p>
        </w:tc>
        <w:tc>
          <w:tcPr>
            <w:tcW w:w="360" w:type="dxa"/>
            <w:gridSpan w:val="2"/>
            <w:tcBorders>
              <w:top w:val="single" w:sz="8" w:space="0" w:color="152935"/>
              <w:left w:val="single" w:sz="8" w:space="0" w:color="E0E0E0"/>
              <w:bottom w:val="single" w:sz="8" w:space="0" w:color="AEAEAE"/>
              <w:right w:val="single" w:sz="8" w:space="0" w:color="E0E0E0"/>
            </w:tcBorders>
            <w:shd w:val="clear" w:color="auto" w:fill="FFFFFF"/>
          </w:tcPr>
          <w:p w14:paraId="163744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615425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.429</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742BCE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1.462</w:t>
            </w:r>
          </w:p>
        </w:tc>
        <w:tc>
          <w:tcPr>
            <w:tcW w:w="99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4FA1B4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99941F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783B2E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2727D5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2D403CE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63D72E8"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2BAB178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3"/>
            <w:tcBorders>
              <w:top w:val="single" w:sz="8" w:space="0" w:color="AEAEAE"/>
              <w:left w:val="nil"/>
              <w:bottom w:val="single" w:sz="8" w:space="0" w:color="152935"/>
              <w:right w:val="nil"/>
            </w:tcBorders>
            <w:shd w:val="clear" w:color="auto" w:fill="E0E0E0"/>
          </w:tcPr>
          <w:p w14:paraId="5DB224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Attitude</w:t>
            </w:r>
          </w:p>
        </w:tc>
        <w:tc>
          <w:tcPr>
            <w:tcW w:w="450" w:type="dxa"/>
            <w:tcBorders>
              <w:top w:val="single" w:sz="8" w:space="0" w:color="AEAEAE"/>
              <w:left w:val="nil"/>
              <w:bottom w:val="single" w:sz="8" w:space="0" w:color="152935"/>
              <w:right w:val="single" w:sz="8" w:space="0" w:color="E0E0E0"/>
            </w:tcBorders>
            <w:shd w:val="clear" w:color="auto" w:fill="FFFFFF"/>
          </w:tcPr>
          <w:p w14:paraId="162F44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.526</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E72215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.049</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B74CF0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6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B373E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10.627</w:t>
            </w:r>
          </w:p>
        </w:tc>
        <w:tc>
          <w:tcPr>
            <w:tcW w:w="36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17895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5A0959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.428</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33C9DA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.623</w:t>
            </w:r>
          </w:p>
        </w:tc>
        <w:tc>
          <w:tcPr>
            <w:tcW w:w="990" w:type="dxa"/>
            <w:gridSpan w:val="4"/>
            <w:tcBorders>
              <w:top w:val="single" w:sz="8" w:space="0" w:color="AEAEAE"/>
              <w:left w:val="single" w:sz="8" w:space="0" w:color="E0E0E0"/>
              <w:bottom w:val="single" w:sz="8" w:space="0" w:color="152935"/>
              <w:right w:val="single" w:sz="8" w:space="0" w:color="E0E0E0"/>
            </w:tcBorders>
            <w:shd w:val="clear" w:color="auto" w:fill="FFFFFF"/>
          </w:tcPr>
          <w:p w14:paraId="61BF83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0B12C7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36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A760A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.538</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4D829A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450" w:type="dxa"/>
            <w:tcBorders>
              <w:top w:val="single" w:sz="8" w:space="0" w:color="AEAEAE"/>
              <w:left w:val="single" w:sz="8" w:space="0" w:color="E0E0E0"/>
              <w:bottom w:val="single" w:sz="8" w:space="0" w:color="152935"/>
              <w:right w:val="nil"/>
            </w:tcBorders>
            <w:shd w:val="clear" w:color="auto" w:fill="FFFFFF"/>
          </w:tcPr>
          <w:p w14:paraId="267D76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0B6BBF45" w14:textId="77777777" w:rsidTr="00C7217E">
        <w:trPr>
          <w:cantSplit/>
        </w:trPr>
        <w:tc>
          <w:tcPr>
            <w:tcW w:w="9360" w:type="dxa"/>
            <w:gridSpan w:val="26"/>
            <w:tcBorders>
              <w:top w:val="nil"/>
              <w:left w:val="nil"/>
              <w:bottom w:val="nil"/>
              <w:right w:val="nil"/>
            </w:tcBorders>
            <w:shd w:val="clear" w:color="auto" w:fill="FFFFFF"/>
          </w:tcPr>
          <w:p w14:paraId="6E6DF5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Engagement</w:t>
            </w:r>
          </w:p>
        </w:tc>
      </w:tr>
    </w:tbl>
    <w:p w14:paraId="3F95678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61B2498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0FBB16C3"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764E719" w14:textId="42B9F71F" w:rsidR="00C7217E" w:rsidRPr="00530906" w:rsidRDefault="00C7217E" w:rsidP="008756B1">
      <w:pPr>
        <w:pStyle w:val="Heading3"/>
        <w:jc w:val="both"/>
        <w:rPr>
          <w:rFonts w:eastAsia="Times New Roman"/>
          <w:lang w:val="en-US"/>
        </w:rPr>
      </w:pPr>
      <w:bookmarkStart w:id="152" w:name="_Toc115726307"/>
      <w:r w:rsidRPr="00530906">
        <w:rPr>
          <w:rFonts w:eastAsia="Times New Roman"/>
          <w:lang w:val="en-US"/>
        </w:rPr>
        <w:t>Multiple Regression analysis between ‘SCV’ and ‘engagement’</w:t>
      </w:r>
      <w:bookmarkEnd w:id="152"/>
    </w:p>
    <w:p w14:paraId="15025CA9" w14:textId="77777777" w:rsidR="00C7217E" w:rsidRPr="00530906" w:rsidRDefault="00C7217E" w:rsidP="008756B1">
      <w:pPr>
        <w:spacing w:after="0" w:line="240" w:lineRule="auto"/>
        <w:jc w:val="both"/>
        <w:rPr>
          <w:rFonts w:ascii="Cambria" w:eastAsia="Times New Roman" w:hAnsi="Cambria" w:cs="Calibri"/>
          <w:color w:val="000000"/>
          <w:lang w:val="en-US"/>
        </w:rPr>
      </w:pPr>
    </w:p>
    <w:p w14:paraId="16A98A2D"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708"/>
        <w:gridCol w:w="912"/>
        <w:gridCol w:w="235"/>
        <w:gridCol w:w="225"/>
        <w:gridCol w:w="80"/>
        <w:gridCol w:w="720"/>
        <w:gridCol w:w="190"/>
        <w:gridCol w:w="652"/>
        <w:gridCol w:w="148"/>
        <w:gridCol w:w="540"/>
        <w:gridCol w:w="303"/>
        <w:gridCol w:w="147"/>
        <w:gridCol w:w="8"/>
        <w:gridCol w:w="982"/>
        <w:gridCol w:w="774"/>
        <w:gridCol w:w="567"/>
        <w:gridCol w:w="141"/>
        <w:gridCol w:w="178"/>
        <w:gridCol w:w="248"/>
        <w:gridCol w:w="426"/>
        <w:gridCol w:w="476"/>
        <w:gridCol w:w="32"/>
        <w:gridCol w:w="342"/>
        <w:gridCol w:w="567"/>
      </w:tblGrid>
      <w:tr w:rsidR="00C7217E" w:rsidRPr="00530906" w14:paraId="419A04F6" w14:textId="77777777" w:rsidTr="00B82C43">
        <w:trPr>
          <w:gridAfter w:val="6"/>
          <w:wAfter w:w="2091" w:type="dxa"/>
          <w:cantSplit/>
        </w:trPr>
        <w:tc>
          <w:tcPr>
            <w:tcW w:w="7690" w:type="dxa"/>
            <w:gridSpan w:val="19"/>
            <w:tcBorders>
              <w:top w:val="nil"/>
              <w:left w:val="nil"/>
              <w:bottom w:val="nil"/>
              <w:right w:val="nil"/>
            </w:tcBorders>
            <w:shd w:val="clear" w:color="auto" w:fill="FFFFFF"/>
            <w:vAlign w:val="center"/>
          </w:tcPr>
          <w:p w14:paraId="01269E78"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Model Summary</w:t>
            </w:r>
            <w:r w:rsidRPr="00530906">
              <w:rPr>
                <w:rFonts w:ascii="Cambria" w:eastAsia="Times New Roman" w:hAnsi="Cambria" w:cs="Calibri"/>
                <w:b/>
                <w:bCs/>
                <w:color w:val="000000"/>
                <w:vertAlign w:val="superscript"/>
                <w:lang w:val="en-US"/>
              </w:rPr>
              <w:t>b</w:t>
            </w:r>
          </w:p>
        </w:tc>
      </w:tr>
      <w:tr w:rsidR="00C7217E" w:rsidRPr="00530906" w14:paraId="270DED20" w14:textId="77777777" w:rsidTr="00B82C43">
        <w:trPr>
          <w:gridAfter w:val="6"/>
          <w:wAfter w:w="2091" w:type="dxa"/>
          <w:cantSplit/>
        </w:trPr>
        <w:tc>
          <w:tcPr>
            <w:tcW w:w="888" w:type="dxa"/>
            <w:gridSpan w:val="2"/>
            <w:tcBorders>
              <w:top w:val="nil"/>
              <w:left w:val="nil"/>
              <w:bottom w:val="single" w:sz="8" w:space="0" w:color="152935"/>
              <w:right w:val="nil"/>
            </w:tcBorders>
            <w:shd w:val="clear" w:color="auto" w:fill="FFFFFF"/>
            <w:vAlign w:val="bottom"/>
          </w:tcPr>
          <w:p w14:paraId="4CBD210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147" w:type="dxa"/>
            <w:gridSpan w:val="2"/>
            <w:tcBorders>
              <w:top w:val="nil"/>
              <w:left w:val="nil"/>
              <w:bottom w:val="single" w:sz="8" w:space="0" w:color="152935"/>
              <w:right w:val="single" w:sz="8" w:space="0" w:color="E0E0E0"/>
            </w:tcBorders>
            <w:shd w:val="clear" w:color="auto" w:fill="FFFFFF"/>
            <w:vAlign w:val="bottom"/>
          </w:tcPr>
          <w:p w14:paraId="0EA87EF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w:t>
            </w:r>
          </w:p>
        </w:tc>
        <w:tc>
          <w:tcPr>
            <w:tcW w:w="1215" w:type="dxa"/>
            <w:gridSpan w:val="4"/>
            <w:tcBorders>
              <w:top w:val="nil"/>
              <w:left w:val="single" w:sz="8" w:space="0" w:color="E0E0E0"/>
              <w:bottom w:val="single" w:sz="8" w:space="0" w:color="152935"/>
              <w:right w:val="single" w:sz="8" w:space="0" w:color="E0E0E0"/>
            </w:tcBorders>
            <w:shd w:val="clear" w:color="auto" w:fill="FFFFFF"/>
            <w:vAlign w:val="bottom"/>
          </w:tcPr>
          <w:p w14:paraId="711C259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 Square</w:t>
            </w:r>
          </w:p>
        </w:tc>
        <w:tc>
          <w:tcPr>
            <w:tcW w:w="1643" w:type="dxa"/>
            <w:gridSpan w:val="4"/>
            <w:tcBorders>
              <w:top w:val="nil"/>
              <w:left w:val="single" w:sz="8" w:space="0" w:color="E0E0E0"/>
              <w:bottom w:val="single" w:sz="8" w:space="0" w:color="152935"/>
              <w:right w:val="single" w:sz="8" w:space="0" w:color="E0E0E0"/>
            </w:tcBorders>
            <w:shd w:val="clear" w:color="auto" w:fill="FFFFFF"/>
            <w:vAlign w:val="bottom"/>
          </w:tcPr>
          <w:p w14:paraId="5FDA29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Adjusted R Square</w:t>
            </w:r>
          </w:p>
        </w:tc>
        <w:tc>
          <w:tcPr>
            <w:tcW w:w="2797" w:type="dxa"/>
            <w:gridSpan w:val="7"/>
            <w:tcBorders>
              <w:top w:val="nil"/>
              <w:left w:val="single" w:sz="8" w:space="0" w:color="E0E0E0"/>
              <w:bottom w:val="single" w:sz="8" w:space="0" w:color="152935"/>
              <w:right w:val="nil"/>
            </w:tcBorders>
            <w:shd w:val="clear" w:color="auto" w:fill="FFFFFF"/>
            <w:vAlign w:val="bottom"/>
          </w:tcPr>
          <w:p w14:paraId="4F706CE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 of the Estimate</w:t>
            </w:r>
          </w:p>
        </w:tc>
      </w:tr>
      <w:tr w:rsidR="00C7217E" w:rsidRPr="00530906" w14:paraId="5A385CB9" w14:textId="77777777" w:rsidTr="00B82C43">
        <w:trPr>
          <w:gridAfter w:val="6"/>
          <w:wAfter w:w="2091" w:type="dxa"/>
          <w:cantSplit/>
        </w:trPr>
        <w:tc>
          <w:tcPr>
            <w:tcW w:w="888" w:type="dxa"/>
            <w:gridSpan w:val="2"/>
            <w:tcBorders>
              <w:top w:val="single" w:sz="8" w:space="0" w:color="152935"/>
              <w:left w:val="nil"/>
              <w:bottom w:val="single" w:sz="8" w:space="0" w:color="152935"/>
              <w:right w:val="nil"/>
            </w:tcBorders>
            <w:shd w:val="clear" w:color="auto" w:fill="E0E0E0"/>
          </w:tcPr>
          <w:p w14:paraId="5C4EA1F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147" w:type="dxa"/>
            <w:gridSpan w:val="2"/>
            <w:tcBorders>
              <w:top w:val="single" w:sz="8" w:space="0" w:color="152935"/>
              <w:left w:val="nil"/>
              <w:bottom w:val="single" w:sz="8" w:space="0" w:color="152935"/>
              <w:right w:val="single" w:sz="8" w:space="0" w:color="E0E0E0"/>
            </w:tcBorders>
            <w:shd w:val="clear" w:color="auto" w:fill="FFFFFF"/>
          </w:tcPr>
          <w:p w14:paraId="4FA95E0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.579</w:t>
            </w:r>
            <w:r w:rsidRPr="00530906">
              <w:rPr>
                <w:rFonts w:ascii="Cambria" w:eastAsia="Times New Roman" w:hAnsi="Cambria" w:cs="Calibri"/>
                <w:color w:val="000000"/>
                <w:sz w:val="18"/>
                <w:szCs w:val="18"/>
                <w:vertAlign w:val="superscript"/>
                <w:lang w:val="en-US"/>
              </w:rPr>
              <w:t>a</w:t>
            </w:r>
          </w:p>
        </w:tc>
        <w:tc>
          <w:tcPr>
            <w:tcW w:w="1215" w:type="dxa"/>
            <w:gridSpan w:val="4"/>
            <w:tcBorders>
              <w:top w:val="single" w:sz="8" w:space="0" w:color="152935"/>
              <w:left w:val="single" w:sz="8" w:space="0" w:color="E0E0E0"/>
              <w:bottom w:val="single" w:sz="8" w:space="0" w:color="152935"/>
              <w:right w:val="single" w:sz="8" w:space="0" w:color="E0E0E0"/>
            </w:tcBorders>
            <w:shd w:val="clear" w:color="auto" w:fill="FFFFFF"/>
          </w:tcPr>
          <w:p w14:paraId="2F89C4D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.335</w:t>
            </w:r>
          </w:p>
        </w:tc>
        <w:tc>
          <w:tcPr>
            <w:tcW w:w="1643" w:type="dxa"/>
            <w:gridSpan w:val="4"/>
            <w:tcBorders>
              <w:top w:val="single" w:sz="8" w:space="0" w:color="152935"/>
              <w:left w:val="single" w:sz="8" w:space="0" w:color="E0E0E0"/>
              <w:bottom w:val="single" w:sz="8" w:space="0" w:color="152935"/>
              <w:right w:val="single" w:sz="8" w:space="0" w:color="E0E0E0"/>
            </w:tcBorders>
            <w:shd w:val="clear" w:color="auto" w:fill="FFFFFF"/>
          </w:tcPr>
          <w:p w14:paraId="5351DED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.325</w:t>
            </w:r>
          </w:p>
        </w:tc>
        <w:tc>
          <w:tcPr>
            <w:tcW w:w="2797" w:type="dxa"/>
            <w:gridSpan w:val="7"/>
            <w:tcBorders>
              <w:top w:val="single" w:sz="8" w:space="0" w:color="152935"/>
              <w:left w:val="single" w:sz="8" w:space="0" w:color="E0E0E0"/>
              <w:bottom w:val="single" w:sz="8" w:space="0" w:color="152935"/>
              <w:right w:val="nil"/>
            </w:tcBorders>
            <w:shd w:val="clear" w:color="auto" w:fill="FFFFFF"/>
          </w:tcPr>
          <w:p w14:paraId="06DFFEA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1.09552</w:t>
            </w:r>
          </w:p>
        </w:tc>
      </w:tr>
      <w:tr w:rsidR="00C7217E" w:rsidRPr="00530906" w14:paraId="1867D764" w14:textId="77777777" w:rsidTr="00B82C43">
        <w:trPr>
          <w:gridAfter w:val="6"/>
          <w:wAfter w:w="2091" w:type="dxa"/>
          <w:cantSplit/>
        </w:trPr>
        <w:tc>
          <w:tcPr>
            <w:tcW w:w="7690" w:type="dxa"/>
            <w:gridSpan w:val="19"/>
            <w:tcBorders>
              <w:top w:val="nil"/>
              <w:left w:val="nil"/>
              <w:bottom w:val="nil"/>
              <w:right w:val="nil"/>
            </w:tcBorders>
            <w:shd w:val="clear" w:color="auto" w:fill="FFFFFF"/>
          </w:tcPr>
          <w:p w14:paraId="3F4A172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Predictors: (Constant), Mental fluency, Engrossment, Image quality, Self–projection</w:t>
            </w:r>
          </w:p>
        </w:tc>
      </w:tr>
      <w:tr w:rsidR="00C7217E" w:rsidRPr="00530906" w14:paraId="4EC17820" w14:textId="77777777" w:rsidTr="00B82C43">
        <w:trPr>
          <w:gridAfter w:val="6"/>
          <w:wAfter w:w="2091" w:type="dxa"/>
          <w:cantSplit/>
        </w:trPr>
        <w:tc>
          <w:tcPr>
            <w:tcW w:w="7690" w:type="dxa"/>
            <w:gridSpan w:val="19"/>
            <w:tcBorders>
              <w:top w:val="nil"/>
              <w:left w:val="nil"/>
              <w:bottom w:val="nil"/>
              <w:right w:val="nil"/>
            </w:tcBorders>
            <w:shd w:val="clear" w:color="auto" w:fill="FFFFFF"/>
          </w:tcPr>
          <w:p w14:paraId="62BEDA1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Dependent Variable: Engagement</w:t>
            </w:r>
          </w:p>
        </w:tc>
      </w:tr>
      <w:tr w:rsidR="00C7217E" w:rsidRPr="00530906" w14:paraId="42F20AFD" w14:textId="77777777" w:rsidTr="00B82C43">
        <w:trPr>
          <w:gridAfter w:val="3"/>
          <w:wAfter w:w="941" w:type="dxa"/>
          <w:cantSplit/>
        </w:trPr>
        <w:tc>
          <w:tcPr>
            <w:tcW w:w="8840" w:type="dxa"/>
            <w:gridSpan w:val="22"/>
            <w:tcBorders>
              <w:top w:val="nil"/>
              <w:left w:val="nil"/>
              <w:bottom w:val="nil"/>
              <w:right w:val="nil"/>
            </w:tcBorders>
            <w:shd w:val="clear" w:color="auto" w:fill="FFFFFF"/>
            <w:vAlign w:val="center"/>
          </w:tcPr>
          <w:p w14:paraId="6F2A404F"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ANOVA</w:t>
            </w:r>
            <w:r w:rsidRPr="00530906">
              <w:rPr>
                <w:rFonts w:ascii="Cambria" w:eastAsia="Times New Roman" w:hAnsi="Cambria" w:cs="Calibri"/>
                <w:b/>
                <w:bCs/>
                <w:color w:val="000000"/>
                <w:vertAlign w:val="superscript"/>
                <w:lang w:val="en-US"/>
              </w:rPr>
              <w:t>a</w:t>
            </w:r>
          </w:p>
        </w:tc>
      </w:tr>
      <w:tr w:rsidR="00C7217E" w:rsidRPr="00530906" w14:paraId="60A0F094" w14:textId="77777777" w:rsidTr="00B82C43">
        <w:trPr>
          <w:gridAfter w:val="2"/>
          <w:wAfter w:w="909" w:type="dxa"/>
          <w:cantSplit/>
        </w:trPr>
        <w:tc>
          <w:tcPr>
            <w:tcW w:w="2260" w:type="dxa"/>
            <w:gridSpan w:val="5"/>
            <w:tcBorders>
              <w:top w:val="nil"/>
              <w:left w:val="nil"/>
              <w:bottom w:val="single" w:sz="8" w:space="0" w:color="152935"/>
              <w:right w:val="nil"/>
            </w:tcBorders>
            <w:shd w:val="clear" w:color="auto" w:fill="FFFFFF"/>
            <w:vAlign w:val="bottom"/>
          </w:tcPr>
          <w:p w14:paraId="5A9C622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642" w:type="dxa"/>
            <w:gridSpan w:val="4"/>
            <w:tcBorders>
              <w:top w:val="nil"/>
              <w:left w:val="nil"/>
              <w:bottom w:val="single" w:sz="8" w:space="0" w:color="152935"/>
              <w:right w:val="single" w:sz="8" w:space="0" w:color="E0E0E0"/>
            </w:tcBorders>
            <w:shd w:val="clear" w:color="auto" w:fill="FFFFFF"/>
            <w:vAlign w:val="bottom"/>
          </w:tcPr>
          <w:p w14:paraId="3C6E4EA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Sum of Squares</w:t>
            </w:r>
          </w:p>
        </w:tc>
        <w:tc>
          <w:tcPr>
            <w:tcW w:w="1146" w:type="dxa"/>
            <w:gridSpan w:val="5"/>
            <w:tcBorders>
              <w:top w:val="nil"/>
              <w:left w:val="single" w:sz="8" w:space="0" w:color="E0E0E0"/>
              <w:bottom w:val="single" w:sz="8" w:space="0" w:color="152935"/>
              <w:right w:val="single" w:sz="8" w:space="0" w:color="E0E0E0"/>
            </w:tcBorders>
            <w:shd w:val="clear" w:color="auto" w:fill="FFFFFF"/>
            <w:vAlign w:val="bottom"/>
          </w:tcPr>
          <w:p w14:paraId="6ECB55D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df</w:t>
            </w:r>
          </w:p>
        </w:tc>
        <w:tc>
          <w:tcPr>
            <w:tcW w:w="1756" w:type="dxa"/>
            <w:gridSpan w:val="2"/>
            <w:tcBorders>
              <w:top w:val="nil"/>
              <w:left w:val="single" w:sz="8" w:space="0" w:color="E0E0E0"/>
              <w:bottom w:val="single" w:sz="8" w:space="0" w:color="152935"/>
              <w:right w:val="single" w:sz="8" w:space="0" w:color="E0E0E0"/>
            </w:tcBorders>
            <w:shd w:val="clear" w:color="auto" w:fill="FFFFFF"/>
            <w:vAlign w:val="bottom"/>
          </w:tcPr>
          <w:p w14:paraId="09AA2E9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Mean Square</w:t>
            </w:r>
          </w:p>
        </w:tc>
        <w:tc>
          <w:tcPr>
            <w:tcW w:w="708" w:type="dxa"/>
            <w:gridSpan w:val="2"/>
            <w:tcBorders>
              <w:top w:val="nil"/>
              <w:left w:val="single" w:sz="8" w:space="0" w:color="E0E0E0"/>
              <w:bottom w:val="single" w:sz="8" w:space="0" w:color="152935"/>
              <w:right w:val="single" w:sz="8" w:space="0" w:color="E0E0E0"/>
            </w:tcBorders>
            <w:shd w:val="clear" w:color="auto" w:fill="FFFFFF"/>
            <w:vAlign w:val="bottom"/>
          </w:tcPr>
          <w:p w14:paraId="60CB3EB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F</w:t>
            </w:r>
          </w:p>
        </w:tc>
        <w:tc>
          <w:tcPr>
            <w:tcW w:w="1360" w:type="dxa"/>
            <w:gridSpan w:val="5"/>
            <w:tcBorders>
              <w:top w:val="nil"/>
              <w:left w:val="single" w:sz="8" w:space="0" w:color="E0E0E0"/>
              <w:bottom w:val="single" w:sz="8" w:space="0" w:color="152935"/>
              <w:right w:val="nil"/>
            </w:tcBorders>
            <w:shd w:val="clear" w:color="auto" w:fill="FFFFFF"/>
            <w:vAlign w:val="bottom"/>
          </w:tcPr>
          <w:p w14:paraId="70329C3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r>
      <w:tr w:rsidR="00C7217E" w:rsidRPr="00530906" w14:paraId="57581879" w14:textId="77777777" w:rsidTr="00B82C43">
        <w:trPr>
          <w:gridAfter w:val="2"/>
          <w:wAfter w:w="909" w:type="dxa"/>
          <w:cantSplit/>
        </w:trPr>
        <w:tc>
          <w:tcPr>
            <w:tcW w:w="180" w:type="dxa"/>
            <w:vMerge w:val="restart"/>
            <w:tcBorders>
              <w:top w:val="single" w:sz="8" w:space="0" w:color="152935"/>
              <w:left w:val="nil"/>
              <w:bottom w:val="single" w:sz="8" w:space="0" w:color="152935"/>
              <w:right w:val="nil"/>
            </w:tcBorders>
            <w:shd w:val="clear" w:color="auto" w:fill="E0E0E0"/>
          </w:tcPr>
          <w:p w14:paraId="193A59E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2080" w:type="dxa"/>
            <w:gridSpan w:val="4"/>
            <w:tcBorders>
              <w:top w:val="single" w:sz="8" w:space="0" w:color="152935"/>
              <w:left w:val="nil"/>
              <w:bottom w:val="single" w:sz="8" w:space="0" w:color="AEAEAE"/>
              <w:right w:val="nil"/>
            </w:tcBorders>
            <w:shd w:val="clear" w:color="auto" w:fill="E0E0E0"/>
          </w:tcPr>
          <w:p w14:paraId="6E988BB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Regression</w:t>
            </w:r>
          </w:p>
        </w:tc>
        <w:tc>
          <w:tcPr>
            <w:tcW w:w="1642" w:type="dxa"/>
            <w:gridSpan w:val="4"/>
            <w:tcBorders>
              <w:top w:val="single" w:sz="8" w:space="0" w:color="152935"/>
              <w:left w:val="nil"/>
              <w:bottom w:val="single" w:sz="8" w:space="0" w:color="AEAEAE"/>
              <w:right w:val="single" w:sz="8" w:space="0" w:color="E0E0E0"/>
            </w:tcBorders>
            <w:shd w:val="clear" w:color="auto" w:fill="FFFFFF"/>
          </w:tcPr>
          <w:p w14:paraId="6D36167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165.470</w:t>
            </w:r>
          </w:p>
        </w:tc>
        <w:tc>
          <w:tcPr>
            <w:tcW w:w="1146" w:type="dxa"/>
            <w:gridSpan w:val="5"/>
            <w:tcBorders>
              <w:top w:val="single" w:sz="8" w:space="0" w:color="152935"/>
              <w:left w:val="single" w:sz="8" w:space="0" w:color="E0E0E0"/>
              <w:bottom w:val="single" w:sz="8" w:space="0" w:color="AEAEAE"/>
              <w:right w:val="single" w:sz="8" w:space="0" w:color="E0E0E0"/>
            </w:tcBorders>
            <w:shd w:val="clear" w:color="auto" w:fill="FFFFFF"/>
          </w:tcPr>
          <w:p w14:paraId="4F09E69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w:t>
            </w:r>
          </w:p>
        </w:tc>
        <w:tc>
          <w:tcPr>
            <w:tcW w:w="1756" w:type="dxa"/>
            <w:gridSpan w:val="2"/>
            <w:tcBorders>
              <w:top w:val="single" w:sz="8" w:space="0" w:color="152935"/>
              <w:left w:val="single" w:sz="8" w:space="0" w:color="E0E0E0"/>
              <w:bottom w:val="single" w:sz="8" w:space="0" w:color="AEAEAE"/>
              <w:right w:val="single" w:sz="8" w:space="0" w:color="E0E0E0"/>
            </w:tcBorders>
            <w:shd w:val="clear" w:color="auto" w:fill="FFFFFF"/>
          </w:tcPr>
          <w:p w14:paraId="49DF403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41.368</w:t>
            </w:r>
          </w:p>
        </w:tc>
        <w:tc>
          <w:tcPr>
            <w:tcW w:w="708" w:type="dxa"/>
            <w:gridSpan w:val="2"/>
            <w:tcBorders>
              <w:top w:val="single" w:sz="8" w:space="0" w:color="152935"/>
              <w:left w:val="single" w:sz="8" w:space="0" w:color="E0E0E0"/>
              <w:bottom w:val="single" w:sz="8" w:space="0" w:color="AEAEAE"/>
              <w:right w:val="single" w:sz="8" w:space="0" w:color="E0E0E0"/>
            </w:tcBorders>
            <w:shd w:val="clear" w:color="auto" w:fill="FFFFFF"/>
          </w:tcPr>
          <w:p w14:paraId="14AE406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34.469</w:t>
            </w:r>
          </w:p>
        </w:tc>
        <w:tc>
          <w:tcPr>
            <w:tcW w:w="1360" w:type="dxa"/>
            <w:gridSpan w:val="5"/>
            <w:tcBorders>
              <w:top w:val="single" w:sz="8" w:space="0" w:color="152935"/>
              <w:left w:val="single" w:sz="8" w:space="0" w:color="E0E0E0"/>
              <w:bottom w:val="single" w:sz="8" w:space="0" w:color="AEAEAE"/>
              <w:right w:val="nil"/>
            </w:tcBorders>
            <w:shd w:val="clear" w:color="auto" w:fill="FFFFFF"/>
          </w:tcPr>
          <w:p w14:paraId="7BE9E73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r w:rsidRPr="00530906">
              <w:rPr>
                <w:rFonts w:ascii="Cambria" w:eastAsia="Times New Roman" w:hAnsi="Cambria" w:cs="Calibri"/>
                <w:color w:val="000000"/>
                <w:sz w:val="18"/>
                <w:szCs w:val="18"/>
                <w:vertAlign w:val="superscript"/>
                <w:lang w:val="en-US"/>
              </w:rPr>
              <w:t>b</w:t>
            </w:r>
          </w:p>
        </w:tc>
      </w:tr>
      <w:tr w:rsidR="00C7217E" w:rsidRPr="00530906" w14:paraId="08A72625" w14:textId="77777777" w:rsidTr="00B82C43">
        <w:trPr>
          <w:gridAfter w:val="2"/>
          <w:wAfter w:w="909" w:type="dxa"/>
          <w:cantSplit/>
        </w:trPr>
        <w:tc>
          <w:tcPr>
            <w:tcW w:w="180" w:type="dxa"/>
            <w:vMerge/>
            <w:tcBorders>
              <w:top w:val="single" w:sz="8" w:space="0" w:color="152935"/>
              <w:left w:val="nil"/>
              <w:bottom w:val="single" w:sz="8" w:space="0" w:color="152935"/>
              <w:right w:val="nil"/>
            </w:tcBorders>
            <w:shd w:val="clear" w:color="auto" w:fill="E0E0E0"/>
          </w:tcPr>
          <w:p w14:paraId="69AFBE9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2080" w:type="dxa"/>
            <w:gridSpan w:val="4"/>
            <w:tcBorders>
              <w:top w:val="single" w:sz="8" w:space="0" w:color="AEAEAE"/>
              <w:left w:val="nil"/>
              <w:bottom w:val="single" w:sz="8" w:space="0" w:color="AEAEAE"/>
              <w:right w:val="nil"/>
            </w:tcBorders>
            <w:shd w:val="clear" w:color="auto" w:fill="E0E0E0"/>
          </w:tcPr>
          <w:p w14:paraId="162F582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Residual</w:t>
            </w:r>
          </w:p>
        </w:tc>
        <w:tc>
          <w:tcPr>
            <w:tcW w:w="1642" w:type="dxa"/>
            <w:gridSpan w:val="4"/>
            <w:tcBorders>
              <w:top w:val="single" w:sz="8" w:space="0" w:color="AEAEAE"/>
              <w:left w:val="nil"/>
              <w:bottom w:val="single" w:sz="8" w:space="0" w:color="AEAEAE"/>
              <w:right w:val="single" w:sz="8" w:space="0" w:color="E0E0E0"/>
            </w:tcBorders>
            <w:shd w:val="clear" w:color="auto" w:fill="FFFFFF"/>
          </w:tcPr>
          <w:p w14:paraId="3155E44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328.842</w:t>
            </w:r>
          </w:p>
        </w:tc>
        <w:tc>
          <w:tcPr>
            <w:tcW w:w="1146" w:type="dxa"/>
            <w:gridSpan w:val="5"/>
            <w:tcBorders>
              <w:top w:val="single" w:sz="8" w:space="0" w:color="AEAEAE"/>
              <w:left w:val="single" w:sz="8" w:space="0" w:color="E0E0E0"/>
              <w:bottom w:val="single" w:sz="8" w:space="0" w:color="AEAEAE"/>
              <w:right w:val="single" w:sz="8" w:space="0" w:color="E0E0E0"/>
            </w:tcBorders>
            <w:shd w:val="clear" w:color="auto" w:fill="FFFFFF"/>
          </w:tcPr>
          <w:p w14:paraId="47243BC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274</w:t>
            </w:r>
          </w:p>
        </w:tc>
        <w:tc>
          <w:tcPr>
            <w:tcW w:w="1756" w:type="dxa"/>
            <w:gridSpan w:val="2"/>
            <w:tcBorders>
              <w:top w:val="single" w:sz="8" w:space="0" w:color="AEAEAE"/>
              <w:left w:val="single" w:sz="8" w:space="0" w:color="E0E0E0"/>
              <w:bottom w:val="single" w:sz="8" w:space="0" w:color="AEAEAE"/>
              <w:right w:val="single" w:sz="8" w:space="0" w:color="E0E0E0"/>
            </w:tcBorders>
            <w:shd w:val="clear" w:color="auto" w:fill="FFFFFF"/>
          </w:tcPr>
          <w:p w14:paraId="5416516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1.200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73CDB63"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360" w:type="dxa"/>
            <w:gridSpan w:val="5"/>
            <w:tcBorders>
              <w:top w:val="single" w:sz="8" w:space="0" w:color="AEAEAE"/>
              <w:left w:val="single" w:sz="8" w:space="0" w:color="E0E0E0"/>
              <w:bottom w:val="single" w:sz="8" w:space="0" w:color="AEAEAE"/>
              <w:right w:val="nil"/>
            </w:tcBorders>
            <w:shd w:val="clear" w:color="auto" w:fill="FFFFFF"/>
            <w:vAlign w:val="center"/>
          </w:tcPr>
          <w:p w14:paraId="74B96D68"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58ADB1B0" w14:textId="77777777" w:rsidTr="00B82C43">
        <w:trPr>
          <w:gridAfter w:val="2"/>
          <w:wAfter w:w="909" w:type="dxa"/>
          <w:cantSplit/>
        </w:trPr>
        <w:tc>
          <w:tcPr>
            <w:tcW w:w="180" w:type="dxa"/>
            <w:vMerge/>
            <w:tcBorders>
              <w:top w:val="single" w:sz="8" w:space="0" w:color="152935"/>
              <w:left w:val="nil"/>
              <w:bottom w:val="single" w:sz="8" w:space="0" w:color="152935"/>
              <w:right w:val="nil"/>
            </w:tcBorders>
            <w:shd w:val="clear" w:color="auto" w:fill="E0E0E0"/>
          </w:tcPr>
          <w:p w14:paraId="0F6F1A8F"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2080" w:type="dxa"/>
            <w:gridSpan w:val="4"/>
            <w:tcBorders>
              <w:top w:val="single" w:sz="8" w:space="0" w:color="AEAEAE"/>
              <w:left w:val="nil"/>
              <w:bottom w:val="single" w:sz="8" w:space="0" w:color="152935"/>
              <w:right w:val="nil"/>
            </w:tcBorders>
            <w:shd w:val="clear" w:color="auto" w:fill="E0E0E0"/>
          </w:tcPr>
          <w:p w14:paraId="345A8D8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Total</w:t>
            </w:r>
          </w:p>
        </w:tc>
        <w:tc>
          <w:tcPr>
            <w:tcW w:w="1642" w:type="dxa"/>
            <w:gridSpan w:val="4"/>
            <w:tcBorders>
              <w:top w:val="single" w:sz="8" w:space="0" w:color="AEAEAE"/>
              <w:left w:val="nil"/>
              <w:bottom w:val="single" w:sz="8" w:space="0" w:color="152935"/>
              <w:right w:val="single" w:sz="8" w:space="0" w:color="E0E0E0"/>
            </w:tcBorders>
            <w:shd w:val="clear" w:color="auto" w:fill="FFFFFF"/>
          </w:tcPr>
          <w:p w14:paraId="10F3787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494.312</w:t>
            </w:r>
          </w:p>
        </w:tc>
        <w:tc>
          <w:tcPr>
            <w:tcW w:w="1146" w:type="dxa"/>
            <w:gridSpan w:val="5"/>
            <w:tcBorders>
              <w:top w:val="single" w:sz="8" w:space="0" w:color="AEAEAE"/>
              <w:left w:val="single" w:sz="8" w:space="0" w:color="E0E0E0"/>
              <w:bottom w:val="single" w:sz="8" w:space="0" w:color="152935"/>
              <w:right w:val="single" w:sz="8" w:space="0" w:color="E0E0E0"/>
            </w:tcBorders>
            <w:shd w:val="clear" w:color="auto" w:fill="FFFFFF"/>
          </w:tcPr>
          <w:p w14:paraId="6762191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278</w:t>
            </w:r>
          </w:p>
        </w:tc>
        <w:tc>
          <w:tcPr>
            <w:tcW w:w="1756"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96984B6"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70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20150F8A"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360" w:type="dxa"/>
            <w:gridSpan w:val="5"/>
            <w:tcBorders>
              <w:top w:val="single" w:sz="8" w:space="0" w:color="AEAEAE"/>
              <w:left w:val="single" w:sz="8" w:space="0" w:color="E0E0E0"/>
              <w:bottom w:val="single" w:sz="8" w:space="0" w:color="152935"/>
              <w:right w:val="nil"/>
            </w:tcBorders>
            <w:shd w:val="clear" w:color="auto" w:fill="FFFFFF"/>
            <w:vAlign w:val="center"/>
          </w:tcPr>
          <w:p w14:paraId="6301D74E"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C7217E" w:rsidRPr="00530906" w14:paraId="369F89F3" w14:textId="77777777" w:rsidTr="00B82C43">
        <w:trPr>
          <w:gridAfter w:val="3"/>
          <w:wAfter w:w="941" w:type="dxa"/>
          <w:cantSplit/>
        </w:trPr>
        <w:tc>
          <w:tcPr>
            <w:tcW w:w="8840" w:type="dxa"/>
            <w:gridSpan w:val="22"/>
            <w:tcBorders>
              <w:top w:val="nil"/>
              <w:left w:val="nil"/>
              <w:bottom w:val="nil"/>
              <w:right w:val="nil"/>
            </w:tcBorders>
            <w:shd w:val="clear" w:color="auto" w:fill="FFFFFF"/>
          </w:tcPr>
          <w:p w14:paraId="1A868B6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Engagement</w:t>
            </w:r>
          </w:p>
        </w:tc>
      </w:tr>
      <w:tr w:rsidR="00C7217E" w:rsidRPr="00530906" w14:paraId="2A99C20F" w14:textId="77777777" w:rsidTr="00B82C43">
        <w:trPr>
          <w:gridAfter w:val="3"/>
          <w:wAfter w:w="941" w:type="dxa"/>
          <w:cantSplit/>
        </w:trPr>
        <w:tc>
          <w:tcPr>
            <w:tcW w:w="8840" w:type="dxa"/>
            <w:gridSpan w:val="22"/>
            <w:tcBorders>
              <w:top w:val="nil"/>
              <w:left w:val="nil"/>
              <w:bottom w:val="nil"/>
              <w:right w:val="nil"/>
            </w:tcBorders>
            <w:shd w:val="clear" w:color="auto" w:fill="FFFFFF"/>
          </w:tcPr>
          <w:p w14:paraId="217BEF5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 Predictors: (Constant), Mental fluency, Engrossment, Image quality, Self–projection</w:t>
            </w:r>
          </w:p>
        </w:tc>
      </w:tr>
      <w:tr w:rsidR="00C7217E" w:rsidRPr="00530906" w14:paraId="61E7136F" w14:textId="77777777" w:rsidTr="00B82C43">
        <w:trPr>
          <w:cantSplit/>
        </w:trPr>
        <w:tc>
          <w:tcPr>
            <w:tcW w:w="9781" w:type="dxa"/>
            <w:gridSpan w:val="25"/>
            <w:tcBorders>
              <w:top w:val="nil"/>
              <w:left w:val="nil"/>
              <w:bottom w:val="nil"/>
              <w:right w:val="nil"/>
            </w:tcBorders>
            <w:shd w:val="clear" w:color="auto" w:fill="FFFFFF"/>
            <w:vAlign w:val="center"/>
          </w:tcPr>
          <w:p w14:paraId="67B6910A" w14:textId="77777777" w:rsidR="00C7217E" w:rsidRPr="00530906" w:rsidRDefault="00C7217E" w:rsidP="008756B1">
            <w:pPr>
              <w:spacing w:after="0" w:line="240" w:lineRule="auto"/>
              <w:jc w:val="both"/>
              <w:rPr>
                <w:rFonts w:ascii="Cambria" w:eastAsia="Times New Roman" w:hAnsi="Cambria" w:cs="Calibri"/>
                <w:color w:val="000000"/>
                <w:lang w:val="en-US"/>
              </w:rPr>
            </w:pPr>
            <w:r w:rsidRPr="00530906">
              <w:rPr>
                <w:rFonts w:ascii="Cambria" w:eastAsia="Times New Roman" w:hAnsi="Cambria" w:cs="Calibri"/>
                <w:b/>
                <w:bCs/>
                <w:color w:val="000000"/>
                <w:lang w:val="en-US"/>
              </w:rPr>
              <w:t>Coefficients</w:t>
            </w:r>
            <w:r w:rsidRPr="00530906">
              <w:rPr>
                <w:rFonts w:ascii="Cambria" w:eastAsia="Times New Roman" w:hAnsi="Cambria" w:cs="Calibri"/>
                <w:b/>
                <w:bCs/>
                <w:color w:val="000000"/>
                <w:vertAlign w:val="superscript"/>
                <w:lang w:val="en-US"/>
              </w:rPr>
              <w:t>a</w:t>
            </w:r>
          </w:p>
        </w:tc>
      </w:tr>
      <w:tr w:rsidR="00C7217E" w:rsidRPr="00530906" w14:paraId="3B711E97" w14:textId="77777777" w:rsidTr="00B82C43">
        <w:trPr>
          <w:cantSplit/>
        </w:trPr>
        <w:tc>
          <w:tcPr>
            <w:tcW w:w="1800" w:type="dxa"/>
            <w:gridSpan w:val="3"/>
            <w:vMerge w:val="restart"/>
            <w:tcBorders>
              <w:top w:val="nil"/>
              <w:left w:val="nil"/>
              <w:bottom w:val="nil"/>
              <w:right w:val="nil"/>
            </w:tcBorders>
            <w:shd w:val="clear" w:color="auto" w:fill="FFFFFF"/>
            <w:vAlign w:val="bottom"/>
          </w:tcPr>
          <w:p w14:paraId="78E16B4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Model</w:t>
            </w:r>
          </w:p>
        </w:tc>
        <w:tc>
          <w:tcPr>
            <w:tcW w:w="1260" w:type="dxa"/>
            <w:gridSpan w:val="4"/>
            <w:tcBorders>
              <w:top w:val="nil"/>
              <w:left w:val="nil"/>
              <w:bottom w:val="nil"/>
              <w:right w:val="single" w:sz="8" w:space="0" w:color="E0E0E0"/>
            </w:tcBorders>
            <w:shd w:val="clear" w:color="auto" w:fill="FFFFFF"/>
            <w:vAlign w:val="bottom"/>
          </w:tcPr>
          <w:p w14:paraId="7ADC85F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Unstandardized Coefficients</w:t>
            </w:r>
          </w:p>
        </w:tc>
        <w:tc>
          <w:tcPr>
            <w:tcW w:w="990" w:type="dxa"/>
            <w:gridSpan w:val="3"/>
            <w:tcBorders>
              <w:top w:val="nil"/>
              <w:left w:val="single" w:sz="8" w:space="0" w:color="E0E0E0"/>
              <w:bottom w:val="nil"/>
              <w:right w:val="single" w:sz="8" w:space="0" w:color="E0E0E0"/>
            </w:tcBorders>
            <w:shd w:val="clear" w:color="auto" w:fill="FFFFFF"/>
            <w:vAlign w:val="bottom"/>
          </w:tcPr>
          <w:p w14:paraId="790C173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Standardized Coefficients</w:t>
            </w:r>
          </w:p>
        </w:tc>
        <w:tc>
          <w:tcPr>
            <w:tcW w:w="540" w:type="dxa"/>
            <w:vMerge w:val="restart"/>
            <w:tcBorders>
              <w:top w:val="nil"/>
              <w:left w:val="single" w:sz="8" w:space="0" w:color="E0E0E0"/>
              <w:bottom w:val="nil"/>
              <w:right w:val="single" w:sz="8" w:space="0" w:color="E0E0E0"/>
            </w:tcBorders>
            <w:shd w:val="clear" w:color="auto" w:fill="FFFFFF"/>
            <w:vAlign w:val="bottom"/>
          </w:tcPr>
          <w:p w14:paraId="5FE2912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11E6B99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Sig.</w:t>
            </w:r>
          </w:p>
        </w:tc>
        <w:tc>
          <w:tcPr>
            <w:tcW w:w="1764" w:type="dxa"/>
            <w:gridSpan w:val="3"/>
            <w:tcBorders>
              <w:top w:val="nil"/>
              <w:left w:val="single" w:sz="8" w:space="0" w:color="E0E0E0"/>
              <w:bottom w:val="nil"/>
              <w:right w:val="single" w:sz="8" w:space="0" w:color="E0E0E0"/>
            </w:tcBorders>
            <w:shd w:val="clear" w:color="auto" w:fill="FFFFFF"/>
            <w:vAlign w:val="bottom"/>
          </w:tcPr>
          <w:p w14:paraId="5B69BEF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95.0% Confidence Interval for B</w:t>
            </w:r>
          </w:p>
        </w:tc>
        <w:tc>
          <w:tcPr>
            <w:tcW w:w="1560" w:type="dxa"/>
            <w:gridSpan w:val="5"/>
            <w:tcBorders>
              <w:top w:val="nil"/>
              <w:left w:val="single" w:sz="8" w:space="0" w:color="E0E0E0"/>
              <w:bottom w:val="nil"/>
              <w:right w:val="single" w:sz="8" w:space="0" w:color="E0E0E0"/>
            </w:tcBorders>
            <w:shd w:val="clear" w:color="auto" w:fill="FFFFFF"/>
            <w:vAlign w:val="bottom"/>
          </w:tcPr>
          <w:p w14:paraId="02CF50D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Correlations</w:t>
            </w:r>
          </w:p>
        </w:tc>
        <w:tc>
          <w:tcPr>
            <w:tcW w:w="1417" w:type="dxa"/>
            <w:gridSpan w:val="4"/>
            <w:tcBorders>
              <w:top w:val="nil"/>
              <w:left w:val="single" w:sz="8" w:space="0" w:color="E0E0E0"/>
              <w:bottom w:val="nil"/>
              <w:right w:val="nil"/>
            </w:tcBorders>
            <w:shd w:val="clear" w:color="auto" w:fill="FFFFFF"/>
            <w:vAlign w:val="bottom"/>
          </w:tcPr>
          <w:p w14:paraId="665DE6E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Collinearity Statistics</w:t>
            </w:r>
          </w:p>
        </w:tc>
      </w:tr>
      <w:tr w:rsidR="00D905F9" w:rsidRPr="00530906" w14:paraId="0E0C80A0" w14:textId="77777777" w:rsidTr="00B82C43">
        <w:trPr>
          <w:cantSplit/>
        </w:trPr>
        <w:tc>
          <w:tcPr>
            <w:tcW w:w="1800" w:type="dxa"/>
            <w:gridSpan w:val="3"/>
            <w:vMerge/>
            <w:tcBorders>
              <w:top w:val="nil"/>
              <w:left w:val="nil"/>
              <w:bottom w:val="nil"/>
              <w:right w:val="nil"/>
            </w:tcBorders>
            <w:shd w:val="clear" w:color="auto" w:fill="FFFFFF"/>
            <w:vAlign w:val="bottom"/>
          </w:tcPr>
          <w:p w14:paraId="7DAF676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540" w:type="dxa"/>
            <w:gridSpan w:val="3"/>
            <w:tcBorders>
              <w:top w:val="nil"/>
              <w:left w:val="nil"/>
              <w:bottom w:val="single" w:sz="8" w:space="0" w:color="152935"/>
              <w:right w:val="single" w:sz="8" w:space="0" w:color="E0E0E0"/>
            </w:tcBorders>
            <w:shd w:val="clear" w:color="auto" w:fill="FFFFFF"/>
            <w:vAlign w:val="bottom"/>
          </w:tcPr>
          <w:p w14:paraId="4D2012B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627A1CC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Std. Error</w:t>
            </w: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01AF615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Beta</w:t>
            </w:r>
          </w:p>
        </w:tc>
        <w:tc>
          <w:tcPr>
            <w:tcW w:w="540" w:type="dxa"/>
            <w:vMerge/>
            <w:tcBorders>
              <w:top w:val="nil"/>
              <w:left w:val="single" w:sz="8" w:space="0" w:color="E0E0E0"/>
              <w:bottom w:val="nil"/>
              <w:right w:val="single" w:sz="8" w:space="0" w:color="E0E0E0"/>
            </w:tcBorders>
            <w:shd w:val="clear" w:color="auto" w:fill="FFFFFF"/>
            <w:vAlign w:val="bottom"/>
          </w:tcPr>
          <w:p w14:paraId="4035953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450" w:type="dxa"/>
            <w:gridSpan w:val="2"/>
            <w:vMerge/>
            <w:tcBorders>
              <w:top w:val="nil"/>
              <w:left w:val="single" w:sz="8" w:space="0" w:color="E0E0E0"/>
              <w:bottom w:val="nil"/>
              <w:right w:val="single" w:sz="8" w:space="0" w:color="E0E0E0"/>
            </w:tcBorders>
            <w:shd w:val="clear" w:color="auto" w:fill="FFFFFF"/>
            <w:vAlign w:val="bottom"/>
          </w:tcPr>
          <w:p w14:paraId="62AAB76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4A49BE8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Lower Bound</w:t>
            </w:r>
          </w:p>
        </w:tc>
        <w:tc>
          <w:tcPr>
            <w:tcW w:w="774" w:type="dxa"/>
            <w:tcBorders>
              <w:top w:val="nil"/>
              <w:left w:val="single" w:sz="8" w:space="0" w:color="E0E0E0"/>
              <w:bottom w:val="single" w:sz="8" w:space="0" w:color="152935"/>
              <w:right w:val="single" w:sz="8" w:space="0" w:color="E0E0E0"/>
            </w:tcBorders>
            <w:shd w:val="clear" w:color="auto" w:fill="FFFFFF"/>
            <w:vAlign w:val="bottom"/>
          </w:tcPr>
          <w:p w14:paraId="0A1F4D6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Upper Bound</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DE88A9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Zero–order</w:t>
            </w:r>
          </w:p>
        </w:tc>
        <w:tc>
          <w:tcPr>
            <w:tcW w:w="567" w:type="dxa"/>
            <w:gridSpan w:val="3"/>
            <w:tcBorders>
              <w:top w:val="nil"/>
              <w:left w:val="single" w:sz="8" w:space="0" w:color="E0E0E0"/>
              <w:bottom w:val="single" w:sz="8" w:space="0" w:color="152935"/>
              <w:right w:val="single" w:sz="8" w:space="0" w:color="E0E0E0"/>
            </w:tcBorders>
            <w:shd w:val="clear" w:color="auto" w:fill="FFFFFF"/>
            <w:vAlign w:val="bottom"/>
          </w:tcPr>
          <w:p w14:paraId="0D1A4CA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Partial</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44FA7AC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Part</w:t>
            </w:r>
          </w:p>
        </w:tc>
        <w:tc>
          <w:tcPr>
            <w:tcW w:w="850" w:type="dxa"/>
            <w:gridSpan w:val="3"/>
            <w:tcBorders>
              <w:top w:val="nil"/>
              <w:left w:val="single" w:sz="8" w:space="0" w:color="E0E0E0"/>
              <w:bottom w:val="single" w:sz="8" w:space="0" w:color="152935"/>
              <w:right w:val="single" w:sz="8" w:space="0" w:color="E0E0E0"/>
            </w:tcBorders>
            <w:shd w:val="clear" w:color="auto" w:fill="FFFFFF"/>
            <w:vAlign w:val="bottom"/>
          </w:tcPr>
          <w:p w14:paraId="584415C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Tolerance</w:t>
            </w:r>
          </w:p>
        </w:tc>
        <w:tc>
          <w:tcPr>
            <w:tcW w:w="567" w:type="dxa"/>
            <w:tcBorders>
              <w:top w:val="nil"/>
              <w:left w:val="single" w:sz="8" w:space="0" w:color="E0E0E0"/>
              <w:bottom w:val="single" w:sz="8" w:space="0" w:color="152935"/>
              <w:right w:val="nil"/>
            </w:tcBorders>
            <w:shd w:val="clear" w:color="auto" w:fill="FFFFFF"/>
            <w:vAlign w:val="bottom"/>
          </w:tcPr>
          <w:p w14:paraId="4704611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VIF</w:t>
            </w:r>
          </w:p>
        </w:tc>
      </w:tr>
      <w:tr w:rsidR="00D905F9" w:rsidRPr="00530906" w14:paraId="707E3161" w14:textId="77777777" w:rsidTr="00B82C43">
        <w:trPr>
          <w:cantSplit/>
        </w:trPr>
        <w:tc>
          <w:tcPr>
            <w:tcW w:w="180" w:type="dxa"/>
            <w:vMerge w:val="restart"/>
            <w:tcBorders>
              <w:top w:val="single" w:sz="8" w:space="0" w:color="152935"/>
              <w:left w:val="nil"/>
              <w:bottom w:val="single" w:sz="8" w:space="0" w:color="152935"/>
              <w:right w:val="nil"/>
            </w:tcBorders>
            <w:shd w:val="clear" w:color="auto" w:fill="E0E0E0"/>
          </w:tcPr>
          <w:p w14:paraId="10AF3D7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w:t>
            </w:r>
          </w:p>
        </w:tc>
        <w:tc>
          <w:tcPr>
            <w:tcW w:w="1620" w:type="dxa"/>
            <w:gridSpan w:val="2"/>
            <w:tcBorders>
              <w:top w:val="single" w:sz="8" w:space="0" w:color="152935"/>
              <w:left w:val="nil"/>
              <w:bottom w:val="single" w:sz="8" w:space="0" w:color="AEAEAE"/>
              <w:right w:val="nil"/>
            </w:tcBorders>
            <w:shd w:val="clear" w:color="auto" w:fill="E0E0E0"/>
          </w:tcPr>
          <w:p w14:paraId="2DD6A33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(Constant)</w:t>
            </w:r>
          </w:p>
        </w:tc>
        <w:tc>
          <w:tcPr>
            <w:tcW w:w="540" w:type="dxa"/>
            <w:gridSpan w:val="3"/>
            <w:tcBorders>
              <w:top w:val="single" w:sz="8" w:space="0" w:color="152935"/>
              <w:left w:val="nil"/>
              <w:bottom w:val="single" w:sz="8" w:space="0" w:color="AEAEAE"/>
              <w:right w:val="single" w:sz="8" w:space="0" w:color="E0E0E0"/>
            </w:tcBorders>
            <w:shd w:val="clear" w:color="auto" w:fill="FFFFFF"/>
          </w:tcPr>
          <w:p w14:paraId="1E3FBD9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1.255</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0E59DA9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.246</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2823D9A7"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0261ACB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5.109</w:t>
            </w: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782CBD0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75CA4B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.771</w:t>
            </w:r>
          </w:p>
        </w:tc>
        <w:tc>
          <w:tcPr>
            <w:tcW w:w="774" w:type="dxa"/>
            <w:tcBorders>
              <w:top w:val="single" w:sz="8" w:space="0" w:color="152935"/>
              <w:left w:val="single" w:sz="8" w:space="0" w:color="E0E0E0"/>
              <w:bottom w:val="single" w:sz="8" w:space="0" w:color="AEAEAE"/>
              <w:right w:val="single" w:sz="8" w:space="0" w:color="E0E0E0"/>
            </w:tcBorders>
            <w:shd w:val="clear" w:color="auto" w:fill="FFFFFF"/>
          </w:tcPr>
          <w:p w14:paraId="6828C67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1.738</w:t>
            </w:r>
          </w:p>
        </w:tc>
        <w:tc>
          <w:tcPr>
            <w:tcW w:w="56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F53B5D2"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67"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497348A0"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42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6B60E65"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85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71532496"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567" w:type="dxa"/>
            <w:tcBorders>
              <w:top w:val="single" w:sz="8" w:space="0" w:color="152935"/>
              <w:left w:val="single" w:sz="8" w:space="0" w:color="E0E0E0"/>
              <w:bottom w:val="single" w:sz="8" w:space="0" w:color="AEAEAE"/>
              <w:right w:val="nil"/>
            </w:tcBorders>
            <w:shd w:val="clear" w:color="auto" w:fill="FFFFFF"/>
            <w:vAlign w:val="center"/>
          </w:tcPr>
          <w:p w14:paraId="1DAF7DEA"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r>
      <w:tr w:rsidR="00D905F9" w:rsidRPr="00530906" w14:paraId="054E5EB6" w14:textId="77777777" w:rsidTr="00B82C43">
        <w:trPr>
          <w:cantSplit/>
        </w:trPr>
        <w:tc>
          <w:tcPr>
            <w:tcW w:w="180" w:type="dxa"/>
            <w:vMerge/>
            <w:tcBorders>
              <w:top w:val="single" w:sz="8" w:space="0" w:color="152935"/>
              <w:left w:val="nil"/>
              <w:bottom w:val="single" w:sz="8" w:space="0" w:color="152935"/>
              <w:right w:val="nil"/>
            </w:tcBorders>
            <w:shd w:val="clear" w:color="auto" w:fill="E0E0E0"/>
          </w:tcPr>
          <w:p w14:paraId="343938FF" w14:textId="77777777" w:rsidR="00C7217E" w:rsidRPr="00530906" w:rsidRDefault="00C7217E" w:rsidP="008756B1">
            <w:pPr>
              <w:spacing w:after="0" w:line="240" w:lineRule="auto"/>
              <w:jc w:val="both"/>
              <w:rPr>
                <w:rFonts w:ascii="Cambria" w:eastAsia="Times New Roman" w:hAnsi="Cambria" w:cs="Calibri"/>
                <w:color w:val="000000"/>
                <w:sz w:val="24"/>
                <w:szCs w:val="24"/>
                <w:lang w:val="en-US"/>
              </w:rPr>
            </w:pPr>
          </w:p>
        </w:tc>
        <w:tc>
          <w:tcPr>
            <w:tcW w:w="1620" w:type="dxa"/>
            <w:gridSpan w:val="2"/>
            <w:tcBorders>
              <w:top w:val="single" w:sz="8" w:space="0" w:color="AEAEAE"/>
              <w:left w:val="nil"/>
              <w:bottom w:val="single" w:sz="8" w:space="0" w:color="AEAEAE"/>
              <w:right w:val="nil"/>
            </w:tcBorders>
            <w:shd w:val="clear" w:color="auto" w:fill="E0E0E0"/>
          </w:tcPr>
          <w:p w14:paraId="124C51B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Image quality</w:t>
            </w:r>
          </w:p>
        </w:tc>
        <w:tc>
          <w:tcPr>
            <w:tcW w:w="540" w:type="dxa"/>
            <w:gridSpan w:val="3"/>
            <w:tcBorders>
              <w:top w:val="single" w:sz="8" w:space="0" w:color="AEAEAE"/>
              <w:left w:val="nil"/>
              <w:bottom w:val="single" w:sz="8" w:space="0" w:color="AEAEAE"/>
              <w:right w:val="single" w:sz="8" w:space="0" w:color="E0E0E0"/>
            </w:tcBorders>
            <w:shd w:val="clear" w:color="auto" w:fill="FFFFFF"/>
          </w:tcPr>
          <w:p w14:paraId="14E7094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E5CE7E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.052</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4D39585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.195</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2BFEF020"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3.326</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E4ED26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.001</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EA2D3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.070</w:t>
            </w:r>
          </w:p>
        </w:tc>
        <w:tc>
          <w:tcPr>
            <w:tcW w:w="774" w:type="dxa"/>
            <w:tcBorders>
              <w:top w:val="single" w:sz="8" w:space="0" w:color="AEAEAE"/>
              <w:left w:val="single" w:sz="8" w:space="0" w:color="E0E0E0"/>
              <w:bottom w:val="single" w:sz="8" w:space="0" w:color="AEAEAE"/>
              <w:right w:val="single" w:sz="8" w:space="0" w:color="E0E0E0"/>
            </w:tcBorders>
            <w:shd w:val="clear" w:color="auto" w:fill="FFFFFF"/>
          </w:tcPr>
          <w:p w14:paraId="12D50CD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5B667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.438</w:t>
            </w:r>
          </w:p>
        </w:tc>
        <w:tc>
          <w:tcPr>
            <w:tcW w:w="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5777619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9E8913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.164</w:t>
            </w:r>
          </w:p>
        </w:tc>
        <w:tc>
          <w:tcPr>
            <w:tcW w:w="850" w:type="dxa"/>
            <w:gridSpan w:val="3"/>
            <w:tcBorders>
              <w:top w:val="single" w:sz="8" w:space="0" w:color="AEAEAE"/>
              <w:left w:val="single" w:sz="8" w:space="0" w:color="E0E0E0"/>
              <w:bottom w:val="single" w:sz="8" w:space="0" w:color="AEAEAE"/>
              <w:right w:val="single" w:sz="8" w:space="0" w:color="E0E0E0"/>
            </w:tcBorders>
            <w:shd w:val="clear" w:color="auto" w:fill="FFFFFF"/>
          </w:tcPr>
          <w:p w14:paraId="0A17A1E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.707</w:t>
            </w:r>
          </w:p>
        </w:tc>
        <w:tc>
          <w:tcPr>
            <w:tcW w:w="567" w:type="dxa"/>
            <w:tcBorders>
              <w:top w:val="single" w:sz="8" w:space="0" w:color="AEAEAE"/>
              <w:left w:val="single" w:sz="8" w:space="0" w:color="E0E0E0"/>
              <w:bottom w:val="single" w:sz="8" w:space="0" w:color="AEAEAE"/>
              <w:right w:val="nil"/>
            </w:tcBorders>
            <w:shd w:val="clear" w:color="auto" w:fill="FFFFFF"/>
          </w:tcPr>
          <w:p w14:paraId="47AAFA3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1.414</w:t>
            </w:r>
          </w:p>
        </w:tc>
      </w:tr>
      <w:tr w:rsidR="00D905F9" w:rsidRPr="00530906" w14:paraId="3F87CD76" w14:textId="77777777" w:rsidTr="00B82C43">
        <w:trPr>
          <w:cantSplit/>
        </w:trPr>
        <w:tc>
          <w:tcPr>
            <w:tcW w:w="180" w:type="dxa"/>
            <w:vMerge/>
            <w:tcBorders>
              <w:top w:val="single" w:sz="8" w:space="0" w:color="152935"/>
              <w:left w:val="nil"/>
              <w:bottom w:val="single" w:sz="8" w:space="0" w:color="152935"/>
              <w:right w:val="nil"/>
            </w:tcBorders>
            <w:shd w:val="clear" w:color="auto" w:fill="E0E0E0"/>
          </w:tcPr>
          <w:p w14:paraId="2A94253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2"/>
            <w:tcBorders>
              <w:top w:val="single" w:sz="8" w:space="0" w:color="AEAEAE"/>
              <w:left w:val="nil"/>
              <w:bottom w:val="single" w:sz="8" w:space="0" w:color="AEAEAE"/>
              <w:right w:val="nil"/>
            </w:tcBorders>
            <w:shd w:val="clear" w:color="auto" w:fill="E0E0E0"/>
          </w:tcPr>
          <w:p w14:paraId="1064723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Engrossment</w:t>
            </w:r>
          </w:p>
        </w:tc>
        <w:tc>
          <w:tcPr>
            <w:tcW w:w="540" w:type="dxa"/>
            <w:gridSpan w:val="3"/>
            <w:tcBorders>
              <w:top w:val="single" w:sz="8" w:space="0" w:color="AEAEAE"/>
              <w:left w:val="nil"/>
              <w:bottom w:val="single" w:sz="8" w:space="0" w:color="AEAEAE"/>
              <w:right w:val="single" w:sz="8" w:space="0" w:color="E0E0E0"/>
            </w:tcBorders>
            <w:shd w:val="clear" w:color="auto" w:fill="FFFFFF"/>
          </w:tcPr>
          <w:p w14:paraId="787D990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56418C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.059</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6C175A8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.037</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56F94E9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.687</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4853B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.492</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C0660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–.075</w:t>
            </w:r>
          </w:p>
        </w:tc>
        <w:tc>
          <w:tcPr>
            <w:tcW w:w="774" w:type="dxa"/>
            <w:tcBorders>
              <w:top w:val="single" w:sz="8" w:space="0" w:color="AEAEAE"/>
              <w:left w:val="single" w:sz="8" w:space="0" w:color="E0E0E0"/>
              <w:bottom w:val="single" w:sz="8" w:space="0" w:color="AEAEAE"/>
              <w:right w:val="single" w:sz="8" w:space="0" w:color="E0E0E0"/>
            </w:tcBorders>
            <w:shd w:val="clear" w:color="auto" w:fill="FFFFFF"/>
          </w:tcPr>
          <w:p w14:paraId="1A17E10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1FCCD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.226</w:t>
            </w:r>
          </w:p>
        </w:tc>
        <w:tc>
          <w:tcPr>
            <w:tcW w:w="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5C030A8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.041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BB7F1D9"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.034</w:t>
            </w:r>
          </w:p>
        </w:tc>
        <w:tc>
          <w:tcPr>
            <w:tcW w:w="850" w:type="dxa"/>
            <w:gridSpan w:val="3"/>
            <w:tcBorders>
              <w:top w:val="single" w:sz="8" w:space="0" w:color="AEAEAE"/>
              <w:left w:val="single" w:sz="8" w:space="0" w:color="E0E0E0"/>
              <w:bottom w:val="single" w:sz="8" w:space="0" w:color="AEAEAE"/>
              <w:right w:val="single" w:sz="8" w:space="0" w:color="E0E0E0"/>
            </w:tcBorders>
            <w:shd w:val="clear" w:color="auto" w:fill="FFFFFF"/>
          </w:tcPr>
          <w:p w14:paraId="5AC607F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.857</w:t>
            </w:r>
          </w:p>
        </w:tc>
        <w:tc>
          <w:tcPr>
            <w:tcW w:w="567" w:type="dxa"/>
            <w:tcBorders>
              <w:top w:val="single" w:sz="8" w:space="0" w:color="AEAEAE"/>
              <w:left w:val="single" w:sz="8" w:space="0" w:color="E0E0E0"/>
              <w:bottom w:val="single" w:sz="8" w:space="0" w:color="AEAEAE"/>
              <w:right w:val="nil"/>
            </w:tcBorders>
            <w:shd w:val="clear" w:color="auto" w:fill="FFFFFF"/>
          </w:tcPr>
          <w:p w14:paraId="7A2D865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1.167</w:t>
            </w:r>
          </w:p>
        </w:tc>
      </w:tr>
      <w:tr w:rsidR="00D905F9" w:rsidRPr="00530906" w14:paraId="339886C2" w14:textId="77777777" w:rsidTr="00B82C43">
        <w:trPr>
          <w:cantSplit/>
        </w:trPr>
        <w:tc>
          <w:tcPr>
            <w:tcW w:w="180" w:type="dxa"/>
            <w:vMerge/>
            <w:tcBorders>
              <w:top w:val="single" w:sz="8" w:space="0" w:color="152935"/>
              <w:left w:val="nil"/>
              <w:bottom w:val="single" w:sz="8" w:space="0" w:color="152935"/>
              <w:right w:val="nil"/>
            </w:tcBorders>
            <w:shd w:val="clear" w:color="auto" w:fill="E0E0E0"/>
          </w:tcPr>
          <w:p w14:paraId="57E20C7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2"/>
            <w:tcBorders>
              <w:top w:val="single" w:sz="8" w:space="0" w:color="AEAEAE"/>
              <w:left w:val="nil"/>
              <w:bottom w:val="single" w:sz="8" w:space="0" w:color="AEAEAE"/>
              <w:right w:val="nil"/>
            </w:tcBorders>
            <w:shd w:val="clear" w:color="auto" w:fill="E0E0E0"/>
          </w:tcPr>
          <w:p w14:paraId="16063BC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Self–projection</w:t>
            </w:r>
          </w:p>
        </w:tc>
        <w:tc>
          <w:tcPr>
            <w:tcW w:w="540" w:type="dxa"/>
            <w:gridSpan w:val="3"/>
            <w:tcBorders>
              <w:top w:val="single" w:sz="8" w:space="0" w:color="AEAEAE"/>
              <w:left w:val="nil"/>
              <w:bottom w:val="single" w:sz="8" w:space="0" w:color="AEAEAE"/>
              <w:right w:val="single" w:sz="8" w:space="0" w:color="E0E0E0"/>
            </w:tcBorders>
            <w:shd w:val="clear" w:color="auto" w:fill="FFFFFF"/>
          </w:tcPr>
          <w:p w14:paraId="0831153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.314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E08C95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.071</w:t>
            </w:r>
          </w:p>
        </w:tc>
        <w:tc>
          <w:tcPr>
            <w:tcW w:w="990" w:type="dxa"/>
            <w:gridSpan w:val="3"/>
            <w:tcBorders>
              <w:top w:val="single" w:sz="8" w:space="0" w:color="AEAEAE"/>
              <w:left w:val="single" w:sz="8" w:space="0" w:color="E0E0E0"/>
              <w:bottom w:val="single" w:sz="8" w:space="0" w:color="AEAEAE"/>
              <w:right w:val="single" w:sz="8" w:space="0" w:color="E0E0E0"/>
            </w:tcBorders>
            <w:shd w:val="clear" w:color="auto" w:fill="FFFFFF"/>
          </w:tcPr>
          <w:p w14:paraId="1220AB9B"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.339</w:t>
            </w:r>
          </w:p>
        </w:tc>
        <w:tc>
          <w:tcPr>
            <w:tcW w:w="540" w:type="dxa"/>
            <w:tcBorders>
              <w:top w:val="single" w:sz="8" w:space="0" w:color="AEAEAE"/>
              <w:left w:val="single" w:sz="8" w:space="0" w:color="E0E0E0"/>
              <w:bottom w:val="single" w:sz="8" w:space="0" w:color="AEAEAE"/>
              <w:right w:val="single" w:sz="8" w:space="0" w:color="E0E0E0"/>
            </w:tcBorders>
            <w:shd w:val="clear" w:color="auto" w:fill="FFFFFF"/>
          </w:tcPr>
          <w:p w14:paraId="0A64181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4.426</w:t>
            </w:r>
          </w:p>
        </w:tc>
        <w:tc>
          <w:tcPr>
            <w:tcW w:w="45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FD592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.000</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E52712E"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.174</w:t>
            </w:r>
          </w:p>
        </w:tc>
        <w:tc>
          <w:tcPr>
            <w:tcW w:w="774" w:type="dxa"/>
            <w:tcBorders>
              <w:top w:val="single" w:sz="8" w:space="0" w:color="AEAEAE"/>
              <w:left w:val="single" w:sz="8" w:space="0" w:color="E0E0E0"/>
              <w:bottom w:val="single" w:sz="8" w:space="0" w:color="AEAEAE"/>
              <w:right w:val="single" w:sz="8" w:space="0" w:color="E0E0E0"/>
            </w:tcBorders>
            <w:shd w:val="clear" w:color="auto" w:fill="FFFFFF"/>
          </w:tcPr>
          <w:p w14:paraId="1BCCD22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A6A68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.543</w:t>
            </w:r>
          </w:p>
        </w:tc>
        <w:tc>
          <w:tcPr>
            <w:tcW w:w="567" w:type="dxa"/>
            <w:gridSpan w:val="3"/>
            <w:tcBorders>
              <w:top w:val="single" w:sz="8" w:space="0" w:color="AEAEAE"/>
              <w:left w:val="single" w:sz="8" w:space="0" w:color="E0E0E0"/>
              <w:bottom w:val="single" w:sz="8" w:space="0" w:color="AEAEAE"/>
              <w:right w:val="single" w:sz="8" w:space="0" w:color="E0E0E0"/>
            </w:tcBorders>
            <w:shd w:val="clear" w:color="auto" w:fill="FFFFFF"/>
          </w:tcPr>
          <w:p w14:paraId="634EDDF5"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.258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3A5EF3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.218</w:t>
            </w:r>
          </w:p>
        </w:tc>
        <w:tc>
          <w:tcPr>
            <w:tcW w:w="850" w:type="dxa"/>
            <w:gridSpan w:val="3"/>
            <w:tcBorders>
              <w:top w:val="single" w:sz="8" w:space="0" w:color="AEAEAE"/>
              <w:left w:val="single" w:sz="8" w:space="0" w:color="E0E0E0"/>
              <w:bottom w:val="single" w:sz="8" w:space="0" w:color="AEAEAE"/>
              <w:right w:val="single" w:sz="8" w:space="0" w:color="E0E0E0"/>
            </w:tcBorders>
            <w:shd w:val="clear" w:color="auto" w:fill="FFFFFF"/>
          </w:tcPr>
          <w:p w14:paraId="6FD6404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.414</w:t>
            </w:r>
          </w:p>
        </w:tc>
        <w:tc>
          <w:tcPr>
            <w:tcW w:w="567" w:type="dxa"/>
            <w:tcBorders>
              <w:top w:val="single" w:sz="8" w:space="0" w:color="AEAEAE"/>
              <w:left w:val="single" w:sz="8" w:space="0" w:color="E0E0E0"/>
              <w:bottom w:val="single" w:sz="8" w:space="0" w:color="AEAEAE"/>
              <w:right w:val="nil"/>
            </w:tcBorders>
            <w:shd w:val="clear" w:color="auto" w:fill="FFFFFF"/>
          </w:tcPr>
          <w:p w14:paraId="096CF24F"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2.414</w:t>
            </w:r>
          </w:p>
        </w:tc>
      </w:tr>
      <w:tr w:rsidR="00D905F9" w:rsidRPr="00530906" w14:paraId="4318E806" w14:textId="77777777" w:rsidTr="00B82C43">
        <w:trPr>
          <w:cantSplit/>
        </w:trPr>
        <w:tc>
          <w:tcPr>
            <w:tcW w:w="180" w:type="dxa"/>
            <w:vMerge/>
            <w:tcBorders>
              <w:top w:val="single" w:sz="8" w:space="0" w:color="152935"/>
              <w:left w:val="nil"/>
              <w:bottom w:val="single" w:sz="8" w:space="0" w:color="152935"/>
              <w:right w:val="nil"/>
            </w:tcBorders>
            <w:shd w:val="clear" w:color="auto" w:fill="E0E0E0"/>
          </w:tcPr>
          <w:p w14:paraId="7D7693F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p>
        </w:tc>
        <w:tc>
          <w:tcPr>
            <w:tcW w:w="1620" w:type="dxa"/>
            <w:gridSpan w:val="2"/>
            <w:tcBorders>
              <w:top w:val="single" w:sz="8" w:space="0" w:color="AEAEAE"/>
              <w:left w:val="nil"/>
              <w:bottom w:val="single" w:sz="8" w:space="0" w:color="152935"/>
              <w:right w:val="nil"/>
            </w:tcBorders>
            <w:shd w:val="clear" w:color="auto" w:fill="E0E0E0"/>
          </w:tcPr>
          <w:p w14:paraId="49169217"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Mental fluency</w:t>
            </w:r>
          </w:p>
        </w:tc>
        <w:tc>
          <w:tcPr>
            <w:tcW w:w="540" w:type="dxa"/>
            <w:gridSpan w:val="3"/>
            <w:tcBorders>
              <w:top w:val="single" w:sz="8" w:space="0" w:color="AEAEAE"/>
              <w:left w:val="nil"/>
              <w:bottom w:val="single" w:sz="8" w:space="0" w:color="152935"/>
              <w:right w:val="single" w:sz="8" w:space="0" w:color="E0E0E0"/>
            </w:tcBorders>
            <w:shd w:val="clear" w:color="auto" w:fill="FFFFFF"/>
          </w:tcPr>
          <w:p w14:paraId="01EF5AD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.104</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567CC5D1"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.058</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0BBDC95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.126</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0AE27E28"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1.805</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E0E6CB2"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.072</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A6CA9E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–.009</w:t>
            </w:r>
          </w:p>
        </w:tc>
        <w:tc>
          <w:tcPr>
            <w:tcW w:w="774" w:type="dxa"/>
            <w:tcBorders>
              <w:top w:val="single" w:sz="8" w:space="0" w:color="AEAEAE"/>
              <w:left w:val="single" w:sz="8" w:space="0" w:color="E0E0E0"/>
              <w:bottom w:val="single" w:sz="8" w:space="0" w:color="152935"/>
              <w:right w:val="single" w:sz="8" w:space="0" w:color="E0E0E0"/>
            </w:tcBorders>
            <w:shd w:val="clear" w:color="auto" w:fill="FFFFFF"/>
          </w:tcPr>
          <w:p w14:paraId="35BFCAF4"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.218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9D9D52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.456</w:t>
            </w:r>
          </w:p>
        </w:tc>
        <w:tc>
          <w:tcPr>
            <w:tcW w:w="567" w:type="dxa"/>
            <w:gridSpan w:val="3"/>
            <w:tcBorders>
              <w:top w:val="single" w:sz="8" w:space="0" w:color="AEAEAE"/>
              <w:left w:val="single" w:sz="8" w:space="0" w:color="E0E0E0"/>
              <w:bottom w:val="single" w:sz="8" w:space="0" w:color="152935"/>
              <w:right w:val="single" w:sz="8" w:space="0" w:color="E0E0E0"/>
            </w:tcBorders>
            <w:shd w:val="clear" w:color="auto" w:fill="FFFFFF"/>
          </w:tcPr>
          <w:p w14:paraId="54D3CD5A"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.108</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14:paraId="5C79E3C3"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.089</w:t>
            </w:r>
          </w:p>
        </w:tc>
        <w:tc>
          <w:tcPr>
            <w:tcW w:w="850" w:type="dxa"/>
            <w:gridSpan w:val="3"/>
            <w:tcBorders>
              <w:top w:val="single" w:sz="8" w:space="0" w:color="AEAEAE"/>
              <w:left w:val="single" w:sz="8" w:space="0" w:color="E0E0E0"/>
              <w:bottom w:val="single" w:sz="8" w:space="0" w:color="152935"/>
              <w:right w:val="single" w:sz="8" w:space="0" w:color="E0E0E0"/>
            </w:tcBorders>
            <w:shd w:val="clear" w:color="auto" w:fill="FFFFFF"/>
          </w:tcPr>
          <w:p w14:paraId="4B23A986"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.502</w:t>
            </w:r>
          </w:p>
        </w:tc>
        <w:tc>
          <w:tcPr>
            <w:tcW w:w="567" w:type="dxa"/>
            <w:tcBorders>
              <w:top w:val="single" w:sz="8" w:space="0" w:color="AEAEAE"/>
              <w:left w:val="single" w:sz="8" w:space="0" w:color="E0E0E0"/>
              <w:bottom w:val="single" w:sz="8" w:space="0" w:color="152935"/>
              <w:right w:val="nil"/>
            </w:tcBorders>
            <w:shd w:val="clear" w:color="auto" w:fill="FFFFFF"/>
          </w:tcPr>
          <w:p w14:paraId="322B52EC"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1.991</w:t>
            </w:r>
          </w:p>
        </w:tc>
      </w:tr>
      <w:tr w:rsidR="00C7217E" w:rsidRPr="00530906" w14:paraId="22824394" w14:textId="77777777" w:rsidTr="00B82C43">
        <w:trPr>
          <w:cantSplit/>
        </w:trPr>
        <w:tc>
          <w:tcPr>
            <w:tcW w:w="9781" w:type="dxa"/>
            <w:gridSpan w:val="25"/>
            <w:tcBorders>
              <w:top w:val="nil"/>
              <w:left w:val="nil"/>
              <w:bottom w:val="nil"/>
              <w:right w:val="nil"/>
            </w:tcBorders>
            <w:shd w:val="clear" w:color="auto" w:fill="FFFFFF"/>
          </w:tcPr>
          <w:p w14:paraId="2D8A022D" w14:textId="77777777" w:rsidR="00C7217E" w:rsidRPr="00530906" w:rsidRDefault="00C7217E" w:rsidP="008756B1">
            <w:pPr>
              <w:spacing w:after="0" w:line="240" w:lineRule="auto"/>
              <w:jc w:val="both"/>
              <w:rPr>
                <w:rFonts w:ascii="Cambria" w:eastAsia="Times New Roman" w:hAnsi="Cambria" w:cs="Calibri"/>
                <w:color w:val="000000"/>
                <w:sz w:val="18"/>
                <w:szCs w:val="18"/>
                <w:lang w:val="en-US"/>
              </w:rPr>
            </w:pPr>
            <w:r w:rsidRPr="00530906">
              <w:rPr>
                <w:rFonts w:ascii="Cambria" w:eastAsia="Times New Roman" w:hAnsi="Cambria" w:cs="Calibri"/>
                <w:color w:val="000000"/>
                <w:sz w:val="18"/>
                <w:szCs w:val="18"/>
                <w:lang w:val="en-US"/>
              </w:rPr>
              <w:t>a. Dependent Variable: Engagement</w:t>
            </w:r>
          </w:p>
        </w:tc>
      </w:tr>
    </w:tbl>
    <w:p w14:paraId="7A674653" w14:textId="69A5F220" w:rsidR="00C7217E" w:rsidRPr="00530906" w:rsidRDefault="00C7217E" w:rsidP="008756B1">
      <w:pPr>
        <w:pStyle w:val="Heading3"/>
        <w:jc w:val="both"/>
        <w:rPr>
          <w:rFonts w:eastAsia="Times New Roman"/>
          <w:lang w:val="en-US"/>
        </w:rPr>
      </w:pPr>
      <w:bookmarkStart w:id="153" w:name="_Toc115726308"/>
      <w:r w:rsidRPr="00530906">
        <w:rPr>
          <w:rFonts w:eastAsia="Times New Roman"/>
          <w:lang w:val="en-US"/>
        </w:rPr>
        <w:t>Regression analysis between ‘ad attitude’ and ‘purchase’</w:t>
      </w:r>
      <w:bookmarkEnd w:id="153"/>
    </w:p>
    <w:p w14:paraId="6701DBE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4"/>
        <w:gridCol w:w="69"/>
        <w:gridCol w:w="107"/>
        <w:gridCol w:w="450"/>
        <w:gridCol w:w="580"/>
        <w:gridCol w:w="140"/>
        <w:gridCol w:w="80"/>
        <w:gridCol w:w="910"/>
        <w:gridCol w:w="75"/>
        <w:gridCol w:w="465"/>
        <w:gridCol w:w="181"/>
        <w:gridCol w:w="179"/>
        <w:gridCol w:w="806"/>
        <w:gridCol w:w="153"/>
        <w:gridCol w:w="31"/>
        <w:gridCol w:w="1080"/>
        <w:gridCol w:w="457"/>
        <w:gridCol w:w="85"/>
        <w:gridCol w:w="358"/>
        <w:gridCol w:w="215"/>
        <w:gridCol w:w="325"/>
        <w:gridCol w:w="290"/>
        <w:gridCol w:w="70"/>
        <w:gridCol w:w="810"/>
        <w:gridCol w:w="540"/>
      </w:tblGrid>
      <w:tr w:rsidR="00C7217E" w:rsidRPr="00530906" w14:paraId="0D4C6AAD" w14:textId="77777777" w:rsidTr="00C7217E">
        <w:trPr>
          <w:gridAfter w:val="8"/>
          <w:wAfter w:w="2693" w:type="dxa"/>
          <w:cantSplit/>
        </w:trPr>
        <w:tc>
          <w:tcPr>
            <w:tcW w:w="6577" w:type="dxa"/>
            <w:gridSpan w:val="18"/>
            <w:tcBorders>
              <w:top w:val="nil"/>
              <w:left w:val="nil"/>
              <w:bottom w:val="nil"/>
              <w:right w:val="nil"/>
            </w:tcBorders>
            <w:shd w:val="clear" w:color="auto" w:fill="FFFFFF"/>
            <w:vAlign w:val="center"/>
          </w:tcPr>
          <w:p w14:paraId="4D5D3F26"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0E9D1E40" w14:textId="77777777" w:rsidTr="00C7217E">
        <w:trPr>
          <w:gridAfter w:val="8"/>
          <w:wAfter w:w="2693" w:type="dxa"/>
          <w:cantSplit/>
        </w:trPr>
        <w:tc>
          <w:tcPr>
            <w:tcW w:w="883" w:type="dxa"/>
            <w:gridSpan w:val="3"/>
            <w:tcBorders>
              <w:top w:val="nil"/>
              <w:left w:val="nil"/>
              <w:bottom w:val="single" w:sz="8" w:space="0" w:color="152935"/>
              <w:right w:val="nil"/>
            </w:tcBorders>
            <w:shd w:val="clear" w:color="auto" w:fill="FFFFFF"/>
            <w:vAlign w:val="bottom"/>
          </w:tcPr>
          <w:p w14:paraId="47A528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260E513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4"/>
            <w:tcBorders>
              <w:top w:val="nil"/>
              <w:left w:val="single" w:sz="8" w:space="0" w:color="E0E0E0"/>
              <w:bottom w:val="single" w:sz="8" w:space="0" w:color="152935"/>
              <w:right w:val="single" w:sz="8" w:space="0" w:color="E0E0E0"/>
            </w:tcBorders>
            <w:shd w:val="clear" w:color="auto" w:fill="FFFFFF"/>
            <w:vAlign w:val="bottom"/>
          </w:tcPr>
          <w:p w14:paraId="0E4EB2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4"/>
            <w:tcBorders>
              <w:top w:val="nil"/>
              <w:left w:val="single" w:sz="8" w:space="0" w:color="E0E0E0"/>
              <w:bottom w:val="single" w:sz="8" w:space="0" w:color="152935"/>
              <w:right w:val="single" w:sz="8" w:space="0" w:color="E0E0E0"/>
            </w:tcBorders>
            <w:shd w:val="clear" w:color="auto" w:fill="FFFFFF"/>
            <w:vAlign w:val="bottom"/>
          </w:tcPr>
          <w:p w14:paraId="7C126FD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21" w:type="dxa"/>
            <w:gridSpan w:val="4"/>
            <w:tcBorders>
              <w:top w:val="nil"/>
              <w:left w:val="single" w:sz="8" w:space="0" w:color="E0E0E0"/>
              <w:bottom w:val="single" w:sz="8" w:space="0" w:color="152935"/>
              <w:right w:val="nil"/>
            </w:tcBorders>
            <w:shd w:val="clear" w:color="auto" w:fill="FFFFFF"/>
            <w:vAlign w:val="bottom"/>
          </w:tcPr>
          <w:p w14:paraId="6A59B5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73830E84" w14:textId="77777777" w:rsidTr="00C7217E">
        <w:trPr>
          <w:gridAfter w:val="8"/>
          <w:wAfter w:w="2693" w:type="dxa"/>
          <w:cantSplit/>
        </w:trPr>
        <w:tc>
          <w:tcPr>
            <w:tcW w:w="883" w:type="dxa"/>
            <w:gridSpan w:val="3"/>
            <w:tcBorders>
              <w:top w:val="single" w:sz="8" w:space="0" w:color="152935"/>
              <w:left w:val="nil"/>
              <w:bottom w:val="single" w:sz="8" w:space="0" w:color="152935"/>
              <w:right w:val="nil"/>
            </w:tcBorders>
            <w:shd w:val="clear" w:color="auto" w:fill="E0E0E0"/>
          </w:tcPr>
          <w:p w14:paraId="3C9E3E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1DDF68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.555</w:t>
            </w:r>
            <w:r w:rsidRPr="00530906">
              <w:rPr>
                <w:rFonts w:ascii="Cambria" w:eastAsia="Times New Roman" w:hAnsi="Cambria" w:cs="Times New Roman"/>
                <w:color w:val="000000"/>
                <w:sz w:val="18"/>
                <w:szCs w:val="18"/>
                <w:vertAlign w:val="superscript"/>
                <w:lang w:val="en-US"/>
              </w:rPr>
              <w:t>a</w:t>
            </w:r>
          </w:p>
        </w:tc>
        <w:tc>
          <w:tcPr>
            <w:tcW w:w="1205" w:type="dxa"/>
            <w:gridSpan w:val="4"/>
            <w:tcBorders>
              <w:top w:val="single" w:sz="8" w:space="0" w:color="152935"/>
              <w:left w:val="single" w:sz="8" w:space="0" w:color="E0E0E0"/>
              <w:bottom w:val="single" w:sz="8" w:space="0" w:color="152935"/>
              <w:right w:val="single" w:sz="8" w:space="0" w:color="E0E0E0"/>
            </w:tcBorders>
            <w:shd w:val="clear" w:color="auto" w:fill="FFFFFF"/>
          </w:tcPr>
          <w:p w14:paraId="1EC44E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.308</w:t>
            </w:r>
          </w:p>
        </w:tc>
        <w:tc>
          <w:tcPr>
            <w:tcW w:w="1631" w:type="dxa"/>
            <w:gridSpan w:val="4"/>
            <w:tcBorders>
              <w:top w:val="single" w:sz="8" w:space="0" w:color="152935"/>
              <w:left w:val="single" w:sz="8" w:space="0" w:color="E0E0E0"/>
              <w:bottom w:val="single" w:sz="8" w:space="0" w:color="152935"/>
              <w:right w:val="single" w:sz="8" w:space="0" w:color="E0E0E0"/>
            </w:tcBorders>
            <w:shd w:val="clear" w:color="auto" w:fill="FFFFFF"/>
          </w:tcPr>
          <w:p w14:paraId="6BFAB58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.305</w:t>
            </w:r>
          </w:p>
        </w:tc>
        <w:tc>
          <w:tcPr>
            <w:tcW w:w="1721" w:type="dxa"/>
            <w:gridSpan w:val="4"/>
            <w:tcBorders>
              <w:top w:val="single" w:sz="8" w:space="0" w:color="152935"/>
              <w:left w:val="single" w:sz="8" w:space="0" w:color="E0E0E0"/>
              <w:bottom w:val="single" w:sz="8" w:space="0" w:color="152935"/>
              <w:right w:val="nil"/>
            </w:tcBorders>
            <w:shd w:val="clear" w:color="auto" w:fill="FFFFFF"/>
          </w:tcPr>
          <w:p w14:paraId="0C13ED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1.18187</w:t>
            </w:r>
          </w:p>
        </w:tc>
      </w:tr>
      <w:tr w:rsidR="00C7217E" w:rsidRPr="00530906" w14:paraId="35863D48" w14:textId="77777777" w:rsidTr="00C7217E">
        <w:trPr>
          <w:gridAfter w:val="8"/>
          <w:wAfter w:w="2693" w:type="dxa"/>
          <w:cantSplit/>
        </w:trPr>
        <w:tc>
          <w:tcPr>
            <w:tcW w:w="6577" w:type="dxa"/>
            <w:gridSpan w:val="18"/>
            <w:tcBorders>
              <w:top w:val="nil"/>
              <w:left w:val="nil"/>
              <w:bottom w:val="nil"/>
              <w:right w:val="nil"/>
            </w:tcBorders>
            <w:shd w:val="clear" w:color="auto" w:fill="FFFFFF"/>
          </w:tcPr>
          <w:p w14:paraId="05D0C79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Attitude</w:t>
            </w:r>
          </w:p>
        </w:tc>
      </w:tr>
      <w:tr w:rsidR="00C7217E" w:rsidRPr="00530906" w14:paraId="179B5922" w14:textId="77777777" w:rsidTr="00C7217E">
        <w:trPr>
          <w:gridAfter w:val="8"/>
          <w:wAfter w:w="2693" w:type="dxa"/>
          <w:cantSplit/>
        </w:trPr>
        <w:tc>
          <w:tcPr>
            <w:tcW w:w="6577" w:type="dxa"/>
            <w:gridSpan w:val="18"/>
            <w:tcBorders>
              <w:top w:val="nil"/>
              <w:left w:val="nil"/>
              <w:bottom w:val="nil"/>
              <w:right w:val="nil"/>
            </w:tcBorders>
            <w:shd w:val="clear" w:color="auto" w:fill="FFFFFF"/>
          </w:tcPr>
          <w:p w14:paraId="79E9C0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Purchase</w:t>
            </w:r>
          </w:p>
        </w:tc>
      </w:tr>
      <w:tr w:rsidR="00C7217E" w:rsidRPr="00530906" w14:paraId="3716E3CF" w14:textId="77777777" w:rsidTr="00C7217E">
        <w:trPr>
          <w:gridAfter w:val="3"/>
          <w:wAfter w:w="1420" w:type="dxa"/>
          <w:cantSplit/>
        </w:trPr>
        <w:tc>
          <w:tcPr>
            <w:tcW w:w="7850" w:type="dxa"/>
            <w:gridSpan w:val="23"/>
            <w:tcBorders>
              <w:top w:val="nil"/>
              <w:left w:val="nil"/>
              <w:bottom w:val="nil"/>
              <w:right w:val="nil"/>
            </w:tcBorders>
            <w:shd w:val="clear" w:color="auto" w:fill="FFFFFF"/>
            <w:vAlign w:val="center"/>
          </w:tcPr>
          <w:p w14:paraId="3DB72BC4"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3FE4A870" w14:textId="77777777" w:rsidTr="00C7217E">
        <w:trPr>
          <w:gridAfter w:val="3"/>
          <w:wAfter w:w="1420" w:type="dxa"/>
          <w:cantSplit/>
        </w:trPr>
        <w:tc>
          <w:tcPr>
            <w:tcW w:w="2240" w:type="dxa"/>
            <w:gridSpan w:val="8"/>
            <w:tcBorders>
              <w:top w:val="nil"/>
              <w:left w:val="nil"/>
              <w:bottom w:val="single" w:sz="8" w:space="0" w:color="152935"/>
              <w:right w:val="nil"/>
            </w:tcBorders>
            <w:shd w:val="clear" w:color="auto" w:fill="FFFFFF"/>
            <w:vAlign w:val="bottom"/>
          </w:tcPr>
          <w:p w14:paraId="042E3B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7CA83D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3"/>
            <w:tcBorders>
              <w:top w:val="nil"/>
              <w:left w:val="single" w:sz="8" w:space="0" w:color="E0E0E0"/>
              <w:bottom w:val="single" w:sz="8" w:space="0" w:color="152935"/>
              <w:right w:val="single" w:sz="8" w:space="0" w:color="E0E0E0"/>
            </w:tcBorders>
            <w:shd w:val="clear" w:color="auto" w:fill="FFFFFF"/>
            <w:vAlign w:val="bottom"/>
          </w:tcPr>
          <w:p w14:paraId="5D463B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3" w:type="dxa"/>
            <w:gridSpan w:val="4"/>
            <w:tcBorders>
              <w:top w:val="nil"/>
              <w:left w:val="single" w:sz="8" w:space="0" w:color="E0E0E0"/>
              <w:bottom w:val="single" w:sz="8" w:space="0" w:color="152935"/>
              <w:right w:val="single" w:sz="8" w:space="0" w:color="E0E0E0"/>
            </w:tcBorders>
            <w:shd w:val="clear" w:color="auto" w:fill="FFFFFF"/>
            <w:vAlign w:val="bottom"/>
          </w:tcPr>
          <w:p w14:paraId="6A6B31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573" w:type="dxa"/>
            <w:gridSpan w:val="2"/>
            <w:tcBorders>
              <w:top w:val="nil"/>
              <w:left w:val="single" w:sz="8" w:space="0" w:color="E0E0E0"/>
              <w:bottom w:val="single" w:sz="8" w:space="0" w:color="152935"/>
              <w:right w:val="single" w:sz="8" w:space="0" w:color="E0E0E0"/>
            </w:tcBorders>
            <w:shd w:val="clear" w:color="auto" w:fill="FFFFFF"/>
            <w:vAlign w:val="bottom"/>
          </w:tcPr>
          <w:p w14:paraId="2D5DF3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615" w:type="dxa"/>
            <w:gridSpan w:val="2"/>
            <w:tcBorders>
              <w:top w:val="nil"/>
              <w:left w:val="single" w:sz="8" w:space="0" w:color="E0E0E0"/>
              <w:bottom w:val="single" w:sz="8" w:space="0" w:color="152935"/>
              <w:right w:val="nil"/>
            </w:tcBorders>
            <w:shd w:val="clear" w:color="auto" w:fill="FFFFFF"/>
            <w:vAlign w:val="bottom"/>
          </w:tcPr>
          <w:p w14:paraId="084E53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56D7EADE" w14:textId="77777777" w:rsidTr="00C7217E">
        <w:trPr>
          <w:gridAfter w:val="3"/>
          <w:wAfter w:w="1420"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421EB0F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6"/>
            <w:tcBorders>
              <w:top w:val="single" w:sz="8" w:space="0" w:color="152935"/>
              <w:left w:val="nil"/>
              <w:bottom w:val="single" w:sz="8" w:space="0" w:color="AEAEAE"/>
              <w:right w:val="nil"/>
            </w:tcBorders>
            <w:shd w:val="clear" w:color="auto" w:fill="E0E0E0"/>
          </w:tcPr>
          <w:p w14:paraId="2E7803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4D2EAE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171.910</w:t>
            </w:r>
          </w:p>
        </w:tc>
        <w:tc>
          <w:tcPr>
            <w:tcW w:w="11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12E7F9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3" w:type="dxa"/>
            <w:gridSpan w:val="4"/>
            <w:tcBorders>
              <w:top w:val="single" w:sz="8" w:space="0" w:color="152935"/>
              <w:left w:val="single" w:sz="8" w:space="0" w:color="E0E0E0"/>
              <w:bottom w:val="single" w:sz="8" w:space="0" w:color="AEAEAE"/>
              <w:right w:val="single" w:sz="8" w:space="0" w:color="E0E0E0"/>
            </w:tcBorders>
            <w:shd w:val="clear" w:color="auto" w:fill="FFFFFF"/>
          </w:tcPr>
          <w:p w14:paraId="686231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171.910</w:t>
            </w:r>
          </w:p>
        </w:tc>
        <w:tc>
          <w:tcPr>
            <w:tcW w:w="573" w:type="dxa"/>
            <w:gridSpan w:val="2"/>
            <w:tcBorders>
              <w:top w:val="single" w:sz="8" w:space="0" w:color="152935"/>
              <w:left w:val="single" w:sz="8" w:space="0" w:color="E0E0E0"/>
              <w:bottom w:val="single" w:sz="8" w:space="0" w:color="AEAEAE"/>
              <w:right w:val="single" w:sz="8" w:space="0" w:color="E0E0E0"/>
            </w:tcBorders>
            <w:shd w:val="clear" w:color="auto" w:fill="FFFFFF"/>
          </w:tcPr>
          <w:p w14:paraId="1A1771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123.073</w:t>
            </w:r>
          </w:p>
        </w:tc>
        <w:tc>
          <w:tcPr>
            <w:tcW w:w="615" w:type="dxa"/>
            <w:gridSpan w:val="2"/>
            <w:tcBorders>
              <w:top w:val="single" w:sz="8" w:space="0" w:color="152935"/>
              <w:left w:val="single" w:sz="8" w:space="0" w:color="E0E0E0"/>
              <w:bottom w:val="single" w:sz="8" w:space="0" w:color="AEAEAE"/>
              <w:right w:val="nil"/>
            </w:tcBorders>
            <w:shd w:val="clear" w:color="auto" w:fill="FFFFFF"/>
          </w:tcPr>
          <w:p w14:paraId="107AEC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31A3197F"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345A1D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6"/>
            <w:tcBorders>
              <w:top w:val="single" w:sz="8" w:space="0" w:color="AEAEAE"/>
              <w:left w:val="nil"/>
              <w:bottom w:val="single" w:sz="8" w:space="0" w:color="AEAEAE"/>
              <w:right w:val="nil"/>
            </w:tcBorders>
            <w:shd w:val="clear" w:color="auto" w:fill="E0E0E0"/>
          </w:tcPr>
          <w:p w14:paraId="003B71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037D47B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386.917</w:t>
            </w:r>
          </w:p>
        </w:tc>
        <w:tc>
          <w:tcPr>
            <w:tcW w:w="11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7835DF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3" w:type="dxa"/>
            <w:gridSpan w:val="4"/>
            <w:tcBorders>
              <w:top w:val="single" w:sz="8" w:space="0" w:color="AEAEAE"/>
              <w:left w:val="single" w:sz="8" w:space="0" w:color="E0E0E0"/>
              <w:bottom w:val="single" w:sz="8" w:space="0" w:color="AEAEAE"/>
              <w:right w:val="single" w:sz="8" w:space="0" w:color="E0E0E0"/>
            </w:tcBorders>
            <w:shd w:val="clear" w:color="auto" w:fill="FFFFFF"/>
          </w:tcPr>
          <w:p w14:paraId="45BE93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1.397</w:t>
            </w:r>
          </w:p>
        </w:tc>
        <w:tc>
          <w:tcPr>
            <w:tcW w:w="573"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B304F2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15" w:type="dxa"/>
            <w:gridSpan w:val="2"/>
            <w:tcBorders>
              <w:top w:val="single" w:sz="8" w:space="0" w:color="AEAEAE"/>
              <w:left w:val="single" w:sz="8" w:space="0" w:color="E0E0E0"/>
              <w:bottom w:val="single" w:sz="8" w:space="0" w:color="AEAEAE"/>
              <w:right w:val="nil"/>
            </w:tcBorders>
            <w:shd w:val="clear" w:color="auto" w:fill="FFFFFF"/>
            <w:vAlign w:val="center"/>
          </w:tcPr>
          <w:p w14:paraId="4758B84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8941309"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5915E77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6"/>
            <w:tcBorders>
              <w:top w:val="single" w:sz="8" w:space="0" w:color="AEAEAE"/>
              <w:left w:val="nil"/>
              <w:bottom w:val="single" w:sz="8" w:space="0" w:color="152935"/>
              <w:right w:val="nil"/>
            </w:tcBorders>
            <w:shd w:val="clear" w:color="auto" w:fill="E0E0E0"/>
          </w:tcPr>
          <w:p w14:paraId="385DA1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7B0069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558.827</w:t>
            </w:r>
          </w:p>
        </w:tc>
        <w:tc>
          <w:tcPr>
            <w:tcW w:w="1138" w:type="dxa"/>
            <w:gridSpan w:val="3"/>
            <w:tcBorders>
              <w:top w:val="single" w:sz="8" w:space="0" w:color="AEAEAE"/>
              <w:left w:val="single" w:sz="8" w:space="0" w:color="E0E0E0"/>
              <w:bottom w:val="single" w:sz="8" w:space="0" w:color="152935"/>
              <w:right w:val="single" w:sz="8" w:space="0" w:color="E0E0E0"/>
            </w:tcBorders>
            <w:shd w:val="clear" w:color="auto" w:fill="FFFFFF"/>
          </w:tcPr>
          <w:p w14:paraId="59E784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3"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21D3617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73"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454FF8B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15" w:type="dxa"/>
            <w:gridSpan w:val="2"/>
            <w:tcBorders>
              <w:top w:val="single" w:sz="8" w:space="0" w:color="AEAEAE"/>
              <w:left w:val="single" w:sz="8" w:space="0" w:color="E0E0E0"/>
              <w:bottom w:val="single" w:sz="8" w:space="0" w:color="152935"/>
              <w:right w:val="nil"/>
            </w:tcBorders>
            <w:shd w:val="clear" w:color="auto" w:fill="FFFFFF"/>
            <w:vAlign w:val="center"/>
          </w:tcPr>
          <w:p w14:paraId="2804509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466493F" w14:textId="77777777" w:rsidTr="00C7217E">
        <w:trPr>
          <w:gridAfter w:val="3"/>
          <w:wAfter w:w="1420" w:type="dxa"/>
          <w:cantSplit/>
        </w:trPr>
        <w:tc>
          <w:tcPr>
            <w:tcW w:w="7850" w:type="dxa"/>
            <w:gridSpan w:val="23"/>
            <w:tcBorders>
              <w:top w:val="nil"/>
              <w:left w:val="nil"/>
              <w:bottom w:val="nil"/>
              <w:right w:val="nil"/>
            </w:tcBorders>
            <w:shd w:val="clear" w:color="auto" w:fill="FFFFFF"/>
          </w:tcPr>
          <w:p w14:paraId="73AB0ED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r w:rsidR="00C7217E" w:rsidRPr="00530906" w14:paraId="2B479FBC" w14:textId="77777777" w:rsidTr="00C7217E">
        <w:trPr>
          <w:gridAfter w:val="3"/>
          <w:wAfter w:w="1420" w:type="dxa"/>
          <w:cantSplit/>
        </w:trPr>
        <w:tc>
          <w:tcPr>
            <w:tcW w:w="7850" w:type="dxa"/>
            <w:gridSpan w:val="23"/>
            <w:tcBorders>
              <w:top w:val="nil"/>
              <w:left w:val="nil"/>
              <w:bottom w:val="nil"/>
              <w:right w:val="nil"/>
            </w:tcBorders>
            <w:shd w:val="clear" w:color="auto" w:fill="FFFFFF"/>
          </w:tcPr>
          <w:p w14:paraId="6314AD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Attitude</w:t>
            </w:r>
          </w:p>
        </w:tc>
      </w:tr>
      <w:tr w:rsidR="00C7217E" w:rsidRPr="00530906" w14:paraId="090C7CF7" w14:textId="77777777" w:rsidTr="00C7217E">
        <w:trPr>
          <w:cantSplit/>
        </w:trPr>
        <w:tc>
          <w:tcPr>
            <w:tcW w:w="9270" w:type="dxa"/>
            <w:gridSpan w:val="26"/>
            <w:tcBorders>
              <w:top w:val="nil"/>
              <w:left w:val="nil"/>
              <w:bottom w:val="nil"/>
              <w:right w:val="nil"/>
            </w:tcBorders>
            <w:shd w:val="clear" w:color="auto" w:fill="FFFFFF"/>
            <w:vAlign w:val="center"/>
          </w:tcPr>
          <w:p w14:paraId="75C7B234"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65E89F50" w14:textId="77777777" w:rsidTr="00C7217E">
        <w:trPr>
          <w:cantSplit/>
        </w:trPr>
        <w:tc>
          <w:tcPr>
            <w:tcW w:w="990" w:type="dxa"/>
            <w:gridSpan w:val="4"/>
            <w:vMerge w:val="restart"/>
            <w:tcBorders>
              <w:top w:val="nil"/>
              <w:left w:val="nil"/>
              <w:bottom w:val="nil"/>
              <w:right w:val="nil"/>
            </w:tcBorders>
            <w:shd w:val="clear" w:color="auto" w:fill="FFFFFF"/>
            <w:vAlign w:val="bottom"/>
          </w:tcPr>
          <w:p w14:paraId="3F22BD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70" w:type="dxa"/>
            <w:gridSpan w:val="3"/>
            <w:tcBorders>
              <w:top w:val="nil"/>
              <w:left w:val="nil"/>
              <w:bottom w:val="nil"/>
              <w:right w:val="single" w:sz="8" w:space="0" w:color="E0E0E0"/>
            </w:tcBorders>
            <w:shd w:val="clear" w:color="auto" w:fill="FFFFFF"/>
            <w:vAlign w:val="bottom"/>
          </w:tcPr>
          <w:p w14:paraId="32D8A3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3BFB2A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2D94E5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360" w:type="dxa"/>
            <w:gridSpan w:val="2"/>
            <w:vMerge w:val="restart"/>
            <w:tcBorders>
              <w:top w:val="nil"/>
              <w:left w:val="single" w:sz="8" w:space="0" w:color="E0E0E0"/>
              <w:bottom w:val="nil"/>
              <w:right w:val="single" w:sz="8" w:space="0" w:color="E0E0E0"/>
            </w:tcBorders>
            <w:shd w:val="clear" w:color="auto" w:fill="FFFFFF"/>
            <w:vAlign w:val="bottom"/>
          </w:tcPr>
          <w:p w14:paraId="44236D6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1E28C7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00" w:type="dxa"/>
            <w:gridSpan w:val="7"/>
            <w:tcBorders>
              <w:top w:val="nil"/>
              <w:left w:val="single" w:sz="8" w:space="0" w:color="E0E0E0"/>
              <w:bottom w:val="nil"/>
              <w:right w:val="single" w:sz="8" w:space="0" w:color="E0E0E0"/>
            </w:tcBorders>
            <w:shd w:val="clear" w:color="auto" w:fill="FFFFFF"/>
            <w:vAlign w:val="bottom"/>
          </w:tcPr>
          <w:p w14:paraId="1D861D4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350" w:type="dxa"/>
            <w:gridSpan w:val="2"/>
            <w:tcBorders>
              <w:top w:val="nil"/>
              <w:left w:val="single" w:sz="8" w:space="0" w:color="E0E0E0"/>
              <w:bottom w:val="nil"/>
              <w:right w:val="nil"/>
            </w:tcBorders>
            <w:shd w:val="clear" w:color="auto" w:fill="FFFFFF"/>
            <w:vAlign w:val="bottom"/>
          </w:tcPr>
          <w:p w14:paraId="3D1EE94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06DFFA40" w14:textId="77777777" w:rsidTr="00C7217E">
        <w:trPr>
          <w:cantSplit/>
        </w:trPr>
        <w:tc>
          <w:tcPr>
            <w:tcW w:w="990" w:type="dxa"/>
            <w:gridSpan w:val="4"/>
            <w:vMerge/>
            <w:tcBorders>
              <w:top w:val="nil"/>
              <w:left w:val="nil"/>
              <w:bottom w:val="nil"/>
              <w:right w:val="nil"/>
            </w:tcBorders>
            <w:shd w:val="clear" w:color="auto" w:fill="FFFFFF"/>
            <w:vAlign w:val="bottom"/>
          </w:tcPr>
          <w:p w14:paraId="28349B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tcBorders>
              <w:top w:val="nil"/>
              <w:left w:val="nil"/>
              <w:bottom w:val="single" w:sz="8" w:space="0" w:color="152935"/>
              <w:right w:val="single" w:sz="8" w:space="0" w:color="E0E0E0"/>
            </w:tcBorders>
            <w:shd w:val="clear" w:color="auto" w:fill="FFFFFF"/>
            <w:vAlign w:val="bottom"/>
          </w:tcPr>
          <w:p w14:paraId="0537A2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4253CA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237FA8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7381E1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gridSpan w:val="2"/>
            <w:vMerge/>
            <w:tcBorders>
              <w:top w:val="nil"/>
              <w:left w:val="single" w:sz="8" w:space="0" w:color="E0E0E0"/>
              <w:bottom w:val="nil"/>
              <w:right w:val="single" w:sz="8" w:space="0" w:color="E0E0E0"/>
            </w:tcBorders>
            <w:shd w:val="clear" w:color="auto" w:fill="FFFFFF"/>
            <w:vAlign w:val="bottom"/>
          </w:tcPr>
          <w:p w14:paraId="58AD0B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018F02D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666BCB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5074EE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30F82B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gridSpan w:val="2"/>
            <w:tcBorders>
              <w:top w:val="nil"/>
              <w:left w:val="single" w:sz="8" w:space="0" w:color="E0E0E0"/>
              <w:bottom w:val="single" w:sz="8" w:space="0" w:color="152935"/>
              <w:right w:val="single" w:sz="8" w:space="0" w:color="E0E0E0"/>
            </w:tcBorders>
            <w:shd w:val="clear" w:color="auto" w:fill="FFFFFF"/>
            <w:vAlign w:val="bottom"/>
          </w:tcPr>
          <w:p w14:paraId="3B9CEE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0E6E1B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3132D9F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6D4CA6A4" w14:textId="77777777" w:rsidTr="00C7217E">
        <w:trPr>
          <w:cantSplit/>
        </w:trPr>
        <w:tc>
          <w:tcPr>
            <w:tcW w:w="180" w:type="dxa"/>
            <w:vMerge w:val="restart"/>
            <w:tcBorders>
              <w:top w:val="single" w:sz="8" w:space="0" w:color="152935"/>
              <w:left w:val="nil"/>
              <w:bottom w:val="single" w:sz="8" w:space="0" w:color="152935"/>
              <w:right w:val="nil"/>
            </w:tcBorders>
            <w:shd w:val="clear" w:color="auto" w:fill="E0E0E0"/>
          </w:tcPr>
          <w:p w14:paraId="59901A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810" w:type="dxa"/>
            <w:gridSpan w:val="3"/>
            <w:tcBorders>
              <w:top w:val="single" w:sz="8" w:space="0" w:color="152935"/>
              <w:left w:val="nil"/>
              <w:bottom w:val="single" w:sz="8" w:space="0" w:color="AEAEAE"/>
              <w:right w:val="nil"/>
            </w:tcBorders>
            <w:shd w:val="clear" w:color="auto" w:fill="E0E0E0"/>
          </w:tcPr>
          <w:p w14:paraId="0863007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450" w:type="dxa"/>
            <w:tcBorders>
              <w:top w:val="single" w:sz="8" w:space="0" w:color="152935"/>
              <w:left w:val="nil"/>
              <w:bottom w:val="single" w:sz="8" w:space="0" w:color="AEAEAE"/>
              <w:right w:val="single" w:sz="8" w:space="0" w:color="E0E0E0"/>
            </w:tcBorders>
            <w:shd w:val="clear" w:color="auto" w:fill="FFFFFF"/>
          </w:tcPr>
          <w:p w14:paraId="591615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1.211</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3F49462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.275</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915905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B4E9C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4.402</w:t>
            </w:r>
          </w:p>
        </w:tc>
        <w:tc>
          <w:tcPr>
            <w:tcW w:w="36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1D832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E1AEB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.670</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9C7BE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1.753</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2EDE23E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B13A73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C02A41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C5E38F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75BCF69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62EE7A9"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30A1CCC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3"/>
            <w:tcBorders>
              <w:top w:val="single" w:sz="8" w:space="0" w:color="AEAEAE"/>
              <w:left w:val="nil"/>
              <w:bottom w:val="single" w:sz="8" w:space="0" w:color="152935"/>
              <w:right w:val="nil"/>
            </w:tcBorders>
            <w:shd w:val="clear" w:color="auto" w:fill="E0E0E0"/>
          </w:tcPr>
          <w:p w14:paraId="4A3AAB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Attitude</w:t>
            </w:r>
          </w:p>
        </w:tc>
        <w:tc>
          <w:tcPr>
            <w:tcW w:w="450" w:type="dxa"/>
            <w:tcBorders>
              <w:top w:val="single" w:sz="8" w:space="0" w:color="AEAEAE"/>
              <w:left w:val="nil"/>
              <w:bottom w:val="single" w:sz="8" w:space="0" w:color="152935"/>
              <w:right w:val="single" w:sz="8" w:space="0" w:color="E0E0E0"/>
            </w:tcBorders>
            <w:shd w:val="clear" w:color="auto" w:fill="FFFFFF"/>
          </w:tcPr>
          <w:p w14:paraId="47D689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.576</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C6195A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.052</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6B5DBD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.555</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9C084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11.094</w:t>
            </w:r>
          </w:p>
        </w:tc>
        <w:tc>
          <w:tcPr>
            <w:tcW w:w="36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9B0AC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9D408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.474</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7656D8B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.678</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7CC5940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.555</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2CC30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.555</w:t>
            </w:r>
          </w:p>
        </w:tc>
        <w:tc>
          <w:tcPr>
            <w:tcW w:w="36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E7515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.555</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5CC1CF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1238C0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15EC93E3" w14:textId="77777777" w:rsidTr="00C7217E">
        <w:trPr>
          <w:cantSplit/>
        </w:trPr>
        <w:tc>
          <w:tcPr>
            <w:tcW w:w="9270" w:type="dxa"/>
            <w:gridSpan w:val="26"/>
            <w:tcBorders>
              <w:top w:val="nil"/>
              <w:left w:val="nil"/>
              <w:bottom w:val="nil"/>
              <w:right w:val="nil"/>
            </w:tcBorders>
            <w:shd w:val="clear" w:color="auto" w:fill="FFFFFF"/>
          </w:tcPr>
          <w:p w14:paraId="707A11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bl>
    <w:p w14:paraId="2FF22AA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785A410B"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397E4C0A" w14:textId="3DA1FD1E" w:rsidR="00C7217E" w:rsidRPr="00530906" w:rsidRDefault="00C7217E" w:rsidP="008756B1">
      <w:pPr>
        <w:pStyle w:val="Heading3"/>
        <w:jc w:val="both"/>
        <w:rPr>
          <w:rFonts w:eastAsia="Times New Roman"/>
          <w:lang w:val="en-US"/>
        </w:rPr>
      </w:pPr>
      <w:bookmarkStart w:id="154" w:name="_Toc115726309"/>
      <w:r w:rsidRPr="00530906">
        <w:rPr>
          <w:rFonts w:eastAsia="Times New Roman"/>
          <w:lang w:val="en-US"/>
        </w:rPr>
        <w:t>Regression analysis between ‘engagement’ and ‘norm’</w:t>
      </w:r>
      <w:bookmarkEnd w:id="154"/>
    </w:p>
    <w:p w14:paraId="3D37FE0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5"/>
        <w:gridCol w:w="68"/>
        <w:gridCol w:w="287"/>
        <w:gridCol w:w="630"/>
        <w:gridCol w:w="223"/>
        <w:gridCol w:w="221"/>
        <w:gridCol w:w="276"/>
        <w:gridCol w:w="711"/>
        <w:gridCol w:w="279"/>
        <w:gridCol w:w="368"/>
        <w:gridCol w:w="82"/>
        <w:gridCol w:w="360"/>
        <w:gridCol w:w="545"/>
        <w:gridCol w:w="153"/>
        <w:gridCol w:w="292"/>
        <w:gridCol w:w="786"/>
        <w:gridCol w:w="209"/>
        <w:gridCol w:w="85"/>
        <w:gridCol w:w="482"/>
        <w:gridCol w:w="124"/>
        <w:gridCol w:w="540"/>
        <w:gridCol w:w="40"/>
        <w:gridCol w:w="410"/>
        <w:gridCol w:w="900"/>
        <w:gridCol w:w="540"/>
        <w:gridCol w:w="10"/>
      </w:tblGrid>
      <w:tr w:rsidR="00C7217E" w:rsidRPr="00530906" w14:paraId="54A0C56A" w14:textId="77777777" w:rsidTr="00EE722D">
        <w:trPr>
          <w:gridAfter w:val="9"/>
          <w:wAfter w:w="3131" w:type="dxa"/>
          <w:cantSplit/>
        </w:trPr>
        <w:tc>
          <w:tcPr>
            <w:tcW w:w="6305" w:type="dxa"/>
            <w:gridSpan w:val="18"/>
            <w:tcBorders>
              <w:top w:val="nil"/>
              <w:left w:val="nil"/>
              <w:bottom w:val="nil"/>
              <w:right w:val="nil"/>
            </w:tcBorders>
            <w:shd w:val="clear" w:color="auto" w:fill="FFFFFF"/>
            <w:vAlign w:val="center"/>
          </w:tcPr>
          <w:p w14:paraId="2818A5E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7CCC7257" w14:textId="77777777" w:rsidTr="00EE722D">
        <w:trPr>
          <w:gridAfter w:val="9"/>
          <w:wAfter w:w="3131" w:type="dxa"/>
          <w:cantSplit/>
        </w:trPr>
        <w:tc>
          <w:tcPr>
            <w:tcW w:w="883" w:type="dxa"/>
            <w:gridSpan w:val="3"/>
            <w:tcBorders>
              <w:top w:val="nil"/>
              <w:left w:val="nil"/>
              <w:bottom w:val="single" w:sz="8" w:space="0" w:color="152935"/>
              <w:right w:val="nil"/>
            </w:tcBorders>
            <w:shd w:val="clear" w:color="auto" w:fill="FFFFFF"/>
            <w:vAlign w:val="bottom"/>
          </w:tcPr>
          <w:p w14:paraId="36C246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40" w:type="dxa"/>
            <w:gridSpan w:val="3"/>
            <w:tcBorders>
              <w:top w:val="nil"/>
              <w:left w:val="nil"/>
              <w:bottom w:val="single" w:sz="8" w:space="0" w:color="152935"/>
              <w:right w:val="single" w:sz="8" w:space="0" w:color="E0E0E0"/>
            </w:tcBorders>
            <w:shd w:val="clear" w:color="auto" w:fill="FFFFFF"/>
            <w:vAlign w:val="bottom"/>
          </w:tcPr>
          <w:p w14:paraId="56074D8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8" w:type="dxa"/>
            <w:gridSpan w:val="3"/>
            <w:tcBorders>
              <w:top w:val="nil"/>
              <w:left w:val="single" w:sz="8" w:space="0" w:color="E0E0E0"/>
              <w:bottom w:val="single" w:sz="8" w:space="0" w:color="152935"/>
              <w:right w:val="single" w:sz="8" w:space="0" w:color="E0E0E0"/>
            </w:tcBorders>
            <w:shd w:val="clear" w:color="auto" w:fill="FFFFFF"/>
            <w:vAlign w:val="bottom"/>
          </w:tcPr>
          <w:p w14:paraId="7136DD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4" w:type="dxa"/>
            <w:gridSpan w:val="5"/>
            <w:tcBorders>
              <w:top w:val="nil"/>
              <w:left w:val="single" w:sz="8" w:space="0" w:color="E0E0E0"/>
              <w:bottom w:val="single" w:sz="8" w:space="0" w:color="152935"/>
              <w:right w:val="single" w:sz="8" w:space="0" w:color="E0E0E0"/>
            </w:tcBorders>
            <w:shd w:val="clear" w:color="auto" w:fill="FFFFFF"/>
            <w:vAlign w:val="bottom"/>
          </w:tcPr>
          <w:p w14:paraId="60D6E2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440" w:type="dxa"/>
            <w:gridSpan w:val="4"/>
            <w:tcBorders>
              <w:top w:val="nil"/>
              <w:left w:val="single" w:sz="8" w:space="0" w:color="E0E0E0"/>
              <w:bottom w:val="single" w:sz="8" w:space="0" w:color="152935"/>
              <w:right w:val="nil"/>
            </w:tcBorders>
            <w:shd w:val="clear" w:color="auto" w:fill="FFFFFF"/>
            <w:vAlign w:val="bottom"/>
          </w:tcPr>
          <w:p w14:paraId="2EC2A8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101680BC" w14:textId="77777777" w:rsidTr="00EE722D">
        <w:trPr>
          <w:gridAfter w:val="9"/>
          <w:wAfter w:w="3131" w:type="dxa"/>
          <w:cantSplit/>
        </w:trPr>
        <w:tc>
          <w:tcPr>
            <w:tcW w:w="883" w:type="dxa"/>
            <w:gridSpan w:val="3"/>
            <w:tcBorders>
              <w:top w:val="single" w:sz="8" w:space="0" w:color="152935"/>
              <w:left w:val="nil"/>
              <w:bottom w:val="single" w:sz="8" w:space="0" w:color="152935"/>
              <w:right w:val="nil"/>
            </w:tcBorders>
            <w:shd w:val="clear" w:color="auto" w:fill="E0E0E0"/>
          </w:tcPr>
          <w:p w14:paraId="4A4B80D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40" w:type="dxa"/>
            <w:gridSpan w:val="3"/>
            <w:tcBorders>
              <w:top w:val="single" w:sz="8" w:space="0" w:color="152935"/>
              <w:left w:val="nil"/>
              <w:bottom w:val="single" w:sz="8" w:space="0" w:color="152935"/>
              <w:right w:val="single" w:sz="8" w:space="0" w:color="E0E0E0"/>
            </w:tcBorders>
            <w:shd w:val="clear" w:color="auto" w:fill="FFFFFF"/>
          </w:tcPr>
          <w:p w14:paraId="4D9AC7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.364</w:t>
            </w:r>
            <w:r w:rsidRPr="00530906">
              <w:rPr>
                <w:rFonts w:ascii="Cambria" w:eastAsia="Times New Roman" w:hAnsi="Cambria" w:cs="Times New Roman"/>
                <w:color w:val="000000"/>
                <w:sz w:val="18"/>
                <w:szCs w:val="18"/>
                <w:vertAlign w:val="superscript"/>
                <w:lang w:val="en-US"/>
              </w:rPr>
              <w:t>a</w:t>
            </w:r>
          </w:p>
        </w:tc>
        <w:tc>
          <w:tcPr>
            <w:tcW w:w="1208" w:type="dxa"/>
            <w:gridSpan w:val="3"/>
            <w:tcBorders>
              <w:top w:val="single" w:sz="8" w:space="0" w:color="152935"/>
              <w:left w:val="single" w:sz="8" w:space="0" w:color="E0E0E0"/>
              <w:bottom w:val="single" w:sz="8" w:space="0" w:color="152935"/>
              <w:right w:val="single" w:sz="8" w:space="0" w:color="E0E0E0"/>
            </w:tcBorders>
            <w:shd w:val="clear" w:color="auto" w:fill="FFFFFF"/>
          </w:tcPr>
          <w:p w14:paraId="45E2263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.133</w:t>
            </w:r>
          </w:p>
        </w:tc>
        <w:tc>
          <w:tcPr>
            <w:tcW w:w="1634" w:type="dxa"/>
            <w:gridSpan w:val="5"/>
            <w:tcBorders>
              <w:top w:val="single" w:sz="8" w:space="0" w:color="152935"/>
              <w:left w:val="single" w:sz="8" w:space="0" w:color="E0E0E0"/>
              <w:bottom w:val="single" w:sz="8" w:space="0" w:color="152935"/>
              <w:right w:val="single" w:sz="8" w:space="0" w:color="E0E0E0"/>
            </w:tcBorders>
            <w:shd w:val="clear" w:color="auto" w:fill="FFFFFF"/>
          </w:tcPr>
          <w:p w14:paraId="0FE223D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w:t>
            </w:r>
          </w:p>
        </w:tc>
        <w:tc>
          <w:tcPr>
            <w:tcW w:w="1440" w:type="dxa"/>
            <w:gridSpan w:val="4"/>
            <w:tcBorders>
              <w:top w:val="single" w:sz="8" w:space="0" w:color="152935"/>
              <w:left w:val="single" w:sz="8" w:space="0" w:color="E0E0E0"/>
              <w:bottom w:val="single" w:sz="8" w:space="0" w:color="152935"/>
              <w:right w:val="nil"/>
            </w:tcBorders>
            <w:shd w:val="clear" w:color="auto" w:fill="FFFFFF"/>
          </w:tcPr>
          <w:p w14:paraId="7184D6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1.26306</w:t>
            </w:r>
          </w:p>
        </w:tc>
      </w:tr>
      <w:tr w:rsidR="00C7217E" w:rsidRPr="00530906" w14:paraId="491CB708" w14:textId="77777777" w:rsidTr="00EE722D">
        <w:trPr>
          <w:gridAfter w:val="9"/>
          <w:wAfter w:w="3131" w:type="dxa"/>
          <w:cantSplit/>
        </w:trPr>
        <w:tc>
          <w:tcPr>
            <w:tcW w:w="6305" w:type="dxa"/>
            <w:gridSpan w:val="18"/>
            <w:tcBorders>
              <w:top w:val="nil"/>
              <w:left w:val="nil"/>
              <w:bottom w:val="nil"/>
              <w:right w:val="nil"/>
            </w:tcBorders>
            <w:shd w:val="clear" w:color="auto" w:fill="FFFFFF"/>
          </w:tcPr>
          <w:p w14:paraId="4A55655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Engagement</w:t>
            </w:r>
          </w:p>
        </w:tc>
      </w:tr>
      <w:tr w:rsidR="00C7217E" w:rsidRPr="00530906" w14:paraId="28EBF979" w14:textId="77777777" w:rsidTr="00EE722D">
        <w:trPr>
          <w:gridAfter w:val="9"/>
          <w:wAfter w:w="3131" w:type="dxa"/>
          <w:cantSplit/>
        </w:trPr>
        <w:tc>
          <w:tcPr>
            <w:tcW w:w="6305" w:type="dxa"/>
            <w:gridSpan w:val="18"/>
            <w:tcBorders>
              <w:top w:val="nil"/>
              <w:left w:val="nil"/>
              <w:bottom w:val="nil"/>
              <w:right w:val="nil"/>
            </w:tcBorders>
            <w:shd w:val="clear" w:color="auto" w:fill="FFFFFF"/>
          </w:tcPr>
          <w:p w14:paraId="6DA689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Norm</w:t>
            </w:r>
          </w:p>
        </w:tc>
      </w:tr>
      <w:tr w:rsidR="00C7217E" w:rsidRPr="00530906" w14:paraId="2CE41E21" w14:textId="77777777" w:rsidTr="00EE722D">
        <w:trPr>
          <w:gridAfter w:val="4"/>
          <w:wAfter w:w="1860" w:type="dxa"/>
          <w:cantSplit/>
        </w:trPr>
        <w:tc>
          <w:tcPr>
            <w:tcW w:w="7576" w:type="dxa"/>
            <w:gridSpan w:val="23"/>
            <w:tcBorders>
              <w:top w:val="nil"/>
              <w:left w:val="nil"/>
              <w:bottom w:val="nil"/>
              <w:right w:val="nil"/>
            </w:tcBorders>
            <w:shd w:val="clear" w:color="auto" w:fill="FFFFFF"/>
            <w:vAlign w:val="center"/>
          </w:tcPr>
          <w:p w14:paraId="7FCE6AC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42198534" w14:textId="77777777" w:rsidTr="00EE722D">
        <w:trPr>
          <w:gridAfter w:val="4"/>
          <w:wAfter w:w="1860" w:type="dxa"/>
          <w:cantSplit/>
        </w:trPr>
        <w:tc>
          <w:tcPr>
            <w:tcW w:w="2244" w:type="dxa"/>
            <w:gridSpan w:val="7"/>
            <w:tcBorders>
              <w:top w:val="nil"/>
              <w:left w:val="nil"/>
              <w:bottom w:val="single" w:sz="8" w:space="0" w:color="152935"/>
              <w:right w:val="nil"/>
            </w:tcBorders>
            <w:shd w:val="clear" w:color="auto" w:fill="FFFFFF"/>
            <w:vAlign w:val="bottom"/>
          </w:tcPr>
          <w:p w14:paraId="4664A1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4" w:type="dxa"/>
            <w:gridSpan w:val="4"/>
            <w:tcBorders>
              <w:top w:val="nil"/>
              <w:left w:val="nil"/>
              <w:bottom w:val="single" w:sz="8" w:space="0" w:color="152935"/>
              <w:right w:val="single" w:sz="8" w:space="0" w:color="E0E0E0"/>
            </w:tcBorders>
            <w:shd w:val="clear" w:color="auto" w:fill="FFFFFF"/>
            <w:vAlign w:val="bottom"/>
          </w:tcPr>
          <w:p w14:paraId="1DA57F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40" w:type="dxa"/>
            <w:gridSpan w:val="4"/>
            <w:tcBorders>
              <w:top w:val="nil"/>
              <w:left w:val="single" w:sz="8" w:space="0" w:color="E0E0E0"/>
              <w:bottom w:val="single" w:sz="8" w:space="0" w:color="152935"/>
              <w:right w:val="single" w:sz="8" w:space="0" w:color="E0E0E0"/>
            </w:tcBorders>
            <w:shd w:val="clear" w:color="auto" w:fill="FFFFFF"/>
            <w:vAlign w:val="bottom"/>
          </w:tcPr>
          <w:p w14:paraId="7109FF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372" w:type="dxa"/>
            <w:gridSpan w:val="4"/>
            <w:tcBorders>
              <w:top w:val="nil"/>
              <w:left w:val="single" w:sz="8" w:space="0" w:color="E0E0E0"/>
              <w:bottom w:val="single" w:sz="8" w:space="0" w:color="152935"/>
              <w:right w:val="single" w:sz="8" w:space="0" w:color="E0E0E0"/>
            </w:tcBorders>
            <w:shd w:val="clear" w:color="auto" w:fill="FFFFFF"/>
            <w:vAlign w:val="bottom"/>
          </w:tcPr>
          <w:p w14:paraId="279BE9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2" w:type="dxa"/>
            <w:tcBorders>
              <w:top w:val="nil"/>
              <w:left w:val="single" w:sz="8" w:space="0" w:color="E0E0E0"/>
              <w:bottom w:val="single" w:sz="8" w:space="0" w:color="152935"/>
              <w:right w:val="single" w:sz="8" w:space="0" w:color="E0E0E0"/>
            </w:tcBorders>
            <w:shd w:val="clear" w:color="auto" w:fill="FFFFFF"/>
            <w:vAlign w:val="bottom"/>
          </w:tcPr>
          <w:p w14:paraId="23636E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4" w:type="dxa"/>
            <w:gridSpan w:val="3"/>
            <w:tcBorders>
              <w:top w:val="nil"/>
              <w:left w:val="single" w:sz="8" w:space="0" w:color="E0E0E0"/>
              <w:bottom w:val="single" w:sz="8" w:space="0" w:color="152935"/>
              <w:right w:val="nil"/>
            </w:tcBorders>
            <w:shd w:val="clear" w:color="auto" w:fill="FFFFFF"/>
            <w:vAlign w:val="bottom"/>
          </w:tcPr>
          <w:p w14:paraId="3894DE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6F3EF7BA" w14:textId="77777777" w:rsidTr="00EE722D">
        <w:trPr>
          <w:gridAfter w:val="4"/>
          <w:wAfter w:w="1860" w:type="dxa"/>
          <w:cantSplit/>
        </w:trPr>
        <w:tc>
          <w:tcPr>
            <w:tcW w:w="815" w:type="dxa"/>
            <w:gridSpan w:val="2"/>
            <w:vMerge w:val="restart"/>
            <w:tcBorders>
              <w:top w:val="single" w:sz="8" w:space="0" w:color="152935"/>
              <w:left w:val="nil"/>
              <w:bottom w:val="single" w:sz="8" w:space="0" w:color="152935"/>
              <w:right w:val="nil"/>
            </w:tcBorders>
            <w:shd w:val="clear" w:color="auto" w:fill="E0E0E0"/>
          </w:tcPr>
          <w:p w14:paraId="6817FC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9" w:type="dxa"/>
            <w:gridSpan w:val="5"/>
            <w:tcBorders>
              <w:top w:val="single" w:sz="8" w:space="0" w:color="152935"/>
              <w:left w:val="nil"/>
              <w:bottom w:val="single" w:sz="8" w:space="0" w:color="AEAEAE"/>
              <w:right w:val="nil"/>
            </w:tcBorders>
            <w:shd w:val="clear" w:color="auto" w:fill="E0E0E0"/>
          </w:tcPr>
          <w:p w14:paraId="7B2F2D9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4" w:type="dxa"/>
            <w:gridSpan w:val="4"/>
            <w:tcBorders>
              <w:top w:val="single" w:sz="8" w:space="0" w:color="152935"/>
              <w:left w:val="nil"/>
              <w:bottom w:val="single" w:sz="8" w:space="0" w:color="AEAEAE"/>
              <w:right w:val="single" w:sz="8" w:space="0" w:color="E0E0E0"/>
            </w:tcBorders>
            <w:shd w:val="clear" w:color="auto" w:fill="FFFFFF"/>
          </w:tcPr>
          <w:p w14:paraId="5BF5B4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67.640</w:t>
            </w:r>
          </w:p>
        </w:tc>
        <w:tc>
          <w:tcPr>
            <w:tcW w:w="1140" w:type="dxa"/>
            <w:gridSpan w:val="4"/>
            <w:tcBorders>
              <w:top w:val="single" w:sz="8" w:space="0" w:color="152935"/>
              <w:left w:val="single" w:sz="8" w:space="0" w:color="E0E0E0"/>
              <w:bottom w:val="single" w:sz="8" w:space="0" w:color="AEAEAE"/>
              <w:right w:val="single" w:sz="8" w:space="0" w:color="E0E0E0"/>
            </w:tcBorders>
            <w:shd w:val="clear" w:color="auto" w:fill="FFFFFF"/>
          </w:tcPr>
          <w:p w14:paraId="7C16C1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372" w:type="dxa"/>
            <w:gridSpan w:val="4"/>
            <w:tcBorders>
              <w:top w:val="single" w:sz="8" w:space="0" w:color="152935"/>
              <w:left w:val="single" w:sz="8" w:space="0" w:color="E0E0E0"/>
              <w:bottom w:val="single" w:sz="8" w:space="0" w:color="AEAEAE"/>
              <w:right w:val="single" w:sz="8" w:space="0" w:color="E0E0E0"/>
            </w:tcBorders>
            <w:shd w:val="clear" w:color="auto" w:fill="FFFFFF"/>
          </w:tcPr>
          <w:p w14:paraId="100F6B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67.640</w:t>
            </w:r>
          </w:p>
        </w:tc>
        <w:tc>
          <w:tcPr>
            <w:tcW w:w="482" w:type="dxa"/>
            <w:tcBorders>
              <w:top w:val="single" w:sz="8" w:space="0" w:color="152935"/>
              <w:left w:val="single" w:sz="8" w:space="0" w:color="E0E0E0"/>
              <w:bottom w:val="single" w:sz="8" w:space="0" w:color="AEAEAE"/>
              <w:right w:val="single" w:sz="8" w:space="0" w:color="E0E0E0"/>
            </w:tcBorders>
            <w:shd w:val="clear" w:color="auto" w:fill="FFFFFF"/>
          </w:tcPr>
          <w:p w14:paraId="3A9AD2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42.399</w:t>
            </w:r>
          </w:p>
        </w:tc>
        <w:tc>
          <w:tcPr>
            <w:tcW w:w="704" w:type="dxa"/>
            <w:gridSpan w:val="3"/>
            <w:tcBorders>
              <w:top w:val="single" w:sz="8" w:space="0" w:color="152935"/>
              <w:left w:val="single" w:sz="8" w:space="0" w:color="E0E0E0"/>
              <w:bottom w:val="single" w:sz="8" w:space="0" w:color="AEAEAE"/>
              <w:right w:val="nil"/>
            </w:tcBorders>
            <w:shd w:val="clear" w:color="auto" w:fill="FFFFFF"/>
          </w:tcPr>
          <w:p w14:paraId="607B24C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5DB2634C" w14:textId="77777777" w:rsidTr="00EE722D">
        <w:trPr>
          <w:gridAfter w:val="4"/>
          <w:wAfter w:w="1860" w:type="dxa"/>
          <w:cantSplit/>
        </w:trPr>
        <w:tc>
          <w:tcPr>
            <w:tcW w:w="815" w:type="dxa"/>
            <w:gridSpan w:val="2"/>
            <w:vMerge/>
            <w:tcBorders>
              <w:top w:val="single" w:sz="8" w:space="0" w:color="152935"/>
              <w:left w:val="nil"/>
              <w:bottom w:val="single" w:sz="8" w:space="0" w:color="152935"/>
              <w:right w:val="nil"/>
            </w:tcBorders>
            <w:shd w:val="clear" w:color="auto" w:fill="E0E0E0"/>
          </w:tcPr>
          <w:p w14:paraId="5DB28A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9" w:type="dxa"/>
            <w:gridSpan w:val="5"/>
            <w:tcBorders>
              <w:top w:val="single" w:sz="8" w:space="0" w:color="AEAEAE"/>
              <w:left w:val="nil"/>
              <w:bottom w:val="single" w:sz="8" w:space="0" w:color="AEAEAE"/>
              <w:right w:val="nil"/>
            </w:tcBorders>
            <w:shd w:val="clear" w:color="auto" w:fill="E0E0E0"/>
          </w:tcPr>
          <w:p w14:paraId="25676C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4" w:type="dxa"/>
            <w:gridSpan w:val="4"/>
            <w:tcBorders>
              <w:top w:val="single" w:sz="8" w:space="0" w:color="AEAEAE"/>
              <w:left w:val="nil"/>
              <w:bottom w:val="single" w:sz="8" w:space="0" w:color="AEAEAE"/>
              <w:right w:val="single" w:sz="8" w:space="0" w:color="E0E0E0"/>
            </w:tcBorders>
            <w:shd w:val="clear" w:color="auto" w:fill="FFFFFF"/>
          </w:tcPr>
          <w:p w14:paraId="0BB802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441.902</w:t>
            </w:r>
          </w:p>
        </w:tc>
        <w:tc>
          <w:tcPr>
            <w:tcW w:w="1140" w:type="dxa"/>
            <w:gridSpan w:val="4"/>
            <w:tcBorders>
              <w:top w:val="single" w:sz="8" w:space="0" w:color="AEAEAE"/>
              <w:left w:val="single" w:sz="8" w:space="0" w:color="E0E0E0"/>
              <w:bottom w:val="single" w:sz="8" w:space="0" w:color="AEAEAE"/>
              <w:right w:val="single" w:sz="8" w:space="0" w:color="E0E0E0"/>
            </w:tcBorders>
            <w:shd w:val="clear" w:color="auto" w:fill="FFFFFF"/>
          </w:tcPr>
          <w:p w14:paraId="2D4D14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372" w:type="dxa"/>
            <w:gridSpan w:val="4"/>
            <w:tcBorders>
              <w:top w:val="single" w:sz="8" w:space="0" w:color="AEAEAE"/>
              <w:left w:val="single" w:sz="8" w:space="0" w:color="E0E0E0"/>
              <w:bottom w:val="single" w:sz="8" w:space="0" w:color="AEAEAE"/>
              <w:right w:val="single" w:sz="8" w:space="0" w:color="E0E0E0"/>
            </w:tcBorders>
            <w:shd w:val="clear" w:color="auto" w:fill="FFFFFF"/>
          </w:tcPr>
          <w:p w14:paraId="010EB9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1.595</w:t>
            </w:r>
          </w:p>
        </w:tc>
        <w:tc>
          <w:tcPr>
            <w:tcW w:w="4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DE5E2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3"/>
            <w:tcBorders>
              <w:top w:val="single" w:sz="8" w:space="0" w:color="AEAEAE"/>
              <w:left w:val="single" w:sz="8" w:space="0" w:color="E0E0E0"/>
              <w:bottom w:val="single" w:sz="8" w:space="0" w:color="AEAEAE"/>
              <w:right w:val="nil"/>
            </w:tcBorders>
            <w:shd w:val="clear" w:color="auto" w:fill="FFFFFF"/>
            <w:vAlign w:val="center"/>
          </w:tcPr>
          <w:p w14:paraId="69CFA32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21D2FAEC" w14:textId="77777777" w:rsidTr="00EE722D">
        <w:trPr>
          <w:gridAfter w:val="4"/>
          <w:wAfter w:w="1860" w:type="dxa"/>
          <w:cantSplit/>
        </w:trPr>
        <w:tc>
          <w:tcPr>
            <w:tcW w:w="815" w:type="dxa"/>
            <w:gridSpan w:val="2"/>
            <w:vMerge/>
            <w:tcBorders>
              <w:top w:val="single" w:sz="8" w:space="0" w:color="152935"/>
              <w:left w:val="nil"/>
              <w:bottom w:val="single" w:sz="8" w:space="0" w:color="152935"/>
              <w:right w:val="nil"/>
            </w:tcBorders>
            <w:shd w:val="clear" w:color="auto" w:fill="E0E0E0"/>
          </w:tcPr>
          <w:p w14:paraId="1F983A3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9" w:type="dxa"/>
            <w:gridSpan w:val="5"/>
            <w:tcBorders>
              <w:top w:val="single" w:sz="8" w:space="0" w:color="AEAEAE"/>
              <w:left w:val="nil"/>
              <w:bottom w:val="single" w:sz="8" w:space="0" w:color="152935"/>
              <w:right w:val="nil"/>
            </w:tcBorders>
            <w:shd w:val="clear" w:color="auto" w:fill="E0E0E0"/>
          </w:tcPr>
          <w:p w14:paraId="2DFE47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4" w:type="dxa"/>
            <w:gridSpan w:val="4"/>
            <w:tcBorders>
              <w:top w:val="single" w:sz="8" w:space="0" w:color="AEAEAE"/>
              <w:left w:val="nil"/>
              <w:bottom w:val="single" w:sz="8" w:space="0" w:color="152935"/>
              <w:right w:val="single" w:sz="8" w:space="0" w:color="E0E0E0"/>
            </w:tcBorders>
            <w:shd w:val="clear" w:color="auto" w:fill="FFFFFF"/>
          </w:tcPr>
          <w:p w14:paraId="0F097B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509.543</w:t>
            </w:r>
          </w:p>
        </w:tc>
        <w:tc>
          <w:tcPr>
            <w:tcW w:w="1140" w:type="dxa"/>
            <w:gridSpan w:val="4"/>
            <w:tcBorders>
              <w:top w:val="single" w:sz="8" w:space="0" w:color="AEAEAE"/>
              <w:left w:val="single" w:sz="8" w:space="0" w:color="E0E0E0"/>
              <w:bottom w:val="single" w:sz="8" w:space="0" w:color="152935"/>
              <w:right w:val="single" w:sz="8" w:space="0" w:color="E0E0E0"/>
            </w:tcBorders>
            <w:shd w:val="clear" w:color="auto" w:fill="FFFFFF"/>
          </w:tcPr>
          <w:p w14:paraId="79DD39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372"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36F22D0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3B5174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3"/>
            <w:tcBorders>
              <w:top w:val="single" w:sz="8" w:space="0" w:color="AEAEAE"/>
              <w:left w:val="single" w:sz="8" w:space="0" w:color="E0E0E0"/>
              <w:bottom w:val="single" w:sz="8" w:space="0" w:color="152935"/>
              <w:right w:val="nil"/>
            </w:tcBorders>
            <w:shd w:val="clear" w:color="auto" w:fill="FFFFFF"/>
            <w:vAlign w:val="center"/>
          </w:tcPr>
          <w:p w14:paraId="554A635E"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5E1B96F" w14:textId="77777777" w:rsidTr="00EE722D">
        <w:trPr>
          <w:gridAfter w:val="4"/>
          <w:wAfter w:w="1860" w:type="dxa"/>
          <w:cantSplit/>
        </w:trPr>
        <w:tc>
          <w:tcPr>
            <w:tcW w:w="7576" w:type="dxa"/>
            <w:gridSpan w:val="23"/>
            <w:tcBorders>
              <w:top w:val="nil"/>
              <w:left w:val="nil"/>
              <w:bottom w:val="nil"/>
              <w:right w:val="nil"/>
            </w:tcBorders>
            <w:shd w:val="clear" w:color="auto" w:fill="FFFFFF"/>
          </w:tcPr>
          <w:p w14:paraId="35F0E72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Norm</w:t>
            </w:r>
          </w:p>
        </w:tc>
      </w:tr>
      <w:tr w:rsidR="00C7217E" w:rsidRPr="00530906" w14:paraId="11B2768E" w14:textId="77777777" w:rsidTr="00EE722D">
        <w:trPr>
          <w:gridAfter w:val="4"/>
          <w:wAfter w:w="1860" w:type="dxa"/>
          <w:cantSplit/>
        </w:trPr>
        <w:tc>
          <w:tcPr>
            <w:tcW w:w="7576" w:type="dxa"/>
            <w:gridSpan w:val="23"/>
            <w:tcBorders>
              <w:top w:val="nil"/>
              <w:left w:val="nil"/>
              <w:bottom w:val="nil"/>
              <w:right w:val="nil"/>
            </w:tcBorders>
            <w:shd w:val="clear" w:color="auto" w:fill="FFFFFF"/>
          </w:tcPr>
          <w:p w14:paraId="6F93BC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Engagement</w:t>
            </w:r>
          </w:p>
        </w:tc>
      </w:tr>
      <w:tr w:rsidR="00C7217E" w:rsidRPr="00530906" w14:paraId="32A983B1" w14:textId="77777777" w:rsidTr="00EE722D">
        <w:trPr>
          <w:cantSplit/>
        </w:trPr>
        <w:tc>
          <w:tcPr>
            <w:tcW w:w="9436" w:type="dxa"/>
            <w:gridSpan w:val="27"/>
            <w:tcBorders>
              <w:top w:val="nil"/>
              <w:left w:val="nil"/>
              <w:bottom w:val="nil"/>
              <w:right w:val="nil"/>
            </w:tcBorders>
            <w:shd w:val="clear" w:color="auto" w:fill="FFFFFF"/>
            <w:vAlign w:val="center"/>
          </w:tcPr>
          <w:p w14:paraId="067ADE29"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249A69BA" w14:textId="77777777" w:rsidTr="00EE722D">
        <w:trPr>
          <w:gridAfter w:val="1"/>
          <w:wAfter w:w="10" w:type="dxa"/>
          <w:cantSplit/>
        </w:trPr>
        <w:tc>
          <w:tcPr>
            <w:tcW w:w="1170" w:type="dxa"/>
            <w:gridSpan w:val="4"/>
            <w:vMerge w:val="restart"/>
            <w:tcBorders>
              <w:top w:val="nil"/>
              <w:left w:val="nil"/>
              <w:bottom w:val="nil"/>
              <w:right w:val="nil"/>
            </w:tcBorders>
            <w:shd w:val="clear" w:color="auto" w:fill="FFFFFF"/>
            <w:vAlign w:val="bottom"/>
          </w:tcPr>
          <w:p w14:paraId="2C2DEB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350" w:type="dxa"/>
            <w:gridSpan w:val="4"/>
            <w:tcBorders>
              <w:top w:val="nil"/>
              <w:left w:val="nil"/>
              <w:bottom w:val="nil"/>
              <w:right w:val="single" w:sz="8" w:space="0" w:color="E0E0E0"/>
            </w:tcBorders>
            <w:shd w:val="clear" w:color="auto" w:fill="FFFFFF"/>
            <w:vAlign w:val="bottom"/>
          </w:tcPr>
          <w:p w14:paraId="789D46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44AE29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68886E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360" w:type="dxa"/>
            <w:vMerge w:val="restart"/>
            <w:tcBorders>
              <w:top w:val="nil"/>
              <w:left w:val="single" w:sz="8" w:space="0" w:color="E0E0E0"/>
              <w:bottom w:val="nil"/>
              <w:right w:val="single" w:sz="8" w:space="0" w:color="E0E0E0"/>
            </w:tcBorders>
            <w:shd w:val="clear" w:color="auto" w:fill="FFFFFF"/>
            <w:vAlign w:val="bottom"/>
          </w:tcPr>
          <w:p w14:paraId="550525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776" w:type="dxa"/>
            <w:gridSpan w:val="4"/>
            <w:tcBorders>
              <w:top w:val="nil"/>
              <w:left w:val="single" w:sz="8" w:space="0" w:color="E0E0E0"/>
              <w:bottom w:val="nil"/>
              <w:right w:val="single" w:sz="8" w:space="0" w:color="E0E0E0"/>
            </w:tcBorders>
            <w:shd w:val="clear" w:color="auto" w:fill="FFFFFF"/>
            <w:vAlign w:val="bottom"/>
          </w:tcPr>
          <w:p w14:paraId="417044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90" w:type="dxa"/>
            <w:gridSpan w:val="7"/>
            <w:tcBorders>
              <w:top w:val="nil"/>
              <w:left w:val="single" w:sz="8" w:space="0" w:color="E0E0E0"/>
              <w:bottom w:val="nil"/>
              <w:right w:val="single" w:sz="8" w:space="0" w:color="E0E0E0"/>
            </w:tcBorders>
            <w:shd w:val="clear" w:color="auto" w:fill="FFFFFF"/>
            <w:vAlign w:val="bottom"/>
          </w:tcPr>
          <w:p w14:paraId="0AFC21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440" w:type="dxa"/>
            <w:gridSpan w:val="2"/>
            <w:tcBorders>
              <w:top w:val="nil"/>
              <w:left w:val="single" w:sz="8" w:space="0" w:color="E0E0E0"/>
              <w:bottom w:val="nil"/>
              <w:right w:val="nil"/>
            </w:tcBorders>
            <w:shd w:val="clear" w:color="auto" w:fill="FFFFFF"/>
            <w:vAlign w:val="bottom"/>
          </w:tcPr>
          <w:p w14:paraId="05AEF9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D905F9" w:rsidRPr="00530906" w14:paraId="404A0DF5" w14:textId="77777777" w:rsidTr="00A41CEA">
        <w:trPr>
          <w:gridAfter w:val="1"/>
          <w:wAfter w:w="10" w:type="dxa"/>
          <w:cantSplit/>
        </w:trPr>
        <w:tc>
          <w:tcPr>
            <w:tcW w:w="1170" w:type="dxa"/>
            <w:gridSpan w:val="4"/>
            <w:vMerge/>
            <w:tcBorders>
              <w:top w:val="nil"/>
              <w:left w:val="nil"/>
              <w:bottom w:val="nil"/>
              <w:right w:val="nil"/>
            </w:tcBorders>
            <w:shd w:val="clear" w:color="auto" w:fill="FFFFFF"/>
            <w:vAlign w:val="bottom"/>
          </w:tcPr>
          <w:p w14:paraId="52D6BC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30" w:type="dxa"/>
            <w:tcBorders>
              <w:top w:val="nil"/>
              <w:left w:val="nil"/>
              <w:bottom w:val="single" w:sz="8" w:space="0" w:color="152935"/>
              <w:right w:val="single" w:sz="8" w:space="0" w:color="E0E0E0"/>
            </w:tcBorders>
            <w:shd w:val="clear" w:color="auto" w:fill="FFFFFF"/>
            <w:vAlign w:val="bottom"/>
          </w:tcPr>
          <w:p w14:paraId="13062E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3"/>
            <w:tcBorders>
              <w:top w:val="nil"/>
              <w:left w:val="single" w:sz="8" w:space="0" w:color="E0E0E0"/>
              <w:bottom w:val="single" w:sz="8" w:space="0" w:color="152935"/>
              <w:right w:val="single" w:sz="8" w:space="0" w:color="E0E0E0"/>
            </w:tcBorders>
            <w:shd w:val="clear" w:color="auto" w:fill="FFFFFF"/>
            <w:vAlign w:val="bottom"/>
          </w:tcPr>
          <w:p w14:paraId="6F33E7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35565F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450" w:type="dxa"/>
            <w:gridSpan w:val="2"/>
            <w:vMerge/>
            <w:tcBorders>
              <w:top w:val="nil"/>
              <w:left w:val="single" w:sz="8" w:space="0" w:color="E0E0E0"/>
              <w:bottom w:val="nil"/>
              <w:right w:val="single" w:sz="8" w:space="0" w:color="E0E0E0"/>
            </w:tcBorders>
            <w:shd w:val="clear" w:color="auto" w:fill="FFFFFF"/>
            <w:vAlign w:val="bottom"/>
          </w:tcPr>
          <w:p w14:paraId="4D9E30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vMerge/>
            <w:tcBorders>
              <w:top w:val="nil"/>
              <w:left w:val="single" w:sz="8" w:space="0" w:color="E0E0E0"/>
              <w:bottom w:val="nil"/>
              <w:right w:val="single" w:sz="8" w:space="0" w:color="E0E0E0"/>
            </w:tcBorders>
            <w:shd w:val="clear" w:color="auto" w:fill="FFFFFF"/>
            <w:vAlign w:val="bottom"/>
          </w:tcPr>
          <w:p w14:paraId="48A610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25D11E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786" w:type="dxa"/>
            <w:tcBorders>
              <w:top w:val="nil"/>
              <w:left w:val="single" w:sz="8" w:space="0" w:color="E0E0E0"/>
              <w:bottom w:val="single" w:sz="8" w:space="0" w:color="152935"/>
              <w:right w:val="single" w:sz="8" w:space="0" w:color="E0E0E0"/>
            </w:tcBorders>
            <w:shd w:val="clear" w:color="auto" w:fill="FFFFFF"/>
            <w:vAlign w:val="bottom"/>
          </w:tcPr>
          <w:p w14:paraId="627EC8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4"/>
            <w:tcBorders>
              <w:top w:val="nil"/>
              <w:left w:val="single" w:sz="8" w:space="0" w:color="E0E0E0"/>
              <w:bottom w:val="single" w:sz="8" w:space="0" w:color="152935"/>
              <w:right w:val="single" w:sz="8" w:space="0" w:color="E0E0E0"/>
            </w:tcBorders>
            <w:shd w:val="clear" w:color="auto" w:fill="FFFFFF"/>
            <w:vAlign w:val="bottom"/>
          </w:tcPr>
          <w:p w14:paraId="34D862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6C5A2BE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gridSpan w:val="2"/>
            <w:tcBorders>
              <w:top w:val="nil"/>
              <w:left w:val="single" w:sz="8" w:space="0" w:color="E0E0E0"/>
              <w:bottom w:val="single" w:sz="8" w:space="0" w:color="152935"/>
              <w:right w:val="single" w:sz="8" w:space="0" w:color="E0E0E0"/>
            </w:tcBorders>
            <w:shd w:val="clear" w:color="auto" w:fill="FFFFFF"/>
            <w:vAlign w:val="bottom"/>
          </w:tcPr>
          <w:p w14:paraId="5A53D6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5D55D7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413599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D905F9" w:rsidRPr="00530906" w14:paraId="0C6DCD83" w14:textId="77777777" w:rsidTr="00A41CEA">
        <w:trPr>
          <w:gridAfter w:val="1"/>
          <w:wAfter w:w="10" w:type="dxa"/>
          <w:cantSplit/>
        </w:trPr>
        <w:tc>
          <w:tcPr>
            <w:tcW w:w="180" w:type="dxa"/>
            <w:vMerge w:val="restart"/>
            <w:tcBorders>
              <w:top w:val="single" w:sz="8" w:space="0" w:color="152935"/>
              <w:left w:val="nil"/>
              <w:bottom w:val="single" w:sz="8" w:space="0" w:color="152935"/>
              <w:right w:val="nil"/>
            </w:tcBorders>
            <w:shd w:val="clear" w:color="auto" w:fill="E0E0E0"/>
          </w:tcPr>
          <w:p w14:paraId="7406432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90" w:type="dxa"/>
            <w:gridSpan w:val="3"/>
            <w:tcBorders>
              <w:top w:val="single" w:sz="8" w:space="0" w:color="152935"/>
              <w:left w:val="nil"/>
              <w:bottom w:val="single" w:sz="8" w:space="0" w:color="AEAEAE"/>
              <w:right w:val="nil"/>
            </w:tcBorders>
            <w:shd w:val="clear" w:color="auto" w:fill="E0E0E0"/>
          </w:tcPr>
          <w:p w14:paraId="2F4BE0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630" w:type="dxa"/>
            <w:tcBorders>
              <w:top w:val="single" w:sz="8" w:space="0" w:color="152935"/>
              <w:left w:val="nil"/>
              <w:bottom w:val="single" w:sz="8" w:space="0" w:color="AEAEAE"/>
              <w:right w:val="single" w:sz="8" w:space="0" w:color="E0E0E0"/>
            </w:tcBorders>
            <w:shd w:val="clear" w:color="auto" w:fill="FFFFFF"/>
          </w:tcPr>
          <w:p w14:paraId="0CF62F4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1.646</w:t>
            </w:r>
          </w:p>
        </w:tc>
        <w:tc>
          <w:tcPr>
            <w:tcW w:w="720" w:type="dxa"/>
            <w:gridSpan w:val="3"/>
            <w:tcBorders>
              <w:top w:val="single" w:sz="8" w:space="0" w:color="152935"/>
              <w:left w:val="single" w:sz="8" w:space="0" w:color="E0E0E0"/>
              <w:bottom w:val="single" w:sz="8" w:space="0" w:color="AEAEAE"/>
              <w:right w:val="single" w:sz="8" w:space="0" w:color="E0E0E0"/>
            </w:tcBorders>
            <w:shd w:val="clear" w:color="auto" w:fill="FFFFFF"/>
          </w:tcPr>
          <w:p w14:paraId="5B806A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.220</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8880A1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5F7FF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7.481</w:t>
            </w:r>
          </w:p>
        </w:tc>
        <w:tc>
          <w:tcPr>
            <w:tcW w:w="360" w:type="dxa"/>
            <w:tcBorders>
              <w:top w:val="single" w:sz="8" w:space="0" w:color="152935"/>
              <w:left w:val="single" w:sz="8" w:space="0" w:color="E0E0E0"/>
              <w:bottom w:val="single" w:sz="8" w:space="0" w:color="AEAEAE"/>
              <w:right w:val="single" w:sz="8" w:space="0" w:color="E0E0E0"/>
            </w:tcBorders>
            <w:shd w:val="clear" w:color="auto" w:fill="FFFFFF"/>
          </w:tcPr>
          <w:p w14:paraId="5611C7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033108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1.213</w:t>
            </w:r>
          </w:p>
        </w:tc>
        <w:tc>
          <w:tcPr>
            <w:tcW w:w="786" w:type="dxa"/>
            <w:tcBorders>
              <w:top w:val="single" w:sz="8" w:space="0" w:color="152935"/>
              <w:left w:val="single" w:sz="8" w:space="0" w:color="E0E0E0"/>
              <w:bottom w:val="single" w:sz="8" w:space="0" w:color="AEAEAE"/>
              <w:right w:val="single" w:sz="8" w:space="0" w:color="E0E0E0"/>
            </w:tcBorders>
            <w:shd w:val="clear" w:color="auto" w:fill="FFFFFF"/>
          </w:tcPr>
          <w:p w14:paraId="0B2E516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2.080</w:t>
            </w:r>
          </w:p>
        </w:tc>
        <w:tc>
          <w:tcPr>
            <w:tcW w:w="90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0AF639C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312A7A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DB76B2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0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0955DF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1D421D6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D905F9" w:rsidRPr="00530906" w14:paraId="55D38ED4" w14:textId="77777777" w:rsidTr="00A41CEA">
        <w:trPr>
          <w:gridAfter w:val="1"/>
          <w:wAfter w:w="10" w:type="dxa"/>
          <w:cantSplit/>
        </w:trPr>
        <w:tc>
          <w:tcPr>
            <w:tcW w:w="180" w:type="dxa"/>
            <w:vMerge/>
            <w:tcBorders>
              <w:top w:val="single" w:sz="8" w:space="0" w:color="152935"/>
              <w:left w:val="nil"/>
              <w:bottom w:val="single" w:sz="8" w:space="0" w:color="152935"/>
              <w:right w:val="nil"/>
            </w:tcBorders>
            <w:shd w:val="clear" w:color="auto" w:fill="E0E0E0"/>
          </w:tcPr>
          <w:p w14:paraId="6B71C1B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90" w:type="dxa"/>
            <w:gridSpan w:val="3"/>
            <w:tcBorders>
              <w:top w:val="single" w:sz="8" w:space="0" w:color="AEAEAE"/>
              <w:left w:val="nil"/>
              <w:bottom w:val="single" w:sz="8" w:space="0" w:color="152935"/>
              <w:right w:val="nil"/>
            </w:tcBorders>
            <w:shd w:val="clear" w:color="auto" w:fill="E0E0E0"/>
          </w:tcPr>
          <w:p w14:paraId="0620E9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Engagement</w:t>
            </w:r>
          </w:p>
        </w:tc>
        <w:tc>
          <w:tcPr>
            <w:tcW w:w="630" w:type="dxa"/>
            <w:tcBorders>
              <w:top w:val="single" w:sz="8" w:space="0" w:color="AEAEAE"/>
              <w:left w:val="nil"/>
              <w:bottom w:val="single" w:sz="8" w:space="0" w:color="152935"/>
              <w:right w:val="single" w:sz="8" w:space="0" w:color="E0E0E0"/>
            </w:tcBorders>
            <w:shd w:val="clear" w:color="auto" w:fill="FFFFFF"/>
          </w:tcPr>
          <w:p w14:paraId="379EA5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.370</w:t>
            </w:r>
          </w:p>
        </w:tc>
        <w:tc>
          <w:tcPr>
            <w:tcW w:w="720" w:type="dxa"/>
            <w:gridSpan w:val="3"/>
            <w:tcBorders>
              <w:top w:val="single" w:sz="8" w:space="0" w:color="AEAEAE"/>
              <w:left w:val="single" w:sz="8" w:space="0" w:color="E0E0E0"/>
              <w:bottom w:val="single" w:sz="8" w:space="0" w:color="152935"/>
              <w:right w:val="single" w:sz="8" w:space="0" w:color="E0E0E0"/>
            </w:tcBorders>
            <w:shd w:val="clear" w:color="auto" w:fill="FFFFFF"/>
          </w:tcPr>
          <w:p w14:paraId="5C39B8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.057</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D61FB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2FD67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6.511</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6E73F5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71A922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.258</w:t>
            </w:r>
          </w:p>
        </w:tc>
        <w:tc>
          <w:tcPr>
            <w:tcW w:w="786" w:type="dxa"/>
            <w:tcBorders>
              <w:top w:val="single" w:sz="8" w:space="0" w:color="AEAEAE"/>
              <w:left w:val="single" w:sz="8" w:space="0" w:color="E0E0E0"/>
              <w:bottom w:val="single" w:sz="8" w:space="0" w:color="152935"/>
              <w:right w:val="single" w:sz="8" w:space="0" w:color="E0E0E0"/>
            </w:tcBorders>
            <w:shd w:val="clear" w:color="auto" w:fill="FFFFFF"/>
          </w:tcPr>
          <w:p w14:paraId="009958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.482</w:t>
            </w:r>
          </w:p>
        </w:tc>
        <w:tc>
          <w:tcPr>
            <w:tcW w:w="900" w:type="dxa"/>
            <w:gridSpan w:val="4"/>
            <w:tcBorders>
              <w:top w:val="single" w:sz="8" w:space="0" w:color="AEAEAE"/>
              <w:left w:val="single" w:sz="8" w:space="0" w:color="E0E0E0"/>
              <w:bottom w:val="single" w:sz="8" w:space="0" w:color="152935"/>
              <w:right w:val="single" w:sz="8" w:space="0" w:color="E0E0E0"/>
            </w:tcBorders>
            <w:shd w:val="clear" w:color="auto" w:fill="FFFFFF"/>
          </w:tcPr>
          <w:p w14:paraId="15E9ED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.364</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4A4A5A7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17D675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.364</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62F1C6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705707C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1EA508C9" w14:textId="77777777" w:rsidTr="00EE722D">
        <w:trPr>
          <w:cantSplit/>
        </w:trPr>
        <w:tc>
          <w:tcPr>
            <w:tcW w:w="9436" w:type="dxa"/>
            <w:gridSpan w:val="27"/>
            <w:tcBorders>
              <w:top w:val="nil"/>
              <w:left w:val="nil"/>
              <w:bottom w:val="nil"/>
              <w:right w:val="nil"/>
            </w:tcBorders>
            <w:shd w:val="clear" w:color="auto" w:fill="FFFFFF"/>
          </w:tcPr>
          <w:p w14:paraId="301B33F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Norm</w:t>
            </w:r>
          </w:p>
        </w:tc>
      </w:tr>
    </w:tbl>
    <w:p w14:paraId="3C4EC52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34ED9972"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A247A11" w14:textId="7124A549" w:rsidR="00C7217E" w:rsidRPr="00530906" w:rsidRDefault="00C7217E" w:rsidP="008756B1">
      <w:pPr>
        <w:pStyle w:val="Heading3"/>
        <w:jc w:val="both"/>
        <w:rPr>
          <w:rFonts w:eastAsia="Times New Roman"/>
          <w:lang w:val="en-US"/>
        </w:rPr>
      </w:pPr>
      <w:bookmarkStart w:id="155" w:name="_Toc115726310"/>
      <w:r w:rsidRPr="00530906">
        <w:rPr>
          <w:rFonts w:eastAsia="Times New Roman"/>
          <w:lang w:val="en-US"/>
        </w:rPr>
        <w:t>Regression analysis between ‘engagement’ and ‘information’</w:t>
      </w:r>
      <w:bookmarkEnd w:id="155"/>
    </w:p>
    <w:p w14:paraId="046B94E1"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545"/>
        <w:gridCol w:w="68"/>
        <w:gridCol w:w="377"/>
        <w:gridCol w:w="540"/>
        <w:gridCol w:w="223"/>
        <w:gridCol w:w="221"/>
        <w:gridCol w:w="186"/>
        <w:gridCol w:w="801"/>
        <w:gridCol w:w="189"/>
        <w:gridCol w:w="458"/>
        <w:gridCol w:w="82"/>
        <w:gridCol w:w="360"/>
        <w:gridCol w:w="545"/>
        <w:gridCol w:w="153"/>
        <w:gridCol w:w="292"/>
        <w:gridCol w:w="1080"/>
        <w:gridCol w:w="199"/>
        <w:gridCol w:w="85"/>
        <w:gridCol w:w="482"/>
        <w:gridCol w:w="134"/>
        <w:gridCol w:w="540"/>
        <w:gridCol w:w="30"/>
        <w:gridCol w:w="420"/>
        <w:gridCol w:w="810"/>
        <w:gridCol w:w="540"/>
      </w:tblGrid>
      <w:tr w:rsidR="00C7217E" w:rsidRPr="00530906" w14:paraId="2D3EFD4B" w14:textId="77777777" w:rsidTr="00C7217E">
        <w:trPr>
          <w:gridAfter w:val="8"/>
          <w:wAfter w:w="3041" w:type="dxa"/>
          <w:cantSplit/>
        </w:trPr>
        <w:tc>
          <w:tcPr>
            <w:tcW w:w="6589" w:type="dxa"/>
            <w:gridSpan w:val="18"/>
            <w:tcBorders>
              <w:top w:val="nil"/>
              <w:left w:val="nil"/>
              <w:bottom w:val="nil"/>
              <w:right w:val="nil"/>
            </w:tcBorders>
            <w:shd w:val="clear" w:color="auto" w:fill="FFFFFF"/>
            <w:vAlign w:val="center"/>
          </w:tcPr>
          <w:p w14:paraId="2E3B1FC8"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6C3FDFD5" w14:textId="77777777" w:rsidTr="00C7217E">
        <w:trPr>
          <w:gridAfter w:val="8"/>
          <w:wAfter w:w="3041" w:type="dxa"/>
          <w:cantSplit/>
        </w:trPr>
        <w:tc>
          <w:tcPr>
            <w:tcW w:w="883" w:type="dxa"/>
            <w:gridSpan w:val="3"/>
            <w:tcBorders>
              <w:top w:val="nil"/>
              <w:left w:val="nil"/>
              <w:bottom w:val="single" w:sz="8" w:space="0" w:color="152935"/>
              <w:right w:val="nil"/>
            </w:tcBorders>
            <w:shd w:val="clear" w:color="auto" w:fill="FFFFFF"/>
            <w:vAlign w:val="bottom"/>
          </w:tcPr>
          <w:p w14:paraId="6488049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40" w:type="dxa"/>
            <w:gridSpan w:val="3"/>
            <w:tcBorders>
              <w:top w:val="nil"/>
              <w:left w:val="nil"/>
              <w:bottom w:val="single" w:sz="8" w:space="0" w:color="152935"/>
              <w:right w:val="single" w:sz="8" w:space="0" w:color="E0E0E0"/>
            </w:tcBorders>
            <w:shd w:val="clear" w:color="auto" w:fill="FFFFFF"/>
            <w:vAlign w:val="bottom"/>
          </w:tcPr>
          <w:p w14:paraId="512495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8" w:type="dxa"/>
            <w:gridSpan w:val="3"/>
            <w:tcBorders>
              <w:top w:val="nil"/>
              <w:left w:val="single" w:sz="8" w:space="0" w:color="E0E0E0"/>
              <w:bottom w:val="single" w:sz="8" w:space="0" w:color="152935"/>
              <w:right w:val="single" w:sz="8" w:space="0" w:color="E0E0E0"/>
            </w:tcBorders>
            <w:shd w:val="clear" w:color="auto" w:fill="FFFFFF"/>
            <w:vAlign w:val="bottom"/>
          </w:tcPr>
          <w:p w14:paraId="0397AD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4" w:type="dxa"/>
            <w:gridSpan w:val="5"/>
            <w:tcBorders>
              <w:top w:val="nil"/>
              <w:left w:val="single" w:sz="8" w:space="0" w:color="E0E0E0"/>
              <w:bottom w:val="single" w:sz="8" w:space="0" w:color="152935"/>
              <w:right w:val="single" w:sz="8" w:space="0" w:color="E0E0E0"/>
            </w:tcBorders>
            <w:shd w:val="clear" w:color="auto" w:fill="FFFFFF"/>
            <w:vAlign w:val="bottom"/>
          </w:tcPr>
          <w:p w14:paraId="6CEB38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24" w:type="dxa"/>
            <w:gridSpan w:val="4"/>
            <w:tcBorders>
              <w:top w:val="nil"/>
              <w:left w:val="single" w:sz="8" w:space="0" w:color="E0E0E0"/>
              <w:bottom w:val="single" w:sz="8" w:space="0" w:color="152935"/>
              <w:right w:val="nil"/>
            </w:tcBorders>
            <w:shd w:val="clear" w:color="auto" w:fill="FFFFFF"/>
            <w:vAlign w:val="bottom"/>
          </w:tcPr>
          <w:p w14:paraId="16D7B4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3EB39676" w14:textId="77777777" w:rsidTr="00C7217E">
        <w:trPr>
          <w:gridAfter w:val="8"/>
          <w:wAfter w:w="3041" w:type="dxa"/>
          <w:cantSplit/>
        </w:trPr>
        <w:tc>
          <w:tcPr>
            <w:tcW w:w="883" w:type="dxa"/>
            <w:gridSpan w:val="3"/>
            <w:tcBorders>
              <w:top w:val="single" w:sz="8" w:space="0" w:color="152935"/>
              <w:left w:val="nil"/>
              <w:bottom w:val="single" w:sz="8" w:space="0" w:color="152935"/>
              <w:right w:val="nil"/>
            </w:tcBorders>
            <w:shd w:val="clear" w:color="auto" w:fill="E0E0E0"/>
          </w:tcPr>
          <w:p w14:paraId="697AD3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40" w:type="dxa"/>
            <w:gridSpan w:val="3"/>
            <w:tcBorders>
              <w:top w:val="single" w:sz="8" w:space="0" w:color="152935"/>
              <w:left w:val="nil"/>
              <w:bottom w:val="single" w:sz="8" w:space="0" w:color="152935"/>
              <w:right w:val="single" w:sz="8" w:space="0" w:color="E0E0E0"/>
            </w:tcBorders>
            <w:shd w:val="clear" w:color="auto" w:fill="FFFFFF"/>
          </w:tcPr>
          <w:p w14:paraId="2811EAA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.449</w:t>
            </w:r>
            <w:r w:rsidRPr="00530906">
              <w:rPr>
                <w:rFonts w:ascii="Cambria" w:eastAsia="Times New Roman" w:hAnsi="Cambria" w:cs="Times New Roman"/>
                <w:color w:val="000000"/>
                <w:sz w:val="18"/>
                <w:szCs w:val="18"/>
                <w:vertAlign w:val="superscript"/>
                <w:lang w:val="en-US"/>
              </w:rPr>
              <w:t>a</w:t>
            </w:r>
          </w:p>
        </w:tc>
        <w:tc>
          <w:tcPr>
            <w:tcW w:w="1208" w:type="dxa"/>
            <w:gridSpan w:val="3"/>
            <w:tcBorders>
              <w:top w:val="single" w:sz="8" w:space="0" w:color="152935"/>
              <w:left w:val="single" w:sz="8" w:space="0" w:color="E0E0E0"/>
              <w:bottom w:val="single" w:sz="8" w:space="0" w:color="152935"/>
              <w:right w:val="single" w:sz="8" w:space="0" w:color="E0E0E0"/>
            </w:tcBorders>
            <w:shd w:val="clear" w:color="auto" w:fill="FFFFFF"/>
          </w:tcPr>
          <w:p w14:paraId="52634E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.202</w:t>
            </w:r>
          </w:p>
        </w:tc>
        <w:tc>
          <w:tcPr>
            <w:tcW w:w="1634" w:type="dxa"/>
            <w:gridSpan w:val="5"/>
            <w:tcBorders>
              <w:top w:val="single" w:sz="8" w:space="0" w:color="152935"/>
              <w:left w:val="single" w:sz="8" w:space="0" w:color="E0E0E0"/>
              <w:bottom w:val="single" w:sz="8" w:space="0" w:color="152935"/>
              <w:right w:val="single" w:sz="8" w:space="0" w:color="E0E0E0"/>
            </w:tcBorders>
            <w:shd w:val="clear" w:color="auto" w:fill="FFFFFF"/>
          </w:tcPr>
          <w:p w14:paraId="46B707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.199</w:t>
            </w:r>
          </w:p>
        </w:tc>
        <w:tc>
          <w:tcPr>
            <w:tcW w:w="1724" w:type="dxa"/>
            <w:gridSpan w:val="4"/>
            <w:tcBorders>
              <w:top w:val="single" w:sz="8" w:space="0" w:color="152935"/>
              <w:left w:val="single" w:sz="8" w:space="0" w:color="E0E0E0"/>
              <w:bottom w:val="single" w:sz="8" w:space="0" w:color="152935"/>
              <w:right w:val="nil"/>
            </w:tcBorders>
            <w:shd w:val="clear" w:color="auto" w:fill="FFFFFF"/>
          </w:tcPr>
          <w:p w14:paraId="7697F5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1.27887</w:t>
            </w:r>
          </w:p>
        </w:tc>
      </w:tr>
      <w:tr w:rsidR="00C7217E" w:rsidRPr="00530906" w14:paraId="35374192" w14:textId="77777777" w:rsidTr="00C7217E">
        <w:trPr>
          <w:gridAfter w:val="8"/>
          <w:wAfter w:w="3041" w:type="dxa"/>
          <w:cantSplit/>
        </w:trPr>
        <w:tc>
          <w:tcPr>
            <w:tcW w:w="6589" w:type="dxa"/>
            <w:gridSpan w:val="18"/>
            <w:tcBorders>
              <w:top w:val="nil"/>
              <w:left w:val="nil"/>
              <w:bottom w:val="nil"/>
              <w:right w:val="nil"/>
            </w:tcBorders>
            <w:shd w:val="clear" w:color="auto" w:fill="FFFFFF"/>
          </w:tcPr>
          <w:p w14:paraId="0A9FF2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Engagement</w:t>
            </w:r>
          </w:p>
        </w:tc>
      </w:tr>
      <w:tr w:rsidR="00C7217E" w:rsidRPr="00530906" w14:paraId="2D070F9B" w14:textId="77777777" w:rsidTr="00C7217E">
        <w:trPr>
          <w:gridAfter w:val="8"/>
          <w:wAfter w:w="3041" w:type="dxa"/>
          <w:cantSplit/>
        </w:trPr>
        <w:tc>
          <w:tcPr>
            <w:tcW w:w="6589" w:type="dxa"/>
            <w:gridSpan w:val="18"/>
            <w:tcBorders>
              <w:top w:val="nil"/>
              <w:left w:val="nil"/>
              <w:bottom w:val="nil"/>
              <w:right w:val="nil"/>
            </w:tcBorders>
            <w:shd w:val="clear" w:color="auto" w:fill="FFFFFF"/>
          </w:tcPr>
          <w:p w14:paraId="23DB3E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information</w:t>
            </w:r>
          </w:p>
        </w:tc>
      </w:tr>
      <w:tr w:rsidR="00C7217E" w:rsidRPr="00530906" w14:paraId="13001746" w14:textId="77777777" w:rsidTr="00C7217E">
        <w:trPr>
          <w:gridAfter w:val="3"/>
          <w:wAfter w:w="1770" w:type="dxa"/>
          <w:cantSplit/>
        </w:trPr>
        <w:tc>
          <w:tcPr>
            <w:tcW w:w="7860" w:type="dxa"/>
            <w:gridSpan w:val="23"/>
            <w:tcBorders>
              <w:top w:val="nil"/>
              <w:left w:val="nil"/>
              <w:bottom w:val="nil"/>
              <w:right w:val="nil"/>
            </w:tcBorders>
            <w:shd w:val="clear" w:color="auto" w:fill="FFFFFF"/>
            <w:vAlign w:val="center"/>
          </w:tcPr>
          <w:p w14:paraId="02EE820E"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78410558" w14:textId="77777777" w:rsidTr="00C7217E">
        <w:trPr>
          <w:gridAfter w:val="3"/>
          <w:wAfter w:w="1770" w:type="dxa"/>
          <w:cantSplit/>
        </w:trPr>
        <w:tc>
          <w:tcPr>
            <w:tcW w:w="2244" w:type="dxa"/>
            <w:gridSpan w:val="7"/>
            <w:tcBorders>
              <w:top w:val="nil"/>
              <w:left w:val="nil"/>
              <w:bottom w:val="single" w:sz="8" w:space="0" w:color="152935"/>
              <w:right w:val="nil"/>
            </w:tcBorders>
            <w:shd w:val="clear" w:color="auto" w:fill="FFFFFF"/>
            <w:vAlign w:val="bottom"/>
          </w:tcPr>
          <w:p w14:paraId="058997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4" w:type="dxa"/>
            <w:gridSpan w:val="4"/>
            <w:tcBorders>
              <w:top w:val="nil"/>
              <w:left w:val="nil"/>
              <w:bottom w:val="single" w:sz="8" w:space="0" w:color="152935"/>
              <w:right w:val="single" w:sz="8" w:space="0" w:color="E0E0E0"/>
            </w:tcBorders>
            <w:shd w:val="clear" w:color="auto" w:fill="FFFFFF"/>
            <w:vAlign w:val="bottom"/>
          </w:tcPr>
          <w:p w14:paraId="0A78589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40" w:type="dxa"/>
            <w:gridSpan w:val="4"/>
            <w:tcBorders>
              <w:top w:val="nil"/>
              <w:left w:val="single" w:sz="8" w:space="0" w:color="E0E0E0"/>
              <w:bottom w:val="single" w:sz="8" w:space="0" w:color="152935"/>
              <w:right w:val="single" w:sz="8" w:space="0" w:color="E0E0E0"/>
            </w:tcBorders>
            <w:shd w:val="clear" w:color="auto" w:fill="FFFFFF"/>
            <w:vAlign w:val="bottom"/>
          </w:tcPr>
          <w:p w14:paraId="45EA31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6" w:type="dxa"/>
            <w:gridSpan w:val="4"/>
            <w:tcBorders>
              <w:top w:val="nil"/>
              <w:left w:val="single" w:sz="8" w:space="0" w:color="E0E0E0"/>
              <w:bottom w:val="single" w:sz="8" w:space="0" w:color="152935"/>
              <w:right w:val="single" w:sz="8" w:space="0" w:color="E0E0E0"/>
            </w:tcBorders>
            <w:shd w:val="clear" w:color="auto" w:fill="FFFFFF"/>
            <w:vAlign w:val="bottom"/>
          </w:tcPr>
          <w:p w14:paraId="448A31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2" w:type="dxa"/>
            <w:tcBorders>
              <w:top w:val="nil"/>
              <w:left w:val="single" w:sz="8" w:space="0" w:color="E0E0E0"/>
              <w:bottom w:val="single" w:sz="8" w:space="0" w:color="152935"/>
              <w:right w:val="single" w:sz="8" w:space="0" w:color="E0E0E0"/>
            </w:tcBorders>
            <w:shd w:val="clear" w:color="auto" w:fill="FFFFFF"/>
            <w:vAlign w:val="bottom"/>
          </w:tcPr>
          <w:p w14:paraId="04AC3E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4" w:type="dxa"/>
            <w:gridSpan w:val="3"/>
            <w:tcBorders>
              <w:top w:val="nil"/>
              <w:left w:val="single" w:sz="8" w:space="0" w:color="E0E0E0"/>
              <w:bottom w:val="single" w:sz="8" w:space="0" w:color="152935"/>
              <w:right w:val="nil"/>
            </w:tcBorders>
            <w:shd w:val="clear" w:color="auto" w:fill="FFFFFF"/>
            <w:vAlign w:val="bottom"/>
          </w:tcPr>
          <w:p w14:paraId="5EEE55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67BD8696" w14:textId="77777777" w:rsidTr="00C7217E">
        <w:trPr>
          <w:gridAfter w:val="3"/>
          <w:wAfter w:w="1770" w:type="dxa"/>
          <w:cantSplit/>
        </w:trPr>
        <w:tc>
          <w:tcPr>
            <w:tcW w:w="815" w:type="dxa"/>
            <w:gridSpan w:val="2"/>
            <w:vMerge w:val="restart"/>
            <w:tcBorders>
              <w:top w:val="single" w:sz="8" w:space="0" w:color="152935"/>
              <w:left w:val="nil"/>
              <w:bottom w:val="single" w:sz="8" w:space="0" w:color="152935"/>
              <w:right w:val="nil"/>
            </w:tcBorders>
            <w:shd w:val="clear" w:color="auto" w:fill="E0E0E0"/>
          </w:tcPr>
          <w:p w14:paraId="7177015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9" w:type="dxa"/>
            <w:gridSpan w:val="5"/>
            <w:tcBorders>
              <w:top w:val="single" w:sz="8" w:space="0" w:color="152935"/>
              <w:left w:val="nil"/>
              <w:bottom w:val="single" w:sz="8" w:space="0" w:color="AEAEAE"/>
              <w:right w:val="nil"/>
            </w:tcBorders>
            <w:shd w:val="clear" w:color="auto" w:fill="E0E0E0"/>
          </w:tcPr>
          <w:p w14:paraId="7D7A86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4" w:type="dxa"/>
            <w:gridSpan w:val="4"/>
            <w:tcBorders>
              <w:top w:val="single" w:sz="8" w:space="0" w:color="152935"/>
              <w:left w:val="nil"/>
              <w:bottom w:val="single" w:sz="8" w:space="0" w:color="AEAEAE"/>
              <w:right w:val="single" w:sz="8" w:space="0" w:color="E0E0E0"/>
            </w:tcBorders>
            <w:shd w:val="clear" w:color="auto" w:fill="FFFFFF"/>
          </w:tcPr>
          <w:p w14:paraId="6085A82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114.512</w:t>
            </w:r>
          </w:p>
        </w:tc>
        <w:tc>
          <w:tcPr>
            <w:tcW w:w="1140" w:type="dxa"/>
            <w:gridSpan w:val="4"/>
            <w:tcBorders>
              <w:top w:val="single" w:sz="8" w:space="0" w:color="152935"/>
              <w:left w:val="single" w:sz="8" w:space="0" w:color="E0E0E0"/>
              <w:bottom w:val="single" w:sz="8" w:space="0" w:color="AEAEAE"/>
              <w:right w:val="single" w:sz="8" w:space="0" w:color="E0E0E0"/>
            </w:tcBorders>
            <w:shd w:val="clear" w:color="auto" w:fill="FFFFFF"/>
          </w:tcPr>
          <w:p w14:paraId="02908B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6" w:type="dxa"/>
            <w:gridSpan w:val="4"/>
            <w:tcBorders>
              <w:top w:val="single" w:sz="8" w:space="0" w:color="152935"/>
              <w:left w:val="single" w:sz="8" w:space="0" w:color="E0E0E0"/>
              <w:bottom w:val="single" w:sz="8" w:space="0" w:color="AEAEAE"/>
              <w:right w:val="single" w:sz="8" w:space="0" w:color="E0E0E0"/>
            </w:tcBorders>
            <w:shd w:val="clear" w:color="auto" w:fill="FFFFFF"/>
          </w:tcPr>
          <w:p w14:paraId="7E4C405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114.512</w:t>
            </w:r>
          </w:p>
        </w:tc>
        <w:tc>
          <w:tcPr>
            <w:tcW w:w="482" w:type="dxa"/>
            <w:tcBorders>
              <w:top w:val="single" w:sz="8" w:space="0" w:color="152935"/>
              <w:left w:val="single" w:sz="8" w:space="0" w:color="E0E0E0"/>
              <w:bottom w:val="single" w:sz="8" w:space="0" w:color="AEAEAE"/>
              <w:right w:val="single" w:sz="8" w:space="0" w:color="E0E0E0"/>
            </w:tcBorders>
            <w:shd w:val="clear" w:color="auto" w:fill="FFFFFF"/>
          </w:tcPr>
          <w:p w14:paraId="4E4C72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70.016</w:t>
            </w:r>
          </w:p>
        </w:tc>
        <w:tc>
          <w:tcPr>
            <w:tcW w:w="704" w:type="dxa"/>
            <w:gridSpan w:val="3"/>
            <w:tcBorders>
              <w:top w:val="single" w:sz="8" w:space="0" w:color="152935"/>
              <w:left w:val="single" w:sz="8" w:space="0" w:color="E0E0E0"/>
              <w:bottom w:val="single" w:sz="8" w:space="0" w:color="AEAEAE"/>
              <w:right w:val="nil"/>
            </w:tcBorders>
            <w:shd w:val="clear" w:color="auto" w:fill="FFFFFF"/>
          </w:tcPr>
          <w:p w14:paraId="65BEE7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330777D1" w14:textId="77777777" w:rsidTr="00C7217E">
        <w:trPr>
          <w:gridAfter w:val="3"/>
          <w:wAfter w:w="1770" w:type="dxa"/>
          <w:cantSplit/>
        </w:trPr>
        <w:tc>
          <w:tcPr>
            <w:tcW w:w="815" w:type="dxa"/>
            <w:gridSpan w:val="2"/>
            <w:vMerge/>
            <w:tcBorders>
              <w:top w:val="single" w:sz="8" w:space="0" w:color="152935"/>
              <w:left w:val="nil"/>
              <w:bottom w:val="single" w:sz="8" w:space="0" w:color="152935"/>
              <w:right w:val="nil"/>
            </w:tcBorders>
            <w:shd w:val="clear" w:color="auto" w:fill="E0E0E0"/>
          </w:tcPr>
          <w:p w14:paraId="6CE1191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9" w:type="dxa"/>
            <w:gridSpan w:val="5"/>
            <w:tcBorders>
              <w:top w:val="single" w:sz="8" w:space="0" w:color="AEAEAE"/>
              <w:left w:val="nil"/>
              <w:bottom w:val="single" w:sz="8" w:space="0" w:color="AEAEAE"/>
              <w:right w:val="nil"/>
            </w:tcBorders>
            <w:shd w:val="clear" w:color="auto" w:fill="E0E0E0"/>
          </w:tcPr>
          <w:p w14:paraId="128D213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4" w:type="dxa"/>
            <w:gridSpan w:val="4"/>
            <w:tcBorders>
              <w:top w:val="single" w:sz="8" w:space="0" w:color="AEAEAE"/>
              <w:left w:val="nil"/>
              <w:bottom w:val="single" w:sz="8" w:space="0" w:color="AEAEAE"/>
              <w:right w:val="single" w:sz="8" w:space="0" w:color="E0E0E0"/>
            </w:tcBorders>
            <w:shd w:val="clear" w:color="auto" w:fill="FFFFFF"/>
          </w:tcPr>
          <w:p w14:paraId="4B40E18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453.037</w:t>
            </w:r>
          </w:p>
        </w:tc>
        <w:tc>
          <w:tcPr>
            <w:tcW w:w="1140" w:type="dxa"/>
            <w:gridSpan w:val="4"/>
            <w:tcBorders>
              <w:top w:val="single" w:sz="8" w:space="0" w:color="AEAEAE"/>
              <w:left w:val="single" w:sz="8" w:space="0" w:color="E0E0E0"/>
              <w:bottom w:val="single" w:sz="8" w:space="0" w:color="AEAEAE"/>
              <w:right w:val="single" w:sz="8" w:space="0" w:color="E0E0E0"/>
            </w:tcBorders>
            <w:shd w:val="clear" w:color="auto" w:fill="FFFFFF"/>
          </w:tcPr>
          <w:p w14:paraId="1318ACA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6" w:type="dxa"/>
            <w:gridSpan w:val="4"/>
            <w:tcBorders>
              <w:top w:val="single" w:sz="8" w:space="0" w:color="AEAEAE"/>
              <w:left w:val="single" w:sz="8" w:space="0" w:color="E0E0E0"/>
              <w:bottom w:val="single" w:sz="8" w:space="0" w:color="AEAEAE"/>
              <w:right w:val="single" w:sz="8" w:space="0" w:color="E0E0E0"/>
            </w:tcBorders>
            <w:shd w:val="clear" w:color="auto" w:fill="FFFFFF"/>
          </w:tcPr>
          <w:p w14:paraId="34A3FD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1.636</w:t>
            </w:r>
          </w:p>
        </w:tc>
        <w:tc>
          <w:tcPr>
            <w:tcW w:w="4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2F9DA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3"/>
            <w:tcBorders>
              <w:top w:val="single" w:sz="8" w:space="0" w:color="AEAEAE"/>
              <w:left w:val="single" w:sz="8" w:space="0" w:color="E0E0E0"/>
              <w:bottom w:val="single" w:sz="8" w:space="0" w:color="AEAEAE"/>
              <w:right w:val="nil"/>
            </w:tcBorders>
            <w:shd w:val="clear" w:color="auto" w:fill="FFFFFF"/>
            <w:vAlign w:val="center"/>
          </w:tcPr>
          <w:p w14:paraId="47C0303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74EF943C" w14:textId="77777777" w:rsidTr="00C7217E">
        <w:trPr>
          <w:gridAfter w:val="3"/>
          <w:wAfter w:w="1770" w:type="dxa"/>
          <w:cantSplit/>
        </w:trPr>
        <w:tc>
          <w:tcPr>
            <w:tcW w:w="815" w:type="dxa"/>
            <w:gridSpan w:val="2"/>
            <w:vMerge/>
            <w:tcBorders>
              <w:top w:val="single" w:sz="8" w:space="0" w:color="152935"/>
              <w:left w:val="nil"/>
              <w:bottom w:val="single" w:sz="8" w:space="0" w:color="152935"/>
              <w:right w:val="nil"/>
            </w:tcBorders>
            <w:shd w:val="clear" w:color="auto" w:fill="E0E0E0"/>
          </w:tcPr>
          <w:p w14:paraId="408C56B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9" w:type="dxa"/>
            <w:gridSpan w:val="5"/>
            <w:tcBorders>
              <w:top w:val="single" w:sz="8" w:space="0" w:color="AEAEAE"/>
              <w:left w:val="nil"/>
              <w:bottom w:val="single" w:sz="8" w:space="0" w:color="152935"/>
              <w:right w:val="nil"/>
            </w:tcBorders>
            <w:shd w:val="clear" w:color="auto" w:fill="E0E0E0"/>
          </w:tcPr>
          <w:p w14:paraId="62E81A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4" w:type="dxa"/>
            <w:gridSpan w:val="4"/>
            <w:tcBorders>
              <w:top w:val="single" w:sz="8" w:space="0" w:color="AEAEAE"/>
              <w:left w:val="nil"/>
              <w:bottom w:val="single" w:sz="8" w:space="0" w:color="152935"/>
              <w:right w:val="single" w:sz="8" w:space="0" w:color="E0E0E0"/>
            </w:tcBorders>
            <w:shd w:val="clear" w:color="auto" w:fill="FFFFFF"/>
          </w:tcPr>
          <w:p w14:paraId="7D4F6C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567.549</w:t>
            </w:r>
          </w:p>
        </w:tc>
        <w:tc>
          <w:tcPr>
            <w:tcW w:w="1140" w:type="dxa"/>
            <w:gridSpan w:val="4"/>
            <w:tcBorders>
              <w:top w:val="single" w:sz="8" w:space="0" w:color="AEAEAE"/>
              <w:left w:val="single" w:sz="8" w:space="0" w:color="E0E0E0"/>
              <w:bottom w:val="single" w:sz="8" w:space="0" w:color="152935"/>
              <w:right w:val="single" w:sz="8" w:space="0" w:color="E0E0E0"/>
            </w:tcBorders>
            <w:shd w:val="clear" w:color="auto" w:fill="FFFFFF"/>
          </w:tcPr>
          <w:p w14:paraId="6AF5520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6"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605907E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90DA4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3"/>
            <w:tcBorders>
              <w:top w:val="single" w:sz="8" w:space="0" w:color="AEAEAE"/>
              <w:left w:val="single" w:sz="8" w:space="0" w:color="E0E0E0"/>
              <w:bottom w:val="single" w:sz="8" w:space="0" w:color="152935"/>
              <w:right w:val="nil"/>
            </w:tcBorders>
            <w:shd w:val="clear" w:color="auto" w:fill="FFFFFF"/>
            <w:vAlign w:val="center"/>
          </w:tcPr>
          <w:p w14:paraId="1A1363F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ECD51D3" w14:textId="77777777" w:rsidTr="00C7217E">
        <w:trPr>
          <w:gridAfter w:val="3"/>
          <w:wAfter w:w="1770" w:type="dxa"/>
          <w:cantSplit/>
        </w:trPr>
        <w:tc>
          <w:tcPr>
            <w:tcW w:w="7860" w:type="dxa"/>
            <w:gridSpan w:val="23"/>
            <w:tcBorders>
              <w:top w:val="nil"/>
              <w:left w:val="nil"/>
              <w:bottom w:val="nil"/>
              <w:right w:val="nil"/>
            </w:tcBorders>
            <w:shd w:val="clear" w:color="auto" w:fill="FFFFFF"/>
          </w:tcPr>
          <w:p w14:paraId="2616AB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information</w:t>
            </w:r>
          </w:p>
        </w:tc>
      </w:tr>
      <w:tr w:rsidR="00C7217E" w:rsidRPr="00530906" w14:paraId="753E99C8" w14:textId="77777777" w:rsidTr="00C7217E">
        <w:trPr>
          <w:gridAfter w:val="3"/>
          <w:wAfter w:w="1770" w:type="dxa"/>
          <w:cantSplit/>
        </w:trPr>
        <w:tc>
          <w:tcPr>
            <w:tcW w:w="7860" w:type="dxa"/>
            <w:gridSpan w:val="23"/>
            <w:tcBorders>
              <w:top w:val="nil"/>
              <w:left w:val="nil"/>
              <w:bottom w:val="nil"/>
              <w:right w:val="nil"/>
            </w:tcBorders>
            <w:shd w:val="clear" w:color="auto" w:fill="FFFFFF"/>
          </w:tcPr>
          <w:p w14:paraId="35C8D92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Engagement</w:t>
            </w:r>
          </w:p>
        </w:tc>
      </w:tr>
      <w:tr w:rsidR="00C7217E" w:rsidRPr="00530906" w14:paraId="450E759B" w14:textId="77777777" w:rsidTr="00C7217E">
        <w:trPr>
          <w:cantSplit/>
        </w:trPr>
        <w:tc>
          <w:tcPr>
            <w:tcW w:w="9630" w:type="dxa"/>
            <w:gridSpan w:val="26"/>
            <w:tcBorders>
              <w:top w:val="nil"/>
              <w:left w:val="nil"/>
              <w:bottom w:val="nil"/>
              <w:right w:val="nil"/>
            </w:tcBorders>
            <w:shd w:val="clear" w:color="auto" w:fill="FFFFFF"/>
            <w:vAlign w:val="center"/>
          </w:tcPr>
          <w:p w14:paraId="7D9E82D7"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6DFA8F29" w14:textId="77777777" w:rsidTr="00C7217E">
        <w:trPr>
          <w:cantSplit/>
        </w:trPr>
        <w:tc>
          <w:tcPr>
            <w:tcW w:w="1260" w:type="dxa"/>
            <w:gridSpan w:val="4"/>
            <w:vMerge w:val="restart"/>
            <w:tcBorders>
              <w:top w:val="nil"/>
              <w:left w:val="nil"/>
              <w:bottom w:val="nil"/>
              <w:right w:val="nil"/>
            </w:tcBorders>
            <w:shd w:val="clear" w:color="auto" w:fill="FFFFFF"/>
            <w:vAlign w:val="bottom"/>
          </w:tcPr>
          <w:p w14:paraId="56C28C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70" w:type="dxa"/>
            <w:gridSpan w:val="4"/>
            <w:tcBorders>
              <w:top w:val="nil"/>
              <w:left w:val="nil"/>
              <w:bottom w:val="nil"/>
              <w:right w:val="single" w:sz="8" w:space="0" w:color="E0E0E0"/>
            </w:tcBorders>
            <w:shd w:val="clear" w:color="auto" w:fill="FFFFFF"/>
            <w:vAlign w:val="bottom"/>
          </w:tcPr>
          <w:p w14:paraId="009EB2F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634461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516EBE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360" w:type="dxa"/>
            <w:vMerge w:val="restart"/>
            <w:tcBorders>
              <w:top w:val="nil"/>
              <w:left w:val="single" w:sz="8" w:space="0" w:color="E0E0E0"/>
              <w:bottom w:val="nil"/>
              <w:right w:val="single" w:sz="8" w:space="0" w:color="E0E0E0"/>
            </w:tcBorders>
            <w:shd w:val="clear" w:color="auto" w:fill="FFFFFF"/>
            <w:vAlign w:val="bottom"/>
          </w:tcPr>
          <w:p w14:paraId="20942E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6FD677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90" w:type="dxa"/>
            <w:gridSpan w:val="7"/>
            <w:tcBorders>
              <w:top w:val="nil"/>
              <w:left w:val="single" w:sz="8" w:space="0" w:color="E0E0E0"/>
              <w:bottom w:val="nil"/>
              <w:right w:val="single" w:sz="8" w:space="0" w:color="E0E0E0"/>
            </w:tcBorders>
            <w:shd w:val="clear" w:color="auto" w:fill="FFFFFF"/>
            <w:vAlign w:val="bottom"/>
          </w:tcPr>
          <w:p w14:paraId="11C1B0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350" w:type="dxa"/>
            <w:gridSpan w:val="2"/>
            <w:tcBorders>
              <w:top w:val="nil"/>
              <w:left w:val="single" w:sz="8" w:space="0" w:color="E0E0E0"/>
              <w:bottom w:val="nil"/>
              <w:right w:val="nil"/>
            </w:tcBorders>
            <w:shd w:val="clear" w:color="auto" w:fill="FFFFFF"/>
            <w:vAlign w:val="bottom"/>
          </w:tcPr>
          <w:p w14:paraId="4EAD6B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06B20029" w14:textId="77777777" w:rsidTr="00C7217E">
        <w:trPr>
          <w:cantSplit/>
        </w:trPr>
        <w:tc>
          <w:tcPr>
            <w:tcW w:w="1260" w:type="dxa"/>
            <w:gridSpan w:val="4"/>
            <w:vMerge/>
            <w:tcBorders>
              <w:top w:val="nil"/>
              <w:left w:val="nil"/>
              <w:bottom w:val="nil"/>
              <w:right w:val="nil"/>
            </w:tcBorders>
            <w:shd w:val="clear" w:color="auto" w:fill="FFFFFF"/>
            <w:vAlign w:val="bottom"/>
          </w:tcPr>
          <w:p w14:paraId="405313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540" w:type="dxa"/>
            <w:tcBorders>
              <w:top w:val="nil"/>
              <w:left w:val="nil"/>
              <w:bottom w:val="single" w:sz="8" w:space="0" w:color="152935"/>
              <w:right w:val="single" w:sz="8" w:space="0" w:color="E0E0E0"/>
            </w:tcBorders>
            <w:shd w:val="clear" w:color="auto" w:fill="FFFFFF"/>
            <w:vAlign w:val="bottom"/>
          </w:tcPr>
          <w:p w14:paraId="4E1E10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630" w:type="dxa"/>
            <w:gridSpan w:val="3"/>
            <w:tcBorders>
              <w:top w:val="nil"/>
              <w:left w:val="single" w:sz="8" w:space="0" w:color="E0E0E0"/>
              <w:bottom w:val="single" w:sz="8" w:space="0" w:color="152935"/>
              <w:right w:val="single" w:sz="8" w:space="0" w:color="E0E0E0"/>
            </w:tcBorders>
            <w:shd w:val="clear" w:color="auto" w:fill="FFFFFF"/>
            <w:vAlign w:val="bottom"/>
          </w:tcPr>
          <w:p w14:paraId="7279282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2D0639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62D531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vMerge/>
            <w:tcBorders>
              <w:top w:val="nil"/>
              <w:left w:val="single" w:sz="8" w:space="0" w:color="E0E0E0"/>
              <w:bottom w:val="nil"/>
              <w:right w:val="single" w:sz="8" w:space="0" w:color="E0E0E0"/>
            </w:tcBorders>
            <w:shd w:val="clear" w:color="auto" w:fill="FFFFFF"/>
            <w:vAlign w:val="bottom"/>
          </w:tcPr>
          <w:p w14:paraId="27D9233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5027D5E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23460D9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4"/>
            <w:tcBorders>
              <w:top w:val="nil"/>
              <w:left w:val="single" w:sz="8" w:space="0" w:color="E0E0E0"/>
              <w:bottom w:val="single" w:sz="8" w:space="0" w:color="152935"/>
              <w:right w:val="single" w:sz="8" w:space="0" w:color="E0E0E0"/>
            </w:tcBorders>
            <w:shd w:val="clear" w:color="auto" w:fill="FFFFFF"/>
            <w:vAlign w:val="bottom"/>
          </w:tcPr>
          <w:p w14:paraId="5183E0F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4B5A94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gridSpan w:val="2"/>
            <w:tcBorders>
              <w:top w:val="nil"/>
              <w:left w:val="single" w:sz="8" w:space="0" w:color="E0E0E0"/>
              <w:bottom w:val="single" w:sz="8" w:space="0" w:color="152935"/>
              <w:right w:val="single" w:sz="8" w:space="0" w:color="E0E0E0"/>
            </w:tcBorders>
            <w:shd w:val="clear" w:color="auto" w:fill="FFFFFF"/>
            <w:vAlign w:val="bottom"/>
          </w:tcPr>
          <w:p w14:paraId="6CF0E65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70C16E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540" w:type="dxa"/>
            <w:tcBorders>
              <w:top w:val="nil"/>
              <w:left w:val="single" w:sz="8" w:space="0" w:color="E0E0E0"/>
              <w:bottom w:val="single" w:sz="8" w:space="0" w:color="152935"/>
              <w:right w:val="nil"/>
            </w:tcBorders>
            <w:shd w:val="clear" w:color="auto" w:fill="FFFFFF"/>
            <w:vAlign w:val="bottom"/>
          </w:tcPr>
          <w:p w14:paraId="47AE59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2CBF7754" w14:textId="77777777" w:rsidTr="00C7217E">
        <w:trPr>
          <w:cantSplit/>
        </w:trPr>
        <w:tc>
          <w:tcPr>
            <w:tcW w:w="270" w:type="dxa"/>
            <w:vMerge w:val="restart"/>
            <w:tcBorders>
              <w:top w:val="single" w:sz="8" w:space="0" w:color="152935"/>
              <w:left w:val="nil"/>
              <w:bottom w:val="single" w:sz="8" w:space="0" w:color="152935"/>
              <w:right w:val="nil"/>
            </w:tcBorders>
            <w:shd w:val="clear" w:color="auto" w:fill="E0E0E0"/>
          </w:tcPr>
          <w:p w14:paraId="75BCE9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90" w:type="dxa"/>
            <w:gridSpan w:val="3"/>
            <w:tcBorders>
              <w:top w:val="single" w:sz="8" w:space="0" w:color="152935"/>
              <w:left w:val="nil"/>
              <w:bottom w:val="single" w:sz="8" w:space="0" w:color="AEAEAE"/>
              <w:right w:val="nil"/>
            </w:tcBorders>
            <w:shd w:val="clear" w:color="auto" w:fill="E0E0E0"/>
          </w:tcPr>
          <w:p w14:paraId="6B6907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540" w:type="dxa"/>
            <w:tcBorders>
              <w:top w:val="single" w:sz="8" w:space="0" w:color="152935"/>
              <w:left w:val="nil"/>
              <w:bottom w:val="single" w:sz="8" w:space="0" w:color="AEAEAE"/>
              <w:right w:val="single" w:sz="8" w:space="0" w:color="E0E0E0"/>
            </w:tcBorders>
            <w:shd w:val="clear" w:color="auto" w:fill="FFFFFF"/>
          </w:tcPr>
          <w:p w14:paraId="375CC6D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2.513</w:t>
            </w:r>
          </w:p>
        </w:tc>
        <w:tc>
          <w:tcPr>
            <w:tcW w:w="63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D452D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.223</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1DE2AB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31A2E1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11.278</w:t>
            </w:r>
          </w:p>
        </w:tc>
        <w:tc>
          <w:tcPr>
            <w:tcW w:w="360" w:type="dxa"/>
            <w:tcBorders>
              <w:top w:val="single" w:sz="8" w:space="0" w:color="152935"/>
              <w:left w:val="single" w:sz="8" w:space="0" w:color="E0E0E0"/>
              <w:bottom w:val="single" w:sz="8" w:space="0" w:color="AEAEAE"/>
              <w:right w:val="single" w:sz="8" w:space="0" w:color="E0E0E0"/>
            </w:tcBorders>
            <w:shd w:val="clear" w:color="auto" w:fill="FFFFFF"/>
          </w:tcPr>
          <w:p w14:paraId="3E65E5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661E15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2.074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2B27F5B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2.952</w:t>
            </w:r>
          </w:p>
        </w:tc>
        <w:tc>
          <w:tcPr>
            <w:tcW w:w="90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370A83DD"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9717DF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01FA4DE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A8BD40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tcBorders>
              <w:top w:val="single" w:sz="8" w:space="0" w:color="152935"/>
              <w:left w:val="single" w:sz="8" w:space="0" w:color="E0E0E0"/>
              <w:bottom w:val="single" w:sz="8" w:space="0" w:color="AEAEAE"/>
              <w:right w:val="nil"/>
            </w:tcBorders>
            <w:shd w:val="clear" w:color="auto" w:fill="FFFFFF"/>
            <w:vAlign w:val="center"/>
          </w:tcPr>
          <w:p w14:paraId="615248CB"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3D4871D7" w14:textId="77777777" w:rsidTr="00C7217E">
        <w:trPr>
          <w:cantSplit/>
        </w:trPr>
        <w:tc>
          <w:tcPr>
            <w:tcW w:w="270" w:type="dxa"/>
            <w:vMerge/>
            <w:tcBorders>
              <w:top w:val="single" w:sz="8" w:space="0" w:color="152935"/>
              <w:left w:val="nil"/>
              <w:bottom w:val="single" w:sz="8" w:space="0" w:color="152935"/>
              <w:right w:val="nil"/>
            </w:tcBorders>
            <w:shd w:val="clear" w:color="auto" w:fill="E0E0E0"/>
          </w:tcPr>
          <w:p w14:paraId="4851945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90" w:type="dxa"/>
            <w:gridSpan w:val="3"/>
            <w:tcBorders>
              <w:top w:val="single" w:sz="8" w:space="0" w:color="AEAEAE"/>
              <w:left w:val="nil"/>
              <w:bottom w:val="single" w:sz="8" w:space="0" w:color="152935"/>
              <w:right w:val="nil"/>
            </w:tcBorders>
            <w:shd w:val="clear" w:color="auto" w:fill="E0E0E0"/>
          </w:tcPr>
          <w:p w14:paraId="7CB51B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Engagement</w:t>
            </w:r>
          </w:p>
        </w:tc>
        <w:tc>
          <w:tcPr>
            <w:tcW w:w="540" w:type="dxa"/>
            <w:tcBorders>
              <w:top w:val="single" w:sz="8" w:space="0" w:color="AEAEAE"/>
              <w:left w:val="nil"/>
              <w:bottom w:val="single" w:sz="8" w:space="0" w:color="152935"/>
              <w:right w:val="single" w:sz="8" w:space="0" w:color="E0E0E0"/>
            </w:tcBorders>
            <w:shd w:val="clear" w:color="auto" w:fill="FFFFFF"/>
          </w:tcPr>
          <w:p w14:paraId="4AEA49E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.481</w:t>
            </w:r>
          </w:p>
        </w:tc>
        <w:tc>
          <w:tcPr>
            <w:tcW w:w="63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9217E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.058</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4F64A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.449</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79303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8.368</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0E03E5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4679A03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.368</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30442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.595</w:t>
            </w:r>
          </w:p>
        </w:tc>
        <w:tc>
          <w:tcPr>
            <w:tcW w:w="900" w:type="dxa"/>
            <w:gridSpan w:val="4"/>
            <w:tcBorders>
              <w:top w:val="single" w:sz="8" w:space="0" w:color="AEAEAE"/>
              <w:left w:val="single" w:sz="8" w:space="0" w:color="E0E0E0"/>
              <w:bottom w:val="single" w:sz="8" w:space="0" w:color="152935"/>
              <w:right w:val="single" w:sz="8" w:space="0" w:color="E0E0E0"/>
            </w:tcBorders>
            <w:shd w:val="clear" w:color="auto" w:fill="FFFFFF"/>
          </w:tcPr>
          <w:p w14:paraId="1579527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.449</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6A5D91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.449</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2952F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.449</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5053AC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540" w:type="dxa"/>
            <w:tcBorders>
              <w:top w:val="single" w:sz="8" w:space="0" w:color="AEAEAE"/>
              <w:left w:val="single" w:sz="8" w:space="0" w:color="E0E0E0"/>
              <w:bottom w:val="single" w:sz="8" w:space="0" w:color="152935"/>
              <w:right w:val="nil"/>
            </w:tcBorders>
            <w:shd w:val="clear" w:color="auto" w:fill="FFFFFF"/>
          </w:tcPr>
          <w:p w14:paraId="351D3A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14B16C96" w14:textId="77777777" w:rsidTr="00C7217E">
        <w:trPr>
          <w:cantSplit/>
        </w:trPr>
        <w:tc>
          <w:tcPr>
            <w:tcW w:w="9630" w:type="dxa"/>
            <w:gridSpan w:val="26"/>
            <w:tcBorders>
              <w:top w:val="nil"/>
              <w:left w:val="nil"/>
              <w:bottom w:val="nil"/>
              <w:right w:val="nil"/>
            </w:tcBorders>
            <w:shd w:val="clear" w:color="auto" w:fill="FFFFFF"/>
          </w:tcPr>
          <w:p w14:paraId="1F4427A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information</w:t>
            </w:r>
          </w:p>
        </w:tc>
      </w:tr>
    </w:tbl>
    <w:p w14:paraId="759F7E3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02B93DDA"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7868713" w14:textId="0E81978A" w:rsidR="00C7217E" w:rsidRPr="00530906" w:rsidRDefault="00C7217E" w:rsidP="008756B1">
      <w:pPr>
        <w:pStyle w:val="Heading3"/>
        <w:jc w:val="both"/>
        <w:rPr>
          <w:rFonts w:eastAsia="Times New Roman"/>
          <w:lang w:val="en-US"/>
        </w:rPr>
      </w:pPr>
      <w:bookmarkStart w:id="156" w:name="_Toc115726311"/>
      <w:r w:rsidRPr="00530906">
        <w:rPr>
          <w:rFonts w:eastAsia="Times New Roman"/>
          <w:lang w:val="en-US"/>
        </w:rPr>
        <w:t>Regression analysis between ‘information’ and ‘purchase’</w:t>
      </w:r>
      <w:bookmarkEnd w:id="156"/>
    </w:p>
    <w:p w14:paraId="1EF8A43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6"/>
        <w:gridCol w:w="67"/>
        <w:gridCol w:w="197"/>
        <w:gridCol w:w="630"/>
        <w:gridCol w:w="311"/>
        <w:gridCol w:w="222"/>
        <w:gridCol w:w="187"/>
        <w:gridCol w:w="797"/>
        <w:gridCol w:w="193"/>
        <w:gridCol w:w="455"/>
        <w:gridCol w:w="85"/>
        <w:gridCol w:w="450"/>
        <w:gridCol w:w="449"/>
        <w:gridCol w:w="154"/>
        <w:gridCol w:w="387"/>
        <w:gridCol w:w="696"/>
        <w:gridCol w:w="101"/>
        <w:gridCol w:w="86"/>
        <w:gridCol w:w="482"/>
        <w:gridCol w:w="231"/>
        <w:gridCol w:w="473"/>
        <w:gridCol w:w="67"/>
        <w:gridCol w:w="360"/>
        <w:gridCol w:w="810"/>
        <w:gridCol w:w="450"/>
      </w:tblGrid>
      <w:tr w:rsidR="00C7217E" w:rsidRPr="00530906" w14:paraId="31A038A3" w14:textId="77777777" w:rsidTr="00EE722D">
        <w:trPr>
          <w:gridAfter w:val="8"/>
          <w:wAfter w:w="2959" w:type="dxa"/>
          <w:cantSplit/>
        </w:trPr>
        <w:tc>
          <w:tcPr>
            <w:tcW w:w="6197" w:type="dxa"/>
            <w:gridSpan w:val="18"/>
            <w:tcBorders>
              <w:top w:val="nil"/>
              <w:left w:val="nil"/>
              <w:bottom w:val="nil"/>
              <w:right w:val="nil"/>
            </w:tcBorders>
            <w:shd w:val="clear" w:color="auto" w:fill="FFFFFF"/>
            <w:vAlign w:val="center"/>
          </w:tcPr>
          <w:p w14:paraId="43BFD6C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51B18F1F" w14:textId="77777777" w:rsidTr="00EE722D">
        <w:trPr>
          <w:gridAfter w:val="8"/>
          <w:wAfter w:w="2959" w:type="dxa"/>
          <w:cantSplit/>
        </w:trPr>
        <w:tc>
          <w:tcPr>
            <w:tcW w:w="883" w:type="dxa"/>
            <w:gridSpan w:val="3"/>
            <w:tcBorders>
              <w:top w:val="nil"/>
              <w:left w:val="nil"/>
              <w:bottom w:val="single" w:sz="8" w:space="0" w:color="152935"/>
              <w:right w:val="nil"/>
            </w:tcBorders>
            <w:shd w:val="clear" w:color="auto" w:fill="FFFFFF"/>
            <w:vAlign w:val="bottom"/>
          </w:tcPr>
          <w:p w14:paraId="6AA987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8" w:type="dxa"/>
            <w:gridSpan w:val="3"/>
            <w:tcBorders>
              <w:top w:val="nil"/>
              <w:left w:val="nil"/>
              <w:bottom w:val="single" w:sz="8" w:space="0" w:color="152935"/>
              <w:right w:val="single" w:sz="8" w:space="0" w:color="E0E0E0"/>
            </w:tcBorders>
            <w:shd w:val="clear" w:color="auto" w:fill="FFFFFF"/>
            <w:vAlign w:val="bottom"/>
          </w:tcPr>
          <w:p w14:paraId="04C3F6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6" w:type="dxa"/>
            <w:gridSpan w:val="3"/>
            <w:tcBorders>
              <w:top w:val="nil"/>
              <w:left w:val="single" w:sz="8" w:space="0" w:color="E0E0E0"/>
              <w:bottom w:val="single" w:sz="8" w:space="0" w:color="152935"/>
              <w:right w:val="single" w:sz="8" w:space="0" w:color="E0E0E0"/>
            </w:tcBorders>
            <w:shd w:val="clear" w:color="auto" w:fill="FFFFFF"/>
            <w:vAlign w:val="bottom"/>
          </w:tcPr>
          <w:p w14:paraId="6CCA4D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2" w:type="dxa"/>
            <w:gridSpan w:val="5"/>
            <w:tcBorders>
              <w:top w:val="nil"/>
              <w:left w:val="single" w:sz="8" w:space="0" w:color="E0E0E0"/>
              <w:bottom w:val="single" w:sz="8" w:space="0" w:color="152935"/>
              <w:right w:val="single" w:sz="8" w:space="0" w:color="E0E0E0"/>
            </w:tcBorders>
            <w:shd w:val="clear" w:color="auto" w:fill="FFFFFF"/>
            <w:vAlign w:val="bottom"/>
          </w:tcPr>
          <w:p w14:paraId="27FC37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338" w:type="dxa"/>
            <w:gridSpan w:val="4"/>
            <w:tcBorders>
              <w:top w:val="nil"/>
              <w:left w:val="single" w:sz="8" w:space="0" w:color="E0E0E0"/>
              <w:bottom w:val="single" w:sz="8" w:space="0" w:color="152935"/>
              <w:right w:val="nil"/>
            </w:tcBorders>
            <w:shd w:val="clear" w:color="auto" w:fill="FFFFFF"/>
            <w:vAlign w:val="bottom"/>
          </w:tcPr>
          <w:p w14:paraId="11E678B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410764E2" w14:textId="77777777" w:rsidTr="00EE722D">
        <w:trPr>
          <w:gridAfter w:val="8"/>
          <w:wAfter w:w="2959" w:type="dxa"/>
          <w:cantSplit/>
        </w:trPr>
        <w:tc>
          <w:tcPr>
            <w:tcW w:w="883" w:type="dxa"/>
            <w:gridSpan w:val="3"/>
            <w:tcBorders>
              <w:top w:val="single" w:sz="8" w:space="0" w:color="152935"/>
              <w:left w:val="nil"/>
              <w:bottom w:val="single" w:sz="8" w:space="0" w:color="152935"/>
              <w:right w:val="nil"/>
            </w:tcBorders>
            <w:shd w:val="clear" w:color="auto" w:fill="E0E0E0"/>
          </w:tcPr>
          <w:p w14:paraId="23CC6A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8" w:type="dxa"/>
            <w:gridSpan w:val="3"/>
            <w:tcBorders>
              <w:top w:val="single" w:sz="8" w:space="0" w:color="152935"/>
              <w:left w:val="nil"/>
              <w:bottom w:val="single" w:sz="8" w:space="0" w:color="152935"/>
              <w:right w:val="single" w:sz="8" w:space="0" w:color="E0E0E0"/>
            </w:tcBorders>
            <w:shd w:val="clear" w:color="auto" w:fill="FFFFFF"/>
          </w:tcPr>
          <w:p w14:paraId="74116E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.391</w:t>
            </w:r>
            <w:r w:rsidRPr="00530906">
              <w:rPr>
                <w:rFonts w:ascii="Cambria" w:eastAsia="Times New Roman" w:hAnsi="Cambria" w:cs="Times New Roman"/>
                <w:color w:val="000000"/>
                <w:sz w:val="18"/>
                <w:szCs w:val="18"/>
                <w:vertAlign w:val="superscript"/>
                <w:lang w:val="en-US"/>
              </w:rPr>
              <w:t>a</w:t>
            </w:r>
          </w:p>
        </w:tc>
        <w:tc>
          <w:tcPr>
            <w:tcW w:w="1206" w:type="dxa"/>
            <w:gridSpan w:val="3"/>
            <w:tcBorders>
              <w:top w:val="single" w:sz="8" w:space="0" w:color="152935"/>
              <w:left w:val="single" w:sz="8" w:space="0" w:color="E0E0E0"/>
              <w:bottom w:val="single" w:sz="8" w:space="0" w:color="152935"/>
              <w:right w:val="single" w:sz="8" w:space="0" w:color="E0E0E0"/>
            </w:tcBorders>
            <w:shd w:val="clear" w:color="auto" w:fill="FFFFFF"/>
          </w:tcPr>
          <w:p w14:paraId="5BD57CE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.153</w:t>
            </w:r>
          </w:p>
        </w:tc>
        <w:tc>
          <w:tcPr>
            <w:tcW w:w="1632" w:type="dxa"/>
            <w:gridSpan w:val="5"/>
            <w:tcBorders>
              <w:top w:val="single" w:sz="8" w:space="0" w:color="152935"/>
              <w:left w:val="single" w:sz="8" w:space="0" w:color="E0E0E0"/>
              <w:bottom w:val="single" w:sz="8" w:space="0" w:color="152935"/>
              <w:right w:val="single" w:sz="8" w:space="0" w:color="E0E0E0"/>
            </w:tcBorders>
            <w:shd w:val="clear" w:color="auto" w:fill="FFFFFF"/>
          </w:tcPr>
          <w:p w14:paraId="282490B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.150</w:t>
            </w:r>
          </w:p>
        </w:tc>
        <w:tc>
          <w:tcPr>
            <w:tcW w:w="1338" w:type="dxa"/>
            <w:gridSpan w:val="4"/>
            <w:tcBorders>
              <w:top w:val="single" w:sz="8" w:space="0" w:color="152935"/>
              <w:left w:val="single" w:sz="8" w:space="0" w:color="E0E0E0"/>
              <w:bottom w:val="single" w:sz="8" w:space="0" w:color="152935"/>
              <w:right w:val="nil"/>
            </w:tcBorders>
            <w:shd w:val="clear" w:color="auto" w:fill="FFFFFF"/>
          </w:tcPr>
          <w:p w14:paraId="1DCF9E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1.30706</w:t>
            </w:r>
          </w:p>
        </w:tc>
      </w:tr>
      <w:tr w:rsidR="00C7217E" w:rsidRPr="00530906" w14:paraId="0A0ECD10" w14:textId="77777777" w:rsidTr="00EE722D">
        <w:trPr>
          <w:gridAfter w:val="8"/>
          <w:wAfter w:w="2959" w:type="dxa"/>
          <w:cantSplit/>
        </w:trPr>
        <w:tc>
          <w:tcPr>
            <w:tcW w:w="6197" w:type="dxa"/>
            <w:gridSpan w:val="18"/>
            <w:tcBorders>
              <w:top w:val="nil"/>
              <w:left w:val="nil"/>
              <w:bottom w:val="nil"/>
              <w:right w:val="nil"/>
            </w:tcBorders>
            <w:shd w:val="clear" w:color="auto" w:fill="FFFFFF"/>
          </w:tcPr>
          <w:p w14:paraId="53B60C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information</w:t>
            </w:r>
          </w:p>
        </w:tc>
      </w:tr>
      <w:tr w:rsidR="00C7217E" w:rsidRPr="00530906" w14:paraId="73619121" w14:textId="77777777" w:rsidTr="00EE722D">
        <w:trPr>
          <w:gridAfter w:val="8"/>
          <w:wAfter w:w="2959" w:type="dxa"/>
          <w:cantSplit/>
        </w:trPr>
        <w:tc>
          <w:tcPr>
            <w:tcW w:w="6197" w:type="dxa"/>
            <w:gridSpan w:val="18"/>
            <w:tcBorders>
              <w:top w:val="nil"/>
              <w:left w:val="nil"/>
              <w:bottom w:val="nil"/>
              <w:right w:val="nil"/>
            </w:tcBorders>
            <w:shd w:val="clear" w:color="auto" w:fill="FFFFFF"/>
          </w:tcPr>
          <w:p w14:paraId="74DD93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Purchase</w:t>
            </w:r>
          </w:p>
        </w:tc>
      </w:tr>
      <w:tr w:rsidR="00C7217E" w:rsidRPr="00530906" w14:paraId="68133938" w14:textId="77777777" w:rsidTr="00EE722D">
        <w:trPr>
          <w:gridAfter w:val="4"/>
          <w:wAfter w:w="1687" w:type="dxa"/>
          <w:cantSplit/>
        </w:trPr>
        <w:tc>
          <w:tcPr>
            <w:tcW w:w="7469" w:type="dxa"/>
            <w:gridSpan w:val="22"/>
            <w:tcBorders>
              <w:top w:val="nil"/>
              <w:left w:val="nil"/>
              <w:bottom w:val="nil"/>
              <w:right w:val="nil"/>
            </w:tcBorders>
            <w:shd w:val="clear" w:color="auto" w:fill="FFFFFF"/>
            <w:vAlign w:val="center"/>
          </w:tcPr>
          <w:p w14:paraId="010997DA"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370FEBAA" w14:textId="77777777" w:rsidTr="00EE722D">
        <w:trPr>
          <w:gridAfter w:val="4"/>
          <w:wAfter w:w="1687" w:type="dxa"/>
          <w:cantSplit/>
        </w:trPr>
        <w:tc>
          <w:tcPr>
            <w:tcW w:w="2243" w:type="dxa"/>
            <w:gridSpan w:val="7"/>
            <w:tcBorders>
              <w:top w:val="nil"/>
              <w:left w:val="nil"/>
              <w:bottom w:val="single" w:sz="8" w:space="0" w:color="152935"/>
              <w:right w:val="nil"/>
            </w:tcBorders>
            <w:shd w:val="clear" w:color="auto" w:fill="FFFFFF"/>
            <w:vAlign w:val="bottom"/>
          </w:tcPr>
          <w:p w14:paraId="44870D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2" w:type="dxa"/>
            <w:gridSpan w:val="4"/>
            <w:tcBorders>
              <w:top w:val="nil"/>
              <w:left w:val="nil"/>
              <w:bottom w:val="single" w:sz="8" w:space="0" w:color="152935"/>
              <w:right w:val="single" w:sz="8" w:space="0" w:color="E0E0E0"/>
            </w:tcBorders>
            <w:shd w:val="clear" w:color="auto" w:fill="FFFFFF"/>
            <w:vAlign w:val="bottom"/>
          </w:tcPr>
          <w:p w14:paraId="0C2E610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4"/>
            <w:tcBorders>
              <w:top w:val="nil"/>
              <w:left w:val="single" w:sz="8" w:space="0" w:color="E0E0E0"/>
              <w:bottom w:val="single" w:sz="8" w:space="0" w:color="152935"/>
              <w:right w:val="single" w:sz="8" w:space="0" w:color="E0E0E0"/>
            </w:tcBorders>
            <w:shd w:val="clear" w:color="auto" w:fill="FFFFFF"/>
            <w:vAlign w:val="bottom"/>
          </w:tcPr>
          <w:p w14:paraId="6A4DA6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270" w:type="dxa"/>
            <w:gridSpan w:val="4"/>
            <w:tcBorders>
              <w:top w:val="nil"/>
              <w:left w:val="single" w:sz="8" w:space="0" w:color="E0E0E0"/>
              <w:bottom w:val="single" w:sz="8" w:space="0" w:color="152935"/>
              <w:right w:val="single" w:sz="8" w:space="0" w:color="E0E0E0"/>
            </w:tcBorders>
            <w:shd w:val="clear" w:color="auto" w:fill="FFFFFF"/>
            <w:vAlign w:val="bottom"/>
          </w:tcPr>
          <w:p w14:paraId="400AD5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2" w:type="dxa"/>
            <w:tcBorders>
              <w:top w:val="nil"/>
              <w:left w:val="single" w:sz="8" w:space="0" w:color="E0E0E0"/>
              <w:bottom w:val="single" w:sz="8" w:space="0" w:color="152935"/>
              <w:right w:val="single" w:sz="8" w:space="0" w:color="E0E0E0"/>
            </w:tcBorders>
            <w:shd w:val="clear" w:color="auto" w:fill="FFFFFF"/>
            <w:vAlign w:val="bottom"/>
          </w:tcPr>
          <w:p w14:paraId="7AA106D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4" w:type="dxa"/>
            <w:gridSpan w:val="2"/>
            <w:tcBorders>
              <w:top w:val="nil"/>
              <w:left w:val="single" w:sz="8" w:space="0" w:color="E0E0E0"/>
              <w:bottom w:val="single" w:sz="8" w:space="0" w:color="152935"/>
              <w:right w:val="nil"/>
            </w:tcBorders>
            <w:shd w:val="clear" w:color="auto" w:fill="FFFFFF"/>
            <w:vAlign w:val="bottom"/>
          </w:tcPr>
          <w:p w14:paraId="0E8FA09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673A70EA" w14:textId="77777777" w:rsidTr="00EE722D">
        <w:trPr>
          <w:gridAfter w:val="4"/>
          <w:wAfter w:w="1687" w:type="dxa"/>
          <w:cantSplit/>
        </w:trPr>
        <w:tc>
          <w:tcPr>
            <w:tcW w:w="816" w:type="dxa"/>
            <w:gridSpan w:val="2"/>
            <w:vMerge w:val="restart"/>
            <w:tcBorders>
              <w:top w:val="single" w:sz="8" w:space="0" w:color="152935"/>
              <w:left w:val="nil"/>
              <w:bottom w:val="single" w:sz="8" w:space="0" w:color="152935"/>
              <w:right w:val="nil"/>
            </w:tcBorders>
            <w:shd w:val="clear" w:color="auto" w:fill="E0E0E0"/>
          </w:tcPr>
          <w:p w14:paraId="78D09E7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7" w:type="dxa"/>
            <w:gridSpan w:val="5"/>
            <w:tcBorders>
              <w:top w:val="single" w:sz="8" w:space="0" w:color="152935"/>
              <w:left w:val="nil"/>
              <w:bottom w:val="single" w:sz="8" w:space="0" w:color="AEAEAE"/>
              <w:right w:val="nil"/>
            </w:tcBorders>
            <w:shd w:val="clear" w:color="auto" w:fill="E0E0E0"/>
          </w:tcPr>
          <w:p w14:paraId="765B2C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2" w:type="dxa"/>
            <w:gridSpan w:val="4"/>
            <w:tcBorders>
              <w:top w:val="single" w:sz="8" w:space="0" w:color="152935"/>
              <w:left w:val="nil"/>
              <w:bottom w:val="single" w:sz="8" w:space="0" w:color="AEAEAE"/>
              <w:right w:val="single" w:sz="8" w:space="0" w:color="E0E0E0"/>
            </w:tcBorders>
            <w:shd w:val="clear" w:color="auto" w:fill="FFFFFF"/>
          </w:tcPr>
          <w:p w14:paraId="22B577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85.595</w:t>
            </w:r>
          </w:p>
        </w:tc>
        <w:tc>
          <w:tcPr>
            <w:tcW w:w="1138" w:type="dxa"/>
            <w:gridSpan w:val="4"/>
            <w:tcBorders>
              <w:top w:val="single" w:sz="8" w:space="0" w:color="152935"/>
              <w:left w:val="single" w:sz="8" w:space="0" w:color="E0E0E0"/>
              <w:bottom w:val="single" w:sz="8" w:space="0" w:color="AEAEAE"/>
              <w:right w:val="single" w:sz="8" w:space="0" w:color="E0E0E0"/>
            </w:tcBorders>
            <w:shd w:val="clear" w:color="auto" w:fill="FFFFFF"/>
          </w:tcPr>
          <w:p w14:paraId="26B5D9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270" w:type="dxa"/>
            <w:gridSpan w:val="4"/>
            <w:tcBorders>
              <w:top w:val="single" w:sz="8" w:space="0" w:color="152935"/>
              <w:left w:val="single" w:sz="8" w:space="0" w:color="E0E0E0"/>
              <w:bottom w:val="single" w:sz="8" w:space="0" w:color="AEAEAE"/>
              <w:right w:val="single" w:sz="8" w:space="0" w:color="E0E0E0"/>
            </w:tcBorders>
            <w:shd w:val="clear" w:color="auto" w:fill="FFFFFF"/>
          </w:tcPr>
          <w:p w14:paraId="2978A8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85.595</w:t>
            </w:r>
          </w:p>
        </w:tc>
        <w:tc>
          <w:tcPr>
            <w:tcW w:w="482" w:type="dxa"/>
            <w:tcBorders>
              <w:top w:val="single" w:sz="8" w:space="0" w:color="152935"/>
              <w:left w:val="single" w:sz="8" w:space="0" w:color="E0E0E0"/>
              <w:bottom w:val="single" w:sz="8" w:space="0" w:color="AEAEAE"/>
              <w:right w:val="single" w:sz="8" w:space="0" w:color="E0E0E0"/>
            </w:tcBorders>
            <w:shd w:val="clear" w:color="auto" w:fill="FFFFFF"/>
          </w:tcPr>
          <w:p w14:paraId="14D614E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50.102</w:t>
            </w:r>
          </w:p>
        </w:tc>
        <w:tc>
          <w:tcPr>
            <w:tcW w:w="704" w:type="dxa"/>
            <w:gridSpan w:val="2"/>
            <w:tcBorders>
              <w:top w:val="single" w:sz="8" w:space="0" w:color="152935"/>
              <w:left w:val="single" w:sz="8" w:space="0" w:color="E0E0E0"/>
              <w:bottom w:val="single" w:sz="8" w:space="0" w:color="AEAEAE"/>
              <w:right w:val="nil"/>
            </w:tcBorders>
            <w:shd w:val="clear" w:color="auto" w:fill="FFFFFF"/>
          </w:tcPr>
          <w:p w14:paraId="73ED07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45B03210" w14:textId="77777777" w:rsidTr="00EE722D">
        <w:trPr>
          <w:gridAfter w:val="4"/>
          <w:wAfter w:w="1687" w:type="dxa"/>
          <w:cantSplit/>
        </w:trPr>
        <w:tc>
          <w:tcPr>
            <w:tcW w:w="816" w:type="dxa"/>
            <w:gridSpan w:val="2"/>
            <w:vMerge/>
            <w:tcBorders>
              <w:top w:val="single" w:sz="8" w:space="0" w:color="152935"/>
              <w:left w:val="nil"/>
              <w:bottom w:val="single" w:sz="8" w:space="0" w:color="152935"/>
              <w:right w:val="nil"/>
            </w:tcBorders>
            <w:shd w:val="clear" w:color="auto" w:fill="E0E0E0"/>
          </w:tcPr>
          <w:p w14:paraId="480ABA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7" w:type="dxa"/>
            <w:gridSpan w:val="5"/>
            <w:tcBorders>
              <w:top w:val="single" w:sz="8" w:space="0" w:color="AEAEAE"/>
              <w:left w:val="nil"/>
              <w:bottom w:val="single" w:sz="8" w:space="0" w:color="AEAEAE"/>
              <w:right w:val="nil"/>
            </w:tcBorders>
            <w:shd w:val="clear" w:color="auto" w:fill="E0E0E0"/>
          </w:tcPr>
          <w:p w14:paraId="5E94D27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2" w:type="dxa"/>
            <w:gridSpan w:val="4"/>
            <w:tcBorders>
              <w:top w:val="single" w:sz="8" w:space="0" w:color="AEAEAE"/>
              <w:left w:val="nil"/>
              <w:bottom w:val="single" w:sz="8" w:space="0" w:color="AEAEAE"/>
              <w:right w:val="single" w:sz="8" w:space="0" w:color="E0E0E0"/>
            </w:tcBorders>
            <w:shd w:val="clear" w:color="auto" w:fill="FFFFFF"/>
          </w:tcPr>
          <w:p w14:paraId="0E5A3C8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473.232</w:t>
            </w:r>
          </w:p>
        </w:tc>
        <w:tc>
          <w:tcPr>
            <w:tcW w:w="1138" w:type="dxa"/>
            <w:gridSpan w:val="4"/>
            <w:tcBorders>
              <w:top w:val="single" w:sz="8" w:space="0" w:color="AEAEAE"/>
              <w:left w:val="single" w:sz="8" w:space="0" w:color="E0E0E0"/>
              <w:bottom w:val="single" w:sz="8" w:space="0" w:color="AEAEAE"/>
              <w:right w:val="single" w:sz="8" w:space="0" w:color="E0E0E0"/>
            </w:tcBorders>
            <w:shd w:val="clear" w:color="auto" w:fill="FFFFFF"/>
          </w:tcPr>
          <w:p w14:paraId="36D1BE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270" w:type="dxa"/>
            <w:gridSpan w:val="4"/>
            <w:tcBorders>
              <w:top w:val="single" w:sz="8" w:space="0" w:color="AEAEAE"/>
              <w:left w:val="single" w:sz="8" w:space="0" w:color="E0E0E0"/>
              <w:bottom w:val="single" w:sz="8" w:space="0" w:color="AEAEAE"/>
              <w:right w:val="single" w:sz="8" w:space="0" w:color="E0E0E0"/>
            </w:tcBorders>
            <w:shd w:val="clear" w:color="auto" w:fill="FFFFFF"/>
          </w:tcPr>
          <w:p w14:paraId="2789B1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1.708</w:t>
            </w:r>
          </w:p>
        </w:tc>
        <w:tc>
          <w:tcPr>
            <w:tcW w:w="4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5BEAC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2"/>
            <w:tcBorders>
              <w:top w:val="single" w:sz="8" w:space="0" w:color="AEAEAE"/>
              <w:left w:val="single" w:sz="8" w:space="0" w:color="E0E0E0"/>
              <w:bottom w:val="single" w:sz="8" w:space="0" w:color="AEAEAE"/>
              <w:right w:val="nil"/>
            </w:tcBorders>
            <w:shd w:val="clear" w:color="auto" w:fill="FFFFFF"/>
            <w:vAlign w:val="center"/>
          </w:tcPr>
          <w:p w14:paraId="294B380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1BD3609" w14:textId="77777777" w:rsidTr="00EE722D">
        <w:trPr>
          <w:gridAfter w:val="4"/>
          <w:wAfter w:w="1687" w:type="dxa"/>
          <w:cantSplit/>
        </w:trPr>
        <w:tc>
          <w:tcPr>
            <w:tcW w:w="816" w:type="dxa"/>
            <w:gridSpan w:val="2"/>
            <w:vMerge/>
            <w:tcBorders>
              <w:top w:val="single" w:sz="8" w:space="0" w:color="152935"/>
              <w:left w:val="nil"/>
              <w:bottom w:val="single" w:sz="8" w:space="0" w:color="152935"/>
              <w:right w:val="nil"/>
            </w:tcBorders>
            <w:shd w:val="clear" w:color="auto" w:fill="E0E0E0"/>
          </w:tcPr>
          <w:p w14:paraId="137D766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7" w:type="dxa"/>
            <w:gridSpan w:val="5"/>
            <w:tcBorders>
              <w:top w:val="single" w:sz="8" w:space="0" w:color="AEAEAE"/>
              <w:left w:val="nil"/>
              <w:bottom w:val="single" w:sz="8" w:space="0" w:color="152935"/>
              <w:right w:val="nil"/>
            </w:tcBorders>
            <w:shd w:val="clear" w:color="auto" w:fill="E0E0E0"/>
          </w:tcPr>
          <w:p w14:paraId="4F33A7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2" w:type="dxa"/>
            <w:gridSpan w:val="4"/>
            <w:tcBorders>
              <w:top w:val="single" w:sz="8" w:space="0" w:color="AEAEAE"/>
              <w:left w:val="nil"/>
              <w:bottom w:val="single" w:sz="8" w:space="0" w:color="152935"/>
              <w:right w:val="single" w:sz="8" w:space="0" w:color="E0E0E0"/>
            </w:tcBorders>
            <w:shd w:val="clear" w:color="auto" w:fill="FFFFFF"/>
          </w:tcPr>
          <w:p w14:paraId="0BA81D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558.827</w:t>
            </w:r>
          </w:p>
        </w:tc>
        <w:tc>
          <w:tcPr>
            <w:tcW w:w="1138" w:type="dxa"/>
            <w:gridSpan w:val="4"/>
            <w:tcBorders>
              <w:top w:val="single" w:sz="8" w:space="0" w:color="AEAEAE"/>
              <w:left w:val="single" w:sz="8" w:space="0" w:color="E0E0E0"/>
              <w:bottom w:val="single" w:sz="8" w:space="0" w:color="152935"/>
              <w:right w:val="single" w:sz="8" w:space="0" w:color="E0E0E0"/>
            </w:tcBorders>
            <w:shd w:val="clear" w:color="auto" w:fill="FFFFFF"/>
          </w:tcPr>
          <w:p w14:paraId="4B7D06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270"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1668C5C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77D6B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4" w:type="dxa"/>
            <w:gridSpan w:val="2"/>
            <w:tcBorders>
              <w:top w:val="single" w:sz="8" w:space="0" w:color="AEAEAE"/>
              <w:left w:val="single" w:sz="8" w:space="0" w:color="E0E0E0"/>
              <w:bottom w:val="single" w:sz="8" w:space="0" w:color="152935"/>
              <w:right w:val="nil"/>
            </w:tcBorders>
            <w:shd w:val="clear" w:color="auto" w:fill="FFFFFF"/>
            <w:vAlign w:val="center"/>
          </w:tcPr>
          <w:p w14:paraId="2C74A3D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F78DC09" w14:textId="77777777" w:rsidTr="00EE722D">
        <w:trPr>
          <w:gridAfter w:val="4"/>
          <w:wAfter w:w="1687" w:type="dxa"/>
          <w:cantSplit/>
        </w:trPr>
        <w:tc>
          <w:tcPr>
            <w:tcW w:w="7469" w:type="dxa"/>
            <w:gridSpan w:val="22"/>
            <w:tcBorders>
              <w:top w:val="nil"/>
              <w:left w:val="nil"/>
              <w:bottom w:val="nil"/>
              <w:right w:val="nil"/>
            </w:tcBorders>
            <w:shd w:val="clear" w:color="auto" w:fill="FFFFFF"/>
          </w:tcPr>
          <w:p w14:paraId="22CEB8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r w:rsidR="00C7217E" w:rsidRPr="00530906" w14:paraId="74188D7F" w14:textId="77777777" w:rsidTr="00EE722D">
        <w:trPr>
          <w:gridAfter w:val="4"/>
          <w:wAfter w:w="1687" w:type="dxa"/>
          <w:cantSplit/>
        </w:trPr>
        <w:tc>
          <w:tcPr>
            <w:tcW w:w="7469" w:type="dxa"/>
            <w:gridSpan w:val="22"/>
            <w:tcBorders>
              <w:top w:val="nil"/>
              <w:left w:val="nil"/>
              <w:bottom w:val="nil"/>
              <w:right w:val="nil"/>
            </w:tcBorders>
            <w:shd w:val="clear" w:color="auto" w:fill="FFFFFF"/>
          </w:tcPr>
          <w:p w14:paraId="0A9E40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information</w:t>
            </w:r>
          </w:p>
        </w:tc>
      </w:tr>
      <w:tr w:rsidR="00C7217E" w:rsidRPr="00530906" w14:paraId="2E473B38" w14:textId="77777777" w:rsidTr="00EE722D">
        <w:trPr>
          <w:cantSplit/>
        </w:trPr>
        <w:tc>
          <w:tcPr>
            <w:tcW w:w="9156" w:type="dxa"/>
            <w:gridSpan w:val="26"/>
            <w:tcBorders>
              <w:top w:val="nil"/>
              <w:left w:val="nil"/>
              <w:bottom w:val="nil"/>
              <w:right w:val="nil"/>
            </w:tcBorders>
            <w:shd w:val="clear" w:color="auto" w:fill="FFFFFF"/>
            <w:vAlign w:val="center"/>
          </w:tcPr>
          <w:p w14:paraId="6CF92D2E"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49D624ED" w14:textId="77777777" w:rsidTr="00EE722D">
        <w:trPr>
          <w:cantSplit/>
        </w:trPr>
        <w:tc>
          <w:tcPr>
            <w:tcW w:w="1080" w:type="dxa"/>
            <w:gridSpan w:val="4"/>
            <w:vMerge w:val="restart"/>
            <w:tcBorders>
              <w:top w:val="nil"/>
              <w:left w:val="nil"/>
              <w:bottom w:val="nil"/>
              <w:right w:val="nil"/>
            </w:tcBorders>
            <w:shd w:val="clear" w:color="auto" w:fill="FFFFFF"/>
            <w:vAlign w:val="bottom"/>
          </w:tcPr>
          <w:p w14:paraId="7DB790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350" w:type="dxa"/>
            <w:gridSpan w:val="4"/>
            <w:tcBorders>
              <w:top w:val="nil"/>
              <w:left w:val="nil"/>
              <w:bottom w:val="nil"/>
              <w:right w:val="single" w:sz="8" w:space="0" w:color="E0E0E0"/>
            </w:tcBorders>
            <w:shd w:val="clear" w:color="auto" w:fill="FFFFFF"/>
            <w:vAlign w:val="bottom"/>
          </w:tcPr>
          <w:p w14:paraId="062BE7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5D5963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495AC76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3AA061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1686" w:type="dxa"/>
            <w:gridSpan w:val="4"/>
            <w:tcBorders>
              <w:top w:val="nil"/>
              <w:left w:val="single" w:sz="8" w:space="0" w:color="E0E0E0"/>
              <w:bottom w:val="nil"/>
              <w:right w:val="single" w:sz="8" w:space="0" w:color="E0E0E0"/>
            </w:tcBorders>
            <w:shd w:val="clear" w:color="auto" w:fill="FFFFFF"/>
            <w:vAlign w:val="bottom"/>
          </w:tcPr>
          <w:p w14:paraId="35BC11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00" w:type="dxa"/>
            <w:gridSpan w:val="7"/>
            <w:tcBorders>
              <w:top w:val="nil"/>
              <w:left w:val="single" w:sz="8" w:space="0" w:color="E0E0E0"/>
              <w:bottom w:val="nil"/>
              <w:right w:val="single" w:sz="8" w:space="0" w:color="E0E0E0"/>
            </w:tcBorders>
            <w:shd w:val="clear" w:color="auto" w:fill="FFFFFF"/>
            <w:vAlign w:val="bottom"/>
          </w:tcPr>
          <w:p w14:paraId="0B0595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703C069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D905F9" w:rsidRPr="00530906" w14:paraId="519E5AD9" w14:textId="77777777" w:rsidTr="00A41CEA">
        <w:trPr>
          <w:cantSplit/>
        </w:trPr>
        <w:tc>
          <w:tcPr>
            <w:tcW w:w="1080" w:type="dxa"/>
            <w:gridSpan w:val="4"/>
            <w:vMerge/>
            <w:tcBorders>
              <w:top w:val="nil"/>
              <w:left w:val="nil"/>
              <w:bottom w:val="nil"/>
              <w:right w:val="nil"/>
            </w:tcBorders>
            <w:shd w:val="clear" w:color="auto" w:fill="FFFFFF"/>
            <w:vAlign w:val="bottom"/>
          </w:tcPr>
          <w:p w14:paraId="37536F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30" w:type="dxa"/>
            <w:tcBorders>
              <w:top w:val="nil"/>
              <w:left w:val="nil"/>
              <w:bottom w:val="single" w:sz="8" w:space="0" w:color="152935"/>
              <w:right w:val="single" w:sz="8" w:space="0" w:color="E0E0E0"/>
            </w:tcBorders>
            <w:shd w:val="clear" w:color="auto" w:fill="FFFFFF"/>
            <w:vAlign w:val="bottom"/>
          </w:tcPr>
          <w:p w14:paraId="16FC19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3"/>
            <w:tcBorders>
              <w:top w:val="nil"/>
              <w:left w:val="single" w:sz="8" w:space="0" w:color="E0E0E0"/>
              <w:bottom w:val="single" w:sz="8" w:space="0" w:color="152935"/>
              <w:right w:val="single" w:sz="8" w:space="0" w:color="E0E0E0"/>
            </w:tcBorders>
            <w:shd w:val="clear" w:color="auto" w:fill="FFFFFF"/>
            <w:vAlign w:val="bottom"/>
          </w:tcPr>
          <w:p w14:paraId="606071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6EE1D00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67F6040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6405E4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512384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696" w:type="dxa"/>
            <w:tcBorders>
              <w:top w:val="nil"/>
              <w:left w:val="single" w:sz="8" w:space="0" w:color="E0E0E0"/>
              <w:bottom w:val="single" w:sz="8" w:space="0" w:color="152935"/>
              <w:right w:val="single" w:sz="8" w:space="0" w:color="E0E0E0"/>
            </w:tcBorders>
            <w:shd w:val="clear" w:color="auto" w:fill="FFFFFF"/>
            <w:vAlign w:val="bottom"/>
          </w:tcPr>
          <w:p w14:paraId="5AA06F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4"/>
            <w:tcBorders>
              <w:top w:val="nil"/>
              <w:left w:val="single" w:sz="8" w:space="0" w:color="E0E0E0"/>
              <w:bottom w:val="single" w:sz="8" w:space="0" w:color="152935"/>
              <w:right w:val="single" w:sz="8" w:space="0" w:color="E0E0E0"/>
            </w:tcBorders>
            <w:shd w:val="clear" w:color="auto" w:fill="FFFFFF"/>
            <w:vAlign w:val="bottom"/>
          </w:tcPr>
          <w:p w14:paraId="57F4E5D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692189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tcBorders>
              <w:top w:val="nil"/>
              <w:left w:val="single" w:sz="8" w:space="0" w:color="E0E0E0"/>
              <w:bottom w:val="single" w:sz="8" w:space="0" w:color="152935"/>
              <w:right w:val="single" w:sz="8" w:space="0" w:color="E0E0E0"/>
            </w:tcBorders>
            <w:shd w:val="clear" w:color="auto" w:fill="FFFFFF"/>
            <w:vAlign w:val="bottom"/>
          </w:tcPr>
          <w:p w14:paraId="46B30F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5E5418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5B4DC5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D905F9" w:rsidRPr="00530906" w14:paraId="46C671C3" w14:textId="77777777" w:rsidTr="00A41CEA">
        <w:trPr>
          <w:cantSplit/>
        </w:trPr>
        <w:tc>
          <w:tcPr>
            <w:tcW w:w="180" w:type="dxa"/>
            <w:vMerge w:val="restart"/>
            <w:tcBorders>
              <w:top w:val="single" w:sz="8" w:space="0" w:color="152935"/>
              <w:left w:val="nil"/>
              <w:bottom w:val="single" w:sz="8" w:space="0" w:color="152935"/>
              <w:right w:val="nil"/>
            </w:tcBorders>
            <w:shd w:val="clear" w:color="auto" w:fill="E0E0E0"/>
          </w:tcPr>
          <w:p w14:paraId="43101C2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900" w:type="dxa"/>
            <w:gridSpan w:val="3"/>
            <w:tcBorders>
              <w:top w:val="single" w:sz="8" w:space="0" w:color="152935"/>
              <w:left w:val="nil"/>
              <w:bottom w:val="single" w:sz="8" w:space="0" w:color="AEAEAE"/>
              <w:right w:val="nil"/>
            </w:tcBorders>
            <w:shd w:val="clear" w:color="auto" w:fill="E0E0E0"/>
          </w:tcPr>
          <w:p w14:paraId="5C1434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630" w:type="dxa"/>
            <w:tcBorders>
              <w:top w:val="single" w:sz="8" w:space="0" w:color="152935"/>
              <w:left w:val="nil"/>
              <w:bottom w:val="single" w:sz="8" w:space="0" w:color="AEAEAE"/>
              <w:right w:val="single" w:sz="8" w:space="0" w:color="E0E0E0"/>
            </w:tcBorders>
            <w:shd w:val="clear" w:color="auto" w:fill="FFFFFF"/>
          </w:tcPr>
          <w:p w14:paraId="0E29E9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2.506</w:t>
            </w:r>
          </w:p>
        </w:tc>
        <w:tc>
          <w:tcPr>
            <w:tcW w:w="720" w:type="dxa"/>
            <w:gridSpan w:val="3"/>
            <w:tcBorders>
              <w:top w:val="single" w:sz="8" w:space="0" w:color="152935"/>
              <w:left w:val="single" w:sz="8" w:space="0" w:color="E0E0E0"/>
              <w:bottom w:val="single" w:sz="8" w:space="0" w:color="AEAEAE"/>
              <w:right w:val="single" w:sz="8" w:space="0" w:color="E0E0E0"/>
            </w:tcBorders>
            <w:shd w:val="clear" w:color="auto" w:fill="FFFFFF"/>
          </w:tcPr>
          <w:p w14:paraId="78E3DD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.247</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8C7D6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57FB0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10.158</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0EB340A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0DC4F8C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2.020</w:t>
            </w:r>
          </w:p>
        </w:tc>
        <w:tc>
          <w:tcPr>
            <w:tcW w:w="696" w:type="dxa"/>
            <w:tcBorders>
              <w:top w:val="single" w:sz="8" w:space="0" w:color="152935"/>
              <w:left w:val="single" w:sz="8" w:space="0" w:color="E0E0E0"/>
              <w:bottom w:val="single" w:sz="8" w:space="0" w:color="AEAEAE"/>
              <w:right w:val="single" w:sz="8" w:space="0" w:color="E0E0E0"/>
            </w:tcBorders>
            <w:shd w:val="clear" w:color="auto" w:fill="FFFFFF"/>
          </w:tcPr>
          <w:p w14:paraId="5887B7A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2.992</w:t>
            </w:r>
          </w:p>
        </w:tc>
        <w:tc>
          <w:tcPr>
            <w:tcW w:w="90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699DCD65"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5DD975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10319C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EFFC95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65DC12B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D905F9" w:rsidRPr="00530906" w14:paraId="40B2FD5F" w14:textId="77777777" w:rsidTr="00A41CEA">
        <w:trPr>
          <w:cantSplit/>
        </w:trPr>
        <w:tc>
          <w:tcPr>
            <w:tcW w:w="180" w:type="dxa"/>
            <w:vMerge/>
            <w:tcBorders>
              <w:top w:val="single" w:sz="8" w:space="0" w:color="152935"/>
              <w:left w:val="nil"/>
              <w:bottom w:val="single" w:sz="8" w:space="0" w:color="152935"/>
              <w:right w:val="nil"/>
            </w:tcBorders>
            <w:shd w:val="clear" w:color="auto" w:fill="E0E0E0"/>
          </w:tcPr>
          <w:p w14:paraId="46070EA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900" w:type="dxa"/>
            <w:gridSpan w:val="3"/>
            <w:tcBorders>
              <w:top w:val="single" w:sz="8" w:space="0" w:color="AEAEAE"/>
              <w:left w:val="nil"/>
              <w:bottom w:val="single" w:sz="8" w:space="0" w:color="152935"/>
              <w:right w:val="nil"/>
            </w:tcBorders>
            <w:shd w:val="clear" w:color="auto" w:fill="E0E0E0"/>
          </w:tcPr>
          <w:p w14:paraId="17CAA5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information</w:t>
            </w:r>
          </w:p>
        </w:tc>
        <w:tc>
          <w:tcPr>
            <w:tcW w:w="630" w:type="dxa"/>
            <w:tcBorders>
              <w:top w:val="single" w:sz="8" w:space="0" w:color="AEAEAE"/>
              <w:left w:val="nil"/>
              <w:bottom w:val="single" w:sz="8" w:space="0" w:color="152935"/>
              <w:right w:val="single" w:sz="8" w:space="0" w:color="E0E0E0"/>
            </w:tcBorders>
            <w:shd w:val="clear" w:color="auto" w:fill="FFFFFF"/>
          </w:tcPr>
          <w:p w14:paraId="5431FD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.388</w:t>
            </w:r>
          </w:p>
        </w:tc>
        <w:tc>
          <w:tcPr>
            <w:tcW w:w="720" w:type="dxa"/>
            <w:gridSpan w:val="3"/>
            <w:tcBorders>
              <w:top w:val="single" w:sz="8" w:space="0" w:color="AEAEAE"/>
              <w:left w:val="single" w:sz="8" w:space="0" w:color="E0E0E0"/>
              <w:bottom w:val="single" w:sz="8" w:space="0" w:color="152935"/>
              <w:right w:val="single" w:sz="8" w:space="0" w:color="E0E0E0"/>
            </w:tcBorders>
            <w:shd w:val="clear" w:color="auto" w:fill="FFFFFF"/>
          </w:tcPr>
          <w:p w14:paraId="1CCFABF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.055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60534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.391</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0CEBD5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7.078</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46421D2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7166234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.280</w:t>
            </w:r>
          </w:p>
        </w:tc>
        <w:tc>
          <w:tcPr>
            <w:tcW w:w="696" w:type="dxa"/>
            <w:tcBorders>
              <w:top w:val="single" w:sz="8" w:space="0" w:color="AEAEAE"/>
              <w:left w:val="single" w:sz="8" w:space="0" w:color="E0E0E0"/>
              <w:bottom w:val="single" w:sz="8" w:space="0" w:color="152935"/>
              <w:right w:val="single" w:sz="8" w:space="0" w:color="E0E0E0"/>
            </w:tcBorders>
            <w:shd w:val="clear" w:color="auto" w:fill="FFFFFF"/>
          </w:tcPr>
          <w:p w14:paraId="76647C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.496</w:t>
            </w:r>
          </w:p>
        </w:tc>
        <w:tc>
          <w:tcPr>
            <w:tcW w:w="900" w:type="dxa"/>
            <w:gridSpan w:val="4"/>
            <w:tcBorders>
              <w:top w:val="single" w:sz="8" w:space="0" w:color="AEAEAE"/>
              <w:left w:val="single" w:sz="8" w:space="0" w:color="E0E0E0"/>
              <w:bottom w:val="single" w:sz="8" w:space="0" w:color="152935"/>
              <w:right w:val="single" w:sz="8" w:space="0" w:color="E0E0E0"/>
            </w:tcBorders>
            <w:shd w:val="clear" w:color="auto" w:fill="FFFFFF"/>
          </w:tcPr>
          <w:p w14:paraId="0808A0A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.391</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E07E7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.391</w:t>
            </w:r>
          </w:p>
        </w:tc>
        <w:tc>
          <w:tcPr>
            <w:tcW w:w="360" w:type="dxa"/>
            <w:tcBorders>
              <w:top w:val="single" w:sz="8" w:space="0" w:color="AEAEAE"/>
              <w:left w:val="single" w:sz="8" w:space="0" w:color="E0E0E0"/>
              <w:bottom w:val="single" w:sz="8" w:space="0" w:color="152935"/>
              <w:right w:val="single" w:sz="8" w:space="0" w:color="E0E0E0"/>
            </w:tcBorders>
            <w:shd w:val="clear" w:color="auto" w:fill="FFFFFF"/>
          </w:tcPr>
          <w:p w14:paraId="2036F8D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.391</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77F64A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450" w:type="dxa"/>
            <w:tcBorders>
              <w:top w:val="single" w:sz="8" w:space="0" w:color="AEAEAE"/>
              <w:left w:val="single" w:sz="8" w:space="0" w:color="E0E0E0"/>
              <w:bottom w:val="single" w:sz="8" w:space="0" w:color="152935"/>
              <w:right w:val="nil"/>
            </w:tcBorders>
            <w:shd w:val="clear" w:color="auto" w:fill="FFFFFF"/>
          </w:tcPr>
          <w:p w14:paraId="3E86493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2EFF806D" w14:textId="77777777" w:rsidTr="00EE722D">
        <w:trPr>
          <w:cantSplit/>
        </w:trPr>
        <w:tc>
          <w:tcPr>
            <w:tcW w:w="9156" w:type="dxa"/>
            <w:gridSpan w:val="26"/>
            <w:tcBorders>
              <w:top w:val="nil"/>
              <w:left w:val="nil"/>
              <w:bottom w:val="nil"/>
              <w:right w:val="nil"/>
            </w:tcBorders>
            <w:shd w:val="clear" w:color="auto" w:fill="FFFFFF"/>
          </w:tcPr>
          <w:p w14:paraId="2DAF09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bl>
    <w:p w14:paraId="1AEEAC3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515192EB" w14:textId="1A219E95" w:rsidR="00C7217E" w:rsidRPr="00530906" w:rsidRDefault="00C7217E" w:rsidP="008756B1">
      <w:pPr>
        <w:pStyle w:val="Heading3"/>
        <w:jc w:val="both"/>
        <w:rPr>
          <w:rFonts w:eastAsia="Times New Roman"/>
          <w:lang w:val="en-US"/>
        </w:rPr>
      </w:pPr>
      <w:bookmarkStart w:id="157" w:name="_Toc115726312"/>
      <w:r w:rsidRPr="00530906">
        <w:rPr>
          <w:rFonts w:eastAsia="Times New Roman"/>
          <w:lang w:val="en-US"/>
        </w:rPr>
        <w:t>Regression analysis between ‘norm’ and ‘purchase’</w:t>
      </w:r>
      <w:bookmarkEnd w:id="157"/>
    </w:p>
    <w:p w14:paraId="417E328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634"/>
        <w:gridCol w:w="69"/>
        <w:gridCol w:w="107"/>
        <w:gridCol w:w="450"/>
        <w:gridCol w:w="580"/>
        <w:gridCol w:w="140"/>
        <w:gridCol w:w="80"/>
        <w:gridCol w:w="910"/>
        <w:gridCol w:w="75"/>
        <w:gridCol w:w="465"/>
        <w:gridCol w:w="181"/>
        <w:gridCol w:w="269"/>
        <w:gridCol w:w="716"/>
        <w:gridCol w:w="153"/>
        <w:gridCol w:w="121"/>
        <w:gridCol w:w="1080"/>
        <w:gridCol w:w="277"/>
        <w:gridCol w:w="85"/>
        <w:gridCol w:w="538"/>
        <w:gridCol w:w="125"/>
        <w:gridCol w:w="415"/>
        <w:gridCol w:w="200"/>
        <w:gridCol w:w="160"/>
        <w:gridCol w:w="810"/>
        <w:gridCol w:w="450"/>
      </w:tblGrid>
      <w:tr w:rsidR="00C7217E" w:rsidRPr="00530906" w14:paraId="2EC36C45" w14:textId="77777777" w:rsidTr="00C7217E">
        <w:trPr>
          <w:gridAfter w:val="8"/>
          <w:wAfter w:w="2783" w:type="dxa"/>
          <w:cantSplit/>
        </w:trPr>
        <w:tc>
          <w:tcPr>
            <w:tcW w:w="6487" w:type="dxa"/>
            <w:gridSpan w:val="18"/>
            <w:tcBorders>
              <w:top w:val="nil"/>
              <w:left w:val="nil"/>
              <w:bottom w:val="nil"/>
              <w:right w:val="nil"/>
            </w:tcBorders>
            <w:shd w:val="clear" w:color="auto" w:fill="FFFFFF"/>
            <w:vAlign w:val="center"/>
          </w:tcPr>
          <w:p w14:paraId="2164B012"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0C370667" w14:textId="77777777" w:rsidTr="00C7217E">
        <w:trPr>
          <w:gridAfter w:val="8"/>
          <w:wAfter w:w="2783" w:type="dxa"/>
          <w:cantSplit/>
        </w:trPr>
        <w:tc>
          <w:tcPr>
            <w:tcW w:w="883" w:type="dxa"/>
            <w:gridSpan w:val="3"/>
            <w:tcBorders>
              <w:top w:val="nil"/>
              <w:left w:val="nil"/>
              <w:bottom w:val="single" w:sz="8" w:space="0" w:color="152935"/>
              <w:right w:val="nil"/>
            </w:tcBorders>
            <w:shd w:val="clear" w:color="auto" w:fill="FFFFFF"/>
            <w:vAlign w:val="bottom"/>
          </w:tcPr>
          <w:p w14:paraId="1A1D62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7460E38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4"/>
            <w:tcBorders>
              <w:top w:val="nil"/>
              <w:left w:val="single" w:sz="8" w:space="0" w:color="E0E0E0"/>
              <w:bottom w:val="single" w:sz="8" w:space="0" w:color="152935"/>
              <w:right w:val="single" w:sz="8" w:space="0" w:color="E0E0E0"/>
            </w:tcBorders>
            <w:shd w:val="clear" w:color="auto" w:fill="FFFFFF"/>
            <w:vAlign w:val="bottom"/>
          </w:tcPr>
          <w:p w14:paraId="440615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4"/>
            <w:tcBorders>
              <w:top w:val="nil"/>
              <w:left w:val="single" w:sz="8" w:space="0" w:color="E0E0E0"/>
              <w:bottom w:val="single" w:sz="8" w:space="0" w:color="152935"/>
              <w:right w:val="single" w:sz="8" w:space="0" w:color="E0E0E0"/>
            </w:tcBorders>
            <w:shd w:val="clear" w:color="auto" w:fill="FFFFFF"/>
            <w:vAlign w:val="bottom"/>
          </w:tcPr>
          <w:p w14:paraId="388300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631" w:type="dxa"/>
            <w:gridSpan w:val="4"/>
            <w:tcBorders>
              <w:top w:val="nil"/>
              <w:left w:val="single" w:sz="8" w:space="0" w:color="E0E0E0"/>
              <w:bottom w:val="single" w:sz="8" w:space="0" w:color="152935"/>
              <w:right w:val="nil"/>
            </w:tcBorders>
            <w:shd w:val="clear" w:color="auto" w:fill="FFFFFF"/>
            <w:vAlign w:val="bottom"/>
          </w:tcPr>
          <w:p w14:paraId="14BC05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09FCDB68" w14:textId="77777777" w:rsidTr="00C7217E">
        <w:trPr>
          <w:gridAfter w:val="8"/>
          <w:wAfter w:w="2783" w:type="dxa"/>
          <w:cantSplit/>
        </w:trPr>
        <w:tc>
          <w:tcPr>
            <w:tcW w:w="883" w:type="dxa"/>
            <w:gridSpan w:val="3"/>
            <w:tcBorders>
              <w:top w:val="single" w:sz="8" w:space="0" w:color="152935"/>
              <w:left w:val="nil"/>
              <w:bottom w:val="single" w:sz="8" w:space="0" w:color="152935"/>
              <w:right w:val="nil"/>
            </w:tcBorders>
            <w:shd w:val="clear" w:color="auto" w:fill="E0E0E0"/>
          </w:tcPr>
          <w:p w14:paraId="35FD66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5542AE4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.323</w:t>
            </w:r>
            <w:r w:rsidRPr="00530906">
              <w:rPr>
                <w:rFonts w:ascii="Cambria" w:eastAsia="Times New Roman" w:hAnsi="Cambria" w:cs="Times New Roman"/>
                <w:color w:val="000000"/>
                <w:sz w:val="18"/>
                <w:szCs w:val="18"/>
                <w:vertAlign w:val="superscript"/>
                <w:lang w:val="en-US"/>
              </w:rPr>
              <w:t>a</w:t>
            </w:r>
          </w:p>
        </w:tc>
        <w:tc>
          <w:tcPr>
            <w:tcW w:w="1205" w:type="dxa"/>
            <w:gridSpan w:val="4"/>
            <w:tcBorders>
              <w:top w:val="single" w:sz="8" w:space="0" w:color="152935"/>
              <w:left w:val="single" w:sz="8" w:space="0" w:color="E0E0E0"/>
              <w:bottom w:val="single" w:sz="8" w:space="0" w:color="152935"/>
              <w:right w:val="single" w:sz="8" w:space="0" w:color="E0E0E0"/>
            </w:tcBorders>
            <w:shd w:val="clear" w:color="auto" w:fill="FFFFFF"/>
          </w:tcPr>
          <w:p w14:paraId="7A2430B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.104</w:t>
            </w:r>
          </w:p>
        </w:tc>
        <w:tc>
          <w:tcPr>
            <w:tcW w:w="1631" w:type="dxa"/>
            <w:gridSpan w:val="4"/>
            <w:tcBorders>
              <w:top w:val="single" w:sz="8" w:space="0" w:color="152935"/>
              <w:left w:val="single" w:sz="8" w:space="0" w:color="E0E0E0"/>
              <w:bottom w:val="single" w:sz="8" w:space="0" w:color="152935"/>
              <w:right w:val="single" w:sz="8" w:space="0" w:color="E0E0E0"/>
            </w:tcBorders>
            <w:shd w:val="clear" w:color="auto" w:fill="FFFFFF"/>
          </w:tcPr>
          <w:p w14:paraId="596E61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.101</w:t>
            </w:r>
          </w:p>
        </w:tc>
        <w:tc>
          <w:tcPr>
            <w:tcW w:w="1631" w:type="dxa"/>
            <w:gridSpan w:val="4"/>
            <w:tcBorders>
              <w:top w:val="single" w:sz="8" w:space="0" w:color="152935"/>
              <w:left w:val="single" w:sz="8" w:space="0" w:color="E0E0E0"/>
              <w:bottom w:val="single" w:sz="8" w:space="0" w:color="152935"/>
              <w:right w:val="nil"/>
            </w:tcBorders>
            <w:shd w:val="clear" w:color="auto" w:fill="FFFFFF"/>
          </w:tcPr>
          <w:p w14:paraId="7A9D922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1.34438</w:t>
            </w:r>
          </w:p>
        </w:tc>
      </w:tr>
      <w:tr w:rsidR="00C7217E" w:rsidRPr="00530906" w14:paraId="10D4B460" w14:textId="77777777" w:rsidTr="00C7217E">
        <w:trPr>
          <w:gridAfter w:val="8"/>
          <w:wAfter w:w="2783" w:type="dxa"/>
          <w:cantSplit/>
        </w:trPr>
        <w:tc>
          <w:tcPr>
            <w:tcW w:w="6487" w:type="dxa"/>
            <w:gridSpan w:val="18"/>
            <w:tcBorders>
              <w:top w:val="nil"/>
              <w:left w:val="nil"/>
              <w:bottom w:val="nil"/>
              <w:right w:val="nil"/>
            </w:tcBorders>
            <w:shd w:val="clear" w:color="auto" w:fill="FFFFFF"/>
          </w:tcPr>
          <w:p w14:paraId="4479D4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Norm</w:t>
            </w:r>
          </w:p>
        </w:tc>
      </w:tr>
      <w:tr w:rsidR="00C7217E" w:rsidRPr="00530906" w14:paraId="0867BA59" w14:textId="77777777" w:rsidTr="00C7217E">
        <w:trPr>
          <w:gridAfter w:val="8"/>
          <w:wAfter w:w="2783" w:type="dxa"/>
          <w:cantSplit/>
        </w:trPr>
        <w:tc>
          <w:tcPr>
            <w:tcW w:w="6487" w:type="dxa"/>
            <w:gridSpan w:val="18"/>
            <w:tcBorders>
              <w:top w:val="nil"/>
              <w:left w:val="nil"/>
              <w:bottom w:val="nil"/>
              <w:right w:val="nil"/>
            </w:tcBorders>
            <w:shd w:val="clear" w:color="auto" w:fill="FFFFFF"/>
          </w:tcPr>
          <w:p w14:paraId="4B18906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Purchase</w:t>
            </w:r>
          </w:p>
        </w:tc>
      </w:tr>
      <w:tr w:rsidR="00C7217E" w:rsidRPr="00530906" w14:paraId="47100AF9" w14:textId="77777777" w:rsidTr="00C7217E">
        <w:trPr>
          <w:gridAfter w:val="3"/>
          <w:wAfter w:w="1420" w:type="dxa"/>
          <w:cantSplit/>
        </w:trPr>
        <w:tc>
          <w:tcPr>
            <w:tcW w:w="7850" w:type="dxa"/>
            <w:gridSpan w:val="23"/>
            <w:tcBorders>
              <w:top w:val="nil"/>
              <w:left w:val="nil"/>
              <w:bottom w:val="nil"/>
              <w:right w:val="nil"/>
            </w:tcBorders>
            <w:shd w:val="clear" w:color="auto" w:fill="FFFFFF"/>
            <w:vAlign w:val="center"/>
          </w:tcPr>
          <w:p w14:paraId="0E64AB6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66391F8E" w14:textId="77777777" w:rsidTr="00C7217E">
        <w:trPr>
          <w:gridAfter w:val="3"/>
          <w:wAfter w:w="1420" w:type="dxa"/>
          <w:cantSplit/>
        </w:trPr>
        <w:tc>
          <w:tcPr>
            <w:tcW w:w="2240" w:type="dxa"/>
            <w:gridSpan w:val="8"/>
            <w:tcBorders>
              <w:top w:val="nil"/>
              <w:left w:val="nil"/>
              <w:bottom w:val="single" w:sz="8" w:space="0" w:color="152935"/>
              <w:right w:val="nil"/>
            </w:tcBorders>
            <w:shd w:val="clear" w:color="auto" w:fill="FFFFFF"/>
            <w:vAlign w:val="bottom"/>
          </w:tcPr>
          <w:p w14:paraId="4D81BE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057C28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3"/>
            <w:tcBorders>
              <w:top w:val="nil"/>
              <w:left w:val="single" w:sz="8" w:space="0" w:color="E0E0E0"/>
              <w:bottom w:val="single" w:sz="8" w:space="0" w:color="152935"/>
              <w:right w:val="single" w:sz="8" w:space="0" w:color="E0E0E0"/>
            </w:tcBorders>
            <w:shd w:val="clear" w:color="auto" w:fill="FFFFFF"/>
            <w:vAlign w:val="bottom"/>
          </w:tcPr>
          <w:p w14:paraId="0736C87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63" w:type="dxa"/>
            <w:gridSpan w:val="4"/>
            <w:tcBorders>
              <w:top w:val="nil"/>
              <w:left w:val="single" w:sz="8" w:space="0" w:color="E0E0E0"/>
              <w:bottom w:val="single" w:sz="8" w:space="0" w:color="152935"/>
              <w:right w:val="single" w:sz="8" w:space="0" w:color="E0E0E0"/>
            </w:tcBorders>
            <w:shd w:val="clear" w:color="auto" w:fill="FFFFFF"/>
            <w:vAlign w:val="bottom"/>
          </w:tcPr>
          <w:p w14:paraId="5BB4942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663" w:type="dxa"/>
            <w:gridSpan w:val="2"/>
            <w:tcBorders>
              <w:top w:val="nil"/>
              <w:left w:val="single" w:sz="8" w:space="0" w:color="E0E0E0"/>
              <w:bottom w:val="single" w:sz="8" w:space="0" w:color="152935"/>
              <w:right w:val="single" w:sz="8" w:space="0" w:color="E0E0E0"/>
            </w:tcBorders>
            <w:shd w:val="clear" w:color="auto" w:fill="FFFFFF"/>
            <w:vAlign w:val="bottom"/>
          </w:tcPr>
          <w:p w14:paraId="39A58F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615" w:type="dxa"/>
            <w:gridSpan w:val="2"/>
            <w:tcBorders>
              <w:top w:val="nil"/>
              <w:left w:val="single" w:sz="8" w:space="0" w:color="E0E0E0"/>
              <w:bottom w:val="single" w:sz="8" w:space="0" w:color="152935"/>
              <w:right w:val="nil"/>
            </w:tcBorders>
            <w:shd w:val="clear" w:color="auto" w:fill="FFFFFF"/>
            <w:vAlign w:val="bottom"/>
          </w:tcPr>
          <w:p w14:paraId="1F82566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10102CBE" w14:textId="77777777" w:rsidTr="00C7217E">
        <w:trPr>
          <w:gridAfter w:val="3"/>
          <w:wAfter w:w="1420" w:type="dxa"/>
          <w:cantSplit/>
        </w:trPr>
        <w:tc>
          <w:tcPr>
            <w:tcW w:w="814" w:type="dxa"/>
            <w:gridSpan w:val="2"/>
            <w:vMerge w:val="restart"/>
            <w:tcBorders>
              <w:top w:val="single" w:sz="8" w:space="0" w:color="152935"/>
              <w:left w:val="nil"/>
              <w:bottom w:val="single" w:sz="8" w:space="0" w:color="152935"/>
              <w:right w:val="nil"/>
            </w:tcBorders>
            <w:shd w:val="clear" w:color="auto" w:fill="E0E0E0"/>
          </w:tcPr>
          <w:p w14:paraId="387C73A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6"/>
            <w:tcBorders>
              <w:top w:val="single" w:sz="8" w:space="0" w:color="152935"/>
              <w:left w:val="nil"/>
              <w:bottom w:val="single" w:sz="8" w:space="0" w:color="AEAEAE"/>
              <w:right w:val="nil"/>
            </w:tcBorders>
            <w:shd w:val="clear" w:color="auto" w:fill="E0E0E0"/>
          </w:tcPr>
          <w:p w14:paraId="196D010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05CCD7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58.188</w:t>
            </w:r>
          </w:p>
        </w:tc>
        <w:tc>
          <w:tcPr>
            <w:tcW w:w="11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1E6AF2E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63" w:type="dxa"/>
            <w:gridSpan w:val="4"/>
            <w:tcBorders>
              <w:top w:val="single" w:sz="8" w:space="0" w:color="152935"/>
              <w:left w:val="single" w:sz="8" w:space="0" w:color="E0E0E0"/>
              <w:bottom w:val="single" w:sz="8" w:space="0" w:color="AEAEAE"/>
              <w:right w:val="single" w:sz="8" w:space="0" w:color="E0E0E0"/>
            </w:tcBorders>
            <w:shd w:val="clear" w:color="auto" w:fill="FFFFFF"/>
          </w:tcPr>
          <w:p w14:paraId="07F4EE9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58.188</w:t>
            </w:r>
          </w:p>
        </w:tc>
        <w:tc>
          <w:tcPr>
            <w:tcW w:w="663" w:type="dxa"/>
            <w:gridSpan w:val="2"/>
            <w:tcBorders>
              <w:top w:val="single" w:sz="8" w:space="0" w:color="152935"/>
              <w:left w:val="single" w:sz="8" w:space="0" w:color="E0E0E0"/>
              <w:bottom w:val="single" w:sz="8" w:space="0" w:color="AEAEAE"/>
              <w:right w:val="single" w:sz="8" w:space="0" w:color="E0E0E0"/>
            </w:tcBorders>
            <w:shd w:val="clear" w:color="auto" w:fill="FFFFFF"/>
          </w:tcPr>
          <w:p w14:paraId="5A7207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32.195</w:t>
            </w:r>
          </w:p>
        </w:tc>
        <w:tc>
          <w:tcPr>
            <w:tcW w:w="615" w:type="dxa"/>
            <w:gridSpan w:val="2"/>
            <w:tcBorders>
              <w:top w:val="single" w:sz="8" w:space="0" w:color="152935"/>
              <w:left w:val="single" w:sz="8" w:space="0" w:color="E0E0E0"/>
              <w:bottom w:val="single" w:sz="8" w:space="0" w:color="AEAEAE"/>
              <w:right w:val="nil"/>
            </w:tcBorders>
            <w:shd w:val="clear" w:color="auto" w:fill="FFFFFF"/>
          </w:tcPr>
          <w:p w14:paraId="63A6C63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3CB5C1C0"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57911D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6"/>
            <w:tcBorders>
              <w:top w:val="single" w:sz="8" w:space="0" w:color="AEAEAE"/>
              <w:left w:val="nil"/>
              <w:bottom w:val="single" w:sz="8" w:space="0" w:color="AEAEAE"/>
              <w:right w:val="nil"/>
            </w:tcBorders>
            <w:shd w:val="clear" w:color="auto" w:fill="E0E0E0"/>
          </w:tcPr>
          <w:p w14:paraId="75363A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3C6B86C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500.639</w:t>
            </w:r>
          </w:p>
        </w:tc>
        <w:tc>
          <w:tcPr>
            <w:tcW w:w="11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041ED9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63" w:type="dxa"/>
            <w:gridSpan w:val="4"/>
            <w:tcBorders>
              <w:top w:val="single" w:sz="8" w:space="0" w:color="AEAEAE"/>
              <w:left w:val="single" w:sz="8" w:space="0" w:color="E0E0E0"/>
              <w:bottom w:val="single" w:sz="8" w:space="0" w:color="AEAEAE"/>
              <w:right w:val="single" w:sz="8" w:space="0" w:color="E0E0E0"/>
            </w:tcBorders>
            <w:shd w:val="clear" w:color="auto" w:fill="FFFFFF"/>
          </w:tcPr>
          <w:p w14:paraId="2E8B402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1.807</w:t>
            </w:r>
          </w:p>
        </w:tc>
        <w:tc>
          <w:tcPr>
            <w:tcW w:w="663"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F2999B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15" w:type="dxa"/>
            <w:gridSpan w:val="2"/>
            <w:tcBorders>
              <w:top w:val="single" w:sz="8" w:space="0" w:color="AEAEAE"/>
              <w:left w:val="single" w:sz="8" w:space="0" w:color="E0E0E0"/>
              <w:bottom w:val="single" w:sz="8" w:space="0" w:color="AEAEAE"/>
              <w:right w:val="nil"/>
            </w:tcBorders>
            <w:shd w:val="clear" w:color="auto" w:fill="FFFFFF"/>
            <w:vAlign w:val="center"/>
          </w:tcPr>
          <w:p w14:paraId="69FA26F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643A8F66" w14:textId="77777777" w:rsidTr="00C7217E">
        <w:trPr>
          <w:gridAfter w:val="3"/>
          <w:wAfter w:w="1420" w:type="dxa"/>
          <w:cantSplit/>
        </w:trPr>
        <w:tc>
          <w:tcPr>
            <w:tcW w:w="814" w:type="dxa"/>
            <w:gridSpan w:val="2"/>
            <w:vMerge/>
            <w:tcBorders>
              <w:top w:val="single" w:sz="8" w:space="0" w:color="152935"/>
              <w:left w:val="nil"/>
              <w:bottom w:val="single" w:sz="8" w:space="0" w:color="152935"/>
              <w:right w:val="nil"/>
            </w:tcBorders>
            <w:shd w:val="clear" w:color="auto" w:fill="E0E0E0"/>
          </w:tcPr>
          <w:p w14:paraId="23D6AB6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6"/>
            <w:tcBorders>
              <w:top w:val="single" w:sz="8" w:space="0" w:color="AEAEAE"/>
              <w:left w:val="nil"/>
              <w:bottom w:val="single" w:sz="8" w:space="0" w:color="152935"/>
              <w:right w:val="nil"/>
            </w:tcBorders>
            <w:shd w:val="clear" w:color="auto" w:fill="E0E0E0"/>
          </w:tcPr>
          <w:p w14:paraId="7D7B7C2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055661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558.827</w:t>
            </w:r>
          </w:p>
        </w:tc>
        <w:tc>
          <w:tcPr>
            <w:tcW w:w="1138" w:type="dxa"/>
            <w:gridSpan w:val="3"/>
            <w:tcBorders>
              <w:top w:val="single" w:sz="8" w:space="0" w:color="AEAEAE"/>
              <w:left w:val="single" w:sz="8" w:space="0" w:color="E0E0E0"/>
              <w:bottom w:val="single" w:sz="8" w:space="0" w:color="152935"/>
              <w:right w:val="single" w:sz="8" w:space="0" w:color="E0E0E0"/>
            </w:tcBorders>
            <w:shd w:val="clear" w:color="auto" w:fill="FFFFFF"/>
          </w:tcPr>
          <w:p w14:paraId="5DE6241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63"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61045F79"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63"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FCF973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15" w:type="dxa"/>
            <w:gridSpan w:val="2"/>
            <w:tcBorders>
              <w:top w:val="single" w:sz="8" w:space="0" w:color="AEAEAE"/>
              <w:left w:val="single" w:sz="8" w:space="0" w:color="E0E0E0"/>
              <w:bottom w:val="single" w:sz="8" w:space="0" w:color="152935"/>
              <w:right w:val="nil"/>
            </w:tcBorders>
            <w:shd w:val="clear" w:color="auto" w:fill="FFFFFF"/>
            <w:vAlign w:val="center"/>
          </w:tcPr>
          <w:p w14:paraId="59E93F9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511298A" w14:textId="77777777" w:rsidTr="00C7217E">
        <w:trPr>
          <w:gridAfter w:val="3"/>
          <w:wAfter w:w="1420" w:type="dxa"/>
          <w:cantSplit/>
        </w:trPr>
        <w:tc>
          <w:tcPr>
            <w:tcW w:w="7850" w:type="dxa"/>
            <w:gridSpan w:val="23"/>
            <w:tcBorders>
              <w:top w:val="nil"/>
              <w:left w:val="nil"/>
              <w:bottom w:val="nil"/>
              <w:right w:val="nil"/>
            </w:tcBorders>
            <w:shd w:val="clear" w:color="auto" w:fill="FFFFFF"/>
          </w:tcPr>
          <w:p w14:paraId="359C37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r w:rsidR="00C7217E" w:rsidRPr="00530906" w14:paraId="6A84DC85" w14:textId="77777777" w:rsidTr="00C7217E">
        <w:trPr>
          <w:gridAfter w:val="3"/>
          <w:wAfter w:w="1420" w:type="dxa"/>
          <w:cantSplit/>
        </w:trPr>
        <w:tc>
          <w:tcPr>
            <w:tcW w:w="7850" w:type="dxa"/>
            <w:gridSpan w:val="23"/>
            <w:tcBorders>
              <w:top w:val="nil"/>
              <w:left w:val="nil"/>
              <w:bottom w:val="nil"/>
              <w:right w:val="nil"/>
            </w:tcBorders>
            <w:shd w:val="clear" w:color="auto" w:fill="FFFFFF"/>
          </w:tcPr>
          <w:p w14:paraId="3E735B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Norm</w:t>
            </w:r>
          </w:p>
        </w:tc>
      </w:tr>
      <w:tr w:rsidR="00C7217E" w:rsidRPr="00530906" w14:paraId="31BE44D1" w14:textId="77777777" w:rsidTr="00C7217E">
        <w:trPr>
          <w:cantSplit/>
        </w:trPr>
        <w:tc>
          <w:tcPr>
            <w:tcW w:w="9270" w:type="dxa"/>
            <w:gridSpan w:val="26"/>
            <w:tcBorders>
              <w:top w:val="nil"/>
              <w:left w:val="nil"/>
              <w:bottom w:val="nil"/>
              <w:right w:val="nil"/>
            </w:tcBorders>
            <w:shd w:val="clear" w:color="auto" w:fill="FFFFFF"/>
            <w:vAlign w:val="center"/>
          </w:tcPr>
          <w:p w14:paraId="060CBD13"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2A8E4721" w14:textId="77777777" w:rsidTr="00C7217E">
        <w:trPr>
          <w:cantSplit/>
        </w:trPr>
        <w:tc>
          <w:tcPr>
            <w:tcW w:w="990" w:type="dxa"/>
            <w:gridSpan w:val="4"/>
            <w:vMerge w:val="restart"/>
            <w:tcBorders>
              <w:top w:val="nil"/>
              <w:left w:val="nil"/>
              <w:bottom w:val="nil"/>
              <w:right w:val="nil"/>
            </w:tcBorders>
            <w:shd w:val="clear" w:color="auto" w:fill="FFFFFF"/>
            <w:vAlign w:val="bottom"/>
          </w:tcPr>
          <w:p w14:paraId="6B62C1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70" w:type="dxa"/>
            <w:gridSpan w:val="3"/>
            <w:tcBorders>
              <w:top w:val="nil"/>
              <w:left w:val="nil"/>
              <w:bottom w:val="nil"/>
              <w:right w:val="single" w:sz="8" w:space="0" w:color="E0E0E0"/>
            </w:tcBorders>
            <w:shd w:val="clear" w:color="auto" w:fill="FFFFFF"/>
            <w:vAlign w:val="bottom"/>
          </w:tcPr>
          <w:p w14:paraId="469D488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1AF398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540" w:type="dxa"/>
            <w:gridSpan w:val="2"/>
            <w:vMerge w:val="restart"/>
            <w:tcBorders>
              <w:top w:val="nil"/>
              <w:left w:val="single" w:sz="8" w:space="0" w:color="E0E0E0"/>
              <w:bottom w:val="nil"/>
              <w:right w:val="single" w:sz="8" w:space="0" w:color="E0E0E0"/>
            </w:tcBorders>
            <w:shd w:val="clear" w:color="auto" w:fill="FFFFFF"/>
            <w:vAlign w:val="bottom"/>
          </w:tcPr>
          <w:p w14:paraId="0E2817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gridSpan w:val="2"/>
            <w:vMerge w:val="restart"/>
            <w:tcBorders>
              <w:top w:val="nil"/>
              <w:left w:val="single" w:sz="8" w:space="0" w:color="E0E0E0"/>
              <w:bottom w:val="nil"/>
              <w:right w:val="single" w:sz="8" w:space="0" w:color="E0E0E0"/>
            </w:tcBorders>
            <w:shd w:val="clear" w:color="auto" w:fill="FFFFFF"/>
            <w:vAlign w:val="bottom"/>
          </w:tcPr>
          <w:p w14:paraId="3324DC6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070" w:type="dxa"/>
            <w:gridSpan w:val="4"/>
            <w:tcBorders>
              <w:top w:val="nil"/>
              <w:left w:val="single" w:sz="8" w:space="0" w:color="E0E0E0"/>
              <w:bottom w:val="nil"/>
              <w:right w:val="single" w:sz="8" w:space="0" w:color="E0E0E0"/>
            </w:tcBorders>
            <w:shd w:val="clear" w:color="auto" w:fill="FFFFFF"/>
            <w:vAlign w:val="bottom"/>
          </w:tcPr>
          <w:p w14:paraId="2828FEB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00" w:type="dxa"/>
            <w:gridSpan w:val="7"/>
            <w:tcBorders>
              <w:top w:val="nil"/>
              <w:left w:val="single" w:sz="8" w:space="0" w:color="E0E0E0"/>
              <w:bottom w:val="nil"/>
              <w:right w:val="single" w:sz="8" w:space="0" w:color="E0E0E0"/>
            </w:tcBorders>
            <w:shd w:val="clear" w:color="auto" w:fill="FFFFFF"/>
            <w:vAlign w:val="bottom"/>
          </w:tcPr>
          <w:p w14:paraId="47C17AE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64945BA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46832D7D" w14:textId="77777777" w:rsidTr="00C7217E">
        <w:trPr>
          <w:cantSplit/>
        </w:trPr>
        <w:tc>
          <w:tcPr>
            <w:tcW w:w="990" w:type="dxa"/>
            <w:gridSpan w:val="4"/>
            <w:vMerge/>
            <w:tcBorders>
              <w:top w:val="nil"/>
              <w:left w:val="nil"/>
              <w:bottom w:val="nil"/>
              <w:right w:val="nil"/>
            </w:tcBorders>
            <w:shd w:val="clear" w:color="auto" w:fill="FFFFFF"/>
            <w:vAlign w:val="bottom"/>
          </w:tcPr>
          <w:p w14:paraId="2F4B8E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tcBorders>
              <w:top w:val="nil"/>
              <w:left w:val="nil"/>
              <w:bottom w:val="single" w:sz="8" w:space="0" w:color="152935"/>
              <w:right w:val="single" w:sz="8" w:space="0" w:color="E0E0E0"/>
            </w:tcBorders>
            <w:shd w:val="clear" w:color="auto" w:fill="FFFFFF"/>
            <w:vAlign w:val="bottom"/>
          </w:tcPr>
          <w:p w14:paraId="00B282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720" w:type="dxa"/>
            <w:gridSpan w:val="2"/>
            <w:tcBorders>
              <w:top w:val="nil"/>
              <w:left w:val="single" w:sz="8" w:space="0" w:color="E0E0E0"/>
              <w:bottom w:val="single" w:sz="8" w:space="0" w:color="152935"/>
              <w:right w:val="single" w:sz="8" w:space="0" w:color="E0E0E0"/>
            </w:tcBorders>
            <w:shd w:val="clear" w:color="auto" w:fill="FFFFFF"/>
            <w:vAlign w:val="bottom"/>
          </w:tcPr>
          <w:p w14:paraId="5B463B0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3053480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540" w:type="dxa"/>
            <w:gridSpan w:val="2"/>
            <w:vMerge/>
            <w:tcBorders>
              <w:top w:val="nil"/>
              <w:left w:val="single" w:sz="8" w:space="0" w:color="E0E0E0"/>
              <w:bottom w:val="nil"/>
              <w:right w:val="single" w:sz="8" w:space="0" w:color="E0E0E0"/>
            </w:tcBorders>
            <w:shd w:val="clear" w:color="auto" w:fill="FFFFFF"/>
            <w:vAlign w:val="bottom"/>
          </w:tcPr>
          <w:p w14:paraId="05FFC4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gridSpan w:val="2"/>
            <w:vMerge/>
            <w:tcBorders>
              <w:top w:val="nil"/>
              <w:left w:val="single" w:sz="8" w:space="0" w:color="E0E0E0"/>
              <w:bottom w:val="nil"/>
              <w:right w:val="single" w:sz="8" w:space="0" w:color="E0E0E0"/>
            </w:tcBorders>
            <w:shd w:val="clear" w:color="auto" w:fill="FFFFFF"/>
            <w:vAlign w:val="bottom"/>
          </w:tcPr>
          <w:p w14:paraId="402C1C7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90" w:type="dxa"/>
            <w:gridSpan w:val="3"/>
            <w:tcBorders>
              <w:top w:val="nil"/>
              <w:left w:val="single" w:sz="8" w:space="0" w:color="E0E0E0"/>
              <w:bottom w:val="single" w:sz="8" w:space="0" w:color="152935"/>
              <w:right w:val="single" w:sz="8" w:space="0" w:color="E0E0E0"/>
            </w:tcBorders>
            <w:shd w:val="clear" w:color="auto" w:fill="FFFFFF"/>
            <w:vAlign w:val="bottom"/>
          </w:tcPr>
          <w:p w14:paraId="774DFBB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5BDA1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3"/>
            <w:tcBorders>
              <w:top w:val="nil"/>
              <w:left w:val="single" w:sz="8" w:space="0" w:color="E0E0E0"/>
              <w:bottom w:val="single" w:sz="8" w:space="0" w:color="152935"/>
              <w:right w:val="single" w:sz="8" w:space="0" w:color="E0E0E0"/>
            </w:tcBorders>
            <w:shd w:val="clear" w:color="auto" w:fill="FFFFFF"/>
            <w:vAlign w:val="bottom"/>
          </w:tcPr>
          <w:p w14:paraId="56D82AF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3DF61F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360" w:type="dxa"/>
            <w:gridSpan w:val="2"/>
            <w:tcBorders>
              <w:top w:val="nil"/>
              <w:left w:val="single" w:sz="8" w:space="0" w:color="E0E0E0"/>
              <w:bottom w:val="single" w:sz="8" w:space="0" w:color="152935"/>
              <w:right w:val="single" w:sz="8" w:space="0" w:color="E0E0E0"/>
            </w:tcBorders>
            <w:shd w:val="clear" w:color="auto" w:fill="FFFFFF"/>
            <w:vAlign w:val="bottom"/>
          </w:tcPr>
          <w:p w14:paraId="262CDB8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21EF58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762A0E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7664E372" w14:textId="77777777" w:rsidTr="00C7217E">
        <w:trPr>
          <w:cantSplit/>
        </w:trPr>
        <w:tc>
          <w:tcPr>
            <w:tcW w:w="180" w:type="dxa"/>
            <w:vMerge w:val="restart"/>
            <w:tcBorders>
              <w:top w:val="single" w:sz="8" w:space="0" w:color="152935"/>
              <w:left w:val="nil"/>
              <w:bottom w:val="single" w:sz="8" w:space="0" w:color="152935"/>
              <w:right w:val="nil"/>
            </w:tcBorders>
            <w:shd w:val="clear" w:color="auto" w:fill="E0E0E0"/>
          </w:tcPr>
          <w:p w14:paraId="3174F8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810" w:type="dxa"/>
            <w:gridSpan w:val="3"/>
            <w:tcBorders>
              <w:top w:val="single" w:sz="8" w:space="0" w:color="152935"/>
              <w:left w:val="nil"/>
              <w:bottom w:val="single" w:sz="8" w:space="0" w:color="AEAEAE"/>
              <w:right w:val="nil"/>
            </w:tcBorders>
            <w:shd w:val="clear" w:color="auto" w:fill="E0E0E0"/>
          </w:tcPr>
          <w:p w14:paraId="6F6BCD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450" w:type="dxa"/>
            <w:tcBorders>
              <w:top w:val="single" w:sz="8" w:space="0" w:color="152935"/>
              <w:left w:val="nil"/>
              <w:bottom w:val="single" w:sz="8" w:space="0" w:color="AEAEAE"/>
              <w:right w:val="single" w:sz="8" w:space="0" w:color="E0E0E0"/>
            </w:tcBorders>
            <w:shd w:val="clear" w:color="auto" w:fill="FFFFFF"/>
          </w:tcPr>
          <w:p w14:paraId="15B11E4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3.151</w:t>
            </w:r>
          </w:p>
        </w:tc>
        <w:tc>
          <w:tcPr>
            <w:tcW w:w="7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6E27E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.196</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A1BDB0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tcPr>
          <w:p w14:paraId="19AD7B6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16.114</w:t>
            </w:r>
          </w:p>
        </w:tc>
        <w:tc>
          <w:tcPr>
            <w:tcW w:w="45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F64B1C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152935"/>
              <w:left w:val="single" w:sz="8" w:space="0" w:color="E0E0E0"/>
              <w:bottom w:val="single" w:sz="8" w:space="0" w:color="AEAEAE"/>
              <w:right w:val="single" w:sz="8" w:space="0" w:color="E0E0E0"/>
            </w:tcBorders>
            <w:shd w:val="clear" w:color="auto" w:fill="FFFFFF"/>
          </w:tcPr>
          <w:p w14:paraId="45050D7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2.766</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DE15BF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3.536</w:t>
            </w:r>
          </w:p>
        </w:tc>
        <w:tc>
          <w:tcPr>
            <w:tcW w:w="90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79925AF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EB79036"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36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3245E8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4B451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33A5B03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3BAC669" w14:textId="77777777" w:rsidTr="00C7217E">
        <w:trPr>
          <w:cantSplit/>
        </w:trPr>
        <w:tc>
          <w:tcPr>
            <w:tcW w:w="180" w:type="dxa"/>
            <w:vMerge/>
            <w:tcBorders>
              <w:top w:val="single" w:sz="8" w:space="0" w:color="152935"/>
              <w:left w:val="nil"/>
              <w:bottom w:val="single" w:sz="8" w:space="0" w:color="152935"/>
              <w:right w:val="nil"/>
            </w:tcBorders>
            <w:shd w:val="clear" w:color="auto" w:fill="E0E0E0"/>
          </w:tcPr>
          <w:p w14:paraId="17768D9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3"/>
            <w:tcBorders>
              <w:top w:val="single" w:sz="8" w:space="0" w:color="AEAEAE"/>
              <w:left w:val="nil"/>
              <w:bottom w:val="single" w:sz="8" w:space="0" w:color="152935"/>
              <w:right w:val="nil"/>
            </w:tcBorders>
            <w:shd w:val="clear" w:color="auto" w:fill="E0E0E0"/>
          </w:tcPr>
          <w:p w14:paraId="3A22B9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Norm</w:t>
            </w:r>
          </w:p>
        </w:tc>
        <w:tc>
          <w:tcPr>
            <w:tcW w:w="450" w:type="dxa"/>
            <w:tcBorders>
              <w:top w:val="single" w:sz="8" w:space="0" w:color="AEAEAE"/>
              <w:left w:val="nil"/>
              <w:bottom w:val="single" w:sz="8" w:space="0" w:color="152935"/>
              <w:right w:val="single" w:sz="8" w:space="0" w:color="E0E0E0"/>
            </w:tcBorders>
            <w:shd w:val="clear" w:color="auto" w:fill="FFFFFF"/>
          </w:tcPr>
          <w:p w14:paraId="612EFB8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.338</w:t>
            </w:r>
          </w:p>
        </w:tc>
        <w:tc>
          <w:tcPr>
            <w:tcW w:w="7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2737D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.060</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39B9D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.323</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3F591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5.674</w:t>
            </w:r>
          </w:p>
        </w:tc>
        <w:tc>
          <w:tcPr>
            <w:tcW w:w="45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ECAE5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90" w:type="dxa"/>
            <w:gridSpan w:val="3"/>
            <w:tcBorders>
              <w:top w:val="single" w:sz="8" w:space="0" w:color="AEAEAE"/>
              <w:left w:val="single" w:sz="8" w:space="0" w:color="E0E0E0"/>
              <w:bottom w:val="single" w:sz="8" w:space="0" w:color="152935"/>
              <w:right w:val="single" w:sz="8" w:space="0" w:color="E0E0E0"/>
            </w:tcBorders>
            <w:shd w:val="clear" w:color="auto" w:fill="FFFFFF"/>
          </w:tcPr>
          <w:p w14:paraId="48DA405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.221</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77E42F3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.455</w:t>
            </w:r>
          </w:p>
        </w:tc>
        <w:tc>
          <w:tcPr>
            <w:tcW w:w="900" w:type="dxa"/>
            <w:gridSpan w:val="3"/>
            <w:tcBorders>
              <w:top w:val="single" w:sz="8" w:space="0" w:color="AEAEAE"/>
              <w:left w:val="single" w:sz="8" w:space="0" w:color="E0E0E0"/>
              <w:bottom w:val="single" w:sz="8" w:space="0" w:color="152935"/>
              <w:right w:val="single" w:sz="8" w:space="0" w:color="E0E0E0"/>
            </w:tcBorders>
            <w:shd w:val="clear" w:color="auto" w:fill="FFFFFF"/>
          </w:tcPr>
          <w:p w14:paraId="07F50FE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.323</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F6EE09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.323</w:t>
            </w:r>
          </w:p>
        </w:tc>
        <w:tc>
          <w:tcPr>
            <w:tcW w:w="36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BABB1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.323</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44C5DD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450" w:type="dxa"/>
            <w:tcBorders>
              <w:top w:val="single" w:sz="8" w:space="0" w:color="AEAEAE"/>
              <w:left w:val="single" w:sz="8" w:space="0" w:color="E0E0E0"/>
              <w:bottom w:val="single" w:sz="8" w:space="0" w:color="152935"/>
              <w:right w:val="nil"/>
            </w:tcBorders>
            <w:shd w:val="clear" w:color="auto" w:fill="FFFFFF"/>
          </w:tcPr>
          <w:p w14:paraId="75D191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3B61506E" w14:textId="77777777" w:rsidTr="00C7217E">
        <w:trPr>
          <w:cantSplit/>
        </w:trPr>
        <w:tc>
          <w:tcPr>
            <w:tcW w:w="9270" w:type="dxa"/>
            <w:gridSpan w:val="26"/>
            <w:tcBorders>
              <w:top w:val="nil"/>
              <w:left w:val="nil"/>
              <w:bottom w:val="nil"/>
              <w:right w:val="nil"/>
            </w:tcBorders>
            <w:shd w:val="clear" w:color="auto" w:fill="FFFFFF"/>
          </w:tcPr>
          <w:p w14:paraId="2F5A6F0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Purchase</w:t>
            </w:r>
          </w:p>
        </w:tc>
      </w:tr>
    </w:tbl>
    <w:p w14:paraId="1F57685A"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774AF6BF"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1E8E41E" w14:textId="3D2A9E82" w:rsidR="00C7217E" w:rsidRPr="00530906" w:rsidRDefault="00C7217E" w:rsidP="008756B1">
      <w:pPr>
        <w:pStyle w:val="Heading3"/>
        <w:jc w:val="both"/>
        <w:rPr>
          <w:rFonts w:eastAsia="Times New Roman"/>
          <w:lang w:val="en-US"/>
        </w:rPr>
      </w:pPr>
      <w:bookmarkStart w:id="158" w:name="_Toc115726313"/>
      <w:r w:rsidRPr="00530906">
        <w:rPr>
          <w:rFonts w:eastAsia="Times New Roman"/>
          <w:lang w:val="en-US"/>
        </w:rPr>
        <w:t>Regression analysis between ‘Purchase’ and ‘behaviour’</w:t>
      </w:r>
      <w:bookmarkEnd w:id="158"/>
    </w:p>
    <w:p w14:paraId="2E840793"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
        <w:gridCol w:w="634"/>
        <w:gridCol w:w="69"/>
        <w:gridCol w:w="107"/>
        <w:gridCol w:w="450"/>
        <w:gridCol w:w="580"/>
        <w:gridCol w:w="220"/>
        <w:gridCol w:w="10"/>
        <w:gridCol w:w="975"/>
        <w:gridCol w:w="15"/>
        <w:gridCol w:w="631"/>
        <w:gridCol w:w="450"/>
        <w:gridCol w:w="535"/>
        <w:gridCol w:w="153"/>
        <w:gridCol w:w="392"/>
        <w:gridCol w:w="1080"/>
        <w:gridCol w:w="96"/>
        <w:gridCol w:w="85"/>
        <w:gridCol w:w="483"/>
        <w:gridCol w:w="236"/>
        <w:gridCol w:w="469"/>
        <w:gridCol w:w="71"/>
        <w:gridCol w:w="450"/>
        <w:gridCol w:w="810"/>
        <w:gridCol w:w="450"/>
      </w:tblGrid>
      <w:tr w:rsidR="00C7217E" w:rsidRPr="00530906" w14:paraId="5A390C80" w14:textId="77777777" w:rsidTr="00C7217E">
        <w:trPr>
          <w:gridAfter w:val="8"/>
          <w:wAfter w:w="3054" w:type="dxa"/>
          <w:cantSplit/>
        </w:trPr>
        <w:tc>
          <w:tcPr>
            <w:tcW w:w="6576" w:type="dxa"/>
            <w:gridSpan w:val="17"/>
            <w:tcBorders>
              <w:top w:val="nil"/>
              <w:left w:val="nil"/>
              <w:bottom w:val="nil"/>
              <w:right w:val="nil"/>
            </w:tcBorders>
            <w:shd w:val="clear" w:color="auto" w:fill="FFFFFF"/>
            <w:vAlign w:val="center"/>
          </w:tcPr>
          <w:p w14:paraId="1A23607B"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Model Summary</w:t>
            </w:r>
            <w:r w:rsidRPr="00530906">
              <w:rPr>
                <w:rFonts w:ascii="Cambria" w:eastAsia="Times New Roman" w:hAnsi="Cambria" w:cs="Times New Roman"/>
                <w:color w:val="000000"/>
                <w:vertAlign w:val="superscript"/>
                <w:lang w:val="en-US"/>
              </w:rPr>
              <w:t>b</w:t>
            </w:r>
          </w:p>
        </w:tc>
      </w:tr>
      <w:tr w:rsidR="00C7217E" w:rsidRPr="00530906" w14:paraId="71A22390" w14:textId="77777777" w:rsidTr="00C7217E">
        <w:trPr>
          <w:gridAfter w:val="8"/>
          <w:wAfter w:w="3054" w:type="dxa"/>
          <w:cantSplit/>
        </w:trPr>
        <w:tc>
          <w:tcPr>
            <w:tcW w:w="882" w:type="dxa"/>
            <w:gridSpan w:val="3"/>
            <w:tcBorders>
              <w:top w:val="nil"/>
              <w:left w:val="nil"/>
              <w:bottom w:val="single" w:sz="8" w:space="0" w:color="152935"/>
              <w:right w:val="nil"/>
            </w:tcBorders>
            <w:shd w:val="clear" w:color="auto" w:fill="FFFFFF"/>
            <w:vAlign w:val="bottom"/>
          </w:tcPr>
          <w:p w14:paraId="59A15E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137" w:type="dxa"/>
            <w:gridSpan w:val="3"/>
            <w:tcBorders>
              <w:top w:val="nil"/>
              <w:left w:val="nil"/>
              <w:bottom w:val="single" w:sz="8" w:space="0" w:color="152935"/>
              <w:right w:val="single" w:sz="8" w:space="0" w:color="E0E0E0"/>
            </w:tcBorders>
            <w:shd w:val="clear" w:color="auto" w:fill="FFFFFF"/>
            <w:vAlign w:val="bottom"/>
          </w:tcPr>
          <w:p w14:paraId="1EBB98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w:t>
            </w:r>
          </w:p>
        </w:tc>
        <w:tc>
          <w:tcPr>
            <w:tcW w:w="1205" w:type="dxa"/>
            <w:gridSpan w:val="3"/>
            <w:tcBorders>
              <w:top w:val="nil"/>
              <w:left w:val="single" w:sz="8" w:space="0" w:color="E0E0E0"/>
              <w:bottom w:val="single" w:sz="8" w:space="0" w:color="152935"/>
              <w:right w:val="single" w:sz="8" w:space="0" w:color="E0E0E0"/>
            </w:tcBorders>
            <w:shd w:val="clear" w:color="auto" w:fill="FFFFFF"/>
            <w:vAlign w:val="bottom"/>
          </w:tcPr>
          <w:p w14:paraId="1DE88A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 Square</w:t>
            </w:r>
          </w:p>
        </w:tc>
        <w:tc>
          <w:tcPr>
            <w:tcW w:w="1631" w:type="dxa"/>
            <w:gridSpan w:val="4"/>
            <w:tcBorders>
              <w:top w:val="nil"/>
              <w:left w:val="single" w:sz="8" w:space="0" w:color="E0E0E0"/>
              <w:bottom w:val="single" w:sz="8" w:space="0" w:color="152935"/>
              <w:right w:val="single" w:sz="8" w:space="0" w:color="E0E0E0"/>
            </w:tcBorders>
            <w:shd w:val="clear" w:color="auto" w:fill="FFFFFF"/>
            <w:vAlign w:val="bottom"/>
          </w:tcPr>
          <w:p w14:paraId="7D11AA1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Adjusted R Square</w:t>
            </w:r>
          </w:p>
        </w:tc>
        <w:tc>
          <w:tcPr>
            <w:tcW w:w="1721" w:type="dxa"/>
            <w:gridSpan w:val="4"/>
            <w:tcBorders>
              <w:top w:val="nil"/>
              <w:left w:val="single" w:sz="8" w:space="0" w:color="E0E0E0"/>
              <w:bottom w:val="single" w:sz="8" w:space="0" w:color="152935"/>
              <w:right w:val="nil"/>
            </w:tcBorders>
            <w:shd w:val="clear" w:color="auto" w:fill="FFFFFF"/>
            <w:vAlign w:val="bottom"/>
          </w:tcPr>
          <w:p w14:paraId="29B722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 of the Estimate</w:t>
            </w:r>
          </w:p>
        </w:tc>
      </w:tr>
      <w:tr w:rsidR="00C7217E" w:rsidRPr="00530906" w14:paraId="221DC513" w14:textId="77777777" w:rsidTr="00C7217E">
        <w:trPr>
          <w:gridAfter w:val="8"/>
          <w:wAfter w:w="3054" w:type="dxa"/>
          <w:cantSplit/>
        </w:trPr>
        <w:tc>
          <w:tcPr>
            <w:tcW w:w="882" w:type="dxa"/>
            <w:gridSpan w:val="3"/>
            <w:tcBorders>
              <w:top w:val="single" w:sz="8" w:space="0" w:color="152935"/>
              <w:left w:val="nil"/>
              <w:bottom w:val="single" w:sz="8" w:space="0" w:color="152935"/>
              <w:right w:val="nil"/>
            </w:tcBorders>
            <w:shd w:val="clear" w:color="auto" w:fill="E0E0E0"/>
          </w:tcPr>
          <w:p w14:paraId="743B39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7" w:type="dxa"/>
            <w:gridSpan w:val="3"/>
            <w:tcBorders>
              <w:top w:val="single" w:sz="8" w:space="0" w:color="152935"/>
              <w:left w:val="nil"/>
              <w:bottom w:val="single" w:sz="8" w:space="0" w:color="152935"/>
              <w:right w:val="single" w:sz="8" w:space="0" w:color="E0E0E0"/>
            </w:tcBorders>
            <w:shd w:val="clear" w:color="auto" w:fill="FFFFFF"/>
          </w:tcPr>
          <w:p w14:paraId="1F0C987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.337</w:t>
            </w:r>
            <w:r w:rsidRPr="00530906">
              <w:rPr>
                <w:rFonts w:ascii="Cambria" w:eastAsia="Times New Roman" w:hAnsi="Cambria" w:cs="Times New Roman"/>
                <w:color w:val="000000"/>
                <w:sz w:val="18"/>
                <w:szCs w:val="18"/>
                <w:vertAlign w:val="superscript"/>
                <w:lang w:val="en-US"/>
              </w:rPr>
              <w:t>a</w:t>
            </w:r>
          </w:p>
        </w:tc>
        <w:tc>
          <w:tcPr>
            <w:tcW w:w="1205" w:type="dxa"/>
            <w:gridSpan w:val="3"/>
            <w:tcBorders>
              <w:top w:val="single" w:sz="8" w:space="0" w:color="152935"/>
              <w:left w:val="single" w:sz="8" w:space="0" w:color="E0E0E0"/>
              <w:bottom w:val="single" w:sz="8" w:space="0" w:color="152935"/>
              <w:right w:val="single" w:sz="8" w:space="0" w:color="E0E0E0"/>
            </w:tcBorders>
            <w:shd w:val="clear" w:color="auto" w:fill="FFFFFF"/>
          </w:tcPr>
          <w:p w14:paraId="4141B4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.113</w:t>
            </w:r>
          </w:p>
        </w:tc>
        <w:tc>
          <w:tcPr>
            <w:tcW w:w="1631" w:type="dxa"/>
            <w:gridSpan w:val="4"/>
            <w:tcBorders>
              <w:top w:val="single" w:sz="8" w:space="0" w:color="152935"/>
              <w:left w:val="single" w:sz="8" w:space="0" w:color="E0E0E0"/>
              <w:bottom w:val="single" w:sz="8" w:space="0" w:color="152935"/>
              <w:right w:val="single" w:sz="8" w:space="0" w:color="E0E0E0"/>
            </w:tcBorders>
            <w:shd w:val="clear" w:color="auto" w:fill="FFFFFF"/>
          </w:tcPr>
          <w:p w14:paraId="10A7C7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.110</w:t>
            </w:r>
          </w:p>
        </w:tc>
        <w:tc>
          <w:tcPr>
            <w:tcW w:w="1721" w:type="dxa"/>
            <w:gridSpan w:val="4"/>
            <w:tcBorders>
              <w:top w:val="single" w:sz="8" w:space="0" w:color="152935"/>
              <w:left w:val="single" w:sz="8" w:space="0" w:color="E0E0E0"/>
              <w:bottom w:val="single" w:sz="8" w:space="0" w:color="152935"/>
              <w:right w:val="nil"/>
            </w:tcBorders>
            <w:shd w:val="clear" w:color="auto" w:fill="FFFFFF"/>
          </w:tcPr>
          <w:p w14:paraId="0F8FFE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1.07760</w:t>
            </w:r>
          </w:p>
        </w:tc>
      </w:tr>
      <w:tr w:rsidR="00C7217E" w:rsidRPr="00530906" w14:paraId="7DAA6049" w14:textId="77777777" w:rsidTr="00C7217E">
        <w:trPr>
          <w:gridAfter w:val="8"/>
          <w:wAfter w:w="3054" w:type="dxa"/>
          <w:cantSplit/>
        </w:trPr>
        <w:tc>
          <w:tcPr>
            <w:tcW w:w="6576" w:type="dxa"/>
            <w:gridSpan w:val="17"/>
            <w:tcBorders>
              <w:top w:val="nil"/>
              <w:left w:val="nil"/>
              <w:bottom w:val="nil"/>
              <w:right w:val="nil"/>
            </w:tcBorders>
            <w:shd w:val="clear" w:color="auto" w:fill="FFFFFF"/>
          </w:tcPr>
          <w:p w14:paraId="6B1E1F7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Predictors: (Constant), Purchase</w:t>
            </w:r>
          </w:p>
        </w:tc>
      </w:tr>
      <w:tr w:rsidR="00C7217E" w:rsidRPr="00530906" w14:paraId="14091BFE" w14:textId="77777777" w:rsidTr="00C7217E">
        <w:trPr>
          <w:gridAfter w:val="8"/>
          <w:wAfter w:w="3054" w:type="dxa"/>
          <w:cantSplit/>
        </w:trPr>
        <w:tc>
          <w:tcPr>
            <w:tcW w:w="6576" w:type="dxa"/>
            <w:gridSpan w:val="17"/>
            <w:tcBorders>
              <w:top w:val="nil"/>
              <w:left w:val="nil"/>
              <w:bottom w:val="nil"/>
              <w:right w:val="nil"/>
            </w:tcBorders>
            <w:shd w:val="clear" w:color="auto" w:fill="FFFFFF"/>
          </w:tcPr>
          <w:p w14:paraId="0C3CD0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Dependent Variable: behaviour</w:t>
            </w:r>
          </w:p>
        </w:tc>
      </w:tr>
      <w:tr w:rsidR="00C7217E" w:rsidRPr="00530906" w14:paraId="1ECCBF7C" w14:textId="77777777" w:rsidTr="00C7217E">
        <w:trPr>
          <w:gridAfter w:val="4"/>
          <w:wAfter w:w="1781" w:type="dxa"/>
          <w:cantSplit/>
        </w:trPr>
        <w:tc>
          <w:tcPr>
            <w:tcW w:w="7849" w:type="dxa"/>
            <w:gridSpan w:val="21"/>
            <w:tcBorders>
              <w:top w:val="nil"/>
              <w:left w:val="nil"/>
              <w:bottom w:val="nil"/>
              <w:right w:val="nil"/>
            </w:tcBorders>
            <w:shd w:val="clear" w:color="auto" w:fill="FFFFFF"/>
            <w:vAlign w:val="center"/>
          </w:tcPr>
          <w:p w14:paraId="3C8393E0"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ANOVA</w:t>
            </w:r>
            <w:r w:rsidRPr="00530906">
              <w:rPr>
                <w:rFonts w:ascii="Cambria" w:eastAsia="Times New Roman" w:hAnsi="Cambria" w:cs="Times New Roman"/>
                <w:color w:val="000000"/>
                <w:vertAlign w:val="superscript"/>
                <w:lang w:val="en-US"/>
              </w:rPr>
              <w:t>a</w:t>
            </w:r>
          </w:p>
        </w:tc>
      </w:tr>
      <w:tr w:rsidR="00C7217E" w:rsidRPr="00530906" w14:paraId="3966269F" w14:textId="77777777" w:rsidTr="00C7217E">
        <w:trPr>
          <w:gridAfter w:val="4"/>
          <w:wAfter w:w="1781" w:type="dxa"/>
          <w:cantSplit/>
        </w:trPr>
        <w:tc>
          <w:tcPr>
            <w:tcW w:w="2239" w:type="dxa"/>
            <w:gridSpan w:val="7"/>
            <w:tcBorders>
              <w:top w:val="nil"/>
              <w:left w:val="nil"/>
              <w:bottom w:val="single" w:sz="8" w:space="0" w:color="152935"/>
              <w:right w:val="nil"/>
            </w:tcBorders>
            <w:shd w:val="clear" w:color="auto" w:fill="FFFFFF"/>
            <w:vAlign w:val="bottom"/>
          </w:tcPr>
          <w:p w14:paraId="2FDAB9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631" w:type="dxa"/>
            <w:gridSpan w:val="4"/>
            <w:tcBorders>
              <w:top w:val="nil"/>
              <w:left w:val="nil"/>
              <w:bottom w:val="single" w:sz="8" w:space="0" w:color="152935"/>
              <w:right w:val="single" w:sz="8" w:space="0" w:color="E0E0E0"/>
            </w:tcBorders>
            <w:shd w:val="clear" w:color="auto" w:fill="FFFFFF"/>
            <w:vAlign w:val="bottom"/>
          </w:tcPr>
          <w:p w14:paraId="751DCC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1138" w:type="dxa"/>
            <w:gridSpan w:val="3"/>
            <w:tcBorders>
              <w:top w:val="nil"/>
              <w:left w:val="single" w:sz="8" w:space="0" w:color="E0E0E0"/>
              <w:bottom w:val="single" w:sz="8" w:space="0" w:color="152935"/>
              <w:right w:val="single" w:sz="8" w:space="0" w:color="E0E0E0"/>
            </w:tcBorders>
            <w:shd w:val="clear" w:color="auto" w:fill="FFFFFF"/>
            <w:vAlign w:val="bottom"/>
          </w:tcPr>
          <w:p w14:paraId="1336FBF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653" w:type="dxa"/>
            <w:gridSpan w:val="4"/>
            <w:tcBorders>
              <w:top w:val="nil"/>
              <w:left w:val="single" w:sz="8" w:space="0" w:color="E0E0E0"/>
              <w:bottom w:val="single" w:sz="8" w:space="0" w:color="152935"/>
              <w:right w:val="single" w:sz="8" w:space="0" w:color="E0E0E0"/>
            </w:tcBorders>
            <w:shd w:val="clear" w:color="auto" w:fill="FFFFFF"/>
            <w:vAlign w:val="bottom"/>
          </w:tcPr>
          <w:p w14:paraId="3F6DBC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483" w:type="dxa"/>
            <w:tcBorders>
              <w:top w:val="nil"/>
              <w:left w:val="single" w:sz="8" w:space="0" w:color="E0E0E0"/>
              <w:bottom w:val="single" w:sz="8" w:space="0" w:color="152935"/>
              <w:right w:val="single" w:sz="8" w:space="0" w:color="E0E0E0"/>
            </w:tcBorders>
            <w:shd w:val="clear" w:color="auto" w:fill="FFFFFF"/>
            <w:vAlign w:val="bottom"/>
          </w:tcPr>
          <w:p w14:paraId="6FE55F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5" w:type="dxa"/>
            <w:gridSpan w:val="2"/>
            <w:tcBorders>
              <w:top w:val="nil"/>
              <w:left w:val="single" w:sz="8" w:space="0" w:color="E0E0E0"/>
              <w:bottom w:val="single" w:sz="8" w:space="0" w:color="152935"/>
              <w:right w:val="nil"/>
            </w:tcBorders>
            <w:shd w:val="clear" w:color="auto" w:fill="FFFFFF"/>
            <w:vAlign w:val="bottom"/>
          </w:tcPr>
          <w:p w14:paraId="4D7C6C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33751533" w14:textId="77777777" w:rsidTr="00C7217E">
        <w:trPr>
          <w:gridAfter w:val="4"/>
          <w:wAfter w:w="1781" w:type="dxa"/>
          <w:cantSplit/>
        </w:trPr>
        <w:tc>
          <w:tcPr>
            <w:tcW w:w="813" w:type="dxa"/>
            <w:gridSpan w:val="2"/>
            <w:vMerge w:val="restart"/>
            <w:tcBorders>
              <w:top w:val="single" w:sz="8" w:space="0" w:color="152935"/>
              <w:left w:val="nil"/>
              <w:bottom w:val="single" w:sz="8" w:space="0" w:color="152935"/>
              <w:right w:val="nil"/>
            </w:tcBorders>
            <w:shd w:val="clear" w:color="auto" w:fill="E0E0E0"/>
          </w:tcPr>
          <w:p w14:paraId="1EE486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426" w:type="dxa"/>
            <w:gridSpan w:val="5"/>
            <w:tcBorders>
              <w:top w:val="single" w:sz="8" w:space="0" w:color="152935"/>
              <w:left w:val="nil"/>
              <w:bottom w:val="single" w:sz="8" w:space="0" w:color="AEAEAE"/>
              <w:right w:val="nil"/>
            </w:tcBorders>
            <w:shd w:val="clear" w:color="auto" w:fill="E0E0E0"/>
          </w:tcPr>
          <w:p w14:paraId="3FFBE2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Regression</w:t>
            </w:r>
          </w:p>
        </w:tc>
        <w:tc>
          <w:tcPr>
            <w:tcW w:w="1631" w:type="dxa"/>
            <w:gridSpan w:val="4"/>
            <w:tcBorders>
              <w:top w:val="single" w:sz="8" w:space="0" w:color="152935"/>
              <w:left w:val="nil"/>
              <w:bottom w:val="single" w:sz="8" w:space="0" w:color="AEAEAE"/>
              <w:right w:val="single" w:sz="8" w:space="0" w:color="E0E0E0"/>
            </w:tcBorders>
            <w:shd w:val="clear" w:color="auto" w:fill="FFFFFF"/>
          </w:tcPr>
          <w:p w14:paraId="3D289D5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41.097</w:t>
            </w:r>
          </w:p>
        </w:tc>
        <w:tc>
          <w:tcPr>
            <w:tcW w:w="1138" w:type="dxa"/>
            <w:gridSpan w:val="3"/>
            <w:tcBorders>
              <w:top w:val="single" w:sz="8" w:space="0" w:color="152935"/>
              <w:left w:val="single" w:sz="8" w:space="0" w:color="E0E0E0"/>
              <w:bottom w:val="single" w:sz="8" w:space="0" w:color="AEAEAE"/>
              <w:right w:val="single" w:sz="8" w:space="0" w:color="E0E0E0"/>
            </w:tcBorders>
            <w:shd w:val="clear" w:color="auto" w:fill="FFFFFF"/>
          </w:tcPr>
          <w:p w14:paraId="5A2A223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653" w:type="dxa"/>
            <w:gridSpan w:val="4"/>
            <w:tcBorders>
              <w:top w:val="single" w:sz="8" w:space="0" w:color="152935"/>
              <w:left w:val="single" w:sz="8" w:space="0" w:color="E0E0E0"/>
              <w:bottom w:val="single" w:sz="8" w:space="0" w:color="AEAEAE"/>
              <w:right w:val="single" w:sz="8" w:space="0" w:color="E0E0E0"/>
            </w:tcBorders>
            <w:shd w:val="clear" w:color="auto" w:fill="FFFFFF"/>
          </w:tcPr>
          <w:p w14:paraId="1D6ECC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41.097</w:t>
            </w:r>
          </w:p>
        </w:tc>
        <w:tc>
          <w:tcPr>
            <w:tcW w:w="483" w:type="dxa"/>
            <w:tcBorders>
              <w:top w:val="single" w:sz="8" w:space="0" w:color="152935"/>
              <w:left w:val="single" w:sz="8" w:space="0" w:color="E0E0E0"/>
              <w:bottom w:val="single" w:sz="8" w:space="0" w:color="AEAEAE"/>
              <w:right w:val="single" w:sz="8" w:space="0" w:color="E0E0E0"/>
            </w:tcBorders>
            <w:shd w:val="clear" w:color="auto" w:fill="FFFFFF"/>
          </w:tcPr>
          <w:p w14:paraId="3EA6546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35.392</w:t>
            </w:r>
          </w:p>
        </w:tc>
        <w:tc>
          <w:tcPr>
            <w:tcW w:w="705" w:type="dxa"/>
            <w:gridSpan w:val="2"/>
            <w:tcBorders>
              <w:top w:val="single" w:sz="8" w:space="0" w:color="152935"/>
              <w:left w:val="single" w:sz="8" w:space="0" w:color="E0E0E0"/>
              <w:bottom w:val="single" w:sz="8" w:space="0" w:color="AEAEAE"/>
              <w:right w:val="nil"/>
            </w:tcBorders>
            <w:shd w:val="clear" w:color="auto" w:fill="FFFFFF"/>
          </w:tcPr>
          <w:p w14:paraId="0E0010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r w:rsidRPr="00530906">
              <w:rPr>
                <w:rFonts w:ascii="Cambria" w:eastAsia="Times New Roman" w:hAnsi="Cambria" w:cs="Times New Roman"/>
                <w:color w:val="000000"/>
                <w:sz w:val="18"/>
                <w:szCs w:val="18"/>
                <w:vertAlign w:val="superscript"/>
                <w:lang w:val="en-US"/>
              </w:rPr>
              <w:t>b</w:t>
            </w:r>
          </w:p>
        </w:tc>
      </w:tr>
      <w:tr w:rsidR="00C7217E" w:rsidRPr="00530906" w14:paraId="555BB03F" w14:textId="77777777" w:rsidTr="00C7217E">
        <w:trPr>
          <w:gridAfter w:val="4"/>
          <w:wAfter w:w="1781" w:type="dxa"/>
          <w:cantSplit/>
        </w:trPr>
        <w:tc>
          <w:tcPr>
            <w:tcW w:w="813" w:type="dxa"/>
            <w:gridSpan w:val="2"/>
            <w:vMerge/>
            <w:tcBorders>
              <w:top w:val="single" w:sz="8" w:space="0" w:color="152935"/>
              <w:left w:val="nil"/>
              <w:bottom w:val="single" w:sz="8" w:space="0" w:color="152935"/>
              <w:right w:val="nil"/>
            </w:tcBorders>
            <w:shd w:val="clear" w:color="auto" w:fill="E0E0E0"/>
          </w:tcPr>
          <w:p w14:paraId="2DBB01C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426" w:type="dxa"/>
            <w:gridSpan w:val="5"/>
            <w:tcBorders>
              <w:top w:val="single" w:sz="8" w:space="0" w:color="AEAEAE"/>
              <w:left w:val="nil"/>
              <w:bottom w:val="single" w:sz="8" w:space="0" w:color="AEAEAE"/>
              <w:right w:val="nil"/>
            </w:tcBorders>
            <w:shd w:val="clear" w:color="auto" w:fill="E0E0E0"/>
          </w:tcPr>
          <w:p w14:paraId="7A3FBD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Residual</w:t>
            </w:r>
          </w:p>
        </w:tc>
        <w:tc>
          <w:tcPr>
            <w:tcW w:w="1631" w:type="dxa"/>
            <w:gridSpan w:val="4"/>
            <w:tcBorders>
              <w:top w:val="single" w:sz="8" w:space="0" w:color="AEAEAE"/>
              <w:left w:val="nil"/>
              <w:bottom w:val="single" w:sz="8" w:space="0" w:color="AEAEAE"/>
              <w:right w:val="single" w:sz="8" w:space="0" w:color="E0E0E0"/>
            </w:tcBorders>
            <w:shd w:val="clear" w:color="auto" w:fill="FFFFFF"/>
          </w:tcPr>
          <w:p w14:paraId="7A6530D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321.656</w:t>
            </w:r>
          </w:p>
        </w:tc>
        <w:tc>
          <w:tcPr>
            <w:tcW w:w="1138" w:type="dxa"/>
            <w:gridSpan w:val="3"/>
            <w:tcBorders>
              <w:top w:val="single" w:sz="8" w:space="0" w:color="AEAEAE"/>
              <w:left w:val="single" w:sz="8" w:space="0" w:color="E0E0E0"/>
              <w:bottom w:val="single" w:sz="8" w:space="0" w:color="AEAEAE"/>
              <w:right w:val="single" w:sz="8" w:space="0" w:color="E0E0E0"/>
            </w:tcBorders>
            <w:shd w:val="clear" w:color="auto" w:fill="FFFFFF"/>
          </w:tcPr>
          <w:p w14:paraId="1710887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653" w:type="dxa"/>
            <w:gridSpan w:val="4"/>
            <w:tcBorders>
              <w:top w:val="single" w:sz="8" w:space="0" w:color="AEAEAE"/>
              <w:left w:val="single" w:sz="8" w:space="0" w:color="E0E0E0"/>
              <w:bottom w:val="single" w:sz="8" w:space="0" w:color="AEAEAE"/>
              <w:right w:val="single" w:sz="8" w:space="0" w:color="E0E0E0"/>
            </w:tcBorders>
            <w:shd w:val="clear" w:color="auto" w:fill="FFFFFF"/>
          </w:tcPr>
          <w:p w14:paraId="70512D8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1.161</w:t>
            </w:r>
          </w:p>
        </w:tc>
        <w:tc>
          <w:tcPr>
            <w:tcW w:w="48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4B7EA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5" w:type="dxa"/>
            <w:gridSpan w:val="2"/>
            <w:tcBorders>
              <w:top w:val="single" w:sz="8" w:space="0" w:color="AEAEAE"/>
              <w:left w:val="single" w:sz="8" w:space="0" w:color="E0E0E0"/>
              <w:bottom w:val="single" w:sz="8" w:space="0" w:color="AEAEAE"/>
              <w:right w:val="nil"/>
            </w:tcBorders>
            <w:shd w:val="clear" w:color="auto" w:fill="FFFFFF"/>
            <w:vAlign w:val="center"/>
          </w:tcPr>
          <w:p w14:paraId="6C4605DC"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0D2CE999" w14:textId="77777777" w:rsidTr="00C7217E">
        <w:trPr>
          <w:gridAfter w:val="4"/>
          <w:wAfter w:w="1781" w:type="dxa"/>
          <w:cantSplit/>
        </w:trPr>
        <w:tc>
          <w:tcPr>
            <w:tcW w:w="813" w:type="dxa"/>
            <w:gridSpan w:val="2"/>
            <w:vMerge/>
            <w:tcBorders>
              <w:top w:val="single" w:sz="8" w:space="0" w:color="152935"/>
              <w:left w:val="nil"/>
              <w:bottom w:val="single" w:sz="8" w:space="0" w:color="152935"/>
              <w:right w:val="nil"/>
            </w:tcBorders>
            <w:shd w:val="clear" w:color="auto" w:fill="E0E0E0"/>
          </w:tcPr>
          <w:p w14:paraId="39854D4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1426" w:type="dxa"/>
            <w:gridSpan w:val="5"/>
            <w:tcBorders>
              <w:top w:val="single" w:sz="8" w:space="0" w:color="AEAEAE"/>
              <w:left w:val="nil"/>
              <w:bottom w:val="single" w:sz="8" w:space="0" w:color="152935"/>
              <w:right w:val="nil"/>
            </w:tcBorders>
            <w:shd w:val="clear" w:color="auto" w:fill="E0E0E0"/>
          </w:tcPr>
          <w:p w14:paraId="49F3A3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631" w:type="dxa"/>
            <w:gridSpan w:val="4"/>
            <w:tcBorders>
              <w:top w:val="single" w:sz="8" w:space="0" w:color="AEAEAE"/>
              <w:left w:val="nil"/>
              <w:bottom w:val="single" w:sz="8" w:space="0" w:color="152935"/>
              <w:right w:val="single" w:sz="8" w:space="0" w:color="E0E0E0"/>
            </w:tcBorders>
            <w:shd w:val="clear" w:color="auto" w:fill="FFFFFF"/>
          </w:tcPr>
          <w:p w14:paraId="22C78F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362.753</w:t>
            </w:r>
          </w:p>
        </w:tc>
        <w:tc>
          <w:tcPr>
            <w:tcW w:w="1138" w:type="dxa"/>
            <w:gridSpan w:val="3"/>
            <w:tcBorders>
              <w:top w:val="single" w:sz="8" w:space="0" w:color="AEAEAE"/>
              <w:left w:val="single" w:sz="8" w:space="0" w:color="E0E0E0"/>
              <w:bottom w:val="single" w:sz="8" w:space="0" w:color="152935"/>
              <w:right w:val="single" w:sz="8" w:space="0" w:color="E0E0E0"/>
            </w:tcBorders>
            <w:shd w:val="clear" w:color="auto" w:fill="FFFFFF"/>
          </w:tcPr>
          <w:p w14:paraId="5CE463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653"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14:paraId="40CABA1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8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C50BBF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705" w:type="dxa"/>
            <w:gridSpan w:val="2"/>
            <w:tcBorders>
              <w:top w:val="single" w:sz="8" w:space="0" w:color="AEAEAE"/>
              <w:left w:val="single" w:sz="8" w:space="0" w:color="E0E0E0"/>
              <w:bottom w:val="single" w:sz="8" w:space="0" w:color="152935"/>
              <w:right w:val="nil"/>
            </w:tcBorders>
            <w:shd w:val="clear" w:color="auto" w:fill="FFFFFF"/>
            <w:vAlign w:val="center"/>
          </w:tcPr>
          <w:p w14:paraId="00490AB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177695C7" w14:textId="77777777" w:rsidTr="00C7217E">
        <w:trPr>
          <w:gridAfter w:val="4"/>
          <w:wAfter w:w="1781" w:type="dxa"/>
          <w:cantSplit/>
        </w:trPr>
        <w:tc>
          <w:tcPr>
            <w:tcW w:w="7849" w:type="dxa"/>
            <w:gridSpan w:val="21"/>
            <w:tcBorders>
              <w:top w:val="nil"/>
              <w:left w:val="nil"/>
              <w:bottom w:val="nil"/>
              <w:right w:val="nil"/>
            </w:tcBorders>
            <w:shd w:val="clear" w:color="auto" w:fill="FFFFFF"/>
          </w:tcPr>
          <w:p w14:paraId="0F0A41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behaviour</w:t>
            </w:r>
          </w:p>
        </w:tc>
      </w:tr>
      <w:tr w:rsidR="00C7217E" w:rsidRPr="00530906" w14:paraId="6E6C3EAB" w14:textId="77777777" w:rsidTr="00C7217E">
        <w:trPr>
          <w:gridAfter w:val="4"/>
          <w:wAfter w:w="1781" w:type="dxa"/>
          <w:cantSplit/>
        </w:trPr>
        <w:tc>
          <w:tcPr>
            <w:tcW w:w="7849" w:type="dxa"/>
            <w:gridSpan w:val="21"/>
            <w:tcBorders>
              <w:top w:val="nil"/>
              <w:left w:val="nil"/>
              <w:bottom w:val="nil"/>
              <w:right w:val="nil"/>
            </w:tcBorders>
            <w:shd w:val="clear" w:color="auto" w:fill="FFFFFF"/>
          </w:tcPr>
          <w:p w14:paraId="3B5CB3D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 Predictors: (Constant), Purchase</w:t>
            </w:r>
          </w:p>
        </w:tc>
      </w:tr>
      <w:tr w:rsidR="00C7217E" w:rsidRPr="00530906" w14:paraId="112B80C5" w14:textId="77777777" w:rsidTr="00C7217E">
        <w:trPr>
          <w:cantSplit/>
        </w:trPr>
        <w:tc>
          <w:tcPr>
            <w:tcW w:w="9630" w:type="dxa"/>
            <w:gridSpan w:val="25"/>
            <w:tcBorders>
              <w:top w:val="nil"/>
              <w:left w:val="nil"/>
              <w:bottom w:val="nil"/>
              <w:right w:val="nil"/>
            </w:tcBorders>
            <w:shd w:val="clear" w:color="auto" w:fill="FFFFFF"/>
            <w:vAlign w:val="center"/>
          </w:tcPr>
          <w:p w14:paraId="49AD1C82"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t>Coefficients</w:t>
            </w:r>
            <w:r w:rsidRPr="00530906">
              <w:rPr>
                <w:rFonts w:ascii="Cambria" w:eastAsia="Times New Roman" w:hAnsi="Cambria" w:cs="Times New Roman"/>
                <w:color w:val="000000"/>
                <w:vertAlign w:val="superscript"/>
                <w:lang w:val="en-US"/>
              </w:rPr>
              <w:t>a</w:t>
            </w:r>
          </w:p>
        </w:tc>
      </w:tr>
      <w:tr w:rsidR="00C7217E" w:rsidRPr="00530906" w14:paraId="770A4012" w14:textId="77777777" w:rsidTr="00C7217E">
        <w:trPr>
          <w:cantSplit/>
        </w:trPr>
        <w:tc>
          <w:tcPr>
            <w:tcW w:w="989" w:type="dxa"/>
            <w:gridSpan w:val="4"/>
            <w:vMerge w:val="restart"/>
            <w:tcBorders>
              <w:top w:val="nil"/>
              <w:left w:val="nil"/>
              <w:bottom w:val="nil"/>
              <w:right w:val="nil"/>
            </w:tcBorders>
            <w:shd w:val="clear" w:color="auto" w:fill="FFFFFF"/>
            <w:vAlign w:val="bottom"/>
          </w:tcPr>
          <w:p w14:paraId="4CF7BB5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Model</w:t>
            </w:r>
          </w:p>
        </w:tc>
        <w:tc>
          <w:tcPr>
            <w:tcW w:w="1260" w:type="dxa"/>
            <w:gridSpan w:val="4"/>
            <w:tcBorders>
              <w:top w:val="nil"/>
              <w:left w:val="nil"/>
              <w:bottom w:val="nil"/>
              <w:right w:val="single" w:sz="8" w:space="0" w:color="E0E0E0"/>
            </w:tcBorders>
            <w:shd w:val="clear" w:color="auto" w:fill="FFFFFF"/>
            <w:vAlign w:val="bottom"/>
          </w:tcPr>
          <w:p w14:paraId="56DBC8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Unstandardized Coefficients</w:t>
            </w:r>
          </w:p>
        </w:tc>
        <w:tc>
          <w:tcPr>
            <w:tcW w:w="990" w:type="dxa"/>
            <w:gridSpan w:val="2"/>
            <w:tcBorders>
              <w:top w:val="nil"/>
              <w:left w:val="single" w:sz="8" w:space="0" w:color="E0E0E0"/>
              <w:bottom w:val="nil"/>
              <w:right w:val="single" w:sz="8" w:space="0" w:color="E0E0E0"/>
            </w:tcBorders>
            <w:shd w:val="clear" w:color="auto" w:fill="FFFFFF"/>
            <w:vAlign w:val="bottom"/>
          </w:tcPr>
          <w:p w14:paraId="48ADC8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Standardized Coefficients</w:t>
            </w:r>
          </w:p>
        </w:tc>
        <w:tc>
          <w:tcPr>
            <w:tcW w:w="631" w:type="dxa"/>
            <w:vMerge w:val="restart"/>
            <w:tcBorders>
              <w:top w:val="nil"/>
              <w:left w:val="single" w:sz="8" w:space="0" w:color="E0E0E0"/>
              <w:bottom w:val="nil"/>
              <w:right w:val="single" w:sz="8" w:space="0" w:color="E0E0E0"/>
            </w:tcBorders>
            <w:shd w:val="clear" w:color="auto" w:fill="FFFFFF"/>
            <w:vAlign w:val="bottom"/>
          </w:tcPr>
          <w:p w14:paraId="4DE327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w:t>
            </w:r>
          </w:p>
        </w:tc>
        <w:tc>
          <w:tcPr>
            <w:tcW w:w="450" w:type="dxa"/>
            <w:vMerge w:val="restart"/>
            <w:tcBorders>
              <w:top w:val="nil"/>
              <w:left w:val="single" w:sz="8" w:space="0" w:color="E0E0E0"/>
              <w:bottom w:val="nil"/>
              <w:right w:val="single" w:sz="8" w:space="0" w:color="E0E0E0"/>
            </w:tcBorders>
            <w:shd w:val="clear" w:color="auto" w:fill="FFFFFF"/>
            <w:vAlign w:val="bottom"/>
          </w:tcPr>
          <w:p w14:paraId="1E5FE2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2160" w:type="dxa"/>
            <w:gridSpan w:val="4"/>
            <w:tcBorders>
              <w:top w:val="nil"/>
              <w:left w:val="single" w:sz="8" w:space="0" w:color="E0E0E0"/>
              <w:bottom w:val="nil"/>
              <w:right w:val="single" w:sz="8" w:space="0" w:color="E0E0E0"/>
            </w:tcBorders>
            <w:shd w:val="clear" w:color="auto" w:fill="FFFFFF"/>
            <w:vAlign w:val="bottom"/>
          </w:tcPr>
          <w:p w14:paraId="5F7272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95.0% Confidence Interval for B</w:t>
            </w:r>
          </w:p>
        </w:tc>
        <w:tc>
          <w:tcPr>
            <w:tcW w:w="1890" w:type="dxa"/>
            <w:gridSpan w:val="7"/>
            <w:tcBorders>
              <w:top w:val="nil"/>
              <w:left w:val="single" w:sz="8" w:space="0" w:color="E0E0E0"/>
              <w:bottom w:val="nil"/>
              <w:right w:val="single" w:sz="8" w:space="0" w:color="E0E0E0"/>
            </w:tcBorders>
            <w:shd w:val="clear" w:color="auto" w:fill="FFFFFF"/>
            <w:vAlign w:val="bottom"/>
          </w:tcPr>
          <w:p w14:paraId="44974F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Correlations</w:t>
            </w:r>
          </w:p>
        </w:tc>
        <w:tc>
          <w:tcPr>
            <w:tcW w:w="1260" w:type="dxa"/>
            <w:gridSpan w:val="2"/>
            <w:tcBorders>
              <w:top w:val="nil"/>
              <w:left w:val="single" w:sz="8" w:space="0" w:color="E0E0E0"/>
              <w:bottom w:val="nil"/>
              <w:right w:val="nil"/>
            </w:tcBorders>
            <w:shd w:val="clear" w:color="auto" w:fill="FFFFFF"/>
            <w:vAlign w:val="bottom"/>
          </w:tcPr>
          <w:p w14:paraId="7BC2B0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Collinearity Statistics</w:t>
            </w:r>
          </w:p>
        </w:tc>
      </w:tr>
      <w:tr w:rsidR="00C7217E" w:rsidRPr="00530906" w14:paraId="1D80AA4E" w14:textId="77777777" w:rsidTr="00C7217E">
        <w:trPr>
          <w:cantSplit/>
        </w:trPr>
        <w:tc>
          <w:tcPr>
            <w:tcW w:w="989" w:type="dxa"/>
            <w:gridSpan w:val="4"/>
            <w:vMerge/>
            <w:tcBorders>
              <w:top w:val="nil"/>
              <w:left w:val="nil"/>
              <w:bottom w:val="nil"/>
              <w:right w:val="nil"/>
            </w:tcBorders>
            <w:shd w:val="clear" w:color="auto" w:fill="FFFFFF"/>
            <w:vAlign w:val="bottom"/>
          </w:tcPr>
          <w:p w14:paraId="5F48F9E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tcBorders>
              <w:top w:val="nil"/>
              <w:left w:val="nil"/>
              <w:bottom w:val="single" w:sz="8" w:space="0" w:color="152935"/>
              <w:right w:val="single" w:sz="8" w:space="0" w:color="E0E0E0"/>
            </w:tcBorders>
            <w:shd w:val="clear" w:color="auto" w:fill="FFFFFF"/>
            <w:vAlign w:val="bottom"/>
          </w:tcPr>
          <w:p w14:paraId="0DA928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w:t>
            </w:r>
          </w:p>
        </w:tc>
        <w:tc>
          <w:tcPr>
            <w:tcW w:w="810" w:type="dxa"/>
            <w:gridSpan w:val="3"/>
            <w:tcBorders>
              <w:top w:val="nil"/>
              <w:left w:val="single" w:sz="8" w:space="0" w:color="E0E0E0"/>
              <w:bottom w:val="single" w:sz="8" w:space="0" w:color="152935"/>
              <w:right w:val="single" w:sz="8" w:space="0" w:color="E0E0E0"/>
            </w:tcBorders>
            <w:shd w:val="clear" w:color="auto" w:fill="FFFFFF"/>
            <w:vAlign w:val="bottom"/>
          </w:tcPr>
          <w:p w14:paraId="2D7DFF6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14:paraId="55BCE6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Beta</w:t>
            </w:r>
          </w:p>
        </w:tc>
        <w:tc>
          <w:tcPr>
            <w:tcW w:w="631" w:type="dxa"/>
            <w:vMerge/>
            <w:tcBorders>
              <w:top w:val="nil"/>
              <w:left w:val="single" w:sz="8" w:space="0" w:color="E0E0E0"/>
              <w:bottom w:val="nil"/>
              <w:right w:val="single" w:sz="8" w:space="0" w:color="E0E0E0"/>
            </w:tcBorders>
            <w:shd w:val="clear" w:color="auto" w:fill="FFFFFF"/>
            <w:vAlign w:val="bottom"/>
          </w:tcPr>
          <w:p w14:paraId="4AEA01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50" w:type="dxa"/>
            <w:vMerge/>
            <w:tcBorders>
              <w:top w:val="nil"/>
              <w:left w:val="single" w:sz="8" w:space="0" w:color="E0E0E0"/>
              <w:bottom w:val="nil"/>
              <w:right w:val="single" w:sz="8" w:space="0" w:color="E0E0E0"/>
            </w:tcBorders>
            <w:shd w:val="clear" w:color="auto" w:fill="FFFFFF"/>
            <w:vAlign w:val="bottom"/>
          </w:tcPr>
          <w:p w14:paraId="0E46254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080" w:type="dxa"/>
            <w:gridSpan w:val="3"/>
            <w:tcBorders>
              <w:top w:val="nil"/>
              <w:left w:val="single" w:sz="8" w:space="0" w:color="E0E0E0"/>
              <w:bottom w:val="single" w:sz="8" w:space="0" w:color="152935"/>
              <w:right w:val="single" w:sz="8" w:space="0" w:color="E0E0E0"/>
            </w:tcBorders>
            <w:shd w:val="clear" w:color="auto" w:fill="FFFFFF"/>
            <w:vAlign w:val="bottom"/>
          </w:tcPr>
          <w:p w14:paraId="34116E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1BCA51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900" w:type="dxa"/>
            <w:gridSpan w:val="4"/>
            <w:tcBorders>
              <w:top w:val="nil"/>
              <w:left w:val="single" w:sz="8" w:space="0" w:color="E0E0E0"/>
              <w:bottom w:val="single" w:sz="8" w:space="0" w:color="152935"/>
              <w:right w:val="single" w:sz="8" w:space="0" w:color="E0E0E0"/>
            </w:tcBorders>
            <w:shd w:val="clear" w:color="auto" w:fill="FFFFFF"/>
            <w:vAlign w:val="bottom"/>
          </w:tcPr>
          <w:p w14:paraId="3BAF976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Zero–order</w:t>
            </w:r>
          </w:p>
        </w:tc>
        <w:tc>
          <w:tcPr>
            <w:tcW w:w="540" w:type="dxa"/>
            <w:gridSpan w:val="2"/>
            <w:tcBorders>
              <w:top w:val="nil"/>
              <w:left w:val="single" w:sz="8" w:space="0" w:color="E0E0E0"/>
              <w:bottom w:val="single" w:sz="8" w:space="0" w:color="152935"/>
              <w:right w:val="single" w:sz="8" w:space="0" w:color="E0E0E0"/>
            </w:tcBorders>
            <w:shd w:val="clear" w:color="auto" w:fill="FFFFFF"/>
            <w:vAlign w:val="bottom"/>
          </w:tcPr>
          <w:p w14:paraId="5A513EE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w:t>
            </w:r>
          </w:p>
        </w:tc>
        <w:tc>
          <w:tcPr>
            <w:tcW w:w="450" w:type="dxa"/>
            <w:tcBorders>
              <w:top w:val="nil"/>
              <w:left w:val="single" w:sz="8" w:space="0" w:color="E0E0E0"/>
              <w:bottom w:val="single" w:sz="8" w:space="0" w:color="152935"/>
              <w:right w:val="single" w:sz="8" w:space="0" w:color="E0E0E0"/>
            </w:tcBorders>
            <w:shd w:val="clear" w:color="auto" w:fill="FFFFFF"/>
            <w:vAlign w:val="bottom"/>
          </w:tcPr>
          <w:p w14:paraId="79E661D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1643FA4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Tolerance</w:t>
            </w:r>
          </w:p>
        </w:tc>
        <w:tc>
          <w:tcPr>
            <w:tcW w:w="450" w:type="dxa"/>
            <w:tcBorders>
              <w:top w:val="nil"/>
              <w:left w:val="single" w:sz="8" w:space="0" w:color="E0E0E0"/>
              <w:bottom w:val="single" w:sz="8" w:space="0" w:color="152935"/>
              <w:right w:val="nil"/>
            </w:tcBorders>
            <w:shd w:val="clear" w:color="auto" w:fill="FFFFFF"/>
            <w:vAlign w:val="bottom"/>
          </w:tcPr>
          <w:p w14:paraId="48E53DC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VIF</w:t>
            </w:r>
          </w:p>
        </w:tc>
      </w:tr>
      <w:tr w:rsidR="00C7217E" w:rsidRPr="00530906" w14:paraId="398958E3" w14:textId="77777777" w:rsidTr="00C7217E">
        <w:trPr>
          <w:cantSplit/>
        </w:trPr>
        <w:tc>
          <w:tcPr>
            <w:tcW w:w="179" w:type="dxa"/>
            <w:vMerge w:val="restart"/>
            <w:tcBorders>
              <w:top w:val="single" w:sz="8" w:space="0" w:color="152935"/>
              <w:left w:val="nil"/>
              <w:bottom w:val="single" w:sz="8" w:space="0" w:color="152935"/>
              <w:right w:val="nil"/>
            </w:tcBorders>
            <w:shd w:val="clear" w:color="auto" w:fill="E0E0E0"/>
          </w:tcPr>
          <w:p w14:paraId="6C123B1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810" w:type="dxa"/>
            <w:gridSpan w:val="3"/>
            <w:tcBorders>
              <w:top w:val="single" w:sz="8" w:space="0" w:color="152935"/>
              <w:left w:val="nil"/>
              <w:bottom w:val="single" w:sz="8" w:space="0" w:color="AEAEAE"/>
              <w:right w:val="nil"/>
            </w:tcBorders>
            <w:shd w:val="clear" w:color="auto" w:fill="E0E0E0"/>
          </w:tcPr>
          <w:p w14:paraId="1271C98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(Constant)</w:t>
            </w:r>
          </w:p>
        </w:tc>
        <w:tc>
          <w:tcPr>
            <w:tcW w:w="450" w:type="dxa"/>
            <w:tcBorders>
              <w:top w:val="single" w:sz="8" w:space="0" w:color="152935"/>
              <w:left w:val="nil"/>
              <w:bottom w:val="single" w:sz="8" w:space="0" w:color="AEAEAE"/>
              <w:right w:val="single" w:sz="8" w:space="0" w:color="E0E0E0"/>
            </w:tcBorders>
            <w:shd w:val="clear" w:color="auto" w:fill="FFFFFF"/>
          </w:tcPr>
          <w:p w14:paraId="324C46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4.385</w:t>
            </w:r>
          </w:p>
        </w:tc>
        <w:tc>
          <w:tcPr>
            <w:tcW w:w="810" w:type="dxa"/>
            <w:gridSpan w:val="3"/>
            <w:tcBorders>
              <w:top w:val="single" w:sz="8" w:space="0" w:color="152935"/>
              <w:left w:val="single" w:sz="8" w:space="0" w:color="E0E0E0"/>
              <w:bottom w:val="single" w:sz="8" w:space="0" w:color="AEAEAE"/>
              <w:right w:val="single" w:sz="8" w:space="0" w:color="E0E0E0"/>
            </w:tcBorders>
            <w:shd w:val="clear" w:color="auto" w:fill="FFFFFF"/>
          </w:tcPr>
          <w:p w14:paraId="333131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.200</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01579E1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631" w:type="dxa"/>
            <w:tcBorders>
              <w:top w:val="single" w:sz="8" w:space="0" w:color="152935"/>
              <w:left w:val="single" w:sz="8" w:space="0" w:color="E0E0E0"/>
              <w:bottom w:val="single" w:sz="8" w:space="0" w:color="AEAEAE"/>
              <w:right w:val="single" w:sz="8" w:space="0" w:color="E0E0E0"/>
            </w:tcBorders>
            <w:shd w:val="clear" w:color="auto" w:fill="FFFFFF"/>
          </w:tcPr>
          <w:p w14:paraId="1958906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21.883</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75A894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080" w:type="dxa"/>
            <w:gridSpan w:val="3"/>
            <w:tcBorders>
              <w:top w:val="single" w:sz="8" w:space="0" w:color="152935"/>
              <w:left w:val="single" w:sz="8" w:space="0" w:color="E0E0E0"/>
              <w:bottom w:val="single" w:sz="8" w:space="0" w:color="AEAEAE"/>
              <w:right w:val="single" w:sz="8" w:space="0" w:color="E0E0E0"/>
            </w:tcBorders>
            <w:shd w:val="clear" w:color="auto" w:fill="FFFFFF"/>
          </w:tcPr>
          <w:p w14:paraId="5F48DE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3.991</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099DB75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4.780</w:t>
            </w:r>
          </w:p>
        </w:tc>
        <w:tc>
          <w:tcPr>
            <w:tcW w:w="900"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14:paraId="028E6A4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54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C8F128F"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C7D4B7"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383604"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450" w:type="dxa"/>
            <w:tcBorders>
              <w:top w:val="single" w:sz="8" w:space="0" w:color="152935"/>
              <w:left w:val="single" w:sz="8" w:space="0" w:color="E0E0E0"/>
              <w:bottom w:val="single" w:sz="8" w:space="0" w:color="AEAEAE"/>
              <w:right w:val="nil"/>
            </w:tcBorders>
            <w:shd w:val="clear" w:color="auto" w:fill="FFFFFF"/>
            <w:vAlign w:val="center"/>
          </w:tcPr>
          <w:p w14:paraId="3F7D0082"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r>
      <w:tr w:rsidR="00C7217E" w:rsidRPr="00530906" w14:paraId="41DA11F1" w14:textId="77777777" w:rsidTr="00C7217E">
        <w:trPr>
          <w:cantSplit/>
        </w:trPr>
        <w:tc>
          <w:tcPr>
            <w:tcW w:w="179" w:type="dxa"/>
            <w:vMerge/>
            <w:tcBorders>
              <w:top w:val="single" w:sz="8" w:space="0" w:color="152935"/>
              <w:left w:val="nil"/>
              <w:bottom w:val="single" w:sz="8" w:space="0" w:color="152935"/>
              <w:right w:val="nil"/>
            </w:tcBorders>
            <w:shd w:val="clear" w:color="auto" w:fill="E0E0E0"/>
          </w:tcPr>
          <w:p w14:paraId="6523D840"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tc>
        <w:tc>
          <w:tcPr>
            <w:tcW w:w="810" w:type="dxa"/>
            <w:gridSpan w:val="3"/>
            <w:tcBorders>
              <w:top w:val="single" w:sz="8" w:space="0" w:color="AEAEAE"/>
              <w:left w:val="nil"/>
              <w:bottom w:val="single" w:sz="8" w:space="0" w:color="152935"/>
              <w:right w:val="nil"/>
            </w:tcBorders>
            <w:shd w:val="clear" w:color="auto" w:fill="E0E0E0"/>
          </w:tcPr>
          <w:p w14:paraId="2B2BFCA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Purchase</w:t>
            </w:r>
          </w:p>
        </w:tc>
        <w:tc>
          <w:tcPr>
            <w:tcW w:w="450" w:type="dxa"/>
            <w:tcBorders>
              <w:top w:val="single" w:sz="8" w:space="0" w:color="AEAEAE"/>
              <w:left w:val="nil"/>
              <w:bottom w:val="single" w:sz="8" w:space="0" w:color="152935"/>
              <w:right w:val="single" w:sz="8" w:space="0" w:color="E0E0E0"/>
            </w:tcBorders>
            <w:shd w:val="clear" w:color="auto" w:fill="FFFFFF"/>
          </w:tcPr>
          <w:p w14:paraId="518827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.271</w:t>
            </w:r>
          </w:p>
        </w:tc>
        <w:tc>
          <w:tcPr>
            <w:tcW w:w="81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F57806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.046</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AE585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.337</w:t>
            </w:r>
          </w:p>
        </w:tc>
        <w:tc>
          <w:tcPr>
            <w:tcW w:w="631" w:type="dxa"/>
            <w:tcBorders>
              <w:top w:val="single" w:sz="8" w:space="0" w:color="AEAEAE"/>
              <w:left w:val="single" w:sz="8" w:space="0" w:color="E0E0E0"/>
              <w:bottom w:val="single" w:sz="8" w:space="0" w:color="152935"/>
              <w:right w:val="single" w:sz="8" w:space="0" w:color="E0E0E0"/>
            </w:tcBorders>
            <w:shd w:val="clear" w:color="auto" w:fill="FFFFFF"/>
          </w:tcPr>
          <w:p w14:paraId="22516E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5.949</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2916B9C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1080" w:type="dxa"/>
            <w:gridSpan w:val="3"/>
            <w:tcBorders>
              <w:top w:val="single" w:sz="8" w:space="0" w:color="AEAEAE"/>
              <w:left w:val="single" w:sz="8" w:space="0" w:color="E0E0E0"/>
              <w:bottom w:val="single" w:sz="8" w:space="0" w:color="152935"/>
              <w:right w:val="single" w:sz="8" w:space="0" w:color="E0E0E0"/>
            </w:tcBorders>
            <w:shd w:val="clear" w:color="auto" w:fill="FFFFFF"/>
          </w:tcPr>
          <w:p w14:paraId="67E0CD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.181</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3640026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.361</w:t>
            </w:r>
          </w:p>
        </w:tc>
        <w:tc>
          <w:tcPr>
            <w:tcW w:w="900" w:type="dxa"/>
            <w:gridSpan w:val="4"/>
            <w:tcBorders>
              <w:top w:val="single" w:sz="8" w:space="0" w:color="AEAEAE"/>
              <w:left w:val="single" w:sz="8" w:space="0" w:color="E0E0E0"/>
              <w:bottom w:val="single" w:sz="8" w:space="0" w:color="152935"/>
              <w:right w:val="single" w:sz="8" w:space="0" w:color="E0E0E0"/>
            </w:tcBorders>
            <w:shd w:val="clear" w:color="auto" w:fill="FFFFFF"/>
          </w:tcPr>
          <w:p w14:paraId="50A9E47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.337</w:t>
            </w:r>
          </w:p>
        </w:tc>
        <w:tc>
          <w:tcPr>
            <w:tcW w:w="54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0AF87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.337</w:t>
            </w:r>
          </w:p>
        </w:tc>
        <w:tc>
          <w:tcPr>
            <w:tcW w:w="450" w:type="dxa"/>
            <w:tcBorders>
              <w:top w:val="single" w:sz="8" w:space="0" w:color="AEAEAE"/>
              <w:left w:val="single" w:sz="8" w:space="0" w:color="E0E0E0"/>
              <w:bottom w:val="single" w:sz="8" w:space="0" w:color="152935"/>
              <w:right w:val="single" w:sz="8" w:space="0" w:color="E0E0E0"/>
            </w:tcBorders>
            <w:shd w:val="clear" w:color="auto" w:fill="FFFFFF"/>
          </w:tcPr>
          <w:p w14:paraId="08FD39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.337</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75819D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c>
          <w:tcPr>
            <w:tcW w:w="450" w:type="dxa"/>
            <w:tcBorders>
              <w:top w:val="single" w:sz="8" w:space="0" w:color="AEAEAE"/>
              <w:left w:val="single" w:sz="8" w:space="0" w:color="E0E0E0"/>
              <w:bottom w:val="single" w:sz="8" w:space="0" w:color="152935"/>
              <w:right w:val="nil"/>
            </w:tcBorders>
            <w:shd w:val="clear" w:color="auto" w:fill="FFFFFF"/>
          </w:tcPr>
          <w:p w14:paraId="08806C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1.000</w:t>
            </w:r>
          </w:p>
        </w:tc>
      </w:tr>
      <w:tr w:rsidR="00C7217E" w:rsidRPr="00530906" w14:paraId="2325B890" w14:textId="77777777" w:rsidTr="00C7217E">
        <w:trPr>
          <w:cantSplit/>
        </w:trPr>
        <w:tc>
          <w:tcPr>
            <w:tcW w:w="9630" w:type="dxa"/>
            <w:gridSpan w:val="25"/>
            <w:tcBorders>
              <w:top w:val="nil"/>
              <w:left w:val="nil"/>
              <w:bottom w:val="nil"/>
              <w:right w:val="nil"/>
            </w:tcBorders>
            <w:shd w:val="clear" w:color="auto" w:fill="FFFFFF"/>
          </w:tcPr>
          <w:p w14:paraId="65EF29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Dependent Variable: behaviour</w:t>
            </w:r>
          </w:p>
        </w:tc>
      </w:tr>
    </w:tbl>
    <w:p w14:paraId="79262568" w14:textId="77777777" w:rsidR="00C7217E" w:rsidRPr="00530906" w:rsidRDefault="00C7217E" w:rsidP="008756B1">
      <w:pPr>
        <w:spacing w:after="0" w:line="240" w:lineRule="auto"/>
        <w:jc w:val="both"/>
        <w:rPr>
          <w:rFonts w:ascii="Cambria" w:eastAsia="Times New Roman" w:hAnsi="Cambria" w:cs="Times New Roman"/>
          <w:color w:val="000000"/>
          <w:sz w:val="24"/>
          <w:szCs w:val="24"/>
          <w:lang w:val="en-US"/>
        </w:rPr>
      </w:pPr>
    </w:p>
    <w:p w14:paraId="4775F05B"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1292AA5A" w14:textId="06C579C9" w:rsidR="00C7217E" w:rsidRPr="00530906" w:rsidRDefault="00C7217E" w:rsidP="008756B1">
      <w:pPr>
        <w:pStyle w:val="Heading2"/>
        <w:jc w:val="both"/>
        <w:rPr>
          <w:rFonts w:eastAsia="Times New Roman"/>
          <w:lang w:val="en-US"/>
        </w:rPr>
      </w:pPr>
      <w:bookmarkStart w:id="159" w:name="_Toc115726314"/>
      <w:r w:rsidRPr="00530906">
        <w:rPr>
          <w:rFonts w:eastAsia="Times New Roman"/>
          <w:lang w:val="en-US"/>
        </w:rPr>
        <w:t xml:space="preserve">Appendix </w:t>
      </w:r>
      <w:r w:rsidR="00F56020">
        <w:rPr>
          <w:rFonts w:eastAsia="Times New Roman"/>
          <w:lang w:val="en-US"/>
        </w:rPr>
        <w:t>4</w:t>
      </w:r>
      <w:r w:rsidRPr="00530906">
        <w:rPr>
          <w:rFonts w:eastAsia="Times New Roman"/>
          <w:lang w:val="en-US"/>
        </w:rPr>
        <w:t>.3 ANOVA</w:t>
      </w:r>
      <w:bookmarkEnd w:id="159"/>
      <w:r w:rsidRPr="00530906">
        <w:rPr>
          <w:rFonts w:eastAsia="Times New Roman"/>
          <w:lang w:val="en-US"/>
        </w:rPr>
        <w:t xml:space="preserve"> </w:t>
      </w:r>
    </w:p>
    <w:p w14:paraId="1F9E09A0" w14:textId="09DEA4B7" w:rsidR="00C7217E" w:rsidRPr="00530906" w:rsidRDefault="00C7217E" w:rsidP="008756B1">
      <w:pPr>
        <w:pStyle w:val="Heading3"/>
        <w:jc w:val="both"/>
        <w:rPr>
          <w:rFonts w:eastAsia="Times New Roman"/>
          <w:lang w:val="en-US"/>
        </w:rPr>
      </w:pPr>
      <w:bookmarkStart w:id="160" w:name="_Toc115726315"/>
      <w:r w:rsidRPr="00530906">
        <w:rPr>
          <w:rFonts w:eastAsia="Times New Roman"/>
          <w:lang w:val="en-US"/>
        </w:rPr>
        <w:t>One way ANOVA</w:t>
      </w:r>
      <w:bookmarkEnd w:id="160"/>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900"/>
        <w:gridCol w:w="309"/>
        <w:gridCol w:w="51"/>
        <w:gridCol w:w="630"/>
        <w:gridCol w:w="900"/>
        <w:gridCol w:w="254"/>
        <w:gridCol w:w="376"/>
        <w:gridCol w:w="693"/>
        <w:gridCol w:w="387"/>
        <w:gridCol w:w="464"/>
        <w:gridCol w:w="214"/>
        <w:gridCol w:w="810"/>
        <w:gridCol w:w="110"/>
        <w:gridCol w:w="322"/>
        <w:gridCol w:w="245"/>
        <w:gridCol w:w="709"/>
      </w:tblGrid>
      <w:tr w:rsidR="00C7217E" w:rsidRPr="00530906" w14:paraId="238DA533" w14:textId="77777777" w:rsidTr="00EE722D">
        <w:trPr>
          <w:gridAfter w:val="2"/>
          <w:wAfter w:w="954" w:type="dxa"/>
          <w:cantSplit/>
        </w:trPr>
        <w:tc>
          <w:tcPr>
            <w:tcW w:w="7410" w:type="dxa"/>
            <w:gridSpan w:val="15"/>
            <w:tcBorders>
              <w:top w:val="nil"/>
              <w:left w:val="nil"/>
              <w:bottom w:val="nil"/>
              <w:right w:val="nil"/>
            </w:tcBorders>
            <w:shd w:val="clear" w:color="auto" w:fill="FFFFFF"/>
            <w:vAlign w:val="center"/>
          </w:tcPr>
          <w:p w14:paraId="0CE40B2E"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b/>
                <w:bCs/>
                <w:color w:val="000000"/>
                <w:lang w:val="en-US"/>
              </w:rPr>
              <w:t>Descriptives</w:t>
            </w:r>
          </w:p>
        </w:tc>
      </w:tr>
      <w:tr w:rsidR="00C7217E" w:rsidRPr="00530906" w14:paraId="71320307" w14:textId="77777777" w:rsidTr="00EE722D">
        <w:trPr>
          <w:gridAfter w:val="2"/>
          <w:wAfter w:w="954" w:type="dxa"/>
          <w:cantSplit/>
        </w:trPr>
        <w:tc>
          <w:tcPr>
            <w:tcW w:w="1890" w:type="dxa"/>
            <w:gridSpan w:val="2"/>
            <w:vMerge w:val="restart"/>
            <w:tcBorders>
              <w:top w:val="nil"/>
              <w:left w:val="nil"/>
              <w:bottom w:val="nil"/>
              <w:right w:val="nil"/>
            </w:tcBorders>
            <w:shd w:val="clear" w:color="auto" w:fill="FFFFFF"/>
            <w:vAlign w:val="bottom"/>
          </w:tcPr>
          <w:p w14:paraId="0C0765EE"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360" w:type="dxa"/>
            <w:gridSpan w:val="2"/>
            <w:vMerge w:val="restart"/>
            <w:tcBorders>
              <w:top w:val="nil"/>
              <w:left w:val="nil"/>
              <w:bottom w:val="nil"/>
              <w:right w:val="single" w:sz="8" w:space="0" w:color="E0E0E0"/>
            </w:tcBorders>
            <w:shd w:val="clear" w:color="auto" w:fill="FFFFFF"/>
            <w:vAlign w:val="bottom"/>
          </w:tcPr>
          <w:p w14:paraId="12DE0B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w:t>
            </w:r>
          </w:p>
        </w:tc>
        <w:tc>
          <w:tcPr>
            <w:tcW w:w="630" w:type="dxa"/>
            <w:vMerge w:val="restart"/>
            <w:tcBorders>
              <w:top w:val="nil"/>
              <w:left w:val="single" w:sz="8" w:space="0" w:color="E0E0E0"/>
              <w:bottom w:val="nil"/>
              <w:right w:val="single" w:sz="8" w:space="0" w:color="E0E0E0"/>
            </w:tcBorders>
            <w:shd w:val="clear" w:color="auto" w:fill="FFFFFF"/>
            <w:vAlign w:val="bottom"/>
          </w:tcPr>
          <w:p w14:paraId="6B5D457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w:t>
            </w:r>
          </w:p>
        </w:tc>
        <w:tc>
          <w:tcPr>
            <w:tcW w:w="900" w:type="dxa"/>
            <w:vMerge w:val="restart"/>
            <w:tcBorders>
              <w:top w:val="nil"/>
              <w:left w:val="single" w:sz="8" w:space="0" w:color="E0E0E0"/>
              <w:bottom w:val="nil"/>
              <w:right w:val="single" w:sz="8" w:space="0" w:color="E0E0E0"/>
            </w:tcBorders>
            <w:shd w:val="clear" w:color="auto" w:fill="FFFFFF"/>
            <w:vAlign w:val="bottom"/>
          </w:tcPr>
          <w:p w14:paraId="743E5E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Deviation</w:t>
            </w:r>
          </w:p>
        </w:tc>
        <w:tc>
          <w:tcPr>
            <w:tcW w:w="630" w:type="dxa"/>
            <w:gridSpan w:val="2"/>
            <w:vMerge w:val="restart"/>
            <w:tcBorders>
              <w:top w:val="nil"/>
              <w:left w:val="single" w:sz="8" w:space="0" w:color="E0E0E0"/>
              <w:bottom w:val="nil"/>
              <w:right w:val="single" w:sz="8" w:space="0" w:color="E0E0E0"/>
            </w:tcBorders>
            <w:shd w:val="clear" w:color="auto" w:fill="FFFFFF"/>
            <w:vAlign w:val="bottom"/>
          </w:tcPr>
          <w:p w14:paraId="17CB0C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Error</w:t>
            </w:r>
          </w:p>
        </w:tc>
        <w:tc>
          <w:tcPr>
            <w:tcW w:w="1758" w:type="dxa"/>
            <w:gridSpan w:val="4"/>
            <w:tcBorders>
              <w:top w:val="nil"/>
              <w:left w:val="single" w:sz="8" w:space="0" w:color="E0E0E0"/>
              <w:bottom w:val="nil"/>
              <w:right w:val="single" w:sz="8" w:space="0" w:color="E0E0E0"/>
            </w:tcBorders>
            <w:shd w:val="clear" w:color="auto" w:fill="FFFFFF"/>
            <w:vAlign w:val="bottom"/>
          </w:tcPr>
          <w:p w14:paraId="639BE8A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95% Confidence Interval for Mean</w:t>
            </w:r>
          </w:p>
        </w:tc>
        <w:tc>
          <w:tcPr>
            <w:tcW w:w="810" w:type="dxa"/>
            <w:vMerge w:val="restart"/>
            <w:tcBorders>
              <w:top w:val="nil"/>
              <w:left w:val="single" w:sz="8" w:space="0" w:color="E0E0E0"/>
              <w:bottom w:val="nil"/>
              <w:right w:val="single" w:sz="8" w:space="0" w:color="E0E0E0"/>
            </w:tcBorders>
            <w:shd w:val="clear" w:color="auto" w:fill="FFFFFF"/>
            <w:vAlign w:val="bottom"/>
          </w:tcPr>
          <w:p w14:paraId="6F3868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Minimum</w:t>
            </w:r>
          </w:p>
        </w:tc>
        <w:tc>
          <w:tcPr>
            <w:tcW w:w="432" w:type="dxa"/>
            <w:gridSpan w:val="2"/>
            <w:vMerge w:val="restart"/>
            <w:tcBorders>
              <w:top w:val="nil"/>
              <w:left w:val="single" w:sz="8" w:space="0" w:color="E0E0E0"/>
              <w:bottom w:val="nil"/>
              <w:right w:val="nil"/>
            </w:tcBorders>
            <w:shd w:val="clear" w:color="auto" w:fill="FFFFFF"/>
            <w:vAlign w:val="bottom"/>
          </w:tcPr>
          <w:p w14:paraId="621240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Maximum</w:t>
            </w:r>
          </w:p>
        </w:tc>
      </w:tr>
      <w:tr w:rsidR="00EE722D" w:rsidRPr="00530906" w14:paraId="29D6AD16" w14:textId="77777777" w:rsidTr="00EE722D">
        <w:trPr>
          <w:gridAfter w:val="2"/>
          <w:wAfter w:w="954" w:type="dxa"/>
          <w:cantSplit/>
        </w:trPr>
        <w:tc>
          <w:tcPr>
            <w:tcW w:w="1890" w:type="dxa"/>
            <w:gridSpan w:val="2"/>
            <w:vMerge/>
            <w:tcBorders>
              <w:top w:val="nil"/>
              <w:left w:val="nil"/>
              <w:bottom w:val="nil"/>
              <w:right w:val="nil"/>
            </w:tcBorders>
            <w:shd w:val="clear" w:color="auto" w:fill="FFFFFF"/>
            <w:vAlign w:val="bottom"/>
          </w:tcPr>
          <w:p w14:paraId="26AB1E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360" w:type="dxa"/>
            <w:gridSpan w:val="2"/>
            <w:vMerge/>
            <w:tcBorders>
              <w:top w:val="nil"/>
              <w:left w:val="nil"/>
              <w:bottom w:val="nil"/>
              <w:right w:val="single" w:sz="8" w:space="0" w:color="E0E0E0"/>
            </w:tcBorders>
            <w:shd w:val="clear" w:color="auto" w:fill="FFFFFF"/>
            <w:vAlign w:val="bottom"/>
          </w:tcPr>
          <w:p w14:paraId="0DC690B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30" w:type="dxa"/>
            <w:vMerge/>
            <w:tcBorders>
              <w:top w:val="nil"/>
              <w:left w:val="single" w:sz="8" w:space="0" w:color="E0E0E0"/>
              <w:bottom w:val="nil"/>
              <w:right w:val="single" w:sz="8" w:space="0" w:color="E0E0E0"/>
            </w:tcBorders>
            <w:shd w:val="clear" w:color="auto" w:fill="FFFFFF"/>
            <w:vAlign w:val="bottom"/>
          </w:tcPr>
          <w:p w14:paraId="15AAEA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00" w:type="dxa"/>
            <w:vMerge/>
            <w:tcBorders>
              <w:top w:val="nil"/>
              <w:left w:val="single" w:sz="8" w:space="0" w:color="E0E0E0"/>
              <w:bottom w:val="nil"/>
              <w:right w:val="single" w:sz="8" w:space="0" w:color="E0E0E0"/>
            </w:tcBorders>
            <w:shd w:val="clear" w:color="auto" w:fill="FFFFFF"/>
            <w:vAlign w:val="bottom"/>
          </w:tcPr>
          <w:p w14:paraId="58E628B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630" w:type="dxa"/>
            <w:gridSpan w:val="2"/>
            <w:vMerge/>
            <w:tcBorders>
              <w:top w:val="nil"/>
              <w:left w:val="single" w:sz="8" w:space="0" w:color="E0E0E0"/>
              <w:bottom w:val="nil"/>
              <w:right w:val="single" w:sz="8" w:space="0" w:color="E0E0E0"/>
            </w:tcBorders>
            <w:shd w:val="clear" w:color="auto" w:fill="FFFFFF"/>
            <w:vAlign w:val="bottom"/>
          </w:tcPr>
          <w:p w14:paraId="10B5F8E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tcPr>
          <w:p w14:paraId="301ACE1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Lower Bound</w:t>
            </w:r>
          </w:p>
        </w:tc>
        <w:tc>
          <w:tcPr>
            <w:tcW w:w="678" w:type="dxa"/>
            <w:gridSpan w:val="2"/>
            <w:tcBorders>
              <w:top w:val="nil"/>
              <w:left w:val="single" w:sz="8" w:space="0" w:color="E0E0E0"/>
              <w:bottom w:val="single" w:sz="8" w:space="0" w:color="152935"/>
              <w:right w:val="single" w:sz="8" w:space="0" w:color="E0E0E0"/>
            </w:tcBorders>
            <w:shd w:val="clear" w:color="auto" w:fill="FFFFFF"/>
            <w:vAlign w:val="bottom"/>
          </w:tcPr>
          <w:p w14:paraId="0F616B8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Upper Bound</w:t>
            </w:r>
          </w:p>
        </w:tc>
        <w:tc>
          <w:tcPr>
            <w:tcW w:w="810" w:type="dxa"/>
            <w:vMerge/>
            <w:tcBorders>
              <w:top w:val="nil"/>
              <w:left w:val="single" w:sz="8" w:space="0" w:color="E0E0E0"/>
              <w:bottom w:val="nil"/>
              <w:right w:val="single" w:sz="8" w:space="0" w:color="E0E0E0"/>
            </w:tcBorders>
            <w:shd w:val="clear" w:color="auto" w:fill="FFFFFF"/>
            <w:vAlign w:val="bottom"/>
          </w:tcPr>
          <w:p w14:paraId="2767CB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432" w:type="dxa"/>
            <w:gridSpan w:val="2"/>
            <w:vMerge/>
            <w:tcBorders>
              <w:top w:val="nil"/>
              <w:left w:val="single" w:sz="8" w:space="0" w:color="E0E0E0"/>
              <w:bottom w:val="nil"/>
              <w:right w:val="nil"/>
            </w:tcBorders>
            <w:shd w:val="clear" w:color="auto" w:fill="FFFFFF"/>
            <w:vAlign w:val="bottom"/>
          </w:tcPr>
          <w:p w14:paraId="53EC431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r>
      <w:tr w:rsidR="00C7217E" w:rsidRPr="00530906" w14:paraId="566CED75" w14:textId="77777777" w:rsidTr="00EE722D">
        <w:trPr>
          <w:gridAfter w:val="2"/>
          <w:wAfter w:w="954" w:type="dxa"/>
          <w:cantSplit/>
        </w:trPr>
        <w:tc>
          <w:tcPr>
            <w:tcW w:w="990" w:type="dxa"/>
            <w:vMerge w:val="restart"/>
            <w:tcBorders>
              <w:top w:val="single" w:sz="8" w:space="0" w:color="AEAEAE"/>
              <w:left w:val="nil"/>
              <w:bottom w:val="single" w:sz="8" w:space="0" w:color="152935"/>
              <w:right w:val="nil"/>
            </w:tcBorders>
            <w:shd w:val="clear" w:color="auto" w:fill="E0E0E0"/>
          </w:tcPr>
          <w:p w14:paraId="2BBAF5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Engagement</w:t>
            </w:r>
          </w:p>
        </w:tc>
        <w:tc>
          <w:tcPr>
            <w:tcW w:w="900" w:type="dxa"/>
            <w:tcBorders>
              <w:top w:val="single" w:sz="8" w:space="0" w:color="AEAEAE"/>
              <w:left w:val="nil"/>
              <w:bottom w:val="single" w:sz="8" w:space="0" w:color="AEAEAE"/>
              <w:right w:val="nil"/>
            </w:tcBorders>
            <w:shd w:val="clear" w:color="auto" w:fill="E0E0E0"/>
          </w:tcPr>
          <w:p w14:paraId="3E7332B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360" w:type="dxa"/>
            <w:gridSpan w:val="2"/>
            <w:tcBorders>
              <w:top w:val="single" w:sz="8" w:space="0" w:color="AEAEAE"/>
              <w:left w:val="nil"/>
              <w:bottom w:val="single" w:sz="8" w:space="0" w:color="AEAEAE"/>
              <w:right w:val="single" w:sz="8" w:space="0" w:color="E0E0E0"/>
            </w:tcBorders>
            <w:shd w:val="clear" w:color="auto" w:fill="FFFFFF"/>
          </w:tcPr>
          <w:p w14:paraId="646CD6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3E67B5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3.5620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BA041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1.36183</w:t>
            </w:r>
          </w:p>
        </w:tc>
        <w:tc>
          <w:tcPr>
            <w:tcW w:w="6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E0EAC8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.11635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FD285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3.3320</w:t>
            </w:r>
          </w:p>
        </w:tc>
        <w:tc>
          <w:tcPr>
            <w:tcW w:w="678"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02142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3.7921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14CD22D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w:t>
            </w:r>
          </w:p>
        </w:tc>
        <w:tc>
          <w:tcPr>
            <w:tcW w:w="432" w:type="dxa"/>
            <w:gridSpan w:val="2"/>
            <w:tcBorders>
              <w:top w:val="single" w:sz="8" w:space="0" w:color="AEAEAE"/>
              <w:left w:val="single" w:sz="8" w:space="0" w:color="E0E0E0"/>
              <w:bottom w:val="single" w:sz="8" w:space="0" w:color="AEAEAE"/>
              <w:right w:val="nil"/>
            </w:tcBorders>
            <w:shd w:val="clear" w:color="auto" w:fill="FFFFFF"/>
          </w:tcPr>
          <w:p w14:paraId="1CBE95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6.75</w:t>
            </w:r>
          </w:p>
        </w:tc>
      </w:tr>
      <w:tr w:rsidR="00C7217E" w:rsidRPr="00530906" w14:paraId="57E409D6" w14:textId="77777777" w:rsidTr="00EE722D">
        <w:trPr>
          <w:gridAfter w:val="2"/>
          <w:wAfter w:w="954" w:type="dxa"/>
          <w:cantSplit/>
        </w:trPr>
        <w:tc>
          <w:tcPr>
            <w:tcW w:w="990" w:type="dxa"/>
            <w:vMerge/>
            <w:tcBorders>
              <w:top w:val="single" w:sz="8" w:space="0" w:color="AEAEAE"/>
              <w:left w:val="nil"/>
              <w:bottom w:val="single" w:sz="8" w:space="0" w:color="152935"/>
              <w:right w:val="nil"/>
            </w:tcBorders>
            <w:shd w:val="clear" w:color="auto" w:fill="E0E0E0"/>
          </w:tcPr>
          <w:p w14:paraId="2BDE77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00" w:type="dxa"/>
            <w:tcBorders>
              <w:top w:val="single" w:sz="8" w:space="0" w:color="AEAEAE"/>
              <w:left w:val="nil"/>
              <w:bottom w:val="single" w:sz="8" w:space="0" w:color="AEAEAE"/>
              <w:right w:val="nil"/>
            </w:tcBorders>
            <w:shd w:val="clear" w:color="auto" w:fill="E0E0E0"/>
          </w:tcPr>
          <w:p w14:paraId="10A4B6D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360" w:type="dxa"/>
            <w:gridSpan w:val="2"/>
            <w:tcBorders>
              <w:top w:val="single" w:sz="8" w:space="0" w:color="AEAEAE"/>
              <w:left w:val="nil"/>
              <w:bottom w:val="single" w:sz="8" w:space="0" w:color="AEAEAE"/>
              <w:right w:val="single" w:sz="8" w:space="0" w:color="E0E0E0"/>
            </w:tcBorders>
            <w:shd w:val="clear" w:color="auto" w:fill="FFFFFF"/>
          </w:tcPr>
          <w:p w14:paraId="1A07823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2D1B5A9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3.7113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D6F07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1.30611</w:t>
            </w:r>
          </w:p>
        </w:tc>
        <w:tc>
          <w:tcPr>
            <w:tcW w:w="6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78C39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.10961</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9988C6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3.4946</w:t>
            </w:r>
          </w:p>
        </w:tc>
        <w:tc>
          <w:tcPr>
            <w:tcW w:w="678" w:type="dxa"/>
            <w:gridSpan w:val="2"/>
            <w:tcBorders>
              <w:top w:val="single" w:sz="8" w:space="0" w:color="AEAEAE"/>
              <w:left w:val="single" w:sz="8" w:space="0" w:color="E0E0E0"/>
              <w:bottom w:val="single" w:sz="8" w:space="0" w:color="AEAEAE"/>
              <w:right w:val="single" w:sz="8" w:space="0" w:color="E0E0E0"/>
            </w:tcBorders>
            <w:shd w:val="clear" w:color="auto" w:fill="FFFFFF"/>
          </w:tcPr>
          <w:p w14:paraId="4C5007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3.9280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538605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w:t>
            </w:r>
          </w:p>
        </w:tc>
        <w:tc>
          <w:tcPr>
            <w:tcW w:w="432" w:type="dxa"/>
            <w:gridSpan w:val="2"/>
            <w:tcBorders>
              <w:top w:val="single" w:sz="8" w:space="0" w:color="AEAEAE"/>
              <w:left w:val="single" w:sz="8" w:space="0" w:color="E0E0E0"/>
              <w:bottom w:val="single" w:sz="8" w:space="0" w:color="AEAEAE"/>
              <w:right w:val="nil"/>
            </w:tcBorders>
            <w:shd w:val="clear" w:color="auto" w:fill="FFFFFF"/>
          </w:tcPr>
          <w:p w14:paraId="4ED4E1B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7.00</w:t>
            </w:r>
          </w:p>
        </w:tc>
      </w:tr>
      <w:tr w:rsidR="00C7217E" w:rsidRPr="00530906" w14:paraId="69CC86AC" w14:textId="77777777" w:rsidTr="00EE722D">
        <w:trPr>
          <w:gridAfter w:val="2"/>
          <w:wAfter w:w="954" w:type="dxa"/>
          <w:cantSplit/>
        </w:trPr>
        <w:tc>
          <w:tcPr>
            <w:tcW w:w="990" w:type="dxa"/>
            <w:vMerge/>
            <w:tcBorders>
              <w:top w:val="single" w:sz="8" w:space="0" w:color="AEAEAE"/>
              <w:left w:val="nil"/>
              <w:bottom w:val="single" w:sz="8" w:space="0" w:color="152935"/>
              <w:right w:val="nil"/>
            </w:tcBorders>
            <w:shd w:val="clear" w:color="auto" w:fill="E0E0E0"/>
          </w:tcPr>
          <w:p w14:paraId="625A473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900" w:type="dxa"/>
            <w:tcBorders>
              <w:top w:val="single" w:sz="8" w:space="0" w:color="AEAEAE"/>
              <w:left w:val="nil"/>
              <w:bottom w:val="single" w:sz="8" w:space="0" w:color="152935"/>
              <w:right w:val="nil"/>
            </w:tcBorders>
            <w:shd w:val="clear" w:color="auto" w:fill="E0E0E0"/>
          </w:tcPr>
          <w:p w14:paraId="3C6AAE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360" w:type="dxa"/>
            <w:gridSpan w:val="2"/>
            <w:tcBorders>
              <w:top w:val="single" w:sz="8" w:space="0" w:color="AEAEAE"/>
              <w:left w:val="nil"/>
              <w:bottom w:val="single" w:sz="8" w:space="0" w:color="152935"/>
              <w:right w:val="single" w:sz="8" w:space="0" w:color="E0E0E0"/>
            </w:tcBorders>
            <w:shd w:val="clear" w:color="auto" w:fill="FFFFFF"/>
          </w:tcPr>
          <w:p w14:paraId="63BE9DD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279</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22BA33B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3.6380</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5C5FFCC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1.33345</w:t>
            </w:r>
          </w:p>
        </w:tc>
        <w:tc>
          <w:tcPr>
            <w:tcW w:w="6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697148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.07983</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cPr>
          <w:p w14:paraId="39FE85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3.4808</w:t>
            </w:r>
          </w:p>
        </w:tc>
        <w:tc>
          <w:tcPr>
            <w:tcW w:w="678" w:type="dxa"/>
            <w:gridSpan w:val="2"/>
            <w:tcBorders>
              <w:top w:val="single" w:sz="8" w:space="0" w:color="AEAEAE"/>
              <w:left w:val="single" w:sz="8" w:space="0" w:color="E0E0E0"/>
              <w:bottom w:val="single" w:sz="8" w:space="0" w:color="152935"/>
              <w:right w:val="single" w:sz="8" w:space="0" w:color="E0E0E0"/>
            </w:tcBorders>
            <w:shd w:val="clear" w:color="auto" w:fill="FFFFFF"/>
          </w:tcPr>
          <w:p w14:paraId="7452236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3.7951</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0E2521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1.00</w:t>
            </w:r>
          </w:p>
        </w:tc>
        <w:tc>
          <w:tcPr>
            <w:tcW w:w="432" w:type="dxa"/>
            <w:gridSpan w:val="2"/>
            <w:tcBorders>
              <w:top w:val="single" w:sz="8" w:space="0" w:color="AEAEAE"/>
              <w:left w:val="single" w:sz="8" w:space="0" w:color="E0E0E0"/>
              <w:bottom w:val="single" w:sz="8" w:space="0" w:color="152935"/>
              <w:right w:val="nil"/>
            </w:tcBorders>
            <w:shd w:val="clear" w:color="auto" w:fill="FFFFFF"/>
          </w:tcPr>
          <w:p w14:paraId="4172BD1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7.00</w:t>
            </w:r>
          </w:p>
        </w:tc>
      </w:tr>
      <w:tr w:rsidR="00C7217E" w:rsidRPr="00530906" w14:paraId="4360DE67" w14:textId="77777777" w:rsidTr="00EE722D">
        <w:trPr>
          <w:cantSplit/>
        </w:trPr>
        <w:tc>
          <w:tcPr>
            <w:tcW w:w="8364" w:type="dxa"/>
            <w:gridSpan w:val="17"/>
            <w:tcBorders>
              <w:top w:val="nil"/>
              <w:left w:val="nil"/>
              <w:bottom w:val="nil"/>
              <w:right w:val="nil"/>
            </w:tcBorders>
            <w:shd w:val="clear" w:color="auto" w:fill="FFFFFF"/>
            <w:vAlign w:val="center"/>
          </w:tcPr>
          <w:p w14:paraId="66576F97"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b/>
                <w:bCs/>
                <w:color w:val="000000"/>
                <w:lang w:val="en-US"/>
              </w:rPr>
              <w:t>ANOVA</w:t>
            </w:r>
          </w:p>
        </w:tc>
      </w:tr>
      <w:tr w:rsidR="00C7217E" w:rsidRPr="00530906" w14:paraId="7E029CDB" w14:textId="77777777" w:rsidTr="00EE722D">
        <w:trPr>
          <w:cantSplit/>
        </w:trPr>
        <w:tc>
          <w:tcPr>
            <w:tcW w:w="4034" w:type="dxa"/>
            <w:gridSpan w:val="7"/>
            <w:tcBorders>
              <w:top w:val="nil"/>
              <w:left w:val="nil"/>
              <w:bottom w:val="single" w:sz="8" w:space="0" w:color="152935"/>
              <w:right w:val="nil"/>
            </w:tcBorders>
            <w:shd w:val="clear" w:color="auto" w:fill="FFFFFF"/>
            <w:vAlign w:val="bottom"/>
          </w:tcPr>
          <w:p w14:paraId="7640FA7E"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069" w:type="dxa"/>
            <w:gridSpan w:val="2"/>
            <w:tcBorders>
              <w:top w:val="nil"/>
              <w:left w:val="nil"/>
              <w:bottom w:val="single" w:sz="8" w:space="0" w:color="152935"/>
              <w:right w:val="single" w:sz="8" w:space="0" w:color="E0E0E0"/>
            </w:tcBorders>
            <w:shd w:val="clear" w:color="auto" w:fill="FFFFFF"/>
            <w:vAlign w:val="bottom"/>
          </w:tcPr>
          <w:p w14:paraId="35D6B54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Sum of Squares</w:t>
            </w:r>
          </w:p>
        </w:tc>
        <w:tc>
          <w:tcPr>
            <w:tcW w:w="851" w:type="dxa"/>
            <w:gridSpan w:val="2"/>
            <w:tcBorders>
              <w:top w:val="nil"/>
              <w:left w:val="single" w:sz="8" w:space="0" w:color="E0E0E0"/>
              <w:bottom w:val="single" w:sz="8" w:space="0" w:color="152935"/>
              <w:right w:val="single" w:sz="8" w:space="0" w:color="E0E0E0"/>
            </w:tcBorders>
            <w:shd w:val="clear" w:color="auto" w:fill="FFFFFF"/>
            <w:vAlign w:val="bottom"/>
          </w:tcPr>
          <w:p w14:paraId="08F42D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134" w:type="dxa"/>
            <w:gridSpan w:val="3"/>
            <w:tcBorders>
              <w:top w:val="nil"/>
              <w:left w:val="single" w:sz="8" w:space="0" w:color="E0E0E0"/>
              <w:bottom w:val="single" w:sz="8" w:space="0" w:color="152935"/>
              <w:right w:val="single" w:sz="8" w:space="0" w:color="E0E0E0"/>
            </w:tcBorders>
            <w:shd w:val="clear" w:color="auto" w:fill="FFFFFF"/>
            <w:vAlign w:val="bottom"/>
          </w:tcPr>
          <w:p w14:paraId="1A7A764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567" w:type="dxa"/>
            <w:gridSpan w:val="2"/>
            <w:tcBorders>
              <w:top w:val="nil"/>
              <w:left w:val="single" w:sz="8" w:space="0" w:color="E0E0E0"/>
              <w:bottom w:val="single" w:sz="8" w:space="0" w:color="152935"/>
              <w:right w:val="single" w:sz="8" w:space="0" w:color="E0E0E0"/>
            </w:tcBorders>
            <w:shd w:val="clear" w:color="auto" w:fill="FFFFFF"/>
            <w:vAlign w:val="bottom"/>
          </w:tcPr>
          <w:p w14:paraId="671962E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709" w:type="dxa"/>
            <w:tcBorders>
              <w:top w:val="nil"/>
              <w:left w:val="single" w:sz="8" w:space="0" w:color="E0E0E0"/>
              <w:bottom w:val="single" w:sz="8" w:space="0" w:color="152935"/>
              <w:right w:val="nil"/>
            </w:tcBorders>
            <w:shd w:val="clear" w:color="auto" w:fill="FFFFFF"/>
            <w:vAlign w:val="bottom"/>
          </w:tcPr>
          <w:p w14:paraId="53F5211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r>
      <w:tr w:rsidR="00C7217E" w:rsidRPr="00530906" w14:paraId="07CBC60C" w14:textId="77777777" w:rsidTr="00EE722D">
        <w:trPr>
          <w:cantSplit/>
        </w:trPr>
        <w:tc>
          <w:tcPr>
            <w:tcW w:w="2199" w:type="dxa"/>
            <w:gridSpan w:val="3"/>
            <w:vMerge w:val="restart"/>
            <w:tcBorders>
              <w:top w:val="single" w:sz="8" w:space="0" w:color="AEAEAE"/>
              <w:left w:val="nil"/>
              <w:bottom w:val="single" w:sz="8" w:space="0" w:color="152935"/>
              <w:right w:val="nil"/>
            </w:tcBorders>
            <w:shd w:val="clear" w:color="auto" w:fill="E0E0E0"/>
          </w:tcPr>
          <w:p w14:paraId="45487E4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Engagement</w:t>
            </w:r>
          </w:p>
        </w:tc>
        <w:tc>
          <w:tcPr>
            <w:tcW w:w="1835" w:type="dxa"/>
            <w:gridSpan w:val="4"/>
            <w:tcBorders>
              <w:top w:val="single" w:sz="8" w:space="0" w:color="AEAEAE"/>
              <w:left w:val="nil"/>
              <w:bottom w:val="single" w:sz="8" w:space="0" w:color="AEAEAE"/>
              <w:right w:val="nil"/>
            </w:tcBorders>
            <w:shd w:val="clear" w:color="auto" w:fill="E0E0E0"/>
          </w:tcPr>
          <w:p w14:paraId="092192C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Between Groups</w:t>
            </w:r>
          </w:p>
        </w:tc>
        <w:tc>
          <w:tcPr>
            <w:tcW w:w="1069" w:type="dxa"/>
            <w:gridSpan w:val="2"/>
            <w:tcBorders>
              <w:top w:val="single" w:sz="8" w:space="0" w:color="AEAEAE"/>
              <w:left w:val="nil"/>
              <w:bottom w:val="single" w:sz="8" w:space="0" w:color="AEAEAE"/>
              <w:right w:val="single" w:sz="8" w:space="0" w:color="E0E0E0"/>
            </w:tcBorders>
            <w:shd w:val="clear" w:color="auto" w:fill="FFFFFF"/>
          </w:tcPr>
          <w:p w14:paraId="6807E6F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1.553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12340D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134" w:type="dxa"/>
            <w:gridSpan w:val="3"/>
            <w:tcBorders>
              <w:top w:val="single" w:sz="8" w:space="0" w:color="AEAEAE"/>
              <w:left w:val="single" w:sz="8" w:space="0" w:color="E0E0E0"/>
              <w:bottom w:val="single" w:sz="8" w:space="0" w:color="AEAEAE"/>
              <w:right w:val="single" w:sz="8" w:space="0" w:color="E0E0E0"/>
            </w:tcBorders>
            <w:shd w:val="clear" w:color="auto" w:fill="FFFFFF"/>
          </w:tcPr>
          <w:p w14:paraId="71FAF3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1.553</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6B199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.873</w:t>
            </w:r>
          </w:p>
        </w:tc>
        <w:tc>
          <w:tcPr>
            <w:tcW w:w="709" w:type="dxa"/>
            <w:tcBorders>
              <w:top w:val="single" w:sz="8" w:space="0" w:color="AEAEAE"/>
              <w:left w:val="single" w:sz="8" w:space="0" w:color="E0E0E0"/>
              <w:bottom w:val="single" w:sz="8" w:space="0" w:color="AEAEAE"/>
              <w:right w:val="nil"/>
            </w:tcBorders>
            <w:shd w:val="clear" w:color="auto" w:fill="FFFFFF"/>
          </w:tcPr>
          <w:p w14:paraId="7EC2874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.351</w:t>
            </w:r>
          </w:p>
        </w:tc>
      </w:tr>
      <w:tr w:rsidR="00C7217E" w:rsidRPr="00530906" w14:paraId="76FF8B30" w14:textId="77777777" w:rsidTr="00EE722D">
        <w:trPr>
          <w:cantSplit/>
        </w:trPr>
        <w:tc>
          <w:tcPr>
            <w:tcW w:w="2199" w:type="dxa"/>
            <w:gridSpan w:val="3"/>
            <w:vMerge/>
            <w:tcBorders>
              <w:top w:val="single" w:sz="8" w:space="0" w:color="AEAEAE"/>
              <w:left w:val="nil"/>
              <w:bottom w:val="single" w:sz="8" w:space="0" w:color="152935"/>
              <w:right w:val="nil"/>
            </w:tcBorders>
            <w:shd w:val="clear" w:color="auto" w:fill="E0E0E0"/>
          </w:tcPr>
          <w:p w14:paraId="2F79708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835" w:type="dxa"/>
            <w:gridSpan w:val="4"/>
            <w:tcBorders>
              <w:top w:val="single" w:sz="8" w:space="0" w:color="AEAEAE"/>
              <w:left w:val="nil"/>
              <w:bottom w:val="single" w:sz="8" w:space="0" w:color="AEAEAE"/>
              <w:right w:val="nil"/>
            </w:tcBorders>
            <w:shd w:val="clear" w:color="auto" w:fill="E0E0E0"/>
          </w:tcPr>
          <w:p w14:paraId="60DEF7C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Within Groups</w:t>
            </w:r>
          </w:p>
        </w:tc>
        <w:tc>
          <w:tcPr>
            <w:tcW w:w="1069" w:type="dxa"/>
            <w:gridSpan w:val="2"/>
            <w:tcBorders>
              <w:top w:val="single" w:sz="8" w:space="0" w:color="AEAEAE"/>
              <w:left w:val="nil"/>
              <w:bottom w:val="single" w:sz="8" w:space="0" w:color="AEAEAE"/>
              <w:right w:val="single" w:sz="8" w:space="0" w:color="E0E0E0"/>
            </w:tcBorders>
            <w:shd w:val="clear" w:color="auto" w:fill="FFFFFF"/>
          </w:tcPr>
          <w:p w14:paraId="64D3ABF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492.760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tcPr>
          <w:p w14:paraId="2778D81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134" w:type="dxa"/>
            <w:gridSpan w:val="3"/>
            <w:tcBorders>
              <w:top w:val="single" w:sz="8" w:space="0" w:color="AEAEAE"/>
              <w:left w:val="single" w:sz="8" w:space="0" w:color="E0E0E0"/>
              <w:bottom w:val="single" w:sz="8" w:space="0" w:color="AEAEAE"/>
              <w:right w:val="single" w:sz="8" w:space="0" w:color="E0E0E0"/>
            </w:tcBorders>
            <w:shd w:val="clear" w:color="auto" w:fill="FFFFFF"/>
          </w:tcPr>
          <w:p w14:paraId="62065DB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1.779</w:t>
            </w:r>
          </w:p>
        </w:tc>
        <w:tc>
          <w:tcPr>
            <w:tcW w:w="56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94534C1"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5F05A7B4"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r>
      <w:tr w:rsidR="00C7217E" w:rsidRPr="00530906" w14:paraId="5099FAB5" w14:textId="77777777" w:rsidTr="00EE722D">
        <w:trPr>
          <w:cantSplit/>
        </w:trPr>
        <w:tc>
          <w:tcPr>
            <w:tcW w:w="2199" w:type="dxa"/>
            <w:gridSpan w:val="3"/>
            <w:vMerge/>
            <w:tcBorders>
              <w:top w:val="single" w:sz="8" w:space="0" w:color="AEAEAE"/>
              <w:left w:val="nil"/>
              <w:bottom w:val="single" w:sz="8" w:space="0" w:color="152935"/>
              <w:right w:val="nil"/>
            </w:tcBorders>
            <w:shd w:val="clear" w:color="auto" w:fill="E0E0E0"/>
          </w:tcPr>
          <w:p w14:paraId="448BB8BB"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835" w:type="dxa"/>
            <w:gridSpan w:val="4"/>
            <w:tcBorders>
              <w:top w:val="single" w:sz="8" w:space="0" w:color="AEAEAE"/>
              <w:left w:val="nil"/>
              <w:bottom w:val="single" w:sz="8" w:space="0" w:color="152935"/>
              <w:right w:val="nil"/>
            </w:tcBorders>
            <w:shd w:val="clear" w:color="auto" w:fill="E0E0E0"/>
          </w:tcPr>
          <w:p w14:paraId="3F3AC75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069" w:type="dxa"/>
            <w:gridSpan w:val="2"/>
            <w:tcBorders>
              <w:top w:val="single" w:sz="8" w:space="0" w:color="AEAEAE"/>
              <w:left w:val="nil"/>
              <w:bottom w:val="single" w:sz="8" w:space="0" w:color="152935"/>
              <w:right w:val="single" w:sz="8" w:space="0" w:color="E0E0E0"/>
            </w:tcBorders>
            <w:shd w:val="clear" w:color="auto" w:fill="FFFFFF"/>
          </w:tcPr>
          <w:p w14:paraId="4CFEDDB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494.312</w:t>
            </w:r>
          </w:p>
        </w:tc>
        <w:tc>
          <w:tcPr>
            <w:tcW w:w="851" w:type="dxa"/>
            <w:gridSpan w:val="2"/>
            <w:tcBorders>
              <w:top w:val="single" w:sz="8" w:space="0" w:color="AEAEAE"/>
              <w:left w:val="single" w:sz="8" w:space="0" w:color="E0E0E0"/>
              <w:bottom w:val="single" w:sz="8" w:space="0" w:color="152935"/>
              <w:right w:val="single" w:sz="8" w:space="0" w:color="E0E0E0"/>
            </w:tcBorders>
            <w:shd w:val="clear" w:color="auto" w:fill="FFFFFF"/>
          </w:tcPr>
          <w:p w14:paraId="688C0E9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134"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6018ACA4"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56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2DA3FE19"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709" w:type="dxa"/>
            <w:tcBorders>
              <w:top w:val="single" w:sz="8" w:space="0" w:color="AEAEAE"/>
              <w:left w:val="single" w:sz="8" w:space="0" w:color="E0E0E0"/>
              <w:bottom w:val="single" w:sz="8" w:space="0" w:color="152935"/>
              <w:right w:val="nil"/>
            </w:tcBorders>
            <w:shd w:val="clear" w:color="auto" w:fill="FFFFFF"/>
            <w:vAlign w:val="center"/>
          </w:tcPr>
          <w:p w14:paraId="0757DBDA"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r>
    </w:tbl>
    <w:p w14:paraId="3E33DAA7"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66581DE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noProof/>
          <w:color w:val="000000"/>
          <w:lang w:val="en-US"/>
        </w:rPr>
        <w:drawing>
          <wp:inline distT="0" distB="0" distL="0" distR="0" wp14:anchorId="1B302559" wp14:editId="21158FDD">
            <wp:extent cx="5943600" cy="3495675"/>
            <wp:effectExtent l="19050" t="0" r="0" b="0"/>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14:paraId="5FC83203" w14:textId="77777777" w:rsidR="00A41CEA" w:rsidRPr="00530906" w:rsidRDefault="00A41CEA" w:rsidP="008756B1">
      <w:pPr>
        <w:spacing w:line="259" w:lineRule="auto"/>
        <w:jc w:val="both"/>
        <w:rPr>
          <w:rFonts w:asciiTheme="majorHAnsi" w:eastAsia="Times New Roman" w:hAnsiTheme="majorHAnsi" w:cstheme="majorBidi"/>
          <w:color w:val="1F3763" w:themeColor="accent1" w:themeShade="7F"/>
          <w:sz w:val="24"/>
          <w:szCs w:val="24"/>
          <w:lang w:val="en-US"/>
        </w:rPr>
      </w:pPr>
      <w:r w:rsidRPr="00530906">
        <w:rPr>
          <w:rFonts w:eastAsia="Times New Roman"/>
          <w:lang w:val="en-US"/>
        </w:rPr>
        <w:br w:type="page"/>
      </w:r>
    </w:p>
    <w:p w14:paraId="5D7FC33D" w14:textId="5B803042" w:rsidR="00C7217E" w:rsidRPr="00530906" w:rsidRDefault="00C7217E" w:rsidP="008756B1">
      <w:pPr>
        <w:pStyle w:val="Heading3"/>
        <w:jc w:val="both"/>
        <w:rPr>
          <w:rFonts w:eastAsia="Times New Roman"/>
          <w:lang w:val="en-US"/>
        </w:rPr>
      </w:pPr>
      <w:bookmarkStart w:id="161" w:name="_Toc115726316"/>
      <w:r w:rsidRPr="00530906">
        <w:rPr>
          <w:rFonts w:eastAsia="Times New Roman"/>
          <w:lang w:val="en-US"/>
        </w:rPr>
        <w:t>Two way ANOVA</w:t>
      </w:r>
      <w:bookmarkEnd w:id="161"/>
    </w:p>
    <w:p w14:paraId="0971EE54" w14:textId="77777777" w:rsidR="00C7217E" w:rsidRPr="00530906" w:rsidRDefault="00C7217E" w:rsidP="008756B1">
      <w:pPr>
        <w:spacing w:after="0" w:line="240" w:lineRule="auto"/>
        <w:jc w:val="both"/>
        <w:rPr>
          <w:rFonts w:ascii="Cambria" w:eastAsia="Times New Roman" w:hAnsi="Cambria" w:cs="Times New Roman"/>
          <w:color w:val="000000"/>
          <w:lang w:val="en-US"/>
        </w:rPr>
      </w:pPr>
    </w:p>
    <w:tbl>
      <w:tblPr>
        <w:tblW w:w="6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6"/>
        <w:gridCol w:w="1356"/>
        <w:gridCol w:w="1108"/>
        <w:gridCol w:w="1555"/>
        <w:gridCol w:w="1108"/>
      </w:tblGrid>
      <w:tr w:rsidR="00C7217E" w:rsidRPr="00530906" w14:paraId="4E6D98EB" w14:textId="77777777" w:rsidTr="00C7217E">
        <w:trPr>
          <w:cantSplit/>
        </w:trPr>
        <w:tc>
          <w:tcPr>
            <w:tcW w:w="6379" w:type="dxa"/>
            <w:gridSpan w:val="5"/>
            <w:tcBorders>
              <w:top w:val="nil"/>
              <w:left w:val="nil"/>
              <w:bottom w:val="nil"/>
              <w:right w:val="nil"/>
            </w:tcBorders>
            <w:shd w:val="clear" w:color="auto" w:fill="FFFFFF"/>
            <w:vAlign w:val="center"/>
          </w:tcPr>
          <w:p w14:paraId="72D0C6F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b/>
                <w:bCs/>
                <w:color w:val="000000"/>
                <w:lang w:val="en-US"/>
              </w:rPr>
              <w:t>Descriptive Statistics</w:t>
            </w:r>
          </w:p>
        </w:tc>
      </w:tr>
      <w:tr w:rsidR="00C7217E" w:rsidRPr="00530906" w14:paraId="03556E4B" w14:textId="77777777" w:rsidTr="00C7217E">
        <w:trPr>
          <w:cantSplit/>
        </w:trPr>
        <w:tc>
          <w:tcPr>
            <w:tcW w:w="6379" w:type="dxa"/>
            <w:gridSpan w:val="5"/>
            <w:tcBorders>
              <w:top w:val="nil"/>
              <w:left w:val="nil"/>
              <w:bottom w:val="nil"/>
              <w:right w:val="nil"/>
            </w:tcBorders>
            <w:shd w:val="clear" w:color="auto" w:fill="FFFFFF"/>
            <w:vAlign w:val="bottom"/>
          </w:tcPr>
          <w:p w14:paraId="5D904935"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sz w:val="18"/>
                <w:szCs w:val="18"/>
                <w:shd w:val="clear" w:color="auto" w:fill="FFFFFF"/>
                <w:lang w:val="en-US"/>
              </w:rPr>
              <w:t xml:space="preserve">Dependent Variable:   Engagement  </w:t>
            </w:r>
          </w:p>
        </w:tc>
      </w:tr>
      <w:tr w:rsidR="00C7217E" w:rsidRPr="00530906" w14:paraId="462E575D" w14:textId="77777777" w:rsidTr="00C7217E">
        <w:trPr>
          <w:cantSplit/>
        </w:trPr>
        <w:tc>
          <w:tcPr>
            <w:tcW w:w="1256" w:type="dxa"/>
            <w:tcBorders>
              <w:top w:val="nil"/>
              <w:left w:val="nil"/>
              <w:bottom w:val="single" w:sz="8" w:space="0" w:color="152935"/>
              <w:right w:val="nil"/>
            </w:tcBorders>
            <w:shd w:val="clear" w:color="auto" w:fill="FFFFFF"/>
            <w:vAlign w:val="bottom"/>
          </w:tcPr>
          <w:p w14:paraId="7F74E64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Expert_cat</w:t>
            </w:r>
          </w:p>
        </w:tc>
        <w:tc>
          <w:tcPr>
            <w:tcW w:w="1355" w:type="dxa"/>
            <w:tcBorders>
              <w:top w:val="nil"/>
              <w:left w:val="nil"/>
              <w:bottom w:val="single" w:sz="8" w:space="0" w:color="152935"/>
              <w:right w:val="nil"/>
            </w:tcBorders>
            <w:shd w:val="clear" w:color="auto" w:fill="FFFFFF"/>
            <w:vAlign w:val="bottom"/>
          </w:tcPr>
          <w:p w14:paraId="42B2D9A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107" w:type="dxa"/>
            <w:tcBorders>
              <w:top w:val="nil"/>
              <w:left w:val="nil"/>
              <w:bottom w:val="single" w:sz="8" w:space="0" w:color="152935"/>
              <w:right w:val="single" w:sz="8" w:space="0" w:color="E0E0E0"/>
            </w:tcBorders>
            <w:shd w:val="clear" w:color="auto" w:fill="FFFFFF"/>
            <w:vAlign w:val="bottom"/>
          </w:tcPr>
          <w:p w14:paraId="6254E4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w:t>
            </w:r>
          </w:p>
        </w:tc>
        <w:tc>
          <w:tcPr>
            <w:tcW w:w="1554" w:type="dxa"/>
            <w:tcBorders>
              <w:top w:val="nil"/>
              <w:left w:val="single" w:sz="8" w:space="0" w:color="E0E0E0"/>
              <w:bottom w:val="single" w:sz="8" w:space="0" w:color="152935"/>
              <w:right w:val="single" w:sz="8" w:space="0" w:color="E0E0E0"/>
            </w:tcBorders>
            <w:shd w:val="clear" w:color="auto" w:fill="FFFFFF"/>
            <w:vAlign w:val="bottom"/>
          </w:tcPr>
          <w:p w14:paraId="6DDCBC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Std. Deviation</w:t>
            </w:r>
          </w:p>
        </w:tc>
        <w:tc>
          <w:tcPr>
            <w:tcW w:w="1107" w:type="dxa"/>
            <w:tcBorders>
              <w:top w:val="nil"/>
              <w:left w:val="single" w:sz="8" w:space="0" w:color="E0E0E0"/>
              <w:bottom w:val="single" w:sz="8" w:space="0" w:color="152935"/>
              <w:right w:val="nil"/>
            </w:tcBorders>
            <w:shd w:val="clear" w:color="auto" w:fill="FFFFFF"/>
            <w:vAlign w:val="bottom"/>
          </w:tcPr>
          <w:p w14:paraId="482B74D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w:t>
            </w:r>
          </w:p>
        </w:tc>
      </w:tr>
      <w:tr w:rsidR="00C7217E" w:rsidRPr="00530906" w14:paraId="6258020B" w14:textId="77777777" w:rsidTr="00C7217E">
        <w:trPr>
          <w:cantSplit/>
        </w:trPr>
        <w:tc>
          <w:tcPr>
            <w:tcW w:w="1256" w:type="dxa"/>
            <w:vMerge w:val="restart"/>
            <w:tcBorders>
              <w:top w:val="single" w:sz="8" w:space="0" w:color="152935"/>
              <w:left w:val="nil"/>
              <w:bottom w:val="nil"/>
              <w:right w:val="nil"/>
            </w:tcBorders>
            <w:shd w:val="clear" w:color="auto" w:fill="E0E0E0"/>
          </w:tcPr>
          <w:p w14:paraId="7ADA5CE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low</w:t>
            </w:r>
          </w:p>
        </w:tc>
        <w:tc>
          <w:tcPr>
            <w:tcW w:w="1355" w:type="dxa"/>
            <w:tcBorders>
              <w:top w:val="single" w:sz="8" w:space="0" w:color="152935"/>
              <w:left w:val="nil"/>
              <w:bottom w:val="single" w:sz="8" w:space="0" w:color="AEAEAE"/>
              <w:right w:val="nil"/>
            </w:tcBorders>
            <w:shd w:val="clear" w:color="auto" w:fill="E0E0E0"/>
          </w:tcPr>
          <w:p w14:paraId="262B0D1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107" w:type="dxa"/>
            <w:tcBorders>
              <w:top w:val="single" w:sz="8" w:space="0" w:color="152935"/>
              <w:left w:val="nil"/>
              <w:bottom w:val="single" w:sz="8" w:space="0" w:color="AEAEAE"/>
              <w:right w:val="single" w:sz="8" w:space="0" w:color="E0E0E0"/>
            </w:tcBorders>
            <w:shd w:val="clear" w:color="auto" w:fill="FFFFFF"/>
          </w:tcPr>
          <w:p w14:paraId="5CA313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3.2273</w:t>
            </w:r>
          </w:p>
        </w:tc>
        <w:tc>
          <w:tcPr>
            <w:tcW w:w="1554" w:type="dxa"/>
            <w:tcBorders>
              <w:top w:val="single" w:sz="8" w:space="0" w:color="152935"/>
              <w:left w:val="single" w:sz="8" w:space="0" w:color="E0E0E0"/>
              <w:bottom w:val="single" w:sz="8" w:space="0" w:color="AEAEAE"/>
              <w:right w:val="single" w:sz="8" w:space="0" w:color="E0E0E0"/>
            </w:tcBorders>
            <w:shd w:val="clear" w:color="auto" w:fill="FFFFFF"/>
          </w:tcPr>
          <w:p w14:paraId="773CCD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1.20952</w:t>
            </w:r>
          </w:p>
        </w:tc>
        <w:tc>
          <w:tcPr>
            <w:tcW w:w="1107" w:type="dxa"/>
            <w:tcBorders>
              <w:top w:val="single" w:sz="8" w:space="0" w:color="152935"/>
              <w:left w:val="single" w:sz="8" w:space="0" w:color="E0E0E0"/>
              <w:bottom w:val="single" w:sz="8" w:space="0" w:color="AEAEAE"/>
              <w:right w:val="nil"/>
            </w:tcBorders>
            <w:shd w:val="clear" w:color="auto" w:fill="FFFFFF"/>
          </w:tcPr>
          <w:p w14:paraId="72AC983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66</w:t>
            </w:r>
          </w:p>
        </w:tc>
      </w:tr>
      <w:tr w:rsidR="00C7217E" w:rsidRPr="00530906" w14:paraId="11B05614" w14:textId="77777777" w:rsidTr="00C7217E">
        <w:trPr>
          <w:cantSplit/>
        </w:trPr>
        <w:tc>
          <w:tcPr>
            <w:tcW w:w="1256" w:type="dxa"/>
            <w:vMerge/>
            <w:tcBorders>
              <w:top w:val="single" w:sz="8" w:space="0" w:color="152935"/>
              <w:left w:val="nil"/>
              <w:bottom w:val="nil"/>
              <w:right w:val="nil"/>
            </w:tcBorders>
            <w:shd w:val="clear" w:color="auto" w:fill="E0E0E0"/>
          </w:tcPr>
          <w:p w14:paraId="655343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single" w:sz="8" w:space="0" w:color="AEAEAE"/>
              <w:right w:val="nil"/>
            </w:tcBorders>
            <w:shd w:val="clear" w:color="auto" w:fill="E0E0E0"/>
          </w:tcPr>
          <w:p w14:paraId="4648C8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107" w:type="dxa"/>
            <w:tcBorders>
              <w:top w:val="single" w:sz="8" w:space="0" w:color="AEAEAE"/>
              <w:left w:val="nil"/>
              <w:bottom w:val="single" w:sz="8" w:space="0" w:color="AEAEAE"/>
              <w:right w:val="single" w:sz="8" w:space="0" w:color="E0E0E0"/>
            </w:tcBorders>
            <w:shd w:val="clear" w:color="auto" w:fill="FFFFFF"/>
          </w:tcPr>
          <w:p w14:paraId="7132121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3.8289</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28EE065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1.17559</w:t>
            </w:r>
          </w:p>
        </w:tc>
        <w:tc>
          <w:tcPr>
            <w:tcW w:w="1107" w:type="dxa"/>
            <w:tcBorders>
              <w:top w:val="single" w:sz="8" w:space="0" w:color="AEAEAE"/>
              <w:left w:val="single" w:sz="8" w:space="0" w:color="E0E0E0"/>
              <w:bottom w:val="single" w:sz="8" w:space="0" w:color="AEAEAE"/>
              <w:right w:val="nil"/>
            </w:tcBorders>
            <w:shd w:val="clear" w:color="auto" w:fill="FFFFFF"/>
          </w:tcPr>
          <w:p w14:paraId="4E75A10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76</w:t>
            </w:r>
          </w:p>
        </w:tc>
      </w:tr>
      <w:tr w:rsidR="00C7217E" w:rsidRPr="00530906" w14:paraId="679DE945" w14:textId="77777777" w:rsidTr="00C7217E">
        <w:trPr>
          <w:cantSplit/>
        </w:trPr>
        <w:tc>
          <w:tcPr>
            <w:tcW w:w="1256" w:type="dxa"/>
            <w:vMerge/>
            <w:tcBorders>
              <w:top w:val="single" w:sz="8" w:space="0" w:color="152935"/>
              <w:left w:val="nil"/>
              <w:bottom w:val="nil"/>
              <w:right w:val="nil"/>
            </w:tcBorders>
            <w:shd w:val="clear" w:color="auto" w:fill="E0E0E0"/>
          </w:tcPr>
          <w:p w14:paraId="34E2F5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nil"/>
              <w:right w:val="nil"/>
            </w:tcBorders>
            <w:shd w:val="clear" w:color="auto" w:fill="E0E0E0"/>
          </w:tcPr>
          <w:p w14:paraId="01ECB2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107" w:type="dxa"/>
            <w:tcBorders>
              <w:top w:val="single" w:sz="8" w:space="0" w:color="AEAEAE"/>
              <w:left w:val="nil"/>
              <w:bottom w:val="nil"/>
              <w:right w:val="single" w:sz="8" w:space="0" w:color="E0E0E0"/>
            </w:tcBorders>
            <w:shd w:val="clear" w:color="auto" w:fill="FFFFFF"/>
          </w:tcPr>
          <w:p w14:paraId="708F7D4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3.5493</w:t>
            </w:r>
          </w:p>
        </w:tc>
        <w:tc>
          <w:tcPr>
            <w:tcW w:w="1554" w:type="dxa"/>
            <w:tcBorders>
              <w:top w:val="single" w:sz="8" w:space="0" w:color="AEAEAE"/>
              <w:left w:val="single" w:sz="8" w:space="0" w:color="E0E0E0"/>
              <w:bottom w:val="nil"/>
              <w:right w:val="single" w:sz="8" w:space="0" w:color="E0E0E0"/>
            </w:tcBorders>
            <w:shd w:val="clear" w:color="auto" w:fill="FFFFFF"/>
          </w:tcPr>
          <w:p w14:paraId="4BC5CBE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1.22483</w:t>
            </w:r>
          </w:p>
        </w:tc>
        <w:tc>
          <w:tcPr>
            <w:tcW w:w="1107" w:type="dxa"/>
            <w:tcBorders>
              <w:top w:val="single" w:sz="8" w:space="0" w:color="AEAEAE"/>
              <w:left w:val="single" w:sz="8" w:space="0" w:color="E0E0E0"/>
              <w:bottom w:val="nil"/>
              <w:right w:val="nil"/>
            </w:tcBorders>
            <w:shd w:val="clear" w:color="auto" w:fill="FFFFFF"/>
          </w:tcPr>
          <w:p w14:paraId="7E2B8BC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31BB16CD" w14:textId="77777777" w:rsidTr="00C7217E">
        <w:trPr>
          <w:cantSplit/>
        </w:trPr>
        <w:tc>
          <w:tcPr>
            <w:tcW w:w="1256" w:type="dxa"/>
            <w:vMerge w:val="restart"/>
            <w:tcBorders>
              <w:top w:val="single" w:sz="8" w:space="0" w:color="AEAEAE"/>
              <w:left w:val="nil"/>
              <w:bottom w:val="nil"/>
              <w:right w:val="nil"/>
            </w:tcBorders>
            <w:shd w:val="clear" w:color="auto" w:fill="E0E0E0"/>
          </w:tcPr>
          <w:p w14:paraId="300ADAB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high</w:t>
            </w:r>
          </w:p>
        </w:tc>
        <w:tc>
          <w:tcPr>
            <w:tcW w:w="1355" w:type="dxa"/>
            <w:tcBorders>
              <w:top w:val="single" w:sz="8" w:space="0" w:color="AEAEAE"/>
              <w:left w:val="nil"/>
              <w:bottom w:val="single" w:sz="8" w:space="0" w:color="AEAEAE"/>
              <w:right w:val="nil"/>
            </w:tcBorders>
            <w:shd w:val="clear" w:color="auto" w:fill="E0E0E0"/>
          </w:tcPr>
          <w:p w14:paraId="2B74EEA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107" w:type="dxa"/>
            <w:tcBorders>
              <w:top w:val="single" w:sz="8" w:space="0" w:color="AEAEAE"/>
              <w:left w:val="nil"/>
              <w:bottom w:val="single" w:sz="8" w:space="0" w:color="AEAEAE"/>
              <w:right w:val="single" w:sz="8" w:space="0" w:color="E0E0E0"/>
            </w:tcBorders>
            <w:shd w:val="clear" w:color="auto" w:fill="FFFFFF"/>
          </w:tcPr>
          <w:p w14:paraId="3FF541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3.8393</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3ECCB61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1.40975</w:t>
            </w:r>
          </w:p>
        </w:tc>
        <w:tc>
          <w:tcPr>
            <w:tcW w:w="1107" w:type="dxa"/>
            <w:tcBorders>
              <w:top w:val="single" w:sz="8" w:space="0" w:color="AEAEAE"/>
              <w:left w:val="single" w:sz="8" w:space="0" w:color="E0E0E0"/>
              <w:bottom w:val="single" w:sz="8" w:space="0" w:color="AEAEAE"/>
              <w:right w:val="nil"/>
            </w:tcBorders>
            <w:shd w:val="clear" w:color="auto" w:fill="FFFFFF"/>
          </w:tcPr>
          <w:p w14:paraId="4E7320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70</w:t>
            </w:r>
          </w:p>
        </w:tc>
      </w:tr>
      <w:tr w:rsidR="00C7217E" w:rsidRPr="00530906" w14:paraId="77B4427B" w14:textId="77777777" w:rsidTr="00C7217E">
        <w:trPr>
          <w:cantSplit/>
        </w:trPr>
        <w:tc>
          <w:tcPr>
            <w:tcW w:w="1256" w:type="dxa"/>
            <w:vMerge/>
            <w:tcBorders>
              <w:top w:val="single" w:sz="8" w:space="0" w:color="AEAEAE"/>
              <w:left w:val="nil"/>
              <w:bottom w:val="nil"/>
              <w:right w:val="nil"/>
            </w:tcBorders>
            <w:shd w:val="clear" w:color="auto" w:fill="E0E0E0"/>
          </w:tcPr>
          <w:p w14:paraId="716675C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single" w:sz="8" w:space="0" w:color="AEAEAE"/>
              <w:right w:val="nil"/>
            </w:tcBorders>
            <w:shd w:val="clear" w:color="auto" w:fill="E0E0E0"/>
          </w:tcPr>
          <w:p w14:paraId="02C18C8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107" w:type="dxa"/>
            <w:tcBorders>
              <w:top w:val="single" w:sz="8" w:space="0" w:color="AEAEAE"/>
              <w:left w:val="nil"/>
              <w:bottom w:val="single" w:sz="8" w:space="0" w:color="AEAEAE"/>
              <w:right w:val="single" w:sz="8" w:space="0" w:color="E0E0E0"/>
            </w:tcBorders>
            <w:shd w:val="clear" w:color="auto" w:fill="FFFFFF"/>
          </w:tcPr>
          <w:p w14:paraId="56387E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3.5758</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5055A56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1.43913</w:t>
            </w:r>
          </w:p>
        </w:tc>
        <w:tc>
          <w:tcPr>
            <w:tcW w:w="1107" w:type="dxa"/>
            <w:tcBorders>
              <w:top w:val="single" w:sz="8" w:space="0" w:color="AEAEAE"/>
              <w:left w:val="single" w:sz="8" w:space="0" w:color="E0E0E0"/>
              <w:bottom w:val="single" w:sz="8" w:space="0" w:color="AEAEAE"/>
              <w:right w:val="nil"/>
            </w:tcBorders>
            <w:shd w:val="clear" w:color="auto" w:fill="FFFFFF"/>
          </w:tcPr>
          <w:p w14:paraId="00B6966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66</w:t>
            </w:r>
          </w:p>
        </w:tc>
      </w:tr>
      <w:tr w:rsidR="00C7217E" w:rsidRPr="00530906" w14:paraId="41566E9A" w14:textId="77777777" w:rsidTr="00C7217E">
        <w:trPr>
          <w:cantSplit/>
        </w:trPr>
        <w:tc>
          <w:tcPr>
            <w:tcW w:w="1256" w:type="dxa"/>
            <w:vMerge/>
            <w:tcBorders>
              <w:top w:val="single" w:sz="8" w:space="0" w:color="AEAEAE"/>
              <w:left w:val="nil"/>
              <w:bottom w:val="nil"/>
              <w:right w:val="nil"/>
            </w:tcBorders>
            <w:shd w:val="clear" w:color="auto" w:fill="E0E0E0"/>
          </w:tcPr>
          <w:p w14:paraId="596765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nil"/>
              <w:right w:val="nil"/>
            </w:tcBorders>
            <w:shd w:val="clear" w:color="auto" w:fill="E0E0E0"/>
          </w:tcPr>
          <w:p w14:paraId="6EB9CEF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107" w:type="dxa"/>
            <w:tcBorders>
              <w:top w:val="single" w:sz="8" w:space="0" w:color="AEAEAE"/>
              <w:left w:val="nil"/>
              <w:bottom w:val="nil"/>
              <w:right w:val="single" w:sz="8" w:space="0" w:color="E0E0E0"/>
            </w:tcBorders>
            <w:shd w:val="clear" w:color="auto" w:fill="FFFFFF"/>
          </w:tcPr>
          <w:p w14:paraId="694634A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3.7114</w:t>
            </w:r>
          </w:p>
        </w:tc>
        <w:tc>
          <w:tcPr>
            <w:tcW w:w="1554" w:type="dxa"/>
            <w:tcBorders>
              <w:top w:val="single" w:sz="8" w:space="0" w:color="AEAEAE"/>
              <w:left w:val="single" w:sz="8" w:space="0" w:color="E0E0E0"/>
              <w:bottom w:val="nil"/>
              <w:right w:val="single" w:sz="8" w:space="0" w:color="E0E0E0"/>
            </w:tcBorders>
            <w:shd w:val="clear" w:color="auto" w:fill="FFFFFF"/>
          </w:tcPr>
          <w:p w14:paraId="455F7B0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1.42494</w:t>
            </w:r>
          </w:p>
        </w:tc>
        <w:tc>
          <w:tcPr>
            <w:tcW w:w="1107" w:type="dxa"/>
            <w:tcBorders>
              <w:top w:val="single" w:sz="8" w:space="0" w:color="AEAEAE"/>
              <w:left w:val="single" w:sz="8" w:space="0" w:color="E0E0E0"/>
              <w:bottom w:val="nil"/>
              <w:right w:val="nil"/>
            </w:tcBorders>
            <w:shd w:val="clear" w:color="auto" w:fill="FFFFFF"/>
          </w:tcPr>
          <w:p w14:paraId="7AFFC5D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136</w:t>
            </w:r>
          </w:p>
        </w:tc>
      </w:tr>
      <w:tr w:rsidR="00C7217E" w:rsidRPr="00530906" w14:paraId="1E4B627E" w14:textId="77777777" w:rsidTr="00C7217E">
        <w:trPr>
          <w:cantSplit/>
        </w:trPr>
        <w:tc>
          <w:tcPr>
            <w:tcW w:w="1256" w:type="dxa"/>
            <w:vMerge w:val="restart"/>
            <w:tcBorders>
              <w:top w:val="single" w:sz="8" w:space="0" w:color="AEAEAE"/>
              <w:left w:val="nil"/>
              <w:bottom w:val="single" w:sz="8" w:space="0" w:color="152935"/>
              <w:right w:val="nil"/>
            </w:tcBorders>
            <w:shd w:val="clear" w:color="auto" w:fill="E0E0E0"/>
          </w:tcPr>
          <w:p w14:paraId="2BDDD0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355" w:type="dxa"/>
            <w:tcBorders>
              <w:top w:val="single" w:sz="8" w:space="0" w:color="AEAEAE"/>
              <w:left w:val="nil"/>
              <w:bottom w:val="single" w:sz="8" w:space="0" w:color="AEAEAE"/>
              <w:right w:val="nil"/>
            </w:tcBorders>
            <w:shd w:val="clear" w:color="auto" w:fill="E0E0E0"/>
          </w:tcPr>
          <w:p w14:paraId="7787499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Negative</w:t>
            </w:r>
          </w:p>
        </w:tc>
        <w:tc>
          <w:tcPr>
            <w:tcW w:w="1107" w:type="dxa"/>
            <w:tcBorders>
              <w:top w:val="single" w:sz="8" w:space="0" w:color="AEAEAE"/>
              <w:left w:val="nil"/>
              <w:bottom w:val="single" w:sz="8" w:space="0" w:color="AEAEAE"/>
              <w:right w:val="single" w:sz="8" w:space="0" w:color="E0E0E0"/>
            </w:tcBorders>
            <w:shd w:val="clear" w:color="auto" w:fill="FFFFFF"/>
          </w:tcPr>
          <w:p w14:paraId="1C1E6B5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3.5423</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5608A17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1.34700</w:t>
            </w:r>
          </w:p>
        </w:tc>
        <w:tc>
          <w:tcPr>
            <w:tcW w:w="1107" w:type="dxa"/>
            <w:tcBorders>
              <w:top w:val="single" w:sz="8" w:space="0" w:color="AEAEAE"/>
              <w:left w:val="single" w:sz="8" w:space="0" w:color="E0E0E0"/>
              <w:bottom w:val="single" w:sz="8" w:space="0" w:color="AEAEAE"/>
              <w:right w:val="nil"/>
            </w:tcBorders>
            <w:shd w:val="clear" w:color="auto" w:fill="FFFFFF"/>
          </w:tcPr>
          <w:p w14:paraId="242799FE"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136</w:t>
            </w:r>
          </w:p>
        </w:tc>
      </w:tr>
      <w:tr w:rsidR="00C7217E" w:rsidRPr="00530906" w14:paraId="75944713" w14:textId="77777777" w:rsidTr="00C7217E">
        <w:trPr>
          <w:cantSplit/>
        </w:trPr>
        <w:tc>
          <w:tcPr>
            <w:tcW w:w="1256" w:type="dxa"/>
            <w:vMerge/>
            <w:tcBorders>
              <w:top w:val="single" w:sz="8" w:space="0" w:color="AEAEAE"/>
              <w:left w:val="nil"/>
              <w:bottom w:val="single" w:sz="8" w:space="0" w:color="152935"/>
              <w:right w:val="nil"/>
            </w:tcBorders>
            <w:shd w:val="clear" w:color="auto" w:fill="E0E0E0"/>
          </w:tcPr>
          <w:p w14:paraId="4D0E3E9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single" w:sz="8" w:space="0" w:color="AEAEAE"/>
              <w:right w:val="nil"/>
            </w:tcBorders>
            <w:shd w:val="clear" w:color="auto" w:fill="E0E0E0"/>
          </w:tcPr>
          <w:p w14:paraId="3684C16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Positive</w:t>
            </w:r>
          </w:p>
        </w:tc>
        <w:tc>
          <w:tcPr>
            <w:tcW w:w="1107" w:type="dxa"/>
            <w:tcBorders>
              <w:top w:val="single" w:sz="8" w:space="0" w:color="AEAEAE"/>
              <w:left w:val="nil"/>
              <w:bottom w:val="single" w:sz="8" w:space="0" w:color="AEAEAE"/>
              <w:right w:val="single" w:sz="8" w:space="0" w:color="E0E0E0"/>
            </w:tcBorders>
            <w:shd w:val="clear" w:color="auto" w:fill="FFFFFF"/>
          </w:tcPr>
          <w:p w14:paraId="1DFCB1B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3.7113</w:t>
            </w:r>
          </w:p>
        </w:tc>
        <w:tc>
          <w:tcPr>
            <w:tcW w:w="1554" w:type="dxa"/>
            <w:tcBorders>
              <w:top w:val="single" w:sz="8" w:space="0" w:color="AEAEAE"/>
              <w:left w:val="single" w:sz="8" w:space="0" w:color="E0E0E0"/>
              <w:bottom w:val="single" w:sz="8" w:space="0" w:color="AEAEAE"/>
              <w:right w:val="single" w:sz="8" w:space="0" w:color="E0E0E0"/>
            </w:tcBorders>
            <w:shd w:val="clear" w:color="auto" w:fill="FFFFFF"/>
          </w:tcPr>
          <w:p w14:paraId="023A61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1.30611</w:t>
            </w:r>
          </w:p>
        </w:tc>
        <w:tc>
          <w:tcPr>
            <w:tcW w:w="1107" w:type="dxa"/>
            <w:tcBorders>
              <w:top w:val="single" w:sz="8" w:space="0" w:color="AEAEAE"/>
              <w:left w:val="single" w:sz="8" w:space="0" w:color="E0E0E0"/>
              <w:bottom w:val="single" w:sz="8" w:space="0" w:color="AEAEAE"/>
              <w:right w:val="nil"/>
            </w:tcBorders>
            <w:shd w:val="clear" w:color="auto" w:fill="FFFFFF"/>
          </w:tcPr>
          <w:p w14:paraId="14B818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142</w:t>
            </w:r>
          </w:p>
        </w:tc>
      </w:tr>
      <w:tr w:rsidR="00C7217E" w:rsidRPr="00530906" w14:paraId="5E45D949" w14:textId="77777777" w:rsidTr="00C7217E">
        <w:trPr>
          <w:cantSplit/>
        </w:trPr>
        <w:tc>
          <w:tcPr>
            <w:tcW w:w="1256" w:type="dxa"/>
            <w:vMerge/>
            <w:tcBorders>
              <w:top w:val="single" w:sz="8" w:space="0" w:color="AEAEAE"/>
              <w:left w:val="nil"/>
              <w:bottom w:val="single" w:sz="8" w:space="0" w:color="152935"/>
              <w:right w:val="nil"/>
            </w:tcBorders>
            <w:shd w:val="clear" w:color="auto" w:fill="E0E0E0"/>
          </w:tcPr>
          <w:p w14:paraId="54779C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p>
        </w:tc>
        <w:tc>
          <w:tcPr>
            <w:tcW w:w="1355" w:type="dxa"/>
            <w:tcBorders>
              <w:top w:val="single" w:sz="8" w:space="0" w:color="AEAEAE"/>
              <w:left w:val="nil"/>
              <w:bottom w:val="single" w:sz="8" w:space="0" w:color="152935"/>
              <w:right w:val="nil"/>
            </w:tcBorders>
            <w:shd w:val="clear" w:color="auto" w:fill="E0E0E0"/>
          </w:tcPr>
          <w:p w14:paraId="0BAEBF4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107" w:type="dxa"/>
            <w:tcBorders>
              <w:top w:val="single" w:sz="8" w:space="0" w:color="AEAEAE"/>
              <w:left w:val="nil"/>
              <w:bottom w:val="single" w:sz="8" w:space="0" w:color="152935"/>
              <w:right w:val="single" w:sz="8" w:space="0" w:color="E0E0E0"/>
            </w:tcBorders>
            <w:shd w:val="clear" w:color="auto" w:fill="FFFFFF"/>
          </w:tcPr>
          <w:p w14:paraId="49EC5C8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3.6286</w:t>
            </w:r>
          </w:p>
        </w:tc>
        <w:tc>
          <w:tcPr>
            <w:tcW w:w="1554" w:type="dxa"/>
            <w:tcBorders>
              <w:top w:val="single" w:sz="8" w:space="0" w:color="AEAEAE"/>
              <w:left w:val="single" w:sz="8" w:space="0" w:color="E0E0E0"/>
              <w:bottom w:val="single" w:sz="8" w:space="0" w:color="152935"/>
              <w:right w:val="single" w:sz="8" w:space="0" w:color="E0E0E0"/>
            </w:tcBorders>
            <w:shd w:val="clear" w:color="auto" w:fill="FFFFFF"/>
          </w:tcPr>
          <w:p w14:paraId="0BA6BC87"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1.32658</w:t>
            </w:r>
          </w:p>
        </w:tc>
        <w:tc>
          <w:tcPr>
            <w:tcW w:w="1107" w:type="dxa"/>
            <w:tcBorders>
              <w:top w:val="single" w:sz="8" w:space="0" w:color="AEAEAE"/>
              <w:left w:val="single" w:sz="8" w:space="0" w:color="E0E0E0"/>
              <w:bottom w:val="single" w:sz="8" w:space="0" w:color="152935"/>
              <w:right w:val="nil"/>
            </w:tcBorders>
            <w:shd w:val="clear" w:color="auto" w:fill="FFFFFF"/>
          </w:tcPr>
          <w:p w14:paraId="169B48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r>
    </w:tbl>
    <w:p w14:paraId="38ADB16B" w14:textId="77777777" w:rsidR="00C7217E" w:rsidRPr="00530906" w:rsidRDefault="00C7217E" w:rsidP="008756B1">
      <w:pPr>
        <w:spacing w:after="0" w:line="240" w:lineRule="auto"/>
        <w:jc w:val="both"/>
        <w:rPr>
          <w:rFonts w:ascii="Cambria" w:eastAsia="Times New Roman" w:hAnsi="Cambria" w:cs="Times New Roman"/>
          <w:color w:val="000000"/>
          <w:lang w:val="en-US"/>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2"/>
        <w:gridCol w:w="1588"/>
        <w:gridCol w:w="750"/>
        <w:gridCol w:w="1521"/>
        <w:gridCol w:w="1174"/>
        <w:gridCol w:w="1108"/>
        <w:gridCol w:w="947"/>
      </w:tblGrid>
      <w:tr w:rsidR="00C7217E" w:rsidRPr="00530906" w14:paraId="06BB47C3" w14:textId="77777777" w:rsidTr="00EE722D">
        <w:trPr>
          <w:cantSplit/>
        </w:trPr>
        <w:tc>
          <w:tcPr>
            <w:tcW w:w="9570" w:type="dxa"/>
            <w:gridSpan w:val="7"/>
            <w:tcBorders>
              <w:top w:val="nil"/>
              <w:left w:val="nil"/>
              <w:bottom w:val="nil"/>
              <w:right w:val="nil"/>
            </w:tcBorders>
            <w:shd w:val="clear" w:color="auto" w:fill="FFFFFF"/>
            <w:vAlign w:val="center"/>
          </w:tcPr>
          <w:p w14:paraId="7A7C1EEC"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b/>
                <w:bCs/>
                <w:color w:val="000000"/>
                <w:lang w:val="en-US"/>
              </w:rPr>
              <w:t>Tests of Between–Subjects Effects</w:t>
            </w:r>
          </w:p>
        </w:tc>
      </w:tr>
      <w:tr w:rsidR="00C7217E" w:rsidRPr="00530906" w14:paraId="3821EC7A" w14:textId="77777777" w:rsidTr="00EE722D">
        <w:trPr>
          <w:cantSplit/>
        </w:trPr>
        <w:tc>
          <w:tcPr>
            <w:tcW w:w="9570" w:type="dxa"/>
            <w:gridSpan w:val="7"/>
            <w:tcBorders>
              <w:top w:val="nil"/>
              <w:left w:val="nil"/>
              <w:bottom w:val="nil"/>
              <w:right w:val="nil"/>
            </w:tcBorders>
            <w:shd w:val="clear" w:color="auto" w:fill="FFFFFF"/>
            <w:vAlign w:val="bottom"/>
          </w:tcPr>
          <w:p w14:paraId="59BCB96A" w14:textId="77777777" w:rsidR="00C7217E" w:rsidRPr="00530906" w:rsidRDefault="00C7217E" w:rsidP="008756B1">
            <w:pPr>
              <w:spacing w:after="0" w:line="240"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sz w:val="18"/>
                <w:szCs w:val="18"/>
                <w:shd w:val="clear" w:color="auto" w:fill="FFFFFF"/>
                <w:lang w:val="en-US"/>
              </w:rPr>
              <w:t xml:space="preserve">Dependent Variable:   Engagement  </w:t>
            </w:r>
          </w:p>
        </w:tc>
      </w:tr>
      <w:tr w:rsidR="00C7217E" w:rsidRPr="00530906" w14:paraId="5E614C89" w14:textId="77777777" w:rsidTr="00EE722D">
        <w:trPr>
          <w:cantSplit/>
        </w:trPr>
        <w:tc>
          <w:tcPr>
            <w:tcW w:w="2482" w:type="dxa"/>
            <w:tcBorders>
              <w:top w:val="nil"/>
              <w:left w:val="nil"/>
              <w:bottom w:val="single" w:sz="8" w:space="0" w:color="152935"/>
              <w:right w:val="nil"/>
            </w:tcBorders>
            <w:shd w:val="clear" w:color="auto" w:fill="FFFFFF"/>
            <w:vAlign w:val="bottom"/>
          </w:tcPr>
          <w:p w14:paraId="0879DD6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Source</w:t>
            </w:r>
          </w:p>
        </w:tc>
        <w:tc>
          <w:tcPr>
            <w:tcW w:w="1588" w:type="dxa"/>
            <w:tcBorders>
              <w:top w:val="nil"/>
              <w:left w:val="nil"/>
              <w:bottom w:val="single" w:sz="8" w:space="0" w:color="152935"/>
              <w:right w:val="single" w:sz="8" w:space="0" w:color="E0E0E0"/>
            </w:tcBorders>
            <w:shd w:val="clear" w:color="auto" w:fill="FFFFFF"/>
            <w:vAlign w:val="bottom"/>
          </w:tcPr>
          <w:p w14:paraId="462FDDD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Type III Sum of Squares</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355F1D2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df</w:t>
            </w:r>
          </w:p>
        </w:tc>
        <w:tc>
          <w:tcPr>
            <w:tcW w:w="1521" w:type="dxa"/>
            <w:tcBorders>
              <w:top w:val="nil"/>
              <w:left w:val="single" w:sz="8" w:space="0" w:color="E0E0E0"/>
              <w:bottom w:val="single" w:sz="8" w:space="0" w:color="152935"/>
              <w:right w:val="single" w:sz="8" w:space="0" w:color="E0E0E0"/>
            </w:tcBorders>
            <w:shd w:val="clear" w:color="auto" w:fill="FFFFFF"/>
            <w:vAlign w:val="bottom"/>
          </w:tcPr>
          <w:p w14:paraId="1CEE786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Mean Square</w:t>
            </w:r>
          </w:p>
        </w:tc>
        <w:tc>
          <w:tcPr>
            <w:tcW w:w="1174" w:type="dxa"/>
            <w:tcBorders>
              <w:top w:val="nil"/>
              <w:left w:val="single" w:sz="8" w:space="0" w:color="E0E0E0"/>
              <w:bottom w:val="single" w:sz="8" w:space="0" w:color="152935"/>
              <w:right w:val="single" w:sz="8" w:space="0" w:color="E0E0E0"/>
            </w:tcBorders>
            <w:shd w:val="clear" w:color="auto" w:fill="FFFFFF"/>
            <w:vAlign w:val="bottom"/>
          </w:tcPr>
          <w:p w14:paraId="038CC37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F</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4A341FE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Sig.</w:t>
            </w:r>
          </w:p>
        </w:tc>
        <w:tc>
          <w:tcPr>
            <w:tcW w:w="942" w:type="dxa"/>
            <w:tcBorders>
              <w:top w:val="nil"/>
              <w:left w:val="single" w:sz="8" w:space="0" w:color="E0E0E0"/>
              <w:bottom w:val="single" w:sz="8" w:space="0" w:color="152935"/>
              <w:right w:val="nil"/>
            </w:tcBorders>
            <w:shd w:val="clear" w:color="auto" w:fill="FFFFFF"/>
            <w:vAlign w:val="bottom"/>
          </w:tcPr>
          <w:p w14:paraId="4CB888B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Partial Eta Squared</w:t>
            </w:r>
          </w:p>
        </w:tc>
      </w:tr>
      <w:tr w:rsidR="00C7217E" w:rsidRPr="00530906" w14:paraId="0B8127D5" w14:textId="77777777" w:rsidTr="00EE722D">
        <w:trPr>
          <w:cantSplit/>
        </w:trPr>
        <w:tc>
          <w:tcPr>
            <w:tcW w:w="2482" w:type="dxa"/>
            <w:tcBorders>
              <w:top w:val="single" w:sz="8" w:space="0" w:color="152935"/>
              <w:left w:val="nil"/>
              <w:bottom w:val="single" w:sz="8" w:space="0" w:color="AEAEAE"/>
              <w:right w:val="nil"/>
            </w:tcBorders>
            <w:shd w:val="clear" w:color="auto" w:fill="E0E0E0"/>
          </w:tcPr>
          <w:p w14:paraId="55C21A3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Model</w:t>
            </w:r>
          </w:p>
        </w:tc>
        <w:tc>
          <w:tcPr>
            <w:tcW w:w="1588" w:type="dxa"/>
            <w:tcBorders>
              <w:top w:val="single" w:sz="8" w:space="0" w:color="152935"/>
              <w:left w:val="nil"/>
              <w:bottom w:val="single" w:sz="8" w:space="0" w:color="AEAEAE"/>
              <w:right w:val="single" w:sz="8" w:space="0" w:color="E0E0E0"/>
            </w:tcBorders>
            <w:shd w:val="clear" w:color="auto" w:fill="FFFFFF"/>
          </w:tcPr>
          <w:p w14:paraId="127529F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16.972</w:t>
            </w:r>
            <w:r w:rsidRPr="00530906">
              <w:rPr>
                <w:rFonts w:ascii="Cambria" w:eastAsia="Times New Roman" w:hAnsi="Cambria" w:cs="Times New Roman"/>
                <w:color w:val="000000"/>
                <w:sz w:val="18"/>
                <w:szCs w:val="18"/>
                <w:vertAlign w:val="superscript"/>
                <w:lang w:val="en-US"/>
              </w:rPr>
              <w:t>a</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33D6DA9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w:t>
            </w:r>
          </w:p>
        </w:tc>
        <w:tc>
          <w:tcPr>
            <w:tcW w:w="1521" w:type="dxa"/>
            <w:tcBorders>
              <w:top w:val="single" w:sz="8" w:space="0" w:color="152935"/>
              <w:left w:val="single" w:sz="8" w:space="0" w:color="E0E0E0"/>
              <w:bottom w:val="single" w:sz="8" w:space="0" w:color="AEAEAE"/>
              <w:right w:val="single" w:sz="8" w:space="0" w:color="E0E0E0"/>
            </w:tcBorders>
            <w:shd w:val="clear" w:color="auto" w:fill="FFFFFF"/>
          </w:tcPr>
          <w:p w14:paraId="548CBD1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5.657</w:t>
            </w:r>
          </w:p>
        </w:tc>
        <w:tc>
          <w:tcPr>
            <w:tcW w:w="1174" w:type="dxa"/>
            <w:tcBorders>
              <w:top w:val="single" w:sz="8" w:space="0" w:color="152935"/>
              <w:left w:val="single" w:sz="8" w:space="0" w:color="E0E0E0"/>
              <w:bottom w:val="single" w:sz="8" w:space="0" w:color="AEAEAE"/>
              <w:right w:val="single" w:sz="8" w:space="0" w:color="E0E0E0"/>
            </w:tcBorders>
            <w:shd w:val="clear" w:color="auto" w:fill="FFFFFF"/>
          </w:tcPr>
          <w:p w14:paraId="363F7E0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3.295</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3CD224B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.021</w:t>
            </w:r>
          </w:p>
        </w:tc>
        <w:tc>
          <w:tcPr>
            <w:tcW w:w="942" w:type="dxa"/>
            <w:tcBorders>
              <w:top w:val="single" w:sz="8" w:space="0" w:color="152935"/>
              <w:left w:val="single" w:sz="8" w:space="0" w:color="E0E0E0"/>
              <w:bottom w:val="single" w:sz="8" w:space="0" w:color="AEAEAE"/>
              <w:right w:val="nil"/>
            </w:tcBorders>
            <w:shd w:val="clear" w:color="auto" w:fill="FFFFFF"/>
          </w:tcPr>
          <w:p w14:paraId="64D6477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.035</w:t>
            </w:r>
          </w:p>
        </w:tc>
      </w:tr>
      <w:tr w:rsidR="00C7217E" w:rsidRPr="00530906" w14:paraId="609E5EE8"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74E1CA4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Intercept</w:t>
            </w:r>
          </w:p>
        </w:tc>
        <w:tc>
          <w:tcPr>
            <w:tcW w:w="1588" w:type="dxa"/>
            <w:tcBorders>
              <w:top w:val="single" w:sz="8" w:space="0" w:color="AEAEAE"/>
              <w:left w:val="nil"/>
              <w:bottom w:val="single" w:sz="8" w:space="0" w:color="AEAEAE"/>
              <w:right w:val="single" w:sz="8" w:space="0" w:color="E0E0E0"/>
            </w:tcBorders>
            <w:shd w:val="clear" w:color="auto" w:fill="FFFFFF"/>
          </w:tcPr>
          <w:p w14:paraId="151AE7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3626.487</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442E342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21" w:type="dxa"/>
            <w:tcBorders>
              <w:top w:val="single" w:sz="8" w:space="0" w:color="AEAEAE"/>
              <w:left w:val="single" w:sz="8" w:space="0" w:color="E0E0E0"/>
              <w:bottom w:val="single" w:sz="8" w:space="0" w:color="AEAEAE"/>
              <w:right w:val="single" w:sz="8" w:space="0" w:color="E0E0E0"/>
            </w:tcBorders>
            <w:shd w:val="clear" w:color="auto" w:fill="FFFFFF"/>
          </w:tcPr>
          <w:p w14:paraId="3B94261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3626.487</w:t>
            </w:r>
          </w:p>
        </w:tc>
        <w:tc>
          <w:tcPr>
            <w:tcW w:w="1174" w:type="dxa"/>
            <w:tcBorders>
              <w:top w:val="single" w:sz="8" w:space="0" w:color="AEAEAE"/>
              <w:left w:val="single" w:sz="8" w:space="0" w:color="E0E0E0"/>
              <w:bottom w:val="single" w:sz="8" w:space="0" w:color="AEAEAE"/>
              <w:right w:val="single" w:sz="8" w:space="0" w:color="E0E0E0"/>
            </w:tcBorders>
            <w:shd w:val="clear" w:color="auto" w:fill="FFFFFF"/>
          </w:tcPr>
          <w:p w14:paraId="3D8643B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2111.950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62E03A3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.000</w:t>
            </w:r>
          </w:p>
        </w:tc>
        <w:tc>
          <w:tcPr>
            <w:tcW w:w="942" w:type="dxa"/>
            <w:tcBorders>
              <w:top w:val="single" w:sz="8" w:space="0" w:color="AEAEAE"/>
              <w:left w:val="single" w:sz="8" w:space="0" w:color="E0E0E0"/>
              <w:bottom w:val="single" w:sz="8" w:space="0" w:color="AEAEAE"/>
              <w:right w:val="nil"/>
            </w:tcBorders>
            <w:shd w:val="clear" w:color="auto" w:fill="FFFFFF"/>
          </w:tcPr>
          <w:p w14:paraId="4F252F8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.885</w:t>
            </w:r>
          </w:p>
        </w:tc>
      </w:tr>
      <w:tr w:rsidR="00C7217E" w:rsidRPr="00530906" w14:paraId="1A58D3EB"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36ABE1F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Expert_cat</w:t>
            </w:r>
          </w:p>
        </w:tc>
        <w:tc>
          <w:tcPr>
            <w:tcW w:w="1588" w:type="dxa"/>
            <w:tcBorders>
              <w:top w:val="single" w:sz="8" w:space="0" w:color="AEAEAE"/>
              <w:left w:val="nil"/>
              <w:bottom w:val="single" w:sz="8" w:space="0" w:color="AEAEAE"/>
              <w:right w:val="single" w:sz="8" w:space="0" w:color="E0E0E0"/>
            </w:tcBorders>
            <w:shd w:val="clear" w:color="auto" w:fill="FFFFFF"/>
          </w:tcPr>
          <w:p w14:paraId="7B07B77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2.230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2160CB2"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21" w:type="dxa"/>
            <w:tcBorders>
              <w:top w:val="single" w:sz="8" w:space="0" w:color="AEAEAE"/>
              <w:left w:val="single" w:sz="8" w:space="0" w:color="E0E0E0"/>
              <w:bottom w:val="single" w:sz="8" w:space="0" w:color="AEAEAE"/>
              <w:right w:val="single" w:sz="8" w:space="0" w:color="E0E0E0"/>
            </w:tcBorders>
            <w:shd w:val="clear" w:color="auto" w:fill="FFFFFF"/>
          </w:tcPr>
          <w:p w14:paraId="52F1F8F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2.230</w:t>
            </w:r>
          </w:p>
        </w:tc>
        <w:tc>
          <w:tcPr>
            <w:tcW w:w="1174" w:type="dxa"/>
            <w:tcBorders>
              <w:top w:val="single" w:sz="8" w:space="0" w:color="AEAEAE"/>
              <w:left w:val="single" w:sz="8" w:space="0" w:color="E0E0E0"/>
              <w:bottom w:val="single" w:sz="8" w:space="0" w:color="AEAEAE"/>
              <w:right w:val="single" w:sz="8" w:space="0" w:color="E0E0E0"/>
            </w:tcBorders>
            <w:shd w:val="clear" w:color="auto" w:fill="FFFFFF"/>
          </w:tcPr>
          <w:p w14:paraId="27E999D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1.298</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7BE983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.255</w:t>
            </w:r>
          </w:p>
        </w:tc>
        <w:tc>
          <w:tcPr>
            <w:tcW w:w="942" w:type="dxa"/>
            <w:tcBorders>
              <w:top w:val="single" w:sz="8" w:space="0" w:color="AEAEAE"/>
              <w:left w:val="single" w:sz="8" w:space="0" w:color="E0E0E0"/>
              <w:bottom w:val="single" w:sz="8" w:space="0" w:color="AEAEAE"/>
              <w:right w:val="nil"/>
            </w:tcBorders>
            <w:shd w:val="clear" w:color="auto" w:fill="FFFFFF"/>
          </w:tcPr>
          <w:p w14:paraId="75E2D6D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.005</w:t>
            </w:r>
          </w:p>
        </w:tc>
      </w:tr>
      <w:tr w:rsidR="00C7217E" w:rsidRPr="00530906" w14:paraId="13B74EE8"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5CC6A1B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caption_cat</w:t>
            </w:r>
          </w:p>
        </w:tc>
        <w:tc>
          <w:tcPr>
            <w:tcW w:w="1588" w:type="dxa"/>
            <w:tcBorders>
              <w:top w:val="single" w:sz="8" w:space="0" w:color="AEAEAE"/>
              <w:left w:val="nil"/>
              <w:bottom w:val="single" w:sz="8" w:space="0" w:color="AEAEAE"/>
              <w:right w:val="single" w:sz="8" w:space="0" w:color="E0E0E0"/>
            </w:tcBorders>
            <w:shd w:val="clear" w:color="auto" w:fill="FFFFFF"/>
          </w:tcPr>
          <w:p w14:paraId="4B3768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1.980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7A0F61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21" w:type="dxa"/>
            <w:tcBorders>
              <w:top w:val="single" w:sz="8" w:space="0" w:color="AEAEAE"/>
              <w:left w:val="single" w:sz="8" w:space="0" w:color="E0E0E0"/>
              <w:bottom w:val="single" w:sz="8" w:space="0" w:color="AEAEAE"/>
              <w:right w:val="single" w:sz="8" w:space="0" w:color="E0E0E0"/>
            </w:tcBorders>
            <w:shd w:val="clear" w:color="auto" w:fill="FFFFFF"/>
          </w:tcPr>
          <w:p w14:paraId="650D07D3"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1.980</w:t>
            </w:r>
          </w:p>
        </w:tc>
        <w:tc>
          <w:tcPr>
            <w:tcW w:w="1174" w:type="dxa"/>
            <w:tcBorders>
              <w:top w:val="single" w:sz="8" w:space="0" w:color="AEAEAE"/>
              <w:left w:val="single" w:sz="8" w:space="0" w:color="E0E0E0"/>
              <w:bottom w:val="single" w:sz="8" w:space="0" w:color="AEAEAE"/>
              <w:right w:val="single" w:sz="8" w:space="0" w:color="E0E0E0"/>
            </w:tcBorders>
            <w:shd w:val="clear" w:color="auto" w:fill="FFFFFF"/>
          </w:tcPr>
          <w:p w14:paraId="3FF20A16"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1.153</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379BF1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.284</w:t>
            </w:r>
          </w:p>
        </w:tc>
        <w:tc>
          <w:tcPr>
            <w:tcW w:w="942" w:type="dxa"/>
            <w:tcBorders>
              <w:top w:val="single" w:sz="8" w:space="0" w:color="AEAEAE"/>
              <w:left w:val="single" w:sz="8" w:space="0" w:color="E0E0E0"/>
              <w:bottom w:val="single" w:sz="8" w:space="0" w:color="AEAEAE"/>
              <w:right w:val="nil"/>
            </w:tcBorders>
            <w:shd w:val="clear" w:color="auto" w:fill="FFFFFF"/>
          </w:tcPr>
          <w:p w14:paraId="30A3B72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.004</w:t>
            </w:r>
          </w:p>
        </w:tc>
      </w:tr>
      <w:tr w:rsidR="00C7217E" w:rsidRPr="00530906" w14:paraId="3584C098"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7A5AE30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Expert_cat * caption_cat</w:t>
            </w:r>
          </w:p>
        </w:tc>
        <w:tc>
          <w:tcPr>
            <w:tcW w:w="1588" w:type="dxa"/>
            <w:tcBorders>
              <w:top w:val="single" w:sz="8" w:space="0" w:color="AEAEAE"/>
              <w:left w:val="nil"/>
              <w:bottom w:val="single" w:sz="8" w:space="0" w:color="AEAEAE"/>
              <w:right w:val="single" w:sz="8" w:space="0" w:color="E0E0E0"/>
            </w:tcBorders>
            <w:shd w:val="clear" w:color="auto" w:fill="FFFFFF"/>
          </w:tcPr>
          <w:p w14:paraId="0BC4B86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12.963</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4E3CD4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w:t>
            </w:r>
          </w:p>
        </w:tc>
        <w:tc>
          <w:tcPr>
            <w:tcW w:w="1521" w:type="dxa"/>
            <w:tcBorders>
              <w:top w:val="single" w:sz="8" w:space="0" w:color="AEAEAE"/>
              <w:left w:val="single" w:sz="8" w:space="0" w:color="E0E0E0"/>
              <w:bottom w:val="single" w:sz="8" w:space="0" w:color="AEAEAE"/>
              <w:right w:val="single" w:sz="8" w:space="0" w:color="E0E0E0"/>
            </w:tcBorders>
            <w:shd w:val="clear" w:color="auto" w:fill="FFFFFF"/>
          </w:tcPr>
          <w:p w14:paraId="024789B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12.963</w:t>
            </w:r>
          </w:p>
        </w:tc>
        <w:tc>
          <w:tcPr>
            <w:tcW w:w="1174" w:type="dxa"/>
            <w:tcBorders>
              <w:top w:val="single" w:sz="8" w:space="0" w:color="AEAEAE"/>
              <w:left w:val="single" w:sz="8" w:space="0" w:color="E0E0E0"/>
              <w:bottom w:val="single" w:sz="8" w:space="0" w:color="AEAEAE"/>
              <w:right w:val="single" w:sz="8" w:space="0" w:color="E0E0E0"/>
            </w:tcBorders>
            <w:shd w:val="clear" w:color="auto" w:fill="FFFFFF"/>
          </w:tcPr>
          <w:p w14:paraId="0D7B18A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7.549</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66DC37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.006</w:t>
            </w:r>
          </w:p>
        </w:tc>
        <w:tc>
          <w:tcPr>
            <w:tcW w:w="942" w:type="dxa"/>
            <w:tcBorders>
              <w:top w:val="single" w:sz="8" w:space="0" w:color="AEAEAE"/>
              <w:left w:val="single" w:sz="8" w:space="0" w:color="E0E0E0"/>
              <w:bottom w:val="single" w:sz="8" w:space="0" w:color="AEAEAE"/>
              <w:right w:val="nil"/>
            </w:tcBorders>
            <w:shd w:val="clear" w:color="auto" w:fill="FFFFFF"/>
          </w:tcPr>
          <w:p w14:paraId="7BEFB1CB"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.027</w:t>
            </w:r>
          </w:p>
        </w:tc>
      </w:tr>
      <w:tr w:rsidR="00C7217E" w:rsidRPr="00530906" w14:paraId="4C1E598D"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40DD46D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Error</w:t>
            </w:r>
          </w:p>
        </w:tc>
        <w:tc>
          <w:tcPr>
            <w:tcW w:w="1588" w:type="dxa"/>
            <w:tcBorders>
              <w:top w:val="single" w:sz="8" w:space="0" w:color="AEAEAE"/>
              <w:left w:val="nil"/>
              <w:bottom w:val="single" w:sz="8" w:space="0" w:color="AEAEAE"/>
              <w:right w:val="single" w:sz="8" w:space="0" w:color="E0E0E0"/>
            </w:tcBorders>
            <w:shd w:val="clear" w:color="auto" w:fill="FFFFFF"/>
          </w:tcPr>
          <w:p w14:paraId="03F33B64"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470.493</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53A0EEC"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274</w:t>
            </w:r>
          </w:p>
        </w:tc>
        <w:tc>
          <w:tcPr>
            <w:tcW w:w="1521" w:type="dxa"/>
            <w:tcBorders>
              <w:top w:val="single" w:sz="8" w:space="0" w:color="AEAEAE"/>
              <w:left w:val="single" w:sz="8" w:space="0" w:color="E0E0E0"/>
              <w:bottom w:val="single" w:sz="8" w:space="0" w:color="AEAEAE"/>
              <w:right w:val="single" w:sz="8" w:space="0" w:color="E0E0E0"/>
            </w:tcBorders>
            <w:shd w:val="clear" w:color="auto" w:fill="FFFFFF"/>
          </w:tcPr>
          <w:p w14:paraId="3F5B31ED"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1.717</w:t>
            </w:r>
          </w:p>
        </w:tc>
        <w:tc>
          <w:tcPr>
            <w:tcW w:w="117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9721CC"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1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F85AA3"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942" w:type="dxa"/>
            <w:tcBorders>
              <w:top w:val="single" w:sz="8" w:space="0" w:color="AEAEAE"/>
              <w:left w:val="single" w:sz="8" w:space="0" w:color="E0E0E0"/>
              <w:bottom w:val="single" w:sz="8" w:space="0" w:color="AEAEAE"/>
              <w:right w:val="nil"/>
            </w:tcBorders>
            <w:shd w:val="clear" w:color="auto" w:fill="FFFFFF"/>
            <w:vAlign w:val="center"/>
          </w:tcPr>
          <w:p w14:paraId="7AB9FCA6"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r>
      <w:tr w:rsidR="00C7217E" w:rsidRPr="00530906" w14:paraId="60863AF0" w14:textId="77777777" w:rsidTr="00EE722D">
        <w:trPr>
          <w:cantSplit/>
        </w:trPr>
        <w:tc>
          <w:tcPr>
            <w:tcW w:w="2482" w:type="dxa"/>
            <w:tcBorders>
              <w:top w:val="single" w:sz="8" w:space="0" w:color="AEAEAE"/>
              <w:left w:val="nil"/>
              <w:bottom w:val="single" w:sz="8" w:space="0" w:color="AEAEAE"/>
              <w:right w:val="nil"/>
            </w:tcBorders>
            <w:shd w:val="clear" w:color="auto" w:fill="E0E0E0"/>
          </w:tcPr>
          <w:p w14:paraId="435E49C5"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Total</w:t>
            </w:r>
          </w:p>
        </w:tc>
        <w:tc>
          <w:tcPr>
            <w:tcW w:w="1588" w:type="dxa"/>
            <w:tcBorders>
              <w:top w:val="single" w:sz="8" w:space="0" w:color="AEAEAE"/>
              <w:left w:val="nil"/>
              <w:bottom w:val="single" w:sz="8" w:space="0" w:color="AEAEAE"/>
              <w:right w:val="single" w:sz="8" w:space="0" w:color="E0E0E0"/>
            </w:tcBorders>
            <w:shd w:val="clear" w:color="auto" w:fill="FFFFFF"/>
          </w:tcPr>
          <w:p w14:paraId="1340D25A"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4147.813</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38D27A9F"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278</w:t>
            </w:r>
          </w:p>
        </w:tc>
        <w:tc>
          <w:tcPr>
            <w:tcW w:w="152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B6FAE0"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17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C370C3"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1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C9DFC0"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942" w:type="dxa"/>
            <w:tcBorders>
              <w:top w:val="single" w:sz="8" w:space="0" w:color="AEAEAE"/>
              <w:left w:val="single" w:sz="8" w:space="0" w:color="E0E0E0"/>
              <w:bottom w:val="single" w:sz="8" w:space="0" w:color="AEAEAE"/>
              <w:right w:val="nil"/>
            </w:tcBorders>
            <w:shd w:val="clear" w:color="auto" w:fill="FFFFFF"/>
            <w:vAlign w:val="center"/>
          </w:tcPr>
          <w:p w14:paraId="5699ACC7"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r>
      <w:tr w:rsidR="00C7217E" w:rsidRPr="00530906" w14:paraId="4FC6A178" w14:textId="77777777" w:rsidTr="00EE722D">
        <w:trPr>
          <w:cantSplit/>
        </w:trPr>
        <w:tc>
          <w:tcPr>
            <w:tcW w:w="2482" w:type="dxa"/>
            <w:tcBorders>
              <w:top w:val="single" w:sz="8" w:space="0" w:color="AEAEAE"/>
              <w:left w:val="nil"/>
              <w:bottom w:val="single" w:sz="8" w:space="0" w:color="152935"/>
              <w:right w:val="nil"/>
            </w:tcBorders>
            <w:shd w:val="clear" w:color="auto" w:fill="E0E0E0"/>
          </w:tcPr>
          <w:p w14:paraId="188FF191"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Corrected Total</w:t>
            </w:r>
          </w:p>
        </w:tc>
        <w:tc>
          <w:tcPr>
            <w:tcW w:w="1588" w:type="dxa"/>
            <w:tcBorders>
              <w:top w:val="single" w:sz="8" w:space="0" w:color="AEAEAE"/>
              <w:left w:val="nil"/>
              <w:bottom w:val="single" w:sz="8" w:space="0" w:color="152935"/>
              <w:right w:val="single" w:sz="8" w:space="0" w:color="E0E0E0"/>
            </w:tcBorders>
            <w:shd w:val="clear" w:color="auto" w:fill="FFFFFF"/>
          </w:tcPr>
          <w:p w14:paraId="6532FC20"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487.465</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6FFF3728"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277</w:t>
            </w:r>
          </w:p>
        </w:tc>
        <w:tc>
          <w:tcPr>
            <w:tcW w:w="152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F3EA13"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17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67AE26"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11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90BA14"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c>
          <w:tcPr>
            <w:tcW w:w="942" w:type="dxa"/>
            <w:tcBorders>
              <w:top w:val="single" w:sz="8" w:space="0" w:color="AEAEAE"/>
              <w:left w:val="single" w:sz="8" w:space="0" w:color="E0E0E0"/>
              <w:bottom w:val="single" w:sz="8" w:space="0" w:color="152935"/>
              <w:right w:val="nil"/>
            </w:tcBorders>
            <w:shd w:val="clear" w:color="auto" w:fill="FFFFFF"/>
            <w:vAlign w:val="center"/>
          </w:tcPr>
          <w:p w14:paraId="233F55AD" w14:textId="77777777" w:rsidR="00C7217E" w:rsidRPr="00530906" w:rsidRDefault="00C7217E" w:rsidP="008756B1">
            <w:pPr>
              <w:spacing w:after="0" w:line="240" w:lineRule="auto"/>
              <w:jc w:val="both"/>
              <w:rPr>
                <w:rFonts w:ascii="Cambria" w:eastAsia="Times New Roman" w:hAnsi="Cambria" w:cs="Times New Roman"/>
                <w:color w:val="000000"/>
                <w:lang w:val="en-US"/>
              </w:rPr>
            </w:pPr>
          </w:p>
        </w:tc>
      </w:tr>
      <w:tr w:rsidR="00C7217E" w:rsidRPr="00530906" w14:paraId="6E16D122" w14:textId="77777777" w:rsidTr="00EE722D">
        <w:trPr>
          <w:cantSplit/>
        </w:trPr>
        <w:tc>
          <w:tcPr>
            <w:tcW w:w="9570" w:type="dxa"/>
            <w:gridSpan w:val="7"/>
            <w:tcBorders>
              <w:top w:val="nil"/>
              <w:left w:val="nil"/>
              <w:bottom w:val="nil"/>
              <w:right w:val="nil"/>
            </w:tcBorders>
            <w:shd w:val="clear" w:color="auto" w:fill="FFFFFF"/>
          </w:tcPr>
          <w:p w14:paraId="122D4759" w14:textId="77777777" w:rsidR="00C7217E" w:rsidRPr="00530906" w:rsidRDefault="00C7217E" w:rsidP="008756B1">
            <w:pPr>
              <w:spacing w:after="0" w:line="240" w:lineRule="auto"/>
              <w:jc w:val="both"/>
              <w:rPr>
                <w:rFonts w:ascii="Cambria" w:eastAsia="Times New Roman" w:hAnsi="Cambria" w:cs="Times New Roman"/>
                <w:color w:val="000000"/>
                <w:sz w:val="18"/>
                <w:szCs w:val="18"/>
                <w:lang w:val="en-US"/>
              </w:rPr>
            </w:pPr>
            <w:r w:rsidRPr="00530906">
              <w:rPr>
                <w:rFonts w:ascii="Cambria" w:eastAsia="Times New Roman" w:hAnsi="Cambria" w:cs="Times New Roman"/>
                <w:color w:val="000000"/>
                <w:sz w:val="18"/>
                <w:szCs w:val="18"/>
                <w:lang w:val="en-US"/>
              </w:rPr>
              <w:t>a. R Squared = .035 (Adjusted R Squared = .024)</w:t>
            </w:r>
          </w:p>
        </w:tc>
      </w:tr>
    </w:tbl>
    <w:p w14:paraId="7C620134"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56D531D5"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4BE5A1A7"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43776560" w14:textId="77777777" w:rsidR="00C7217E" w:rsidRPr="00530906" w:rsidRDefault="00C7217E" w:rsidP="008756B1">
      <w:pPr>
        <w:spacing w:after="0" w:line="240" w:lineRule="auto"/>
        <w:jc w:val="both"/>
        <w:rPr>
          <w:rFonts w:ascii="Cambria" w:eastAsia="Times New Roman" w:hAnsi="Cambria" w:cs="Times New Roman"/>
          <w:color w:val="000000"/>
          <w:lang w:val="en-US"/>
        </w:rPr>
      </w:pPr>
    </w:p>
    <w:p w14:paraId="5678E851" w14:textId="7B679030" w:rsidR="00233B44" w:rsidRPr="00FE1303" w:rsidRDefault="00233B44" w:rsidP="00FE1303">
      <w:pPr>
        <w:spacing w:after="0" w:line="240" w:lineRule="auto"/>
        <w:rPr>
          <w:rFonts w:ascii="Cambria" w:eastAsia="Times New Roman" w:hAnsi="Cambria" w:cs="Calibri"/>
          <w:color w:val="000000"/>
          <w:lang w:eastAsia="en-GB"/>
        </w:rPr>
      </w:pPr>
      <w:r w:rsidRPr="00FE1303">
        <w:rPr>
          <w:rFonts w:ascii="Cambria" w:eastAsia="Times New Roman" w:hAnsi="Cambria" w:cs="Calibri"/>
          <w:color w:val="000000"/>
          <w:lang w:eastAsia="en-GB"/>
        </w:rPr>
        <w:br w:type="page"/>
      </w:r>
    </w:p>
    <w:p w14:paraId="7C1BEAF7" w14:textId="3A1543F6" w:rsidR="00FE1303" w:rsidRDefault="0073436B" w:rsidP="00FE1303">
      <w:pPr>
        <w:pStyle w:val="Heading2"/>
        <w:jc w:val="both"/>
        <w:rPr>
          <w:rFonts w:eastAsia="Times New Roman"/>
          <w:lang w:val="en-US"/>
        </w:rPr>
      </w:pPr>
      <w:bookmarkStart w:id="162" w:name="_Toc115726317"/>
      <w:r w:rsidRPr="009E4F74">
        <w:rPr>
          <w:rFonts w:eastAsia="Times New Roman"/>
          <w:lang w:val="en-US"/>
        </w:rPr>
        <w:t xml:space="preserve">Appendix </w:t>
      </w:r>
      <w:r w:rsidR="00F56020">
        <w:rPr>
          <w:rFonts w:eastAsia="Times New Roman"/>
          <w:lang w:val="en-US"/>
        </w:rPr>
        <w:t>4</w:t>
      </w:r>
      <w:r w:rsidRPr="009E4F74">
        <w:rPr>
          <w:rFonts w:eastAsia="Times New Roman"/>
          <w:lang w:val="en-US"/>
        </w:rPr>
        <w:t>.4 Controlling variable- ag</w:t>
      </w:r>
      <w:r w:rsidR="00FE1303">
        <w:rPr>
          <w:rFonts w:eastAsia="Times New Roman"/>
          <w:lang w:val="en-US"/>
        </w:rPr>
        <w:t>e, gender, and education</w:t>
      </w:r>
      <w:bookmarkEnd w:id="162"/>
    </w:p>
    <w:p w14:paraId="534638C4" w14:textId="77777777" w:rsidR="00FE1303" w:rsidRPr="00FE1303" w:rsidRDefault="00FE1303" w:rsidP="00FE1303">
      <w:pPr>
        <w:rPr>
          <w:lang w:val="en-US"/>
        </w:rPr>
      </w:pPr>
    </w:p>
    <w:tbl>
      <w:tblPr>
        <w:tblW w:w="7880" w:type="dxa"/>
        <w:tblLook w:val="04A0" w:firstRow="1" w:lastRow="0" w:firstColumn="1" w:lastColumn="0" w:noHBand="0" w:noVBand="1"/>
      </w:tblPr>
      <w:tblGrid>
        <w:gridCol w:w="2639"/>
        <w:gridCol w:w="2669"/>
        <w:gridCol w:w="1031"/>
        <w:gridCol w:w="871"/>
        <w:gridCol w:w="1031"/>
      </w:tblGrid>
      <w:tr w:rsidR="004F3A24" w:rsidRPr="004F3A24" w14:paraId="03FBD9FD" w14:textId="77777777" w:rsidTr="0073436B">
        <w:trPr>
          <w:trHeight w:val="280"/>
        </w:trPr>
        <w:tc>
          <w:tcPr>
            <w:tcW w:w="7880"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1181574" w14:textId="77777777" w:rsidR="0073436B" w:rsidRPr="004F3A24" w:rsidRDefault="0073436B" w:rsidP="0073436B">
            <w:pPr>
              <w:spacing w:after="0" w:line="240" w:lineRule="auto"/>
              <w:jc w:val="center"/>
              <w:rPr>
                <w:rFonts w:ascii="Cambria" w:eastAsia="Times New Roman" w:hAnsi="Cambria" w:cs="Calibri"/>
                <w:b/>
                <w:lang w:eastAsia="en-GB"/>
              </w:rPr>
            </w:pPr>
            <w:r w:rsidRPr="004F3A24">
              <w:rPr>
                <w:rFonts w:ascii="Cambria" w:eastAsia="Times New Roman" w:hAnsi="Cambria" w:cs="Calibri"/>
                <w:b/>
                <w:lang w:eastAsia="en-GB"/>
              </w:rPr>
              <w:t>February sample of 158</w:t>
            </w:r>
          </w:p>
        </w:tc>
      </w:tr>
      <w:tr w:rsidR="004F3A24" w:rsidRPr="004F3A24" w14:paraId="73FED152" w14:textId="77777777" w:rsidTr="0073436B">
        <w:trPr>
          <w:trHeight w:val="280"/>
        </w:trPr>
        <w:tc>
          <w:tcPr>
            <w:tcW w:w="7880" w:type="dxa"/>
            <w:gridSpan w:val="5"/>
            <w:tcBorders>
              <w:top w:val="single" w:sz="4" w:space="0" w:color="auto"/>
              <w:left w:val="single" w:sz="4" w:space="0" w:color="auto"/>
              <w:bottom w:val="single" w:sz="4" w:space="0" w:color="auto"/>
              <w:right w:val="single" w:sz="4" w:space="0" w:color="auto"/>
            </w:tcBorders>
            <w:shd w:val="clear" w:color="auto" w:fill="auto"/>
            <w:hideMark/>
          </w:tcPr>
          <w:p w14:paraId="6FE66007" w14:textId="77777777" w:rsidR="0073436B" w:rsidRPr="004F3A24" w:rsidRDefault="0073436B" w:rsidP="0073436B">
            <w:pPr>
              <w:spacing w:after="0" w:line="240" w:lineRule="auto"/>
              <w:jc w:val="center"/>
              <w:rPr>
                <w:rFonts w:ascii="Cambria" w:eastAsia="Times New Roman" w:hAnsi="Cambria" w:cs="Calibri"/>
                <w:b/>
                <w:lang w:eastAsia="en-GB"/>
              </w:rPr>
            </w:pPr>
            <w:r w:rsidRPr="004F3A24">
              <w:rPr>
                <w:rFonts w:ascii="Cambria" w:eastAsia="Times New Roman" w:hAnsi="Cambria" w:cs="Calibri"/>
                <w:b/>
                <w:lang w:eastAsia="en-GB"/>
              </w:rPr>
              <w:t xml:space="preserve">results of regression analysis by controlling variables - age gender and education </w:t>
            </w:r>
          </w:p>
        </w:tc>
      </w:tr>
      <w:tr w:rsidR="004F3A24" w:rsidRPr="004F3A24" w14:paraId="2AAAB8A5" w14:textId="77777777" w:rsidTr="0073436B">
        <w:trPr>
          <w:trHeight w:val="320"/>
        </w:trPr>
        <w:tc>
          <w:tcPr>
            <w:tcW w:w="2639" w:type="dxa"/>
            <w:tcBorders>
              <w:top w:val="nil"/>
              <w:left w:val="single" w:sz="4" w:space="0" w:color="auto"/>
              <w:bottom w:val="single" w:sz="4" w:space="0" w:color="auto"/>
              <w:right w:val="single" w:sz="4" w:space="0" w:color="auto"/>
            </w:tcBorders>
            <w:shd w:val="clear" w:color="auto" w:fill="auto"/>
            <w:hideMark/>
          </w:tcPr>
          <w:p w14:paraId="11B11C78"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 xml:space="preserve">Dependent variable </w:t>
            </w:r>
          </w:p>
        </w:tc>
        <w:tc>
          <w:tcPr>
            <w:tcW w:w="2669" w:type="dxa"/>
            <w:tcBorders>
              <w:top w:val="nil"/>
              <w:left w:val="nil"/>
              <w:bottom w:val="single" w:sz="4" w:space="0" w:color="auto"/>
              <w:right w:val="single" w:sz="4" w:space="0" w:color="auto"/>
            </w:tcBorders>
            <w:shd w:val="clear" w:color="auto" w:fill="auto"/>
            <w:hideMark/>
          </w:tcPr>
          <w:p w14:paraId="529DEDCD"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 xml:space="preserve">Independent variable </w:t>
            </w:r>
          </w:p>
        </w:tc>
        <w:tc>
          <w:tcPr>
            <w:tcW w:w="915" w:type="dxa"/>
            <w:tcBorders>
              <w:top w:val="nil"/>
              <w:left w:val="nil"/>
              <w:bottom w:val="single" w:sz="4" w:space="0" w:color="auto"/>
              <w:right w:val="single" w:sz="4" w:space="0" w:color="auto"/>
            </w:tcBorders>
            <w:shd w:val="clear" w:color="auto" w:fill="auto"/>
            <w:noWrap/>
            <w:hideMark/>
          </w:tcPr>
          <w:p w14:paraId="0FB8B2E2" w14:textId="77777777" w:rsidR="0073436B" w:rsidRPr="004F3A24" w:rsidRDefault="0073436B" w:rsidP="0073436B">
            <w:pPr>
              <w:spacing w:after="0" w:line="240" w:lineRule="auto"/>
              <w:rPr>
                <w:rFonts w:ascii="Calibri" w:eastAsia="Times New Roman" w:hAnsi="Calibri" w:cs="Calibri"/>
                <w:b/>
                <w:lang w:eastAsia="en-GB"/>
              </w:rPr>
            </w:pPr>
            <w:r w:rsidRPr="004F3A24">
              <w:rPr>
                <w:rFonts w:ascii="Calibri" w:eastAsia="Times New Roman" w:hAnsi="Calibri" w:cs="Calibri"/>
                <w:b/>
                <w:lang w:eastAsia="en-GB"/>
              </w:rPr>
              <w:t>β</w:t>
            </w:r>
          </w:p>
        </w:tc>
        <w:tc>
          <w:tcPr>
            <w:tcW w:w="742" w:type="dxa"/>
            <w:tcBorders>
              <w:top w:val="nil"/>
              <w:left w:val="nil"/>
              <w:bottom w:val="single" w:sz="4" w:space="0" w:color="auto"/>
              <w:right w:val="single" w:sz="4" w:space="0" w:color="auto"/>
            </w:tcBorders>
            <w:shd w:val="clear" w:color="auto" w:fill="auto"/>
            <w:noWrap/>
            <w:hideMark/>
          </w:tcPr>
          <w:p w14:paraId="3BB340AC"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R</w:t>
            </w:r>
            <w:r w:rsidRPr="004F3A24">
              <w:rPr>
                <w:rFonts w:ascii="Cambria" w:eastAsia="Times New Roman" w:hAnsi="Cambria" w:cs="Calibri"/>
                <w:b/>
                <w:vertAlign w:val="superscript"/>
                <w:lang w:eastAsia="en-GB"/>
              </w:rPr>
              <w:t>2</w:t>
            </w:r>
          </w:p>
        </w:tc>
        <w:tc>
          <w:tcPr>
            <w:tcW w:w="915" w:type="dxa"/>
            <w:tcBorders>
              <w:top w:val="nil"/>
              <w:left w:val="nil"/>
              <w:bottom w:val="single" w:sz="4" w:space="0" w:color="auto"/>
              <w:right w:val="single" w:sz="4" w:space="0" w:color="auto"/>
            </w:tcBorders>
            <w:shd w:val="clear" w:color="auto" w:fill="auto"/>
            <w:noWrap/>
            <w:hideMark/>
          </w:tcPr>
          <w:p w14:paraId="66C4E5A4"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ΔR</w:t>
            </w:r>
            <w:r w:rsidRPr="004F3A24">
              <w:rPr>
                <w:rFonts w:ascii="Cambria" w:eastAsia="Times New Roman" w:hAnsi="Cambria" w:cs="Calibri"/>
                <w:b/>
                <w:vertAlign w:val="superscript"/>
                <w:lang w:eastAsia="en-GB"/>
              </w:rPr>
              <w:t>2</w:t>
            </w:r>
          </w:p>
        </w:tc>
      </w:tr>
      <w:tr w:rsidR="004F3A24" w:rsidRPr="004F3A24" w14:paraId="527576F5"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27A534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9D9B39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0FCC92B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3626041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0.012</w:t>
            </w:r>
          </w:p>
        </w:tc>
        <w:tc>
          <w:tcPr>
            <w:tcW w:w="915" w:type="dxa"/>
            <w:tcBorders>
              <w:top w:val="nil"/>
              <w:left w:val="nil"/>
              <w:bottom w:val="nil"/>
              <w:right w:val="single" w:sz="4" w:space="0" w:color="auto"/>
            </w:tcBorders>
            <w:shd w:val="clear" w:color="auto" w:fill="auto"/>
            <w:noWrap/>
            <w:hideMark/>
          </w:tcPr>
          <w:p w14:paraId="6B77153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6EF8D65"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F6173A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2669" w:type="dxa"/>
            <w:tcBorders>
              <w:top w:val="nil"/>
              <w:left w:val="nil"/>
              <w:bottom w:val="single" w:sz="4" w:space="0" w:color="auto"/>
              <w:right w:val="single" w:sz="4" w:space="0" w:color="auto"/>
            </w:tcBorders>
            <w:shd w:val="clear" w:color="auto" w:fill="auto"/>
            <w:noWrap/>
            <w:hideMark/>
          </w:tcPr>
          <w:p w14:paraId="589E1DD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44EC859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.751***</w:t>
            </w:r>
          </w:p>
        </w:tc>
        <w:tc>
          <w:tcPr>
            <w:tcW w:w="742" w:type="dxa"/>
            <w:tcBorders>
              <w:top w:val="nil"/>
              <w:left w:val="nil"/>
              <w:bottom w:val="single" w:sz="4" w:space="0" w:color="auto"/>
              <w:right w:val="single" w:sz="4" w:space="0" w:color="auto"/>
            </w:tcBorders>
            <w:shd w:val="clear" w:color="auto" w:fill="auto"/>
            <w:noWrap/>
            <w:hideMark/>
          </w:tcPr>
          <w:p w14:paraId="40CEF28A"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0.428</w:t>
            </w:r>
          </w:p>
        </w:tc>
        <w:tc>
          <w:tcPr>
            <w:tcW w:w="915" w:type="dxa"/>
            <w:tcBorders>
              <w:top w:val="nil"/>
              <w:left w:val="nil"/>
              <w:bottom w:val="single" w:sz="4" w:space="0" w:color="auto"/>
              <w:right w:val="single" w:sz="4" w:space="0" w:color="auto"/>
            </w:tcBorders>
            <w:shd w:val="clear" w:color="auto" w:fill="auto"/>
            <w:noWrap/>
            <w:hideMark/>
          </w:tcPr>
          <w:p w14:paraId="5E3B607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0.416***</w:t>
            </w:r>
          </w:p>
        </w:tc>
      </w:tr>
      <w:tr w:rsidR="004F3A24" w:rsidRPr="004F3A24" w14:paraId="2E284DD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4F1013F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6DAAE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7E52ADA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44DC2C6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0.014</w:t>
            </w:r>
          </w:p>
        </w:tc>
        <w:tc>
          <w:tcPr>
            <w:tcW w:w="915" w:type="dxa"/>
            <w:tcBorders>
              <w:top w:val="nil"/>
              <w:left w:val="nil"/>
              <w:bottom w:val="nil"/>
              <w:right w:val="single" w:sz="4" w:space="0" w:color="auto"/>
            </w:tcBorders>
            <w:shd w:val="clear" w:color="auto" w:fill="auto"/>
            <w:noWrap/>
            <w:hideMark/>
          </w:tcPr>
          <w:p w14:paraId="4DA0D56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244D9E0"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5B3E7D5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2669" w:type="dxa"/>
            <w:tcBorders>
              <w:top w:val="nil"/>
              <w:left w:val="nil"/>
              <w:bottom w:val="single" w:sz="4" w:space="0" w:color="auto"/>
              <w:right w:val="single" w:sz="4" w:space="0" w:color="auto"/>
            </w:tcBorders>
            <w:shd w:val="clear" w:color="auto" w:fill="auto"/>
            <w:noWrap/>
            <w:hideMark/>
          </w:tcPr>
          <w:p w14:paraId="075AEC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461D098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.211*</w:t>
            </w:r>
          </w:p>
        </w:tc>
        <w:tc>
          <w:tcPr>
            <w:tcW w:w="742" w:type="dxa"/>
            <w:tcBorders>
              <w:top w:val="nil"/>
              <w:left w:val="nil"/>
              <w:bottom w:val="single" w:sz="4" w:space="0" w:color="auto"/>
              <w:right w:val="single" w:sz="4" w:space="0" w:color="auto"/>
            </w:tcBorders>
            <w:shd w:val="clear" w:color="auto" w:fill="auto"/>
            <w:noWrap/>
            <w:hideMark/>
          </w:tcPr>
          <w:p w14:paraId="63036319"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0.057</w:t>
            </w:r>
          </w:p>
        </w:tc>
        <w:tc>
          <w:tcPr>
            <w:tcW w:w="915" w:type="dxa"/>
            <w:tcBorders>
              <w:top w:val="nil"/>
              <w:left w:val="nil"/>
              <w:bottom w:val="single" w:sz="4" w:space="0" w:color="auto"/>
              <w:right w:val="single" w:sz="4" w:space="0" w:color="auto"/>
            </w:tcBorders>
            <w:shd w:val="clear" w:color="auto" w:fill="auto"/>
            <w:noWrap/>
            <w:hideMark/>
          </w:tcPr>
          <w:p w14:paraId="13FD94D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.043*</w:t>
            </w:r>
          </w:p>
        </w:tc>
      </w:tr>
      <w:tr w:rsidR="004F3A24" w:rsidRPr="004F3A24" w14:paraId="4DB592F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266715F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BC2189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40365FB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01033A9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0.025</w:t>
            </w:r>
          </w:p>
        </w:tc>
        <w:tc>
          <w:tcPr>
            <w:tcW w:w="915" w:type="dxa"/>
            <w:tcBorders>
              <w:top w:val="nil"/>
              <w:left w:val="nil"/>
              <w:bottom w:val="nil"/>
              <w:right w:val="single" w:sz="4" w:space="0" w:color="auto"/>
            </w:tcBorders>
            <w:shd w:val="clear" w:color="auto" w:fill="auto"/>
            <w:noWrap/>
            <w:hideMark/>
          </w:tcPr>
          <w:p w14:paraId="73EC5CE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0C251D0"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49D2F86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2669" w:type="dxa"/>
            <w:tcBorders>
              <w:top w:val="nil"/>
              <w:left w:val="nil"/>
              <w:bottom w:val="single" w:sz="4" w:space="0" w:color="auto"/>
              <w:right w:val="single" w:sz="4" w:space="0" w:color="auto"/>
            </w:tcBorders>
            <w:shd w:val="clear" w:color="auto" w:fill="auto"/>
            <w:noWrap/>
            <w:hideMark/>
          </w:tcPr>
          <w:p w14:paraId="3D903A8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6121D58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.638***</w:t>
            </w:r>
          </w:p>
        </w:tc>
        <w:tc>
          <w:tcPr>
            <w:tcW w:w="742" w:type="dxa"/>
            <w:tcBorders>
              <w:top w:val="nil"/>
              <w:left w:val="nil"/>
              <w:bottom w:val="single" w:sz="4" w:space="0" w:color="auto"/>
              <w:right w:val="single" w:sz="4" w:space="0" w:color="auto"/>
            </w:tcBorders>
            <w:shd w:val="clear" w:color="auto" w:fill="auto"/>
            <w:noWrap/>
            <w:hideMark/>
          </w:tcPr>
          <w:p w14:paraId="6A08CA3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0.327</w:t>
            </w:r>
          </w:p>
        </w:tc>
        <w:tc>
          <w:tcPr>
            <w:tcW w:w="915" w:type="dxa"/>
            <w:tcBorders>
              <w:top w:val="nil"/>
              <w:left w:val="nil"/>
              <w:bottom w:val="single" w:sz="4" w:space="0" w:color="auto"/>
              <w:right w:val="single" w:sz="4" w:space="0" w:color="auto"/>
            </w:tcBorders>
            <w:shd w:val="clear" w:color="auto" w:fill="auto"/>
            <w:noWrap/>
            <w:hideMark/>
          </w:tcPr>
          <w:p w14:paraId="6E42B90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.302***</w:t>
            </w:r>
          </w:p>
        </w:tc>
      </w:tr>
      <w:tr w:rsidR="004F3A24" w:rsidRPr="004F3A24" w14:paraId="7C769A8B"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9C958A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C59D79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DB0205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8D629D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0.014</w:t>
            </w:r>
          </w:p>
        </w:tc>
        <w:tc>
          <w:tcPr>
            <w:tcW w:w="915" w:type="dxa"/>
            <w:tcBorders>
              <w:top w:val="nil"/>
              <w:left w:val="nil"/>
              <w:bottom w:val="nil"/>
              <w:right w:val="single" w:sz="4" w:space="0" w:color="auto"/>
            </w:tcBorders>
            <w:shd w:val="clear" w:color="auto" w:fill="auto"/>
            <w:noWrap/>
            <w:hideMark/>
          </w:tcPr>
          <w:p w14:paraId="6B10BED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C91B94D"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D13AF5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2669" w:type="dxa"/>
            <w:tcBorders>
              <w:top w:val="nil"/>
              <w:left w:val="nil"/>
              <w:bottom w:val="single" w:sz="4" w:space="0" w:color="auto"/>
              <w:right w:val="single" w:sz="4" w:space="0" w:color="auto"/>
            </w:tcBorders>
            <w:shd w:val="clear" w:color="auto" w:fill="auto"/>
            <w:noWrap/>
            <w:hideMark/>
          </w:tcPr>
          <w:p w14:paraId="2739BB2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6CCC887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0.598***</w:t>
            </w:r>
          </w:p>
        </w:tc>
        <w:tc>
          <w:tcPr>
            <w:tcW w:w="742" w:type="dxa"/>
            <w:tcBorders>
              <w:top w:val="nil"/>
              <w:left w:val="nil"/>
              <w:bottom w:val="single" w:sz="4" w:space="0" w:color="auto"/>
              <w:right w:val="single" w:sz="4" w:space="0" w:color="auto"/>
            </w:tcBorders>
            <w:shd w:val="clear" w:color="auto" w:fill="auto"/>
            <w:noWrap/>
            <w:hideMark/>
          </w:tcPr>
          <w:p w14:paraId="7D9C7F9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0.227</w:t>
            </w:r>
          </w:p>
        </w:tc>
        <w:tc>
          <w:tcPr>
            <w:tcW w:w="915" w:type="dxa"/>
            <w:tcBorders>
              <w:top w:val="nil"/>
              <w:left w:val="nil"/>
              <w:bottom w:val="single" w:sz="4" w:space="0" w:color="auto"/>
              <w:right w:val="single" w:sz="4" w:space="0" w:color="auto"/>
            </w:tcBorders>
            <w:shd w:val="clear" w:color="auto" w:fill="auto"/>
            <w:noWrap/>
            <w:hideMark/>
          </w:tcPr>
          <w:p w14:paraId="77D7CAF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.213***</w:t>
            </w:r>
          </w:p>
        </w:tc>
      </w:tr>
      <w:tr w:rsidR="004F3A24" w:rsidRPr="004F3A24" w14:paraId="7659AC06"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D7E7D8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8A2E45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0C1D882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63FC6D9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0.021</w:t>
            </w:r>
          </w:p>
        </w:tc>
        <w:tc>
          <w:tcPr>
            <w:tcW w:w="915" w:type="dxa"/>
            <w:tcBorders>
              <w:top w:val="nil"/>
              <w:left w:val="nil"/>
              <w:bottom w:val="nil"/>
              <w:right w:val="single" w:sz="4" w:space="0" w:color="auto"/>
            </w:tcBorders>
            <w:shd w:val="clear" w:color="auto" w:fill="auto"/>
            <w:noWrap/>
            <w:hideMark/>
          </w:tcPr>
          <w:p w14:paraId="660559F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F0BFE08" w14:textId="77777777" w:rsidTr="0073436B">
        <w:trPr>
          <w:trHeight w:val="280"/>
        </w:trPr>
        <w:tc>
          <w:tcPr>
            <w:tcW w:w="2639" w:type="dxa"/>
            <w:vMerge w:val="restart"/>
            <w:tcBorders>
              <w:top w:val="nil"/>
              <w:left w:val="single" w:sz="4" w:space="0" w:color="auto"/>
              <w:bottom w:val="nil"/>
              <w:right w:val="single" w:sz="4" w:space="0" w:color="auto"/>
            </w:tcBorders>
            <w:shd w:val="clear" w:color="auto" w:fill="auto"/>
            <w:hideMark/>
          </w:tcPr>
          <w:p w14:paraId="69296B1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social media engagement</w:t>
            </w:r>
          </w:p>
        </w:tc>
        <w:tc>
          <w:tcPr>
            <w:tcW w:w="2669" w:type="dxa"/>
            <w:tcBorders>
              <w:top w:val="nil"/>
              <w:left w:val="nil"/>
              <w:bottom w:val="nil"/>
              <w:right w:val="single" w:sz="4" w:space="0" w:color="auto"/>
            </w:tcBorders>
            <w:shd w:val="clear" w:color="auto" w:fill="auto"/>
            <w:noWrap/>
            <w:hideMark/>
          </w:tcPr>
          <w:p w14:paraId="74FD8C5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3DFE010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0.237**</w:t>
            </w:r>
          </w:p>
        </w:tc>
        <w:tc>
          <w:tcPr>
            <w:tcW w:w="742" w:type="dxa"/>
            <w:tcBorders>
              <w:top w:val="nil"/>
              <w:left w:val="nil"/>
              <w:bottom w:val="nil"/>
              <w:right w:val="single" w:sz="4" w:space="0" w:color="auto"/>
            </w:tcBorders>
            <w:shd w:val="clear" w:color="auto" w:fill="auto"/>
            <w:noWrap/>
            <w:hideMark/>
          </w:tcPr>
          <w:p w14:paraId="5479791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0.378</w:t>
            </w:r>
          </w:p>
        </w:tc>
        <w:tc>
          <w:tcPr>
            <w:tcW w:w="915" w:type="dxa"/>
            <w:tcBorders>
              <w:top w:val="nil"/>
              <w:left w:val="nil"/>
              <w:bottom w:val="nil"/>
              <w:right w:val="single" w:sz="4" w:space="0" w:color="auto"/>
            </w:tcBorders>
            <w:shd w:val="clear" w:color="auto" w:fill="auto"/>
            <w:noWrap/>
            <w:hideMark/>
          </w:tcPr>
          <w:p w14:paraId="5326B57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.357***</w:t>
            </w:r>
          </w:p>
        </w:tc>
      </w:tr>
      <w:tr w:rsidR="004F3A24" w:rsidRPr="004F3A24" w14:paraId="0F170ECB" w14:textId="77777777" w:rsidTr="0073436B">
        <w:trPr>
          <w:trHeight w:val="280"/>
        </w:trPr>
        <w:tc>
          <w:tcPr>
            <w:tcW w:w="2639" w:type="dxa"/>
            <w:vMerge/>
            <w:tcBorders>
              <w:top w:val="nil"/>
              <w:left w:val="single" w:sz="4" w:space="0" w:color="auto"/>
              <w:bottom w:val="nil"/>
              <w:right w:val="single" w:sz="4" w:space="0" w:color="auto"/>
            </w:tcBorders>
            <w:vAlign w:val="center"/>
            <w:hideMark/>
          </w:tcPr>
          <w:p w14:paraId="5A1D390B" w14:textId="77777777" w:rsidR="0073436B" w:rsidRPr="004F3A24" w:rsidRDefault="0073436B" w:rsidP="0073436B">
            <w:pPr>
              <w:spacing w:after="0" w:line="240" w:lineRule="auto"/>
              <w:rPr>
                <w:rFonts w:ascii="Cambria" w:eastAsia="Times New Roman" w:hAnsi="Cambria" w:cs="Calibri"/>
                <w:lang w:eastAsia="en-GB"/>
              </w:rPr>
            </w:pPr>
          </w:p>
        </w:tc>
        <w:tc>
          <w:tcPr>
            <w:tcW w:w="2669" w:type="dxa"/>
            <w:tcBorders>
              <w:top w:val="nil"/>
              <w:left w:val="nil"/>
              <w:bottom w:val="nil"/>
              <w:right w:val="single" w:sz="4" w:space="0" w:color="auto"/>
            </w:tcBorders>
            <w:shd w:val="clear" w:color="auto" w:fill="auto"/>
            <w:noWrap/>
            <w:hideMark/>
          </w:tcPr>
          <w:p w14:paraId="2E22476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741AA75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0.065</w:t>
            </w:r>
          </w:p>
        </w:tc>
        <w:tc>
          <w:tcPr>
            <w:tcW w:w="742" w:type="dxa"/>
            <w:tcBorders>
              <w:top w:val="nil"/>
              <w:left w:val="nil"/>
              <w:bottom w:val="nil"/>
              <w:right w:val="single" w:sz="4" w:space="0" w:color="auto"/>
            </w:tcBorders>
            <w:shd w:val="clear" w:color="auto" w:fill="auto"/>
            <w:noWrap/>
            <w:hideMark/>
          </w:tcPr>
          <w:p w14:paraId="3D929BC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3C6F262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D20FBA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29F41D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2AC87A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1FDCE94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0.177</w:t>
            </w:r>
          </w:p>
        </w:tc>
        <w:tc>
          <w:tcPr>
            <w:tcW w:w="742" w:type="dxa"/>
            <w:tcBorders>
              <w:top w:val="nil"/>
              <w:left w:val="nil"/>
              <w:bottom w:val="nil"/>
              <w:right w:val="single" w:sz="4" w:space="0" w:color="auto"/>
            </w:tcBorders>
            <w:shd w:val="clear" w:color="auto" w:fill="auto"/>
            <w:noWrap/>
            <w:hideMark/>
          </w:tcPr>
          <w:p w14:paraId="78ED86C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4B587F8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670DD49"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156292C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01A4B73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2715FFF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0.18*</w:t>
            </w:r>
          </w:p>
        </w:tc>
        <w:tc>
          <w:tcPr>
            <w:tcW w:w="742" w:type="dxa"/>
            <w:tcBorders>
              <w:top w:val="nil"/>
              <w:left w:val="nil"/>
              <w:bottom w:val="single" w:sz="4" w:space="0" w:color="auto"/>
              <w:right w:val="single" w:sz="4" w:space="0" w:color="auto"/>
            </w:tcBorders>
            <w:shd w:val="clear" w:color="auto" w:fill="auto"/>
            <w:noWrap/>
            <w:hideMark/>
          </w:tcPr>
          <w:p w14:paraId="120A778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369893F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BDAC37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2E5E90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9296B2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5500F7E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213290D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0.009</w:t>
            </w:r>
          </w:p>
        </w:tc>
        <w:tc>
          <w:tcPr>
            <w:tcW w:w="915" w:type="dxa"/>
            <w:tcBorders>
              <w:top w:val="nil"/>
              <w:left w:val="nil"/>
              <w:bottom w:val="nil"/>
              <w:right w:val="single" w:sz="4" w:space="0" w:color="auto"/>
            </w:tcBorders>
            <w:shd w:val="clear" w:color="auto" w:fill="auto"/>
            <w:noWrap/>
            <w:hideMark/>
          </w:tcPr>
          <w:p w14:paraId="2BEB45A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3F466B3"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289C33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Pleasure</w:t>
            </w:r>
          </w:p>
        </w:tc>
        <w:tc>
          <w:tcPr>
            <w:tcW w:w="2669" w:type="dxa"/>
            <w:tcBorders>
              <w:top w:val="nil"/>
              <w:left w:val="nil"/>
              <w:bottom w:val="nil"/>
              <w:right w:val="single" w:sz="4" w:space="0" w:color="auto"/>
            </w:tcBorders>
            <w:shd w:val="clear" w:color="auto" w:fill="auto"/>
            <w:noWrap/>
            <w:hideMark/>
          </w:tcPr>
          <w:p w14:paraId="4A12C8C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4DAC81A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0.322***</w:t>
            </w:r>
          </w:p>
        </w:tc>
        <w:tc>
          <w:tcPr>
            <w:tcW w:w="742" w:type="dxa"/>
            <w:tcBorders>
              <w:top w:val="nil"/>
              <w:left w:val="nil"/>
              <w:bottom w:val="nil"/>
              <w:right w:val="single" w:sz="4" w:space="0" w:color="auto"/>
            </w:tcBorders>
            <w:shd w:val="clear" w:color="auto" w:fill="auto"/>
            <w:noWrap/>
            <w:hideMark/>
          </w:tcPr>
          <w:p w14:paraId="6DF6F94C"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0.434</w:t>
            </w:r>
          </w:p>
        </w:tc>
        <w:tc>
          <w:tcPr>
            <w:tcW w:w="915" w:type="dxa"/>
            <w:tcBorders>
              <w:top w:val="nil"/>
              <w:left w:val="nil"/>
              <w:bottom w:val="nil"/>
              <w:right w:val="single" w:sz="4" w:space="0" w:color="auto"/>
            </w:tcBorders>
            <w:shd w:val="clear" w:color="auto" w:fill="auto"/>
            <w:noWrap/>
            <w:hideMark/>
          </w:tcPr>
          <w:p w14:paraId="36C6CEB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.425***</w:t>
            </w:r>
          </w:p>
        </w:tc>
      </w:tr>
      <w:tr w:rsidR="004F3A24" w:rsidRPr="004F3A24" w14:paraId="57E3F5D9"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21480F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77A3AC4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5D156DB2"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0.014</w:t>
            </w:r>
          </w:p>
        </w:tc>
        <w:tc>
          <w:tcPr>
            <w:tcW w:w="742" w:type="dxa"/>
            <w:tcBorders>
              <w:top w:val="nil"/>
              <w:left w:val="nil"/>
              <w:bottom w:val="nil"/>
              <w:right w:val="single" w:sz="4" w:space="0" w:color="auto"/>
            </w:tcBorders>
            <w:shd w:val="clear" w:color="auto" w:fill="auto"/>
            <w:noWrap/>
            <w:hideMark/>
          </w:tcPr>
          <w:p w14:paraId="1A1E253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1185DFB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3FEA53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F5B708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1F8DE0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536BB852"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0.032</w:t>
            </w:r>
          </w:p>
        </w:tc>
        <w:tc>
          <w:tcPr>
            <w:tcW w:w="742" w:type="dxa"/>
            <w:tcBorders>
              <w:top w:val="nil"/>
              <w:left w:val="nil"/>
              <w:bottom w:val="nil"/>
              <w:right w:val="single" w:sz="4" w:space="0" w:color="auto"/>
            </w:tcBorders>
            <w:shd w:val="clear" w:color="auto" w:fill="auto"/>
            <w:noWrap/>
            <w:hideMark/>
          </w:tcPr>
          <w:p w14:paraId="668AF79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7C48E82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4E89A680"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2B1402D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39BEF61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6DF371F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0.234***</w:t>
            </w:r>
          </w:p>
        </w:tc>
        <w:tc>
          <w:tcPr>
            <w:tcW w:w="742" w:type="dxa"/>
            <w:tcBorders>
              <w:top w:val="nil"/>
              <w:left w:val="nil"/>
              <w:bottom w:val="single" w:sz="4" w:space="0" w:color="auto"/>
              <w:right w:val="single" w:sz="4" w:space="0" w:color="auto"/>
            </w:tcBorders>
            <w:shd w:val="clear" w:color="auto" w:fill="auto"/>
            <w:noWrap/>
            <w:hideMark/>
          </w:tcPr>
          <w:p w14:paraId="2F6932D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71CFDE2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5A79859"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1C568E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D56F93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CA3271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4A1E959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0.016</w:t>
            </w:r>
          </w:p>
        </w:tc>
        <w:tc>
          <w:tcPr>
            <w:tcW w:w="915" w:type="dxa"/>
            <w:tcBorders>
              <w:top w:val="nil"/>
              <w:left w:val="nil"/>
              <w:bottom w:val="nil"/>
              <w:right w:val="single" w:sz="4" w:space="0" w:color="auto"/>
            </w:tcBorders>
            <w:shd w:val="clear" w:color="auto" w:fill="auto"/>
            <w:noWrap/>
            <w:hideMark/>
          </w:tcPr>
          <w:p w14:paraId="125D703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A26199C"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298C4D0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Arousal</w:t>
            </w:r>
          </w:p>
        </w:tc>
        <w:tc>
          <w:tcPr>
            <w:tcW w:w="2669" w:type="dxa"/>
            <w:tcBorders>
              <w:top w:val="nil"/>
              <w:left w:val="nil"/>
              <w:bottom w:val="nil"/>
              <w:right w:val="single" w:sz="4" w:space="0" w:color="auto"/>
            </w:tcBorders>
            <w:shd w:val="clear" w:color="auto" w:fill="auto"/>
            <w:noWrap/>
            <w:hideMark/>
          </w:tcPr>
          <w:p w14:paraId="0674A07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433D170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0.139*</w:t>
            </w:r>
          </w:p>
        </w:tc>
        <w:tc>
          <w:tcPr>
            <w:tcW w:w="742" w:type="dxa"/>
            <w:tcBorders>
              <w:top w:val="nil"/>
              <w:left w:val="nil"/>
              <w:bottom w:val="nil"/>
              <w:right w:val="single" w:sz="4" w:space="0" w:color="auto"/>
            </w:tcBorders>
            <w:shd w:val="clear" w:color="auto" w:fill="auto"/>
            <w:noWrap/>
            <w:hideMark/>
          </w:tcPr>
          <w:p w14:paraId="19A83B1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0.313</w:t>
            </w:r>
          </w:p>
        </w:tc>
        <w:tc>
          <w:tcPr>
            <w:tcW w:w="915" w:type="dxa"/>
            <w:tcBorders>
              <w:top w:val="nil"/>
              <w:left w:val="nil"/>
              <w:bottom w:val="nil"/>
              <w:right w:val="single" w:sz="4" w:space="0" w:color="auto"/>
            </w:tcBorders>
            <w:shd w:val="clear" w:color="auto" w:fill="auto"/>
            <w:noWrap/>
            <w:hideMark/>
          </w:tcPr>
          <w:p w14:paraId="65EE830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.297***</w:t>
            </w:r>
          </w:p>
        </w:tc>
      </w:tr>
      <w:tr w:rsidR="004F3A24" w:rsidRPr="004F3A24" w14:paraId="51DF894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2B13CA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146FC6D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1F2C756F"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0.063</w:t>
            </w:r>
          </w:p>
        </w:tc>
        <w:tc>
          <w:tcPr>
            <w:tcW w:w="742" w:type="dxa"/>
            <w:tcBorders>
              <w:top w:val="nil"/>
              <w:left w:val="nil"/>
              <w:bottom w:val="nil"/>
              <w:right w:val="single" w:sz="4" w:space="0" w:color="auto"/>
            </w:tcBorders>
            <w:shd w:val="clear" w:color="auto" w:fill="auto"/>
            <w:noWrap/>
            <w:hideMark/>
          </w:tcPr>
          <w:p w14:paraId="07A1EDC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6A2CC07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FBC675B"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7A1C3D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3E36D5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26E6991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0.179*</w:t>
            </w:r>
          </w:p>
        </w:tc>
        <w:tc>
          <w:tcPr>
            <w:tcW w:w="742" w:type="dxa"/>
            <w:tcBorders>
              <w:top w:val="nil"/>
              <w:left w:val="nil"/>
              <w:bottom w:val="nil"/>
              <w:right w:val="single" w:sz="4" w:space="0" w:color="auto"/>
            </w:tcBorders>
            <w:shd w:val="clear" w:color="auto" w:fill="auto"/>
            <w:noWrap/>
            <w:hideMark/>
          </w:tcPr>
          <w:p w14:paraId="778B01A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2ACC6E9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490A50B"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9D6049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227B22D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68F49A6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0.061</w:t>
            </w:r>
          </w:p>
        </w:tc>
        <w:tc>
          <w:tcPr>
            <w:tcW w:w="742" w:type="dxa"/>
            <w:tcBorders>
              <w:top w:val="nil"/>
              <w:left w:val="nil"/>
              <w:bottom w:val="single" w:sz="4" w:space="0" w:color="auto"/>
              <w:right w:val="single" w:sz="4" w:space="0" w:color="auto"/>
            </w:tcBorders>
            <w:shd w:val="clear" w:color="auto" w:fill="auto"/>
            <w:noWrap/>
            <w:hideMark/>
          </w:tcPr>
          <w:p w14:paraId="0AD4246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07856C1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0C7F09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C18660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F0FA60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066192A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6843829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0.014</w:t>
            </w:r>
          </w:p>
        </w:tc>
        <w:tc>
          <w:tcPr>
            <w:tcW w:w="915" w:type="dxa"/>
            <w:tcBorders>
              <w:top w:val="nil"/>
              <w:left w:val="nil"/>
              <w:bottom w:val="nil"/>
              <w:right w:val="single" w:sz="4" w:space="0" w:color="auto"/>
            </w:tcBorders>
            <w:shd w:val="clear" w:color="auto" w:fill="auto"/>
            <w:noWrap/>
            <w:hideMark/>
          </w:tcPr>
          <w:p w14:paraId="00F5624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C33582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165D6E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Dominance</w:t>
            </w:r>
          </w:p>
        </w:tc>
        <w:tc>
          <w:tcPr>
            <w:tcW w:w="2669" w:type="dxa"/>
            <w:tcBorders>
              <w:top w:val="nil"/>
              <w:left w:val="nil"/>
              <w:bottom w:val="nil"/>
              <w:right w:val="single" w:sz="4" w:space="0" w:color="auto"/>
            </w:tcBorders>
            <w:shd w:val="clear" w:color="auto" w:fill="auto"/>
            <w:noWrap/>
            <w:hideMark/>
          </w:tcPr>
          <w:p w14:paraId="6AF23F7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6A7AD469"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0.022</w:t>
            </w:r>
          </w:p>
        </w:tc>
        <w:tc>
          <w:tcPr>
            <w:tcW w:w="742" w:type="dxa"/>
            <w:tcBorders>
              <w:top w:val="nil"/>
              <w:left w:val="nil"/>
              <w:bottom w:val="nil"/>
              <w:right w:val="single" w:sz="4" w:space="0" w:color="auto"/>
            </w:tcBorders>
            <w:shd w:val="clear" w:color="auto" w:fill="auto"/>
            <w:noWrap/>
            <w:hideMark/>
          </w:tcPr>
          <w:p w14:paraId="0533A1E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0.09</w:t>
            </w:r>
          </w:p>
        </w:tc>
        <w:tc>
          <w:tcPr>
            <w:tcW w:w="915" w:type="dxa"/>
            <w:tcBorders>
              <w:top w:val="nil"/>
              <w:left w:val="nil"/>
              <w:bottom w:val="nil"/>
              <w:right w:val="single" w:sz="4" w:space="0" w:color="auto"/>
            </w:tcBorders>
            <w:shd w:val="clear" w:color="auto" w:fill="auto"/>
            <w:noWrap/>
            <w:hideMark/>
          </w:tcPr>
          <w:p w14:paraId="28D7DC8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.076*</w:t>
            </w:r>
          </w:p>
        </w:tc>
      </w:tr>
      <w:tr w:rsidR="004F3A24" w:rsidRPr="004F3A24" w14:paraId="6DC01137"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8C953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E8296B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32DC072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-0.092</w:t>
            </w:r>
          </w:p>
        </w:tc>
        <w:tc>
          <w:tcPr>
            <w:tcW w:w="742" w:type="dxa"/>
            <w:tcBorders>
              <w:top w:val="nil"/>
              <w:left w:val="nil"/>
              <w:bottom w:val="nil"/>
              <w:right w:val="single" w:sz="4" w:space="0" w:color="auto"/>
            </w:tcBorders>
            <w:shd w:val="clear" w:color="auto" w:fill="auto"/>
            <w:noWrap/>
            <w:hideMark/>
          </w:tcPr>
          <w:p w14:paraId="3E0A360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28C6CD5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91F135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C6154E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D04024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5DD94E1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0.172*</w:t>
            </w:r>
          </w:p>
        </w:tc>
        <w:tc>
          <w:tcPr>
            <w:tcW w:w="742" w:type="dxa"/>
            <w:tcBorders>
              <w:top w:val="nil"/>
              <w:left w:val="nil"/>
              <w:bottom w:val="nil"/>
              <w:right w:val="single" w:sz="4" w:space="0" w:color="auto"/>
            </w:tcBorders>
            <w:shd w:val="clear" w:color="auto" w:fill="auto"/>
            <w:noWrap/>
            <w:hideMark/>
          </w:tcPr>
          <w:p w14:paraId="7494B2F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07A1E6C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EC8858F"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834FF0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5428083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1ECFA53C"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-0.013</w:t>
            </w:r>
          </w:p>
        </w:tc>
        <w:tc>
          <w:tcPr>
            <w:tcW w:w="742" w:type="dxa"/>
            <w:tcBorders>
              <w:top w:val="nil"/>
              <w:left w:val="nil"/>
              <w:bottom w:val="single" w:sz="4" w:space="0" w:color="auto"/>
              <w:right w:val="single" w:sz="4" w:space="0" w:color="auto"/>
            </w:tcBorders>
            <w:shd w:val="clear" w:color="auto" w:fill="auto"/>
            <w:noWrap/>
            <w:hideMark/>
          </w:tcPr>
          <w:p w14:paraId="1F02A95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44265CF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E10437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3DB88A0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B94088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291829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EEA4F9A"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0.034</w:t>
            </w:r>
          </w:p>
        </w:tc>
        <w:tc>
          <w:tcPr>
            <w:tcW w:w="915" w:type="dxa"/>
            <w:tcBorders>
              <w:top w:val="nil"/>
              <w:left w:val="nil"/>
              <w:bottom w:val="nil"/>
              <w:right w:val="single" w:sz="4" w:space="0" w:color="auto"/>
            </w:tcBorders>
            <w:shd w:val="clear" w:color="auto" w:fill="auto"/>
            <w:noWrap/>
            <w:hideMark/>
          </w:tcPr>
          <w:p w14:paraId="1DFC95E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6E6730B"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50F8358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5D2AFA2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Pleasure</w:t>
            </w:r>
          </w:p>
        </w:tc>
        <w:tc>
          <w:tcPr>
            <w:tcW w:w="915" w:type="dxa"/>
            <w:tcBorders>
              <w:top w:val="nil"/>
              <w:left w:val="nil"/>
              <w:bottom w:val="single" w:sz="4" w:space="0" w:color="auto"/>
              <w:right w:val="single" w:sz="4" w:space="0" w:color="auto"/>
            </w:tcBorders>
            <w:shd w:val="clear" w:color="auto" w:fill="auto"/>
            <w:noWrap/>
            <w:hideMark/>
          </w:tcPr>
          <w:p w14:paraId="54CA754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0.946***</w:t>
            </w:r>
          </w:p>
        </w:tc>
        <w:tc>
          <w:tcPr>
            <w:tcW w:w="742" w:type="dxa"/>
            <w:tcBorders>
              <w:top w:val="nil"/>
              <w:left w:val="nil"/>
              <w:bottom w:val="single" w:sz="4" w:space="0" w:color="auto"/>
              <w:right w:val="single" w:sz="4" w:space="0" w:color="auto"/>
            </w:tcBorders>
            <w:shd w:val="clear" w:color="auto" w:fill="auto"/>
            <w:noWrap/>
            <w:hideMark/>
          </w:tcPr>
          <w:p w14:paraId="760285A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0.641</w:t>
            </w:r>
          </w:p>
        </w:tc>
        <w:tc>
          <w:tcPr>
            <w:tcW w:w="915" w:type="dxa"/>
            <w:tcBorders>
              <w:top w:val="nil"/>
              <w:left w:val="nil"/>
              <w:bottom w:val="single" w:sz="4" w:space="0" w:color="auto"/>
              <w:right w:val="single" w:sz="4" w:space="0" w:color="auto"/>
            </w:tcBorders>
            <w:shd w:val="clear" w:color="auto" w:fill="auto"/>
            <w:noWrap/>
            <w:hideMark/>
          </w:tcPr>
          <w:p w14:paraId="59CE357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.606***</w:t>
            </w:r>
          </w:p>
        </w:tc>
      </w:tr>
      <w:tr w:rsidR="004F3A24" w:rsidRPr="004F3A24" w14:paraId="766027FE"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1D8522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2D45DE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8229E6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3231C6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0.034</w:t>
            </w:r>
          </w:p>
        </w:tc>
        <w:tc>
          <w:tcPr>
            <w:tcW w:w="915" w:type="dxa"/>
            <w:tcBorders>
              <w:top w:val="nil"/>
              <w:left w:val="nil"/>
              <w:bottom w:val="nil"/>
              <w:right w:val="single" w:sz="4" w:space="0" w:color="auto"/>
            </w:tcBorders>
            <w:shd w:val="clear" w:color="auto" w:fill="auto"/>
            <w:noWrap/>
            <w:hideMark/>
          </w:tcPr>
          <w:p w14:paraId="4505462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80E492F"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1EB2A7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15C9065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Arousal</w:t>
            </w:r>
          </w:p>
        </w:tc>
        <w:tc>
          <w:tcPr>
            <w:tcW w:w="915" w:type="dxa"/>
            <w:tcBorders>
              <w:top w:val="nil"/>
              <w:left w:val="nil"/>
              <w:bottom w:val="single" w:sz="4" w:space="0" w:color="auto"/>
              <w:right w:val="single" w:sz="4" w:space="0" w:color="auto"/>
            </w:tcBorders>
            <w:shd w:val="clear" w:color="auto" w:fill="auto"/>
            <w:noWrap/>
            <w:hideMark/>
          </w:tcPr>
          <w:p w14:paraId="5C056C7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.684***</w:t>
            </w:r>
          </w:p>
        </w:tc>
        <w:tc>
          <w:tcPr>
            <w:tcW w:w="742" w:type="dxa"/>
            <w:tcBorders>
              <w:top w:val="nil"/>
              <w:left w:val="nil"/>
              <w:bottom w:val="single" w:sz="4" w:space="0" w:color="auto"/>
              <w:right w:val="single" w:sz="4" w:space="0" w:color="auto"/>
            </w:tcBorders>
            <w:shd w:val="clear" w:color="auto" w:fill="auto"/>
            <w:noWrap/>
            <w:hideMark/>
          </w:tcPr>
          <w:p w14:paraId="571F96F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0.238</w:t>
            </w:r>
          </w:p>
        </w:tc>
        <w:tc>
          <w:tcPr>
            <w:tcW w:w="915" w:type="dxa"/>
            <w:tcBorders>
              <w:top w:val="nil"/>
              <w:left w:val="nil"/>
              <w:bottom w:val="single" w:sz="4" w:space="0" w:color="auto"/>
              <w:right w:val="single" w:sz="4" w:space="0" w:color="auto"/>
            </w:tcBorders>
            <w:shd w:val="clear" w:color="auto" w:fill="auto"/>
            <w:noWrap/>
            <w:hideMark/>
          </w:tcPr>
          <w:p w14:paraId="71EEFA8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.203***</w:t>
            </w:r>
          </w:p>
        </w:tc>
      </w:tr>
      <w:tr w:rsidR="004F3A24" w:rsidRPr="004F3A24" w14:paraId="5590193D"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71A942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1B33ED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447DA1C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22B5396C"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0.034</w:t>
            </w:r>
          </w:p>
        </w:tc>
        <w:tc>
          <w:tcPr>
            <w:tcW w:w="915" w:type="dxa"/>
            <w:tcBorders>
              <w:top w:val="nil"/>
              <w:left w:val="nil"/>
              <w:bottom w:val="nil"/>
              <w:right w:val="single" w:sz="4" w:space="0" w:color="auto"/>
            </w:tcBorders>
            <w:shd w:val="clear" w:color="auto" w:fill="auto"/>
            <w:noWrap/>
            <w:hideMark/>
          </w:tcPr>
          <w:p w14:paraId="1D68B90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595601F"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14251A1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6E67CC6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Dominance</w:t>
            </w:r>
          </w:p>
        </w:tc>
        <w:tc>
          <w:tcPr>
            <w:tcW w:w="915" w:type="dxa"/>
            <w:tcBorders>
              <w:top w:val="nil"/>
              <w:left w:val="nil"/>
              <w:bottom w:val="single" w:sz="4" w:space="0" w:color="auto"/>
              <w:right w:val="single" w:sz="4" w:space="0" w:color="auto"/>
            </w:tcBorders>
            <w:shd w:val="clear" w:color="auto" w:fill="auto"/>
            <w:noWrap/>
            <w:hideMark/>
          </w:tcPr>
          <w:p w14:paraId="1F18C37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0.247</w:t>
            </w:r>
          </w:p>
        </w:tc>
        <w:tc>
          <w:tcPr>
            <w:tcW w:w="742" w:type="dxa"/>
            <w:tcBorders>
              <w:top w:val="nil"/>
              <w:left w:val="nil"/>
              <w:bottom w:val="single" w:sz="4" w:space="0" w:color="auto"/>
              <w:right w:val="single" w:sz="4" w:space="0" w:color="auto"/>
            </w:tcBorders>
            <w:shd w:val="clear" w:color="auto" w:fill="auto"/>
            <w:noWrap/>
            <w:hideMark/>
          </w:tcPr>
          <w:p w14:paraId="14105DD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0.057</w:t>
            </w:r>
          </w:p>
        </w:tc>
        <w:tc>
          <w:tcPr>
            <w:tcW w:w="915" w:type="dxa"/>
            <w:tcBorders>
              <w:top w:val="nil"/>
              <w:left w:val="nil"/>
              <w:bottom w:val="single" w:sz="4" w:space="0" w:color="auto"/>
              <w:right w:val="single" w:sz="4" w:space="0" w:color="auto"/>
            </w:tcBorders>
            <w:shd w:val="clear" w:color="000000" w:fill="FFFF00"/>
            <w:noWrap/>
            <w:hideMark/>
          </w:tcPr>
          <w:p w14:paraId="52EDBDC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0.023</w:t>
            </w:r>
          </w:p>
        </w:tc>
      </w:tr>
      <w:tr w:rsidR="004F3A24" w:rsidRPr="004F3A24" w14:paraId="04487F7F"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4E9531E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CA8E81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06DCFE3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67117CD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0.021</w:t>
            </w:r>
          </w:p>
        </w:tc>
        <w:tc>
          <w:tcPr>
            <w:tcW w:w="915" w:type="dxa"/>
            <w:tcBorders>
              <w:top w:val="nil"/>
              <w:left w:val="nil"/>
              <w:bottom w:val="nil"/>
              <w:right w:val="single" w:sz="4" w:space="0" w:color="auto"/>
            </w:tcBorders>
            <w:shd w:val="clear" w:color="auto" w:fill="auto"/>
            <w:noWrap/>
            <w:hideMark/>
          </w:tcPr>
          <w:p w14:paraId="24EF1D6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CA9E612"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C4FD4A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social media engagement</w:t>
            </w:r>
          </w:p>
        </w:tc>
        <w:tc>
          <w:tcPr>
            <w:tcW w:w="2669" w:type="dxa"/>
            <w:tcBorders>
              <w:top w:val="nil"/>
              <w:left w:val="nil"/>
              <w:bottom w:val="single" w:sz="4" w:space="0" w:color="auto"/>
              <w:right w:val="single" w:sz="4" w:space="0" w:color="auto"/>
            </w:tcBorders>
            <w:shd w:val="clear" w:color="auto" w:fill="auto"/>
            <w:noWrap/>
            <w:hideMark/>
          </w:tcPr>
          <w:p w14:paraId="4D9DAFE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915" w:type="dxa"/>
            <w:tcBorders>
              <w:top w:val="nil"/>
              <w:left w:val="nil"/>
              <w:bottom w:val="single" w:sz="4" w:space="0" w:color="auto"/>
              <w:right w:val="single" w:sz="4" w:space="0" w:color="auto"/>
            </w:tcBorders>
            <w:shd w:val="clear" w:color="auto" w:fill="auto"/>
            <w:noWrap/>
            <w:hideMark/>
          </w:tcPr>
          <w:p w14:paraId="35723BC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.578***</w:t>
            </w:r>
          </w:p>
        </w:tc>
        <w:tc>
          <w:tcPr>
            <w:tcW w:w="742" w:type="dxa"/>
            <w:tcBorders>
              <w:top w:val="nil"/>
              <w:left w:val="nil"/>
              <w:bottom w:val="single" w:sz="4" w:space="0" w:color="auto"/>
              <w:right w:val="single" w:sz="4" w:space="0" w:color="auto"/>
            </w:tcBorders>
            <w:shd w:val="clear" w:color="auto" w:fill="auto"/>
            <w:noWrap/>
            <w:hideMark/>
          </w:tcPr>
          <w:p w14:paraId="7A6B7191"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0.4</w:t>
            </w:r>
          </w:p>
        </w:tc>
        <w:tc>
          <w:tcPr>
            <w:tcW w:w="915" w:type="dxa"/>
            <w:tcBorders>
              <w:top w:val="nil"/>
              <w:left w:val="nil"/>
              <w:bottom w:val="single" w:sz="4" w:space="0" w:color="auto"/>
              <w:right w:val="single" w:sz="4" w:space="0" w:color="auto"/>
            </w:tcBorders>
            <w:shd w:val="clear" w:color="auto" w:fill="auto"/>
            <w:noWrap/>
            <w:hideMark/>
          </w:tcPr>
          <w:p w14:paraId="06F0BDB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.379***</w:t>
            </w:r>
          </w:p>
        </w:tc>
      </w:tr>
      <w:tr w:rsidR="004F3A24" w:rsidRPr="004F3A24" w14:paraId="50EC34AD"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CEC384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D37B95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2DCCEA7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294C6845"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0.008</w:t>
            </w:r>
          </w:p>
        </w:tc>
        <w:tc>
          <w:tcPr>
            <w:tcW w:w="915" w:type="dxa"/>
            <w:tcBorders>
              <w:top w:val="nil"/>
              <w:left w:val="nil"/>
              <w:bottom w:val="nil"/>
              <w:right w:val="single" w:sz="4" w:space="0" w:color="auto"/>
            </w:tcBorders>
            <w:shd w:val="clear" w:color="auto" w:fill="auto"/>
            <w:noWrap/>
            <w:hideMark/>
          </w:tcPr>
          <w:p w14:paraId="7348F50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FA2E003"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10ADC0D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74CCCD5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915" w:type="dxa"/>
            <w:tcBorders>
              <w:top w:val="nil"/>
              <w:left w:val="nil"/>
              <w:bottom w:val="single" w:sz="4" w:space="0" w:color="auto"/>
              <w:right w:val="single" w:sz="4" w:space="0" w:color="auto"/>
            </w:tcBorders>
            <w:shd w:val="clear" w:color="auto" w:fill="auto"/>
            <w:noWrap/>
            <w:hideMark/>
          </w:tcPr>
          <w:p w14:paraId="6FEDF0B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.601***</w:t>
            </w:r>
          </w:p>
        </w:tc>
        <w:tc>
          <w:tcPr>
            <w:tcW w:w="742" w:type="dxa"/>
            <w:tcBorders>
              <w:top w:val="nil"/>
              <w:left w:val="nil"/>
              <w:bottom w:val="single" w:sz="4" w:space="0" w:color="auto"/>
              <w:right w:val="single" w:sz="4" w:space="0" w:color="auto"/>
            </w:tcBorders>
            <w:shd w:val="clear" w:color="auto" w:fill="auto"/>
            <w:noWrap/>
            <w:hideMark/>
          </w:tcPr>
          <w:p w14:paraId="1637CD22"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0.331</w:t>
            </w:r>
          </w:p>
        </w:tc>
        <w:tc>
          <w:tcPr>
            <w:tcW w:w="915" w:type="dxa"/>
            <w:tcBorders>
              <w:top w:val="nil"/>
              <w:left w:val="nil"/>
              <w:bottom w:val="single" w:sz="4" w:space="0" w:color="auto"/>
              <w:right w:val="single" w:sz="4" w:space="0" w:color="auto"/>
            </w:tcBorders>
            <w:shd w:val="clear" w:color="auto" w:fill="auto"/>
            <w:noWrap/>
            <w:hideMark/>
          </w:tcPr>
          <w:p w14:paraId="75C55D8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.323***</w:t>
            </w:r>
          </w:p>
        </w:tc>
      </w:tr>
      <w:tr w:rsidR="004F3A24" w:rsidRPr="004F3A24" w14:paraId="0391276D"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6789B4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BE896A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14E86B8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33729C6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w:t>
            </w:r>
          </w:p>
        </w:tc>
        <w:tc>
          <w:tcPr>
            <w:tcW w:w="915" w:type="dxa"/>
            <w:tcBorders>
              <w:top w:val="nil"/>
              <w:left w:val="nil"/>
              <w:bottom w:val="nil"/>
              <w:right w:val="single" w:sz="4" w:space="0" w:color="auto"/>
            </w:tcBorders>
            <w:shd w:val="clear" w:color="auto" w:fill="auto"/>
            <w:noWrap/>
            <w:hideMark/>
          </w:tcPr>
          <w:p w14:paraId="4EE6B3E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E2CA4E0"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2A2270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Normative influence</w:t>
            </w:r>
          </w:p>
        </w:tc>
        <w:tc>
          <w:tcPr>
            <w:tcW w:w="2669" w:type="dxa"/>
            <w:tcBorders>
              <w:top w:val="nil"/>
              <w:left w:val="nil"/>
              <w:bottom w:val="single" w:sz="4" w:space="0" w:color="auto"/>
              <w:right w:val="single" w:sz="4" w:space="0" w:color="auto"/>
            </w:tcBorders>
            <w:shd w:val="clear" w:color="auto" w:fill="auto"/>
            <w:noWrap/>
            <w:hideMark/>
          </w:tcPr>
          <w:p w14:paraId="51C0651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xml:space="preserve">Social media engagement </w:t>
            </w:r>
          </w:p>
        </w:tc>
        <w:tc>
          <w:tcPr>
            <w:tcW w:w="915" w:type="dxa"/>
            <w:tcBorders>
              <w:top w:val="nil"/>
              <w:left w:val="nil"/>
              <w:bottom w:val="single" w:sz="4" w:space="0" w:color="auto"/>
              <w:right w:val="single" w:sz="4" w:space="0" w:color="auto"/>
            </w:tcBorders>
            <w:shd w:val="clear" w:color="auto" w:fill="auto"/>
            <w:noWrap/>
            <w:hideMark/>
          </w:tcPr>
          <w:p w14:paraId="5CF27DD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.338***</w:t>
            </w:r>
          </w:p>
        </w:tc>
        <w:tc>
          <w:tcPr>
            <w:tcW w:w="742" w:type="dxa"/>
            <w:tcBorders>
              <w:top w:val="nil"/>
              <w:left w:val="nil"/>
              <w:bottom w:val="single" w:sz="4" w:space="0" w:color="auto"/>
              <w:right w:val="single" w:sz="4" w:space="0" w:color="auto"/>
            </w:tcBorders>
            <w:shd w:val="clear" w:color="auto" w:fill="auto"/>
            <w:noWrap/>
            <w:hideMark/>
          </w:tcPr>
          <w:p w14:paraId="5DD194B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0.12</w:t>
            </w:r>
          </w:p>
        </w:tc>
        <w:tc>
          <w:tcPr>
            <w:tcW w:w="915" w:type="dxa"/>
            <w:tcBorders>
              <w:top w:val="nil"/>
              <w:left w:val="nil"/>
              <w:bottom w:val="single" w:sz="4" w:space="0" w:color="auto"/>
              <w:right w:val="single" w:sz="4" w:space="0" w:color="auto"/>
            </w:tcBorders>
            <w:shd w:val="clear" w:color="auto" w:fill="auto"/>
            <w:noWrap/>
            <w:hideMark/>
          </w:tcPr>
          <w:p w14:paraId="4C42150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.101***</w:t>
            </w:r>
          </w:p>
        </w:tc>
      </w:tr>
      <w:tr w:rsidR="004F3A24" w:rsidRPr="004F3A24" w14:paraId="2025CDE5"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31BDF33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F28C75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3A745B8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CE90F3C"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0.023</w:t>
            </w:r>
          </w:p>
        </w:tc>
        <w:tc>
          <w:tcPr>
            <w:tcW w:w="915" w:type="dxa"/>
            <w:tcBorders>
              <w:top w:val="nil"/>
              <w:left w:val="nil"/>
              <w:bottom w:val="nil"/>
              <w:right w:val="single" w:sz="4" w:space="0" w:color="auto"/>
            </w:tcBorders>
            <w:shd w:val="clear" w:color="auto" w:fill="auto"/>
            <w:noWrap/>
            <w:hideMark/>
          </w:tcPr>
          <w:p w14:paraId="33FA309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DB1889D"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5588BE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Informative infulence</w:t>
            </w:r>
          </w:p>
        </w:tc>
        <w:tc>
          <w:tcPr>
            <w:tcW w:w="2669" w:type="dxa"/>
            <w:tcBorders>
              <w:top w:val="nil"/>
              <w:left w:val="nil"/>
              <w:bottom w:val="single" w:sz="4" w:space="0" w:color="auto"/>
              <w:right w:val="single" w:sz="4" w:space="0" w:color="auto"/>
            </w:tcBorders>
            <w:shd w:val="clear" w:color="auto" w:fill="auto"/>
            <w:noWrap/>
            <w:hideMark/>
          </w:tcPr>
          <w:p w14:paraId="10FC023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xml:space="preserve">Social media engagement </w:t>
            </w:r>
          </w:p>
        </w:tc>
        <w:tc>
          <w:tcPr>
            <w:tcW w:w="915" w:type="dxa"/>
            <w:tcBorders>
              <w:top w:val="nil"/>
              <w:left w:val="nil"/>
              <w:bottom w:val="single" w:sz="4" w:space="0" w:color="auto"/>
              <w:right w:val="single" w:sz="4" w:space="0" w:color="auto"/>
            </w:tcBorders>
            <w:shd w:val="clear" w:color="auto" w:fill="auto"/>
            <w:noWrap/>
            <w:hideMark/>
          </w:tcPr>
          <w:p w14:paraId="2EEE0E5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.463***</w:t>
            </w:r>
          </w:p>
        </w:tc>
        <w:tc>
          <w:tcPr>
            <w:tcW w:w="742" w:type="dxa"/>
            <w:tcBorders>
              <w:top w:val="nil"/>
              <w:left w:val="nil"/>
              <w:bottom w:val="single" w:sz="4" w:space="0" w:color="auto"/>
              <w:right w:val="single" w:sz="4" w:space="0" w:color="auto"/>
            </w:tcBorders>
            <w:shd w:val="clear" w:color="auto" w:fill="auto"/>
            <w:noWrap/>
            <w:hideMark/>
          </w:tcPr>
          <w:p w14:paraId="7DA9CE7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0.203</w:t>
            </w:r>
          </w:p>
        </w:tc>
        <w:tc>
          <w:tcPr>
            <w:tcW w:w="915" w:type="dxa"/>
            <w:tcBorders>
              <w:top w:val="nil"/>
              <w:left w:val="nil"/>
              <w:bottom w:val="single" w:sz="4" w:space="0" w:color="auto"/>
              <w:right w:val="single" w:sz="4" w:space="0" w:color="auto"/>
            </w:tcBorders>
            <w:shd w:val="clear" w:color="auto" w:fill="auto"/>
            <w:noWrap/>
            <w:hideMark/>
          </w:tcPr>
          <w:p w14:paraId="76628C6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.180***</w:t>
            </w:r>
          </w:p>
        </w:tc>
      </w:tr>
      <w:tr w:rsidR="004F3A24" w:rsidRPr="004F3A24" w14:paraId="6190DB6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ED2BB3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565E29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40B25CA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599231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0.008</w:t>
            </w:r>
          </w:p>
        </w:tc>
        <w:tc>
          <w:tcPr>
            <w:tcW w:w="915" w:type="dxa"/>
            <w:tcBorders>
              <w:top w:val="nil"/>
              <w:left w:val="nil"/>
              <w:bottom w:val="nil"/>
              <w:right w:val="single" w:sz="4" w:space="0" w:color="auto"/>
            </w:tcBorders>
            <w:shd w:val="clear" w:color="auto" w:fill="auto"/>
            <w:noWrap/>
            <w:hideMark/>
          </w:tcPr>
          <w:p w14:paraId="2EE3506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2872BFC"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0D3E0A0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2012D7C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Normative influence</w:t>
            </w:r>
          </w:p>
        </w:tc>
        <w:tc>
          <w:tcPr>
            <w:tcW w:w="915" w:type="dxa"/>
            <w:tcBorders>
              <w:top w:val="nil"/>
              <w:left w:val="nil"/>
              <w:bottom w:val="single" w:sz="4" w:space="0" w:color="auto"/>
              <w:right w:val="single" w:sz="4" w:space="0" w:color="auto"/>
            </w:tcBorders>
            <w:shd w:val="clear" w:color="auto" w:fill="auto"/>
            <w:noWrap/>
            <w:hideMark/>
          </w:tcPr>
          <w:p w14:paraId="0DECBA1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.340***</w:t>
            </w:r>
          </w:p>
        </w:tc>
        <w:tc>
          <w:tcPr>
            <w:tcW w:w="742" w:type="dxa"/>
            <w:tcBorders>
              <w:top w:val="nil"/>
              <w:left w:val="nil"/>
              <w:bottom w:val="single" w:sz="4" w:space="0" w:color="auto"/>
              <w:right w:val="single" w:sz="4" w:space="0" w:color="auto"/>
            </w:tcBorders>
            <w:shd w:val="clear" w:color="auto" w:fill="auto"/>
            <w:noWrap/>
            <w:hideMark/>
          </w:tcPr>
          <w:p w14:paraId="4DAC0B8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0.108</w:t>
            </w:r>
          </w:p>
        </w:tc>
        <w:tc>
          <w:tcPr>
            <w:tcW w:w="915" w:type="dxa"/>
            <w:tcBorders>
              <w:top w:val="nil"/>
              <w:left w:val="nil"/>
              <w:bottom w:val="single" w:sz="4" w:space="0" w:color="auto"/>
              <w:right w:val="single" w:sz="4" w:space="0" w:color="auto"/>
            </w:tcBorders>
            <w:shd w:val="clear" w:color="auto" w:fill="auto"/>
            <w:noWrap/>
            <w:hideMark/>
          </w:tcPr>
          <w:p w14:paraId="5C43079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w:t>
            </w:r>
          </w:p>
        </w:tc>
      </w:tr>
      <w:tr w:rsidR="004F3A24" w:rsidRPr="004F3A24" w14:paraId="2B88C58F"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6AF2D4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967CDC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4E4D7FB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0E28789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0.008</w:t>
            </w:r>
          </w:p>
        </w:tc>
        <w:tc>
          <w:tcPr>
            <w:tcW w:w="915" w:type="dxa"/>
            <w:tcBorders>
              <w:top w:val="nil"/>
              <w:left w:val="nil"/>
              <w:bottom w:val="nil"/>
              <w:right w:val="single" w:sz="4" w:space="0" w:color="auto"/>
            </w:tcBorders>
            <w:shd w:val="clear" w:color="auto" w:fill="auto"/>
            <w:noWrap/>
            <w:hideMark/>
          </w:tcPr>
          <w:p w14:paraId="41A67FF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C850CA6"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390FBEB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2C143C1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Informative infulence</w:t>
            </w:r>
          </w:p>
        </w:tc>
        <w:tc>
          <w:tcPr>
            <w:tcW w:w="915" w:type="dxa"/>
            <w:tcBorders>
              <w:top w:val="nil"/>
              <w:left w:val="nil"/>
              <w:bottom w:val="single" w:sz="4" w:space="0" w:color="auto"/>
              <w:right w:val="single" w:sz="4" w:space="0" w:color="auto"/>
            </w:tcBorders>
            <w:shd w:val="clear" w:color="auto" w:fill="auto"/>
            <w:noWrap/>
            <w:hideMark/>
          </w:tcPr>
          <w:p w14:paraId="1F50F38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.408***</w:t>
            </w:r>
          </w:p>
        </w:tc>
        <w:tc>
          <w:tcPr>
            <w:tcW w:w="742" w:type="dxa"/>
            <w:tcBorders>
              <w:top w:val="nil"/>
              <w:left w:val="nil"/>
              <w:bottom w:val="single" w:sz="4" w:space="0" w:color="auto"/>
              <w:right w:val="single" w:sz="4" w:space="0" w:color="auto"/>
            </w:tcBorders>
            <w:shd w:val="clear" w:color="auto" w:fill="auto"/>
            <w:noWrap/>
            <w:hideMark/>
          </w:tcPr>
          <w:p w14:paraId="7F9B40F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0.158</w:t>
            </w:r>
          </w:p>
        </w:tc>
        <w:tc>
          <w:tcPr>
            <w:tcW w:w="915" w:type="dxa"/>
            <w:tcBorders>
              <w:top w:val="nil"/>
              <w:left w:val="nil"/>
              <w:bottom w:val="single" w:sz="4" w:space="0" w:color="auto"/>
              <w:right w:val="single" w:sz="4" w:space="0" w:color="auto"/>
            </w:tcBorders>
            <w:shd w:val="clear" w:color="auto" w:fill="auto"/>
            <w:noWrap/>
            <w:hideMark/>
          </w:tcPr>
          <w:p w14:paraId="0218CD3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.15***</w:t>
            </w:r>
          </w:p>
        </w:tc>
      </w:tr>
      <w:tr w:rsidR="004F3A24" w:rsidRPr="004F3A24" w14:paraId="057E0952"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742FE1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101ABBA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C9C964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4E3F1C7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0.092</w:t>
            </w:r>
          </w:p>
        </w:tc>
        <w:tc>
          <w:tcPr>
            <w:tcW w:w="915" w:type="dxa"/>
            <w:tcBorders>
              <w:top w:val="nil"/>
              <w:left w:val="nil"/>
              <w:bottom w:val="nil"/>
              <w:right w:val="single" w:sz="4" w:space="0" w:color="auto"/>
            </w:tcBorders>
            <w:shd w:val="clear" w:color="auto" w:fill="auto"/>
            <w:noWrap/>
            <w:hideMark/>
          </w:tcPr>
          <w:p w14:paraId="6634751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DB07DDB"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4F38473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Behavioural intention</w:t>
            </w:r>
          </w:p>
        </w:tc>
        <w:tc>
          <w:tcPr>
            <w:tcW w:w="2669" w:type="dxa"/>
            <w:tcBorders>
              <w:top w:val="nil"/>
              <w:left w:val="nil"/>
              <w:bottom w:val="single" w:sz="4" w:space="0" w:color="auto"/>
              <w:right w:val="single" w:sz="4" w:space="0" w:color="auto"/>
            </w:tcBorders>
            <w:shd w:val="clear" w:color="auto" w:fill="auto"/>
            <w:noWrap/>
            <w:hideMark/>
          </w:tcPr>
          <w:p w14:paraId="3D10B3D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915" w:type="dxa"/>
            <w:tcBorders>
              <w:top w:val="nil"/>
              <w:left w:val="nil"/>
              <w:bottom w:val="single" w:sz="4" w:space="0" w:color="auto"/>
              <w:right w:val="single" w:sz="4" w:space="0" w:color="auto"/>
            </w:tcBorders>
            <w:shd w:val="clear" w:color="auto" w:fill="auto"/>
            <w:noWrap/>
            <w:hideMark/>
          </w:tcPr>
          <w:p w14:paraId="44D0150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0.284***</w:t>
            </w:r>
          </w:p>
        </w:tc>
        <w:tc>
          <w:tcPr>
            <w:tcW w:w="742" w:type="dxa"/>
            <w:tcBorders>
              <w:top w:val="nil"/>
              <w:left w:val="nil"/>
              <w:bottom w:val="single" w:sz="4" w:space="0" w:color="auto"/>
              <w:right w:val="single" w:sz="4" w:space="0" w:color="auto"/>
            </w:tcBorders>
            <w:shd w:val="clear" w:color="auto" w:fill="auto"/>
            <w:noWrap/>
            <w:hideMark/>
          </w:tcPr>
          <w:p w14:paraId="7DC4544F"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0.208</w:t>
            </w:r>
          </w:p>
        </w:tc>
        <w:tc>
          <w:tcPr>
            <w:tcW w:w="915" w:type="dxa"/>
            <w:tcBorders>
              <w:top w:val="nil"/>
              <w:left w:val="nil"/>
              <w:bottom w:val="single" w:sz="4" w:space="0" w:color="auto"/>
              <w:right w:val="single" w:sz="4" w:space="0" w:color="auto"/>
            </w:tcBorders>
            <w:shd w:val="clear" w:color="auto" w:fill="auto"/>
            <w:noWrap/>
            <w:hideMark/>
          </w:tcPr>
          <w:p w14:paraId="6FE34A9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.116***</w:t>
            </w:r>
          </w:p>
        </w:tc>
      </w:tr>
      <w:tr w:rsidR="004F3A24" w:rsidRPr="004F3A24" w14:paraId="3782A9E3" w14:textId="77777777" w:rsidTr="0073436B">
        <w:trPr>
          <w:trHeight w:val="280"/>
        </w:trPr>
        <w:tc>
          <w:tcPr>
            <w:tcW w:w="2639" w:type="dxa"/>
            <w:tcBorders>
              <w:top w:val="nil"/>
              <w:left w:val="nil"/>
              <w:bottom w:val="nil"/>
              <w:right w:val="nil"/>
            </w:tcBorders>
            <w:shd w:val="clear" w:color="auto" w:fill="auto"/>
            <w:noWrap/>
            <w:hideMark/>
          </w:tcPr>
          <w:p w14:paraId="76D92B0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.001</w:t>
            </w:r>
          </w:p>
        </w:tc>
        <w:tc>
          <w:tcPr>
            <w:tcW w:w="5241" w:type="dxa"/>
            <w:gridSpan w:val="4"/>
            <w:vMerge w:val="restart"/>
            <w:tcBorders>
              <w:top w:val="single" w:sz="4" w:space="0" w:color="auto"/>
              <w:left w:val="nil"/>
              <w:bottom w:val="nil"/>
              <w:right w:val="nil"/>
            </w:tcBorders>
            <w:shd w:val="clear" w:color="auto" w:fill="auto"/>
            <w:vAlign w:val="bottom"/>
            <w:hideMark/>
          </w:tcPr>
          <w:p w14:paraId="045477C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The first of row every cell represents model 1with the control variables and the second row represents the model 2 with the independent variables from the model</w:t>
            </w:r>
          </w:p>
        </w:tc>
      </w:tr>
      <w:tr w:rsidR="004F3A24" w:rsidRPr="004F3A24" w14:paraId="0532D4C1" w14:textId="77777777" w:rsidTr="0073436B">
        <w:trPr>
          <w:trHeight w:val="280"/>
        </w:trPr>
        <w:tc>
          <w:tcPr>
            <w:tcW w:w="2639" w:type="dxa"/>
            <w:tcBorders>
              <w:top w:val="nil"/>
              <w:left w:val="nil"/>
              <w:bottom w:val="nil"/>
              <w:right w:val="nil"/>
            </w:tcBorders>
            <w:shd w:val="clear" w:color="auto" w:fill="auto"/>
            <w:noWrap/>
            <w:hideMark/>
          </w:tcPr>
          <w:p w14:paraId="2ABC389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.005</w:t>
            </w:r>
          </w:p>
        </w:tc>
        <w:tc>
          <w:tcPr>
            <w:tcW w:w="5241" w:type="dxa"/>
            <w:gridSpan w:val="4"/>
            <w:vMerge/>
            <w:tcBorders>
              <w:top w:val="nil"/>
              <w:left w:val="nil"/>
              <w:bottom w:val="nil"/>
              <w:right w:val="nil"/>
            </w:tcBorders>
            <w:vAlign w:val="center"/>
            <w:hideMark/>
          </w:tcPr>
          <w:p w14:paraId="11D3CB81" w14:textId="77777777" w:rsidR="0073436B" w:rsidRPr="004F3A24" w:rsidRDefault="0073436B" w:rsidP="0073436B">
            <w:pPr>
              <w:spacing w:after="0" w:line="240" w:lineRule="auto"/>
              <w:rPr>
                <w:rFonts w:ascii="Cambria" w:eastAsia="Times New Roman" w:hAnsi="Cambria" w:cs="Calibri"/>
                <w:lang w:eastAsia="en-GB"/>
              </w:rPr>
            </w:pPr>
          </w:p>
        </w:tc>
      </w:tr>
      <w:tr w:rsidR="004F3A24" w:rsidRPr="004F3A24" w14:paraId="4AF82C98" w14:textId="77777777" w:rsidTr="0073436B">
        <w:trPr>
          <w:trHeight w:val="280"/>
        </w:trPr>
        <w:tc>
          <w:tcPr>
            <w:tcW w:w="2639" w:type="dxa"/>
            <w:tcBorders>
              <w:top w:val="nil"/>
              <w:left w:val="nil"/>
              <w:bottom w:val="nil"/>
              <w:right w:val="nil"/>
            </w:tcBorders>
            <w:shd w:val="clear" w:color="auto" w:fill="auto"/>
            <w:noWrap/>
            <w:hideMark/>
          </w:tcPr>
          <w:p w14:paraId="0A18AF2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.05</w:t>
            </w:r>
          </w:p>
        </w:tc>
        <w:tc>
          <w:tcPr>
            <w:tcW w:w="5241" w:type="dxa"/>
            <w:gridSpan w:val="4"/>
            <w:vMerge/>
            <w:tcBorders>
              <w:top w:val="nil"/>
              <w:left w:val="nil"/>
              <w:bottom w:val="nil"/>
              <w:right w:val="nil"/>
            </w:tcBorders>
            <w:vAlign w:val="center"/>
            <w:hideMark/>
          </w:tcPr>
          <w:p w14:paraId="7003559C" w14:textId="77777777" w:rsidR="0073436B" w:rsidRPr="004F3A24" w:rsidRDefault="0073436B" w:rsidP="0073436B">
            <w:pPr>
              <w:spacing w:after="0" w:line="240" w:lineRule="auto"/>
              <w:rPr>
                <w:rFonts w:ascii="Cambria" w:eastAsia="Times New Roman" w:hAnsi="Cambria" w:cs="Calibri"/>
                <w:lang w:eastAsia="en-GB"/>
              </w:rPr>
            </w:pPr>
          </w:p>
        </w:tc>
      </w:tr>
      <w:tr w:rsidR="004F3A24" w:rsidRPr="004F3A24" w14:paraId="2A588E2A" w14:textId="77777777" w:rsidTr="0073436B">
        <w:trPr>
          <w:trHeight w:val="280"/>
        </w:trPr>
        <w:tc>
          <w:tcPr>
            <w:tcW w:w="2639" w:type="dxa"/>
            <w:tcBorders>
              <w:top w:val="nil"/>
              <w:left w:val="nil"/>
              <w:bottom w:val="nil"/>
              <w:right w:val="nil"/>
            </w:tcBorders>
            <w:shd w:val="clear" w:color="auto" w:fill="auto"/>
            <w:noWrap/>
            <w:hideMark/>
          </w:tcPr>
          <w:p w14:paraId="2DD3A4DA" w14:textId="77777777" w:rsidR="0073436B" w:rsidRPr="004F3A24" w:rsidRDefault="0073436B" w:rsidP="0073436B">
            <w:pPr>
              <w:spacing w:after="0" w:line="240" w:lineRule="auto"/>
              <w:rPr>
                <w:rFonts w:ascii="Cambria" w:eastAsia="Times New Roman" w:hAnsi="Cambria" w:cs="Calibri"/>
                <w:lang w:eastAsia="en-GB"/>
              </w:rPr>
            </w:pPr>
          </w:p>
        </w:tc>
        <w:tc>
          <w:tcPr>
            <w:tcW w:w="2669" w:type="dxa"/>
            <w:tcBorders>
              <w:top w:val="nil"/>
              <w:left w:val="nil"/>
              <w:bottom w:val="nil"/>
              <w:right w:val="nil"/>
            </w:tcBorders>
            <w:shd w:val="clear" w:color="auto" w:fill="auto"/>
            <w:noWrap/>
            <w:hideMark/>
          </w:tcPr>
          <w:p w14:paraId="2B680CAC"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c>
          <w:tcPr>
            <w:tcW w:w="915" w:type="dxa"/>
            <w:tcBorders>
              <w:top w:val="nil"/>
              <w:left w:val="nil"/>
              <w:bottom w:val="nil"/>
              <w:right w:val="nil"/>
            </w:tcBorders>
            <w:shd w:val="clear" w:color="auto" w:fill="auto"/>
            <w:noWrap/>
            <w:hideMark/>
          </w:tcPr>
          <w:p w14:paraId="51BAF548"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c>
          <w:tcPr>
            <w:tcW w:w="742" w:type="dxa"/>
            <w:tcBorders>
              <w:top w:val="nil"/>
              <w:left w:val="nil"/>
              <w:bottom w:val="nil"/>
              <w:right w:val="nil"/>
            </w:tcBorders>
            <w:shd w:val="clear" w:color="auto" w:fill="auto"/>
            <w:noWrap/>
            <w:hideMark/>
          </w:tcPr>
          <w:p w14:paraId="0C6099FC"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c>
          <w:tcPr>
            <w:tcW w:w="915" w:type="dxa"/>
            <w:tcBorders>
              <w:top w:val="nil"/>
              <w:left w:val="nil"/>
              <w:bottom w:val="nil"/>
              <w:right w:val="nil"/>
            </w:tcBorders>
            <w:shd w:val="clear" w:color="auto" w:fill="auto"/>
            <w:noWrap/>
            <w:hideMark/>
          </w:tcPr>
          <w:p w14:paraId="71000F51"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r>
      <w:tr w:rsidR="004F3A24" w:rsidRPr="004F3A24" w14:paraId="56A7B061" w14:textId="77777777" w:rsidTr="0073436B">
        <w:trPr>
          <w:trHeight w:val="280"/>
        </w:trPr>
        <w:tc>
          <w:tcPr>
            <w:tcW w:w="7880"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2529EED" w14:textId="77777777" w:rsidR="0073436B" w:rsidRPr="004F3A24" w:rsidRDefault="0073436B" w:rsidP="0073436B">
            <w:pPr>
              <w:spacing w:after="0" w:line="240" w:lineRule="auto"/>
              <w:jc w:val="center"/>
              <w:rPr>
                <w:rFonts w:ascii="Cambria" w:eastAsia="Times New Roman" w:hAnsi="Cambria" w:cs="Calibri"/>
                <w:b/>
                <w:lang w:eastAsia="en-GB"/>
              </w:rPr>
            </w:pPr>
            <w:r w:rsidRPr="004F3A24">
              <w:rPr>
                <w:rFonts w:ascii="Cambria" w:eastAsia="Times New Roman" w:hAnsi="Cambria" w:cs="Calibri"/>
                <w:b/>
                <w:lang w:eastAsia="en-GB"/>
              </w:rPr>
              <w:t>April sample of 121</w:t>
            </w:r>
          </w:p>
        </w:tc>
      </w:tr>
      <w:tr w:rsidR="004F3A24" w:rsidRPr="004F3A24" w14:paraId="2D7B9EDA" w14:textId="77777777" w:rsidTr="0073436B">
        <w:trPr>
          <w:trHeight w:val="280"/>
        </w:trPr>
        <w:tc>
          <w:tcPr>
            <w:tcW w:w="788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A26619C" w14:textId="77777777" w:rsidR="0073436B" w:rsidRPr="004F3A24" w:rsidRDefault="0073436B" w:rsidP="0073436B">
            <w:pPr>
              <w:spacing w:after="0" w:line="240" w:lineRule="auto"/>
              <w:jc w:val="center"/>
              <w:rPr>
                <w:rFonts w:ascii="Cambria" w:eastAsia="Times New Roman" w:hAnsi="Cambria" w:cs="Calibri"/>
                <w:b/>
                <w:lang w:eastAsia="en-GB"/>
              </w:rPr>
            </w:pPr>
            <w:r w:rsidRPr="004F3A24">
              <w:rPr>
                <w:rFonts w:ascii="Cambria" w:eastAsia="Times New Roman" w:hAnsi="Cambria" w:cs="Calibri"/>
                <w:b/>
                <w:lang w:eastAsia="en-GB"/>
              </w:rPr>
              <w:t xml:space="preserve">results of regression analysis by controlling variables - age gender and education </w:t>
            </w:r>
          </w:p>
        </w:tc>
      </w:tr>
      <w:tr w:rsidR="004F3A24" w:rsidRPr="004F3A24" w14:paraId="5931D589" w14:textId="77777777" w:rsidTr="0073436B">
        <w:trPr>
          <w:trHeight w:val="320"/>
        </w:trPr>
        <w:tc>
          <w:tcPr>
            <w:tcW w:w="2639" w:type="dxa"/>
            <w:tcBorders>
              <w:top w:val="nil"/>
              <w:left w:val="single" w:sz="4" w:space="0" w:color="auto"/>
              <w:bottom w:val="single" w:sz="4" w:space="0" w:color="auto"/>
              <w:right w:val="single" w:sz="4" w:space="0" w:color="auto"/>
            </w:tcBorders>
            <w:shd w:val="clear" w:color="auto" w:fill="auto"/>
            <w:hideMark/>
          </w:tcPr>
          <w:p w14:paraId="7A89CA5D"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 xml:space="preserve">Dependent variable </w:t>
            </w:r>
          </w:p>
        </w:tc>
        <w:tc>
          <w:tcPr>
            <w:tcW w:w="2669" w:type="dxa"/>
            <w:tcBorders>
              <w:top w:val="nil"/>
              <w:left w:val="nil"/>
              <w:bottom w:val="single" w:sz="4" w:space="0" w:color="auto"/>
              <w:right w:val="single" w:sz="4" w:space="0" w:color="auto"/>
            </w:tcBorders>
            <w:shd w:val="clear" w:color="auto" w:fill="auto"/>
            <w:hideMark/>
          </w:tcPr>
          <w:p w14:paraId="13254255"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 xml:space="preserve">Independent variable </w:t>
            </w:r>
          </w:p>
        </w:tc>
        <w:tc>
          <w:tcPr>
            <w:tcW w:w="915" w:type="dxa"/>
            <w:tcBorders>
              <w:top w:val="nil"/>
              <w:left w:val="nil"/>
              <w:bottom w:val="single" w:sz="4" w:space="0" w:color="auto"/>
              <w:right w:val="single" w:sz="4" w:space="0" w:color="auto"/>
            </w:tcBorders>
            <w:shd w:val="clear" w:color="auto" w:fill="auto"/>
            <w:noWrap/>
            <w:hideMark/>
          </w:tcPr>
          <w:p w14:paraId="176E63C4" w14:textId="77777777" w:rsidR="0073436B" w:rsidRPr="004F3A24" w:rsidRDefault="0073436B" w:rsidP="0073436B">
            <w:pPr>
              <w:spacing w:after="0" w:line="240" w:lineRule="auto"/>
              <w:rPr>
                <w:rFonts w:ascii="Calibri" w:eastAsia="Times New Roman" w:hAnsi="Calibri" w:cs="Calibri"/>
                <w:b/>
                <w:lang w:eastAsia="en-GB"/>
              </w:rPr>
            </w:pPr>
            <w:r w:rsidRPr="004F3A24">
              <w:rPr>
                <w:rFonts w:ascii="Calibri" w:eastAsia="Times New Roman" w:hAnsi="Calibri" w:cs="Calibri"/>
                <w:b/>
                <w:lang w:eastAsia="en-GB"/>
              </w:rPr>
              <w:t>β</w:t>
            </w:r>
          </w:p>
        </w:tc>
        <w:tc>
          <w:tcPr>
            <w:tcW w:w="742" w:type="dxa"/>
            <w:tcBorders>
              <w:top w:val="nil"/>
              <w:left w:val="nil"/>
              <w:bottom w:val="single" w:sz="4" w:space="0" w:color="auto"/>
              <w:right w:val="single" w:sz="4" w:space="0" w:color="auto"/>
            </w:tcBorders>
            <w:shd w:val="clear" w:color="auto" w:fill="auto"/>
            <w:noWrap/>
            <w:hideMark/>
          </w:tcPr>
          <w:p w14:paraId="00F6021E"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R</w:t>
            </w:r>
            <w:r w:rsidRPr="004F3A24">
              <w:rPr>
                <w:rFonts w:ascii="Cambria" w:eastAsia="Times New Roman" w:hAnsi="Cambria" w:cs="Calibri"/>
                <w:b/>
                <w:vertAlign w:val="superscript"/>
                <w:lang w:eastAsia="en-GB"/>
              </w:rPr>
              <w:t>2</w:t>
            </w:r>
          </w:p>
        </w:tc>
        <w:tc>
          <w:tcPr>
            <w:tcW w:w="915" w:type="dxa"/>
            <w:tcBorders>
              <w:top w:val="nil"/>
              <w:left w:val="nil"/>
              <w:bottom w:val="single" w:sz="4" w:space="0" w:color="auto"/>
              <w:right w:val="single" w:sz="4" w:space="0" w:color="auto"/>
            </w:tcBorders>
            <w:shd w:val="clear" w:color="auto" w:fill="auto"/>
            <w:noWrap/>
            <w:hideMark/>
          </w:tcPr>
          <w:p w14:paraId="78BBD6F1" w14:textId="77777777" w:rsidR="0073436B" w:rsidRPr="004F3A24" w:rsidRDefault="0073436B" w:rsidP="0073436B">
            <w:pPr>
              <w:spacing w:after="0" w:line="240" w:lineRule="auto"/>
              <w:rPr>
                <w:rFonts w:ascii="Cambria" w:eastAsia="Times New Roman" w:hAnsi="Cambria" w:cs="Calibri"/>
                <w:b/>
                <w:lang w:eastAsia="en-GB"/>
              </w:rPr>
            </w:pPr>
            <w:r w:rsidRPr="004F3A24">
              <w:rPr>
                <w:rFonts w:ascii="Cambria" w:eastAsia="Times New Roman" w:hAnsi="Cambria" w:cs="Calibri"/>
                <w:b/>
                <w:lang w:eastAsia="en-GB"/>
              </w:rPr>
              <w:t>ΔR</w:t>
            </w:r>
            <w:r w:rsidRPr="004F3A24">
              <w:rPr>
                <w:rFonts w:ascii="Cambria" w:eastAsia="Times New Roman" w:hAnsi="Cambria" w:cs="Calibri"/>
                <w:b/>
                <w:vertAlign w:val="superscript"/>
                <w:lang w:eastAsia="en-GB"/>
              </w:rPr>
              <w:t>2</w:t>
            </w:r>
          </w:p>
        </w:tc>
      </w:tr>
      <w:tr w:rsidR="004F3A24" w:rsidRPr="004F3A24" w14:paraId="0153009C"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7D9C30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81CEB9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788600B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47D5C9D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0.029</w:t>
            </w:r>
          </w:p>
        </w:tc>
        <w:tc>
          <w:tcPr>
            <w:tcW w:w="915" w:type="dxa"/>
            <w:tcBorders>
              <w:top w:val="nil"/>
              <w:left w:val="nil"/>
              <w:bottom w:val="nil"/>
              <w:right w:val="single" w:sz="4" w:space="0" w:color="auto"/>
            </w:tcBorders>
            <w:shd w:val="clear" w:color="auto" w:fill="auto"/>
            <w:noWrap/>
            <w:hideMark/>
          </w:tcPr>
          <w:p w14:paraId="6FAE006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46D157C"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84B1E5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2669" w:type="dxa"/>
            <w:tcBorders>
              <w:top w:val="nil"/>
              <w:left w:val="nil"/>
              <w:bottom w:val="single" w:sz="4" w:space="0" w:color="auto"/>
              <w:right w:val="single" w:sz="4" w:space="0" w:color="auto"/>
            </w:tcBorders>
            <w:shd w:val="clear" w:color="auto" w:fill="auto"/>
            <w:noWrap/>
            <w:hideMark/>
          </w:tcPr>
          <w:p w14:paraId="24D7B5E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0269B94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.688***</w:t>
            </w:r>
          </w:p>
        </w:tc>
        <w:tc>
          <w:tcPr>
            <w:tcW w:w="742" w:type="dxa"/>
            <w:tcBorders>
              <w:top w:val="nil"/>
              <w:left w:val="nil"/>
              <w:bottom w:val="single" w:sz="4" w:space="0" w:color="auto"/>
              <w:right w:val="single" w:sz="4" w:space="0" w:color="auto"/>
            </w:tcBorders>
            <w:shd w:val="clear" w:color="auto" w:fill="auto"/>
            <w:noWrap/>
            <w:hideMark/>
          </w:tcPr>
          <w:p w14:paraId="2CF6B822"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0.367</w:t>
            </w:r>
          </w:p>
        </w:tc>
        <w:tc>
          <w:tcPr>
            <w:tcW w:w="915" w:type="dxa"/>
            <w:tcBorders>
              <w:top w:val="nil"/>
              <w:left w:val="nil"/>
              <w:bottom w:val="single" w:sz="4" w:space="0" w:color="auto"/>
              <w:right w:val="single" w:sz="4" w:space="0" w:color="auto"/>
            </w:tcBorders>
            <w:shd w:val="clear" w:color="auto" w:fill="auto"/>
            <w:noWrap/>
            <w:hideMark/>
          </w:tcPr>
          <w:p w14:paraId="1002BF2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.338***</w:t>
            </w:r>
          </w:p>
        </w:tc>
      </w:tr>
      <w:tr w:rsidR="004F3A24" w:rsidRPr="004F3A24" w14:paraId="77F7C5F6"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7DE24B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033653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EBD9AB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7AE4FB6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0.013</w:t>
            </w:r>
          </w:p>
        </w:tc>
        <w:tc>
          <w:tcPr>
            <w:tcW w:w="915" w:type="dxa"/>
            <w:tcBorders>
              <w:top w:val="nil"/>
              <w:left w:val="nil"/>
              <w:bottom w:val="nil"/>
              <w:right w:val="single" w:sz="4" w:space="0" w:color="auto"/>
            </w:tcBorders>
            <w:shd w:val="clear" w:color="auto" w:fill="auto"/>
            <w:noWrap/>
            <w:hideMark/>
          </w:tcPr>
          <w:p w14:paraId="3D8D7CC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33D1931"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772640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2669" w:type="dxa"/>
            <w:tcBorders>
              <w:top w:val="nil"/>
              <w:left w:val="nil"/>
              <w:bottom w:val="single" w:sz="4" w:space="0" w:color="auto"/>
              <w:right w:val="single" w:sz="4" w:space="0" w:color="auto"/>
            </w:tcBorders>
            <w:shd w:val="clear" w:color="auto" w:fill="auto"/>
            <w:noWrap/>
            <w:hideMark/>
          </w:tcPr>
          <w:p w14:paraId="7A735B1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367A94B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.183*</w:t>
            </w:r>
          </w:p>
        </w:tc>
        <w:tc>
          <w:tcPr>
            <w:tcW w:w="742" w:type="dxa"/>
            <w:tcBorders>
              <w:top w:val="nil"/>
              <w:left w:val="nil"/>
              <w:bottom w:val="single" w:sz="4" w:space="0" w:color="auto"/>
              <w:right w:val="single" w:sz="4" w:space="0" w:color="auto"/>
            </w:tcBorders>
            <w:shd w:val="clear" w:color="auto" w:fill="auto"/>
            <w:noWrap/>
            <w:hideMark/>
          </w:tcPr>
          <w:p w14:paraId="17A8FB9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0.061</w:t>
            </w:r>
          </w:p>
        </w:tc>
        <w:tc>
          <w:tcPr>
            <w:tcW w:w="915" w:type="dxa"/>
            <w:tcBorders>
              <w:top w:val="nil"/>
              <w:left w:val="nil"/>
              <w:bottom w:val="single" w:sz="4" w:space="0" w:color="auto"/>
              <w:right w:val="single" w:sz="4" w:space="0" w:color="auto"/>
            </w:tcBorders>
            <w:shd w:val="clear" w:color="auto" w:fill="auto"/>
            <w:noWrap/>
            <w:hideMark/>
          </w:tcPr>
          <w:p w14:paraId="48C89D0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.048*</w:t>
            </w:r>
          </w:p>
        </w:tc>
      </w:tr>
      <w:tr w:rsidR="004F3A24" w:rsidRPr="004F3A24" w14:paraId="0C6ADF02"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9FC4C1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F00A9D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277F49A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59399B9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0.008</w:t>
            </w:r>
          </w:p>
        </w:tc>
        <w:tc>
          <w:tcPr>
            <w:tcW w:w="915" w:type="dxa"/>
            <w:tcBorders>
              <w:top w:val="nil"/>
              <w:left w:val="nil"/>
              <w:bottom w:val="nil"/>
              <w:right w:val="single" w:sz="4" w:space="0" w:color="auto"/>
            </w:tcBorders>
            <w:shd w:val="clear" w:color="auto" w:fill="auto"/>
            <w:noWrap/>
            <w:hideMark/>
          </w:tcPr>
          <w:p w14:paraId="1213608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A47B57E"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AF9F98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2669" w:type="dxa"/>
            <w:tcBorders>
              <w:top w:val="nil"/>
              <w:left w:val="nil"/>
              <w:bottom w:val="single" w:sz="4" w:space="0" w:color="auto"/>
              <w:right w:val="single" w:sz="4" w:space="0" w:color="auto"/>
            </w:tcBorders>
            <w:shd w:val="clear" w:color="auto" w:fill="auto"/>
            <w:noWrap/>
            <w:hideMark/>
          </w:tcPr>
          <w:p w14:paraId="62E6E43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4ECF18E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.542***</w:t>
            </w:r>
          </w:p>
        </w:tc>
        <w:tc>
          <w:tcPr>
            <w:tcW w:w="742" w:type="dxa"/>
            <w:tcBorders>
              <w:top w:val="nil"/>
              <w:left w:val="nil"/>
              <w:bottom w:val="single" w:sz="4" w:space="0" w:color="auto"/>
              <w:right w:val="single" w:sz="4" w:space="0" w:color="auto"/>
            </w:tcBorders>
            <w:shd w:val="clear" w:color="auto" w:fill="auto"/>
            <w:noWrap/>
            <w:hideMark/>
          </w:tcPr>
          <w:p w14:paraId="79FA615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0.263</w:t>
            </w:r>
          </w:p>
        </w:tc>
        <w:tc>
          <w:tcPr>
            <w:tcW w:w="915" w:type="dxa"/>
            <w:tcBorders>
              <w:top w:val="nil"/>
              <w:left w:val="nil"/>
              <w:bottom w:val="single" w:sz="4" w:space="0" w:color="auto"/>
              <w:right w:val="single" w:sz="4" w:space="0" w:color="auto"/>
            </w:tcBorders>
            <w:shd w:val="clear" w:color="auto" w:fill="auto"/>
            <w:noWrap/>
            <w:hideMark/>
          </w:tcPr>
          <w:p w14:paraId="1574BB7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.255***</w:t>
            </w:r>
          </w:p>
        </w:tc>
      </w:tr>
      <w:tr w:rsidR="004F3A24" w:rsidRPr="004F3A24" w14:paraId="7C6588C5"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C0A7BA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936066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589FECA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0A461FE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0.009</w:t>
            </w:r>
          </w:p>
        </w:tc>
        <w:tc>
          <w:tcPr>
            <w:tcW w:w="915" w:type="dxa"/>
            <w:tcBorders>
              <w:top w:val="nil"/>
              <w:left w:val="nil"/>
              <w:bottom w:val="nil"/>
              <w:right w:val="single" w:sz="4" w:space="0" w:color="auto"/>
            </w:tcBorders>
            <w:shd w:val="clear" w:color="auto" w:fill="auto"/>
            <w:noWrap/>
            <w:hideMark/>
          </w:tcPr>
          <w:p w14:paraId="3F42AFF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2DAEFC3"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5E3CD8F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2669" w:type="dxa"/>
            <w:tcBorders>
              <w:top w:val="nil"/>
              <w:left w:val="nil"/>
              <w:bottom w:val="single" w:sz="4" w:space="0" w:color="auto"/>
              <w:right w:val="single" w:sz="4" w:space="0" w:color="auto"/>
            </w:tcBorders>
            <w:shd w:val="clear" w:color="auto" w:fill="auto"/>
            <w:noWrap/>
            <w:hideMark/>
          </w:tcPr>
          <w:p w14:paraId="5F5B544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Involvement</w:t>
            </w:r>
          </w:p>
        </w:tc>
        <w:tc>
          <w:tcPr>
            <w:tcW w:w="915" w:type="dxa"/>
            <w:tcBorders>
              <w:top w:val="nil"/>
              <w:left w:val="nil"/>
              <w:bottom w:val="single" w:sz="4" w:space="0" w:color="auto"/>
              <w:right w:val="single" w:sz="4" w:space="0" w:color="auto"/>
            </w:tcBorders>
            <w:shd w:val="clear" w:color="auto" w:fill="auto"/>
            <w:noWrap/>
            <w:hideMark/>
          </w:tcPr>
          <w:p w14:paraId="4DBC8FD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.552***</w:t>
            </w:r>
          </w:p>
        </w:tc>
        <w:tc>
          <w:tcPr>
            <w:tcW w:w="742" w:type="dxa"/>
            <w:tcBorders>
              <w:top w:val="nil"/>
              <w:left w:val="nil"/>
              <w:bottom w:val="single" w:sz="4" w:space="0" w:color="auto"/>
              <w:right w:val="single" w:sz="4" w:space="0" w:color="auto"/>
            </w:tcBorders>
            <w:shd w:val="clear" w:color="auto" w:fill="auto"/>
            <w:noWrap/>
            <w:hideMark/>
          </w:tcPr>
          <w:p w14:paraId="55E619F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0.223</w:t>
            </w:r>
          </w:p>
        </w:tc>
        <w:tc>
          <w:tcPr>
            <w:tcW w:w="915" w:type="dxa"/>
            <w:tcBorders>
              <w:top w:val="nil"/>
              <w:left w:val="nil"/>
              <w:bottom w:val="single" w:sz="4" w:space="0" w:color="auto"/>
              <w:right w:val="single" w:sz="4" w:space="0" w:color="auto"/>
            </w:tcBorders>
            <w:shd w:val="clear" w:color="auto" w:fill="auto"/>
            <w:noWrap/>
            <w:hideMark/>
          </w:tcPr>
          <w:p w14:paraId="777F1F2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.214***</w:t>
            </w:r>
          </w:p>
        </w:tc>
      </w:tr>
      <w:tr w:rsidR="004F3A24" w:rsidRPr="004F3A24" w14:paraId="3D0A4D9C"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42CE88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9E150F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3EC105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723B8FB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0.001</w:t>
            </w:r>
          </w:p>
        </w:tc>
        <w:tc>
          <w:tcPr>
            <w:tcW w:w="915" w:type="dxa"/>
            <w:tcBorders>
              <w:top w:val="nil"/>
              <w:left w:val="nil"/>
              <w:bottom w:val="nil"/>
              <w:right w:val="single" w:sz="4" w:space="0" w:color="auto"/>
            </w:tcBorders>
            <w:shd w:val="clear" w:color="auto" w:fill="auto"/>
            <w:noWrap/>
            <w:hideMark/>
          </w:tcPr>
          <w:p w14:paraId="7204CBC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409645C" w14:textId="77777777" w:rsidTr="0073436B">
        <w:trPr>
          <w:trHeight w:val="280"/>
        </w:trPr>
        <w:tc>
          <w:tcPr>
            <w:tcW w:w="2639" w:type="dxa"/>
            <w:vMerge w:val="restart"/>
            <w:tcBorders>
              <w:top w:val="nil"/>
              <w:left w:val="single" w:sz="4" w:space="0" w:color="auto"/>
              <w:bottom w:val="nil"/>
              <w:right w:val="single" w:sz="4" w:space="0" w:color="auto"/>
            </w:tcBorders>
            <w:shd w:val="clear" w:color="auto" w:fill="auto"/>
            <w:hideMark/>
          </w:tcPr>
          <w:p w14:paraId="4F503C0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social media engagement</w:t>
            </w:r>
          </w:p>
        </w:tc>
        <w:tc>
          <w:tcPr>
            <w:tcW w:w="2669" w:type="dxa"/>
            <w:tcBorders>
              <w:top w:val="nil"/>
              <w:left w:val="nil"/>
              <w:bottom w:val="nil"/>
              <w:right w:val="single" w:sz="4" w:space="0" w:color="auto"/>
            </w:tcBorders>
            <w:shd w:val="clear" w:color="auto" w:fill="auto"/>
            <w:noWrap/>
            <w:hideMark/>
          </w:tcPr>
          <w:p w14:paraId="541CAB8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6AECDD4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0.117</w:t>
            </w:r>
          </w:p>
        </w:tc>
        <w:tc>
          <w:tcPr>
            <w:tcW w:w="742" w:type="dxa"/>
            <w:tcBorders>
              <w:top w:val="nil"/>
              <w:left w:val="nil"/>
              <w:bottom w:val="nil"/>
              <w:right w:val="single" w:sz="4" w:space="0" w:color="auto"/>
            </w:tcBorders>
            <w:shd w:val="clear" w:color="auto" w:fill="auto"/>
            <w:noWrap/>
            <w:hideMark/>
          </w:tcPr>
          <w:p w14:paraId="1BF14C4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0.324</w:t>
            </w:r>
          </w:p>
        </w:tc>
        <w:tc>
          <w:tcPr>
            <w:tcW w:w="915" w:type="dxa"/>
            <w:tcBorders>
              <w:top w:val="nil"/>
              <w:left w:val="nil"/>
              <w:bottom w:val="nil"/>
              <w:right w:val="single" w:sz="4" w:space="0" w:color="auto"/>
            </w:tcBorders>
            <w:shd w:val="clear" w:color="auto" w:fill="auto"/>
            <w:noWrap/>
            <w:hideMark/>
          </w:tcPr>
          <w:p w14:paraId="1307F9D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.323***</w:t>
            </w:r>
          </w:p>
        </w:tc>
      </w:tr>
      <w:tr w:rsidR="004F3A24" w:rsidRPr="004F3A24" w14:paraId="5A8CDE4C" w14:textId="77777777" w:rsidTr="0073436B">
        <w:trPr>
          <w:trHeight w:val="280"/>
        </w:trPr>
        <w:tc>
          <w:tcPr>
            <w:tcW w:w="2639" w:type="dxa"/>
            <w:vMerge/>
            <w:tcBorders>
              <w:top w:val="nil"/>
              <w:left w:val="single" w:sz="4" w:space="0" w:color="auto"/>
              <w:bottom w:val="nil"/>
              <w:right w:val="single" w:sz="4" w:space="0" w:color="auto"/>
            </w:tcBorders>
            <w:vAlign w:val="center"/>
            <w:hideMark/>
          </w:tcPr>
          <w:p w14:paraId="675BE56D" w14:textId="77777777" w:rsidR="0073436B" w:rsidRPr="004F3A24" w:rsidRDefault="0073436B" w:rsidP="0073436B">
            <w:pPr>
              <w:spacing w:after="0" w:line="240" w:lineRule="auto"/>
              <w:rPr>
                <w:rFonts w:ascii="Cambria" w:eastAsia="Times New Roman" w:hAnsi="Cambria" w:cs="Calibri"/>
                <w:lang w:eastAsia="en-GB"/>
              </w:rPr>
            </w:pPr>
          </w:p>
        </w:tc>
        <w:tc>
          <w:tcPr>
            <w:tcW w:w="2669" w:type="dxa"/>
            <w:tcBorders>
              <w:top w:val="nil"/>
              <w:left w:val="nil"/>
              <w:bottom w:val="nil"/>
              <w:right w:val="single" w:sz="4" w:space="0" w:color="auto"/>
            </w:tcBorders>
            <w:shd w:val="clear" w:color="auto" w:fill="auto"/>
            <w:noWrap/>
            <w:hideMark/>
          </w:tcPr>
          <w:p w14:paraId="4B7D75C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271CB581"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-0.022</w:t>
            </w:r>
          </w:p>
        </w:tc>
        <w:tc>
          <w:tcPr>
            <w:tcW w:w="742" w:type="dxa"/>
            <w:tcBorders>
              <w:top w:val="nil"/>
              <w:left w:val="nil"/>
              <w:bottom w:val="nil"/>
              <w:right w:val="single" w:sz="4" w:space="0" w:color="auto"/>
            </w:tcBorders>
            <w:shd w:val="clear" w:color="auto" w:fill="auto"/>
            <w:noWrap/>
            <w:hideMark/>
          </w:tcPr>
          <w:p w14:paraId="136BD7A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2B3CE79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4C443F86"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938F90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9B65F3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746F29A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0.46***</w:t>
            </w:r>
          </w:p>
        </w:tc>
        <w:tc>
          <w:tcPr>
            <w:tcW w:w="742" w:type="dxa"/>
            <w:tcBorders>
              <w:top w:val="nil"/>
              <w:left w:val="nil"/>
              <w:bottom w:val="nil"/>
              <w:right w:val="single" w:sz="4" w:space="0" w:color="auto"/>
            </w:tcBorders>
            <w:shd w:val="clear" w:color="auto" w:fill="auto"/>
            <w:noWrap/>
            <w:hideMark/>
          </w:tcPr>
          <w:p w14:paraId="679EBF3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501B8ED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0979E59"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7145DAF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1FEDDCB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03385D8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0.023</w:t>
            </w:r>
          </w:p>
        </w:tc>
        <w:tc>
          <w:tcPr>
            <w:tcW w:w="742" w:type="dxa"/>
            <w:tcBorders>
              <w:top w:val="nil"/>
              <w:left w:val="nil"/>
              <w:bottom w:val="single" w:sz="4" w:space="0" w:color="auto"/>
              <w:right w:val="single" w:sz="4" w:space="0" w:color="auto"/>
            </w:tcBorders>
            <w:shd w:val="clear" w:color="auto" w:fill="auto"/>
            <w:noWrap/>
            <w:hideMark/>
          </w:tcPr>
          <w:p w14:paraId="2468B4C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5FEADFC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B737FD7"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3A299F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FFA810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783609D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4C2484C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w:t>
            </w:r>
          </w:p>
        </w:tc>
        <w:tc>
          <w:tcPr>
            <w:tcW w:w="915" w:type="dxa"/>
            <w:tcBorders>
              <w:top w:val="nil"/>
              <w:left w:val="nil"/>
              <w:bottom w:val="nil"/>
              <w:right w:val="single" w:sz="4" w:space="0" w:color="auto"/>
            </w:tcBorders>
            <w:shd w:val="clear" w:color="auto" w:fill="auto"/>
            <w:noWrap/>
            <w:hideMark/>
          </w:tcPr>
          <w:p w14:paraId="3007848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B88ABD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8FC245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Pleasure</w:t>
            </w:r>
          </w:p>
        </w:tc>
        <w:tc>
          <w:tcPr>
            <w:tcW w:w="2669" w:type="dxa"/>
            <w:tcBorders>
              <w:top w:val="nil"/>
              <w:left w:val="nil"/>
              <w:bottom w:val="nil"/>
              <w:right w:val="single" w:sz="4" w:space="0" w:color="auto"/>
            </w:tcBorders>
            <w:shd w:val="clear" w:color="auto" w:fill="auto"/>
            <w:noWrap/>
            <w:hideMark/>
          </w:tcPr>
          <w:p w14:paraId="4C09D64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306EF52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0.288***</w:t>
            </w:r>
          </w:p>
        </w:tc>
        <w:tc>
          <w:tcPr>
            <w:tcW w:w="742" w:type="dxa"/>
            <w:tcBorders>
              <w:top w:val="nil"/>
              <w:left w:val="nil"/>
              <w:bottom w:val="nil"/>
              <w:right w:val="single" w:sz="4" w:space="0" w:color="auto"/>
            </w:tcBorders>
            <w:shd w:val="clear" w:color="auto" w:fill="auto"/>
            <w:noWrap/>
            <w:hideMark/>
          </w:tcPr>
          <w:p w14:paraId="2BBFC75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0.488</w:t>
            </w:r>
          </w:p>
        </w:tc>
        <w:tc>
          <w:tcPr>
            <w:tcW w:w="915" w:type="dxa"/>
            <w:tcBorders>
              <w:top w:val="nil"/>
              <w:left w:val="nil"/>
              <w:bottom w:val="nil"/>
              <w:right w:val="single" w:sz="4" w:space="0" w:color="auto"/>
            </w:tcBorders>
            <w:shd w:val="clear" w:color="auto" w:fill="auto"/>
            <w:noWrap/>
            <w:hideMark/>
          </w:tcPr>
          <w:p w14:paraId="774E225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.467***</w:t>
            </w:r>
          </w:p>
        </w:tc>
      </w:tr>
      <w:tr w:rsidR="004F3A24" w:rsidRPr="004F3A24" w14:paraId="74AD4BE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534319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E5F3E5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76E6F98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-0.067</w:t>
            </w:r>
          </w:p>
        </w:tc>
        <w:tc>
          <w:tcPr>
            <w:tcW w:w="742" w:type="dxa"/>
            <w:tcBorders>
              <w:top w:val="nil"/>
              <w:left w:val="nil"/>
              <w:bottom w:val="nil"/>
              <w:right w:val="single" w:sz="4" w:space="0" w:color="auto"/>
            </w:tcBorders>
            <w:shd w:val="clear" w:color="auto" w:fill="auto"/>
            <w:noWrap/>
            <w:hideMark/>
          </w:tcPr>
          <w:p w14:paraId="15FE8D4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617F88B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5040A72"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3745617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7BB9D56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233C6D7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0.13</w:t>
            </w:r>
          </w:p>
        </w:tc>
        <w:tc>
          <w:tcPr>
            <w:tcW w:w="742" w:type="dxa"/>
            <w:tcBorders>
              <w:top w:val="nil"/>
              <w:left w:val="nil"/>
              <w:bottom w:val="nil"/>
              <w:right w:val="single" w:sz="4" w:space="0" w:color="auto"/>
            </w:tcBorders>
            <w:shd w:val="clear" w:color="auto" w:fill="auto"/>
            <w:noWrap/>
            <w:hideMark/>
          </w:tcPr>
          <w:p w14:paraId="6041408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42557F5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2D9E159"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711945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287416F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08A28B6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0.243**</w:t>
            </w:r>
          </w:p>
        </w:tc>
        <w:tc>
          <w:tcPr>
            <w:tcW w:w="742" w:type="dxa"/>
            <w:tcBorders>
              <w:top w:val="nil"/>
              <w:left w:val="nil"/>
              <w:bottom w:val="single" w:sz="4" w:space="0" w:color="auto"/>
              <w:right w:val="single" w:sz="4" w:space="0" w:color="auto"/>
            </w:tcBorders>
            <w:shd w:val="clear" w:color="auto" w:fill="auto"/>
            <w:noWrap/>
            <w:hideMark/>
          </w:tcPr>
          <w:p w14:paraId="5ECBB22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477F89E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2EB0900"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BA6CDE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4936D89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581FDB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5922113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0.011</w:t>
            </w:r>
          </w:p>
        </w:tc>
        <w:tc>
          <w:tcPr>
            <w:tcW w:w="915" w:type="dxa"/>
            <w:tcBorders>
              <w:top w:val="nil"/>
              <w:left w:val="nil"/>
              <w:bottom w:val="nil"/>
              <w:right w:val="single" w:sz="4" w:space="0" w:color="auto"/>
            </w:tcBorders>
            <w:shd w:val="clear" w:color="auto" w:fill="auto"/>
            <w:noWrap/>
            <w:hideMark/>
          </w:tcPr>
          <w:p w14:paraId="0AFACF3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FA71F5B"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DC5376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Arousal</w:t>
            </w:r>
          </w:p>
        </w:tc>
        <w:tc>
          <w:tcPr>
            <w:tcW w:w="2669" w:type="dxa"/>
            <w:tcBorders>
              <w:top w:val="nil"/>
              <w:left w:val="nil"/>
              <w:bottom w:val="nil"/>
              <w:right w:val="single" w:sz="4" w:space="0" w:color="auto"/>
            </w:tcBorders>
            <w:shd w:val="clear" w:color="auto" w:fill="auto"/>
            <w:noWrap/>
            <w:hideMark/>
          </w:tcPr>
          <w:p w14:paraId="31EBC55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3CFF2AD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0.138*</w:t>
            </w:r>
          </w:p>
        </w:tc>
        <w:tc>
          <w:tcPr>
            <w:tcW w:w="742" w:type="dxa"/>
            <w:tcBorders>
              <w:top w:val="nil"/>
              <w:left w:val="nil"/>
              <w:bottom w:val="nil"/>
              <w:right w:val="single" w:sz="4" w:space="0" w:color="auto"/>
            </w:tcBorders>
            <w:shd w:val="clear" w:color="auto" w:fill="auto"/>
            <w:noWrap/>
            <w:hideMark/>
          </w:tcPr>
          <w:p w14:paraId="241A904F"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0.216</w:t>
            </w:r>
          </w:p>
        </w:tc>
        <w:tc>
          <w:tcPr>
            <w:tcW w:w="915" w:type="dxa"/>
            <w:tcBorders>
              <w:top w:val="nil"/>
              <w:left w:val="nil"/>
              <w:bottom w:val="nil"/>
              <w:right w:val="single" w:sz="4" w:space="0" w:color="auto"/>
            </w:tcBorders>
            <w:shd w:val="clear" w:color="auto" w:fill="auto"/>
            <w:noWrap/>
            <w:hideMark/>
          </w:tcPr>
          <w:p w14:paraId="2A1EEE4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.205***</w:t>
            </w:r>
          </w:p>
        </w:tc>
      </w:tr>
      <w:tr w:rsidR="004F3A24" w:rsidRPr="004F3A24" w14:paraId="3A58B4CE"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496AEDE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6359CE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71D0DF32"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0.023</w:t>
            </w:r>
          </w:p>
        </w:tc>
        <w:tc>
          <w:tcPr>
            <w:tcW w:w="742" w:type="dxa"/>
            <w:tcBorders>
              <w:top w:val="nil"/>
              <w:left w:val="nil"/>
              <w:bottom w:val="nil"/>
              <w:right w:val="single" w:sz="4" w:space="0" w:color="auto"/>
            </w:tcBorders>
            <w:shd w:val="clear" w:color="auto" w:fill="auto"/>
            <w:noWrap/>
            <w:hideMark/>
          </w:tcPr>
          <w:p w14:paraId="750F717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6C81604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5DB338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81D114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E2CFE2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6F1FEA79"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0.172</w:t>
            </w:r>
          </w:p>
        </w:tc>
        <w:tc>
          <w:tcPr>
            <w:tcW w:w="742" w:type="dxa"/>
            <w:tcBorders>
              <w:top w:val="nil"/>
              <w:left w:val="nil"/>
              <w:bottom w:val="nil"/>
              <w:right w:val="single" w:sz="4" w:space="0" w:color="auto"/>
            </w:tcBorders>
            <w:shd w:val="clear" w:color="auto" w:fill="auto"/>
            <w:noWrap/>
            <w:hideMark/>
          </w:tcPr>
          <w:p w14:paraId="367313E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77CF46C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C652FBD"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2554D05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41C9243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5C8056C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0.071</w:t>
            </w:r>
          </w:p>
        </w:tc>
        <w:tc>
          <w:tcPr>
            <w:tcW w:w="742" w:type="dxa"/>
            <w:tcBorders>
              <w:top w:val="nil"/>
              <w:left w:val="nil"/>
              <w:bottom w:val="single" w:sz="4" w:space="0" w:color="auto"/>
              <w:right w:val="single" w:sz="4" w:space="0" w:color="auto"/>
            </w:tcBorders>
            <w:shd w:val="clear" w:color="auto" w:fill="auto"/>
            <w:noWrap/>
            <w:hideMark/>
          </w:tcPr>
          <w:p w14:paraId="428E24F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622C668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F8C1AD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30E54D7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7D88B1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795DD80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2035BED1"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0.005</w:t>
            </w:r>
          </w:p>
        </w:tc>
        <w:tc>
          <w:tcPr>
            <w:tcW w:w="915" w:type="dxa"/>
            <w:tcBorders>
              <w:top w:val="nil"/>
              <w:left w:val="nil"/>
              <w:bottom w:val="nil"/>
              <w:right w:val="single" w:sz="4" w:space="0" w:color="auto"/>
            </w:tcBorders>
            <w:shd w:val="clear" w:color="auto" w:fill="auto"/>
            <w:noWrap/>
            <w:hideMark/>
          </w:tcPr>
          <w:p w14:paraId="48E620F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4BFB978"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CEEAC4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Dominance</w:t>
            </w:r>
          </w:p>
        </w:tc>
        <w:tc>
          <w:tcPr>
            <w:tcW w:w="2669" w:type="dxa"/>
            <w:tcBorders>
              <w:top w:val="nil"/>
              <w:left w:val="nil"/>
              <w:bottom w:val="nil"/>
              <w:right w:val="single" w:sz="4" w:space="0" w:color="auto"/>
            </w:tcBorders>
            <w:shd w:val="clear" w:color="auto" w:fill="auto"/>
            <w:noWrap/>
            <w:hideMark/>
          </w:tcPr>
          <w:p w14:paraId="6B53270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SCV_image</w:t>
            </w:r>
          </w:p>
        </w:tc>
        <w:tc>
          <w:tcPr>
            <w:tcW w:w="915" w:type="dxa"/>
            <w:tcBorders>
              <w:top w:val="nil"/>
              <w:left w:val="nil"/>
              <w:bottom w:val="nil"/>
              <w:right w:val="single" w:sz="4" w:space="0" w:color="auto"/>
            </w:tcBorders>
            <w:shd w:val="clear" w:color="auto" w:fill="auto"/>
            <w:noWrap/>
            <w:hideMark/>
          </w:tcPr>
          <w:p w14:paraId="700C590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0.18**</w:t>
            </w:r>
          </w:p>
        </w:tc>
        <w:tc>
          <w:tcPr>
            <w:tcW w:w="742" w:type="dxa"/>
            <w:tcBorders>
              <w:top w:val="nil"/>
              <w:left w:val="nil"/>
              <w:bottom w:val="nil"/>
              <w:right w:val="single" w:sz="4" w:space="0" w:color="auto"/>
            </w:tcBorders>
            <w:shd w:val="clear" w:color="auto" w:fill="auto"/>
            <w:noWrap/>
            <w:hideMark/>
          </w:tcPr>
          <w:p w14:paraId="24C16C7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0.098</w:t>
            </w:r>
          </w:p>
        </w:tc>
        <w:tc>
          <w:tcPr>
            <w:tcW w:w="915" w:type="dxa"/>
            <w:tcBorders>
              <w:top w:val="nil"/>
              <w:left w:val="nil"/>
              <w:bottom w:val="nil"/>
              <w:right w:val="single" w:sz="4" w:space="0" w:color="auto"/>
            </w:tcBorders>
            <w:shd w:val="clear" w:color="auto" w:fill="auto"/>
            <w:noWrap/>
            <w:hideMark/>
          </w:tcPr>
          <w:p w14:paraId="2B6BE1B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.093*</w:t>
            </w:r>
          </w:p>
        </w:tc>
      </w:tr>
      <w:tr w:rsidR="004F3A24" w:rsidRPr="004F3A24" w14:paraId="10D9728F"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2A3B181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38173E7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SCV_engrossment</w:t>
            </w:r>
          </w:p>
        </w:tc>
        <w:tc>
          <w:tcPr>
            <w:tcW w:w="915" w:type="dxa"/>
            <w:tcBorders>
              <w:top w:val="nil"/>
              <w:left w:val="nil"/>
              <w:bottom w:val="nil"/>
              <w:right w:val="single" w:sz="4" w:space="0" w:color="auto"/>
            </w:tcBorders>
            <w:shd w:val="clear" w:color="auto" w:fill="auto"/>
            <w:noWrap/>
            <w:hideMark/>
          </w:tcPr>
          <w:p w14:paraId="6EC3F92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-0.041</w:t>
            </w:r>
          </w:p>
        </w:tc>
        <w:tc>
          <w:tcPr>
            <w:tcW w:w="742" w:type="dxa"/>
            <w:tcBorders>
              <w:top w:val="nil"/>
              <w:left w:val="nil"/>
              <w:bottom w:val="nil"/>
              <w:right w:val="single" w:sz="4" w:space="0" w:color="auto"/>
            </w:tcBorders>
            <w:shd w:val="clear" w:color="auto" w:fill="auto"/>
            <w:noWrap/>
            <w:hideMark/>
          </w:tcPr>
          <w:p w14:paraId="6F392CA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7F73999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0D859852"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10C8CE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598723A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SCV_self projection</w:t>
            </w:r>
          </w:p>
        </w:tc>
        <w:tc>
          <w:tcPr>
            <w:tcW w:w="915" w:type="dxa"/>
            <w:tcBorders>
              <w:top w:val="nil"/>
              <w:left w:val="nil"/>
              <w:bottom w:val="nil"/>
              <w:right w:val="single" w:sz="4" w:space="0" w:color="auto"/>
            </w:tcBorders>
            <w:shd w:val="clear" w:color="auto" w:fill="auto"/>
            <w:noWrap/>
            <w:hideMark/>
          </w:tcPr>
          <w:p w14:paraId="3070C44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-0.013</w:t>
            </w:r>
          </w:p>
        </w:tc>
        <w:tc>
          <w:tcPr>
            <w:tcW w:w="742" w:type="dxa"/>
            <w:tcBorders>
              <w:top w:val="nil"/>
              <w:left w:val="nil"/>
              <w:bottom w:val="nil"/>
              <w:right w:val="single" w:sz="4" w:space="0" w:color="auto"/>
            </w:tcBorders>
            <w:shd w:val="clear" w:color="auto" w:fill="auto"/>
            <w:noWrap/>
            <w:hideMark/>
          </w:tcPr>
          <w:p w14:paraId="71266C3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nil"/>
              <w:right w:val="single" w:sz="4" w:space="0" w:color="auto"/>
            </w:tcBorders>
            <w:shd w:val="clear" w:color="auto" w:fill="auto"/>
            <w:noWrap/>
            <w:hideMark/>
          </w:tcPr>
          <w:p w14:paraId="6A139D4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C8BF284"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5931280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single" w:sz="4" w:space="0" w:color="auto"/>
              <w:right w:val="single" w:sz="4" w:space="0" w:color="auto"/>
            </w:tcBorders>
            <w:shd w:val="clear" w:color="auto" w:fill="auto"/>
            <w:noWrap/>
            <w:hideMark/>
          </w:tcPr>
          <w:p w14:paraId="4DD87A4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SCV_mental fluency</w:t>
            </w:r>
          </w:p>
        </w:tc>
        <w:tc>
          <w:tcPr>
            <w:tcW w:w="915" w:type="dxa"/>
            <w:tcBorders>
              <w:top w:val="nil"/>
              <w:left w:val="nil"/>
              <w:bottom w:val="single" w:sz="4" w:space="0" w:color="auto"/>
              <w:right w:val="single" w:sz="4" w:space="0" w:color="auto"/>
            </w:tcBorders>
            <w:shd w:val="clear" w:color="auto" w:fill="auto"/>
            <w:noWrap/>
            <w:hideMark/>
          </w:tcPr>
          <w:p w14:paraId="04D75C9F"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0.009</w:t>
            </w:r>
          </w:p>
        </w:tc>
        <w:tc>
          <w:tcPr>
            <w:tcW w:w="742" w:type="dxa"/>
            <w:tcBorders>
              <w:top w:val="nil"/>
              <w:left w:val="nil"/>
              <w:bottom w:val="single" w:sz="4" w:space="0" w:color="auto"/>
              <w:right w:val="single" w:sz="4" w:space="0" w:color="auto"/>
            </w:tcBorders>
            <w:shd w:val="clear" w:color="auto" w:fill="auto"/>
            <w:noWrap/>
            <w:hideMark/>
          </w:tcPr>
          <w:p w14:paraId="5508F20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915" w:type="dxa"/>
            <w:tcBorders>
              <w:top w:val="nil"/>
              <w:left w:val="nil"/>
              <w:bottom w:val="single" w:sz="4" w:space="0" w:color="auto"/>
              <w:right w:val="single" w:sz="4" w:space="0" w:color="auto"/>
            </w:tcBorders>
            <w:shd w:val="clear" w:color="auto" w:fill="auto"/>
            <w:noWrap/>
            <w:hideMark/>
          </w:tcPr>
          <w:p w14:paraId="533A3EE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FDD8CAD"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FE3A08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7A92F89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7357C1F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08B956E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0.028</w:t>
            </w:r>
          </w:p>
        </w:tc>
        <w:tc>
          <w:tcPr>
            <w:tcW w:w="915" w:type="dxa"/>
            <w:tcBorders>
              <w:top w:val="nil"/>
              <w:left w:val="nil"/>
              <w:bottom w:val="nil"/>
              <w:right w:val="single" w:sz="4" w:space="0" w:color="auto"/>
            </w:tcBorders>
            <w:shd w:val="clear" w:color="auto" w:fill="auto"/>
            <w:noWrap/>
            <w:hideMark/>
          </w:tcPr>
          <w:p w14:paraId="4946E57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2AF1E2B"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316A942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60C264B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Pleasure</w:t>
            </w:r>
          </w:p>
        </w:tc>
        <w:tc>
          <w:tcPr>
            <w:tcW w:w="915" w:type="dxa"/>
            <w:tcBorders>
              <w:top w:val="nil"/>
              <w:left w:val="nil"/>
              <w:bottom w:val="single" w:sz="4" w:space="0" w:color="auto"/>
              <w:right w:val="single" w:sz="4" w:space="0" w:color="auto"/>
            </w:tcBorders>
            <w:shd w:val="clear" w:color="auto" w:fill="auto"/>
            <w:noWrap/>
            <w:hideMark/>
          </w:tcPr>
          <w:p w14:paraId="1C9DFA4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.799***</w:t>
            </w:r>
          </w:p>
        </w:tc>
        <w:tc>
          <w:tcPr>
            <w:tcW w:w="742" w:type="dxa"/>
            <w:tcBorders>
              <w:top w:val="nil"/>
              <w:left w:val="nil"/>
              <w:bottom w:val="single" w:sz="4" w:space="0" w:color="auto"/>
              <w:right w:val="single" w:sz="4" w:space="0" w:color="auto"/>
            </w:tcBorders>
            <w:shd w:val="clear" w:color="auto" w:fill="auto"/>
            <w:noWrap/>
            <w:hideMark/>
          </w:tcPr>
          <w:p w14:paraId="739721B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0.554</w:t>
            </w:r>
          </w:p>
        </w:tc>
        <w:tc>
          <w:tcPr>
            <w:tcW w:w="915" w:type="dxa"/>
            <w:tcBorders>
              <w:top w:val="nil"/>
              <w:left w:val="nil"/>
              <w:bottom w:val="single" w:sz="4" w:space="0" w:color="auto"/>
              <w:right w:val="single" w:sz="4" w:space="0" w:color="auto"/>
            </w:tcBorders>
            <w:shd w:val="clear" w:color="auto" w:fill="auto"/>
            <w:noWrap/>
            <w:hideMark/>
          </w:tcPr>
          <w:p w14:paraId="07F4BAC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.526***</w:t>
            </w:r>
          </w:p>
        </w:tc>
      </w:tr>
      <w:tr w:rsidR="004F3A24" w:rsidRPr="004F3A24" w14:paraId="3D590765"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23252D5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644934A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775C08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2B6827C1"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0.028</w:t>
            </w:r>
          </w:p>
        </w:tc>
        <w:tc>
          <w:tcPr>
            <w:tcW w:w="915" w:type="dxa"/>
            <w:tcBorders>
              <w:top w:val="nil"/>
              <w:left w:val="nil"/>
              <w:bottom w:val="nil"/>
              <w:right w:val="single" w:sz="4" w:space="0" w:color="auto"/>
            </w:tcBorders>
            <w:shd w:val="clear" w:color="auto" w:fill="auto"/>
            <w:noWrap/>
            <w:hideMark/>
          </w:tcPr>
          <w:p w14:paraId="55C9E4B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7E122F4"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1B7D744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36E27F5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Arousal</w:t>
            </w:r>
          </w:p>
        </w:tc>
        <w:tc>
          <w:tcPr>
            <w:tcW w:w="915" w:type="dxa"/>
            <w:tcBorders>
              <w:top w:val="nil"/>
              <w:left w:val="nil"/>
              <w:bottom w:val="single" w:sz="4" w:space="0" w:color="auto"/>
              <w:right w:val="single" w:sz="4" w:space="0" w:color="auto"/>
            </w:tcBorders>
            <w:shd w:val="clear" w:color="auto" w:fill="auto"/>
            <w:noWrap/>
            <w:hideMark/>
          </w:tcPr>
          <w:p w14:paraId="2A3B10C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.476***</w:t>
            </w:r>
          </w:p>
        </w:tc>
        <w:tc>
          <w:tcPr>
            <w:tcW w:w="742" w:type="dxa"/>
            <w:tcBorders>
              <w:top w:val="nil"/>
              <w:left w:val="nil"/>
              <w:bottom w:val="single" w:sz="4" w:space="0" w:color="auto"/>
              <w:right w:val="single" w:sz="4" w:space="0" w:color="auto"/>
            </w:tcBorders>
            <w:shd w:val="clear" w:color="auto" w:fill="auto"/>
            <w:noWrap/>
            <w:hideMark/>
          </w:tcPr>
          <w:p w14:paraId="36FE9D25"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0.179</w:t>
            </w:r>
          </w:p>
        </w:tc>
        <w:tc>
          <w:tcPr>
            <w:tcW w:w="915" w:type="dxa"/>
            <w:tcBorders>
              <w:top w:val="nil"/>
              <w:left w:val="nil"/>
              <w:bottom w:val="single" w:sz="4" w:space="0" w:color="auto"/>
              <w:right w:val="single" w:sz="4" w:space="0" w:color="auto"/>
            </w:tcBorders>
            <w:shd w:val="clear" w:color="auto" w:fill="auto"/>
            <w:noWrap/>
            <w:hideMark/>
          </w:tcPr>
          <w:p w14:paraId="60DF76E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.151***</w:t>
            </w:r>
          </w:p>
        </w:tc>
      </w:tr>
      <w:tr w:rsidR="004F3A24" w:rsidRPr="004F3A24" w14:paraId="23571F79"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306DCD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952AA5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435D0EE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6411FBE6"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0.028</w:t>
            </w:r>
          </w:p>
        </w:tc>
        <w:tc>
          <w:tcPr>
            <w:tcW w:w="915" w:type="dxa"/>
            <w:tcBorders>
              <w:top w:val="nil"/>
              <w:left w:val="nil"/>
              <w:bottom w:val="nil"/>
              <w:right w:val="single" w:sz="4" w:space="0" w:color="auto"/>
            </w:tcBorders>
            <w:shd w:val="clear" w:color="auto" w:fill="auto"/>
            <w:noWrap/>
            <w:hideMark/>
          </w:tcPr>
          <w:p w14:paraId="20F99F0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5892263D"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05F1A7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2669" w:type="dxa"/>
            <w:tcBorders>
              <w:top w:val="nil"/>
              <w:left w:val="nil"/>
              <w:bottom w:val="single" w:sz="4" w:space="0" w:color="auto"/>
              <w:right w:val="single" w:sz="4" w:space="0" w:color="auto"/>
            </w:tcBorders>
            <w:shd w:val="clear" w:color="auto" w:fill="auto"/>
            <w:noWrap/>
            <w:hideMark/>
          </w:tcPr>
          <w:p w14:paraId="3B86C88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Dominance</w:t>
            </w:r>
          </w:p>
        </w:tc>
        <w:tc>
          <w:tcPr>
            <w:tcW w:w="915" w:type="dxa"/>
            <w:tcBorders>
              <w:top w:val="nil"/>
              <w:left w:val="nil"/>
              <w:bottom w:val="single" w:sz="4" w:space="0" w:color="auto"/>
              <w:right w:val="single" w:sz="4" w:space="0" w:color="auto"/>
            </w:tcBorders>
            <w:shd w:val="clear" w:color="auto" w:fill="auto"/>
            <w:noWrap/>
            <w:hideMark/>
          </w:tcPr>
          <w:p w14:paraId="3CC6DA13"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0.236</w:t>
            </w:r>
          </w:p>
        </w:tc>
        <w:tc>
          <w:tcPr>
            <w:tcW w:w="742" w:type="dxa"/>
            <w:tcBorders>
              <w:top w:val="nil"/>
              <w:left w:val="nil"/>
              <w:bottom w:val="single" w:sz="4" w:space="0" w:color="auto"/>
              <w:right w:val="single" w:sz="4" w:space="0" w:color="auto"/>
            </w:tcBorders>
            <w:shd w:val="clear" w:color="auto" w:fill="auto"/>
            <w:noWrap/>
            <w:hideMark/>
          </w:tcPr>
          <w:p w14:paraId="33A8E33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0.054</w:t>
            </w:r>
          </w:p>
        </w:tc>
        <w:tc>
          <w:tcPr>
            <w:tcW w:w="915" w:type="dxa"/>
            <w:tcBorders>
              <w:top w:val="nil"/>
              <w:left w:val="nil"/>
              <w:bottom w:val="single" w:sz="4" w:space="0" w:color="auto"/>
              <w:right w:val="single" w:sz="4" w:space="0" w:color="auto"/>
            </w:tcBorders>
            <w:shd w:val="clear" w:color="000000" w:fill="FFFF00"/>
            <w:noWrap/>
            <w:hideMark/>
          </w:tcPr>
          <w:p w14:paraId="7122A14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0.026</w:t>
            </w:r>
          </w:p>
        </w:tc>
      </w:tr>
      <w:tr w:rsidR="004F3A24" w:rsidRPr="004F3A24" w14:paraId="55753EDE"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79D1DF5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3718C4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362070A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158F0BE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0.001</w:t>
            </w:r>
          </w:p>
        </w:tc>
        <w:tc>
          <w:tcPr>
            <w:tcW w:w="915" w:type="dxa"/>
            <w:tcBorders>
              <w:top w:val="nil"/>
              <w:left w:val="nil"/>
              <w:bottom w:val="nil"/>
              <w:right w:val="single" w:sz="4" w:space="0" w:color="auto"/>
            </w:tcBorders>
            <w:shd w:val="clear" w:color="auto" w:fill="auto"/>
            <w:noWrap/>
            <w:hideMark/>
          </w:tcPr>
          <w:p w14:paraId="2BC8E7E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7F7DC334"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0DF99C1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social media engagement</w:t>
            </w:r>
          </w:p>
        </w:tc>
        <w:tc>
          <w:tcPr>
            <w:tcW w:w="2669" w:type="dxa"/>
            <w:tcBorders>
              <w:top w:val="nil"/>
              <w:left w:val="nil"/>
              <w:bottom w:val="single" w:sz="4" w:space="0" w:color="auto"/>
              <w:right w:val="single" w:sz="4" w:space="0" w:color="auto"/>
            </w:tcBorders>
            <w:shd w:val="clear" w:color="auto" w:fill="auto"/>
            <w:noWrap/>
            <w:hideMark/>
          </w:tcPr>
          <w:p w14:paraId="3BE62F9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915" w:type="dxa"/>
            <w:tcBorders>
              <w:top w:val="nil"/>
              <w:left w:val="nil"/>
              <w:bottom w:val="single" w:sz="4" w:space="0" w:color="auto"/>
              <w:right w:val="single" w:sz="4" w:space="0" w:color="auto"/>
            </w:tcBorders>
            <w:shd w:val="clear" w:color="auto" w:fill="auto"/>
            <w:noWrap/>
            <w:hideMark/>
          </w:tcPr>
          <w:p w14:paraId="08BBA84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.459***</w:t>
            </w:r>
          </w:p>
        </w:tc>
        <w:tc>
          <w:tcPr>
            <w:tcW w:w="742" w:type="dxa"/>
            <w:tcBorders>
              <w:top w:val="nil"/>
              <w:left w:val="nil"/>
              <w:bottom w:val="single" w:sz="4" w:space="0" w:color="auto"/>
              <w:right w:val="single" w:sz="4" w:space="0" w:color="auto"/>
            </w:tcBorders>
            <w:shd w:val="clear" w:color="auto" w:fill="auto"/>
            <w:noWrap/>
            <w:hideMark/>
          </w:tcPr>
          <w:p w14:paraId="22330355"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0.191</w:t>
            </w:r>
          </w:p>
        </w:tc>
        <w:tc>
          <w:tcPr>
            <w:tcW w:w="915" w:type="dxa"/>
            <w:tcBorders>
              <w:top w:val="nil"/>
              <w:left w:val="nil"/>
              <w:bottom w:val="single" w:sz="4" w:space="0" w:color="auto"/>
              <w:right w:val="single" w:sz="4" w:space="0" w:color="auto"/>
            </w:tcBorders>
            <w:shd w:val="clear" w:color="auto" w:fill="auto"/>
            <w:noWrap/>
            <w:hideMark/>
          </w:tcPr>
          <w:p w14:paraId="1A13AA6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.190***</w:t>
            </w:r>
          </w:p>
        </w:tc>
      </w:tr>
      <w:tr w:rsidR="004F3A24" w:rsidRPr="004F3A24" w14:paraId="04185442"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16B6972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75D1975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04A8058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3CE9D25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0.017</w:t>
            </w:r>
          </w:p>
        </w:tc>
        <w:tc>
          <w:tcPr>
            <w:tcW w:w="915" w:type="dxa"/>
            <w:tcBorders>
              <w:top w:val="nil"/>
              <w:left w:val="nil"/>
              <w:bottom w:val="nil"/>
              <w:right w:val="single" w:sz="4" w:space="0" w:color="auto"/>
            </w:tcBorders>
            <w:shd w:val="clear" w:color="auto" w:fill="auto"/>
            <w:noWrap/>
            <w:hideMark/>
          </w:tcPr>
          <w:p w14:paraId="7137C89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29B3446A"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3465090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2317E2A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Ad attitude</w:t>
            </w:r>
          </w:p>
        </w:tc>
        <w:tc>
          <w:tcPr>
            <w:tcW w:w="915" w:type="dxa"/>
            <w:tcBorders>
              <w:top w:val="nil"/>
              <w:left w:val="nil"/>
              <w:bottom w:val="single" w:sz="4" w:space="0" w:color="auto"/>
              <w:right w:val="single" w:sz="4" w:space="0" w:color="auto"/>
            </w:tcBorders>
            <w:shd w:val="clear" w:color="auto" w:fill="auto"/>
            <w:noWrap/>
            <w:hideMark/>
          </w:tcPr>
          <w:p w14:paraId="665DFDD9"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.589***</w:t>
            </w:r>
          </w:p>
        </w:tc>
        <w:tc>
          <w:tcPr>
            <w:tcW w:w="742" w:type="dxa"/>
            <w:tcBorders>
              <w:top w:val="nil"/>
              <w:left w:val="nil"/>
              <w:bottom w:val="single" w:sz="4" w:space="0" w:color="auto"/>
              <w:right w:val="single" w:sz="4" w:space="0" w:color="auto"/>
            </w:tcBorders>
            <w:shd w:val="clear" w:color="auto" w:fill="auto"/>
            <w:noWrap/>
            <w:hideMark/>
          </w:tcPr>
          <w:p w14:paraId="3EE052FC"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0.33</w:t>
            </w:r>
          </w:p>
        </w:tc>
        <w:tc>
          <w:tcPr>
            <w:tcW w:w="915" w:type="dxa"/>
            <w:tcBorders>
              <w:top w:val="nil"/>
              <w:left w:val="nil"/>
              <w:bottom w:val="single" w:sz="4" w:space="0" w:color="auto"/>
              <w:right w:val="single" w:sz="4" w:space="0" w:color="auto"/>
            </w:tcBorders>
            <w:shd w:val="clear" w:color="auto" w:fill="auto"/>
            <w:noWrap/>
            <w:hideMark/>
          </w:tcPr>
          <w:p w14:paraId="3EDC6FA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.313***</w:t>
            </w:r>
          </w:p>
        </w:tc>
      </w:tr>
      <w:tr w:rsidR="004F3A24" w:rsidRPr="004F3A24" w14:paraId="53288324"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5D54509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6A40ED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5EDA161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6F8F1F5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0.019</w:t>
            </w:r>
          </w:p>
        </w:tc>
        <w:tc>
          <w:tcPr>
            <w:tcW w:w="915" w:type="dxa"/>
            <w:tcBorders>
              <w:top w:val="nil"/>
              <w:left w:val="nil"/>
              <w:bottom w:val="nil"/>
              <w:right w:val="single" w:sz="4" w:space="0" w:color="auto"/>
            </w:tcBorders>
            <w:shd w:val="clear" w:color="auto" w:fill="auto"/>
            <w:noWrap/>
            <w:hideMark/>
          </w:tcPr>
          <w:p w14:paraId="60B321E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39FE2CFF"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543BEF5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Normative influence</w:t>
            </w:r>
          </w:p>
        </w:tc>
        <w:tc>
          <w:tcPr>
            <w:tcW w:w="2669" w:type="dxa"/>
            <w:tcBorders>
              <w:top w:val="nil"/>
              <w:left w:val="nil"/>
              <w:bottom w:val="single" w:sz="4" w:space="0" w:color="auto"/>
              <w:right w:val="single" w:sz="4" w:space="0" w:color="auto"/>
            </w:tcBorders>
            <w:shd w:val="clear" w:color="auto" w:fill="auto"/>
            <w:noWrap/>
            <w:hideMark/>
          </w:tcPr>
          <w:p w14:paraId="1A58DE3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xml:space="preserve">Social media engagement </w:t>
            </w:r>
          </w:p>
        </w:tc>
        <w:tc>
          <w:tcPr>
            <w:tcW w:w="915" w:type="dxa"/>
            <w:tcBorders>
              <w:top w:val="nil"/>
              <w:left w:val="nil"/>
              <w:bottom w:val="single" w:sz="4" w:space="0" w:color="auto"/>
              <w:right w:val="single" w:sz="4" w:space="0" w:color="auto"/>
            </w:tcBorders>
            <w:shd w:val="clear" w:color="auto" w:fill="auto"/>
            <w:noWrap/>
            <w:hideMark/>
          </w:tcPr>
          <w:p w14:paraId="5E513A5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.435***</w:t>
            </w:r>
          </w:p>
        </w:tc>
        <w:tc>
          <w:tcPr>
            <w:tcW w:w="742" w:type="dxa"/>
            <w:tcBorders>
              <w:top w:val="nil"/>
              <w:left w:val="nil"/>
              <w:bottom w:val="single" w:sz="4" w:space="0" w:color="auto"/>
              <w:right w:val="single" w:sz="4" w:space="0" w:color="auto"/>
            </w:tcBorders>
            <w:shd w:val="clear" w:color="auto" w:fill="auto"/>
            <w:noWrap/>
            <w:hideMark/>
          </w:tcPr>
          <w:p w14:paraId="6D3735ED"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0.215</w:t>
            </w:r>
          </w:p>
        </w:tc>
        <w:tc>
          <w:tcPr>
            <w:tcW w:w="915" w:type="dxa"/>
            <w:tcBorders>
              <w:top w:val="nil"/>
              <w:left w:val="nil"/>
              <w:bottom w:val="single" w:sz="4" w:space="0" w:color="auto"/>
              <w:right w:val="single" w:sz="4" w:space="0" w:color="auto"/>
            </w:tcBorders>
            <w:shd w:val="clear" w:color="auto" w:fill="auto"/>
            <w:noWrap/>
            <w:hideMark/>
          </w:tcPr>
          <w:p w14:paraId="7A1CB2A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.196***</w:t>
            </w:r>
          </w:p>
        </w:tc>
      </w:tr>
      <w:tr w:rsidR="004F3A24" w:rsidRPr="004F3A24" w14:paraId="76FFB115"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711105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14ADEF4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FC0ECF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57501487"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0.023</w:t>
            </w:r>
          </w:p>
        </w:tc>
        <w:tc>
          <w:tcPr>
            <w:tcW w:w="915" w:type="dxa"/>
            <w:tcBorders>
              <w:top w:val="nil"/>
              <w:left w:val="nil"/>
              <w:bottom w:val="nil"/>
              <w:right w:val="single" w:sz="4" w:space="0" w:color="auto"/>
            </w:tcBorders>
            <w:shd w:val="clear" w:color="auto" w:fill="auto"/>
            <w:noWrap/>
            <w:hideMark/>
          </w:tcPr>
          <w:p w14:paraId="3630537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448D6ADA"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4A39683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Informative infulence</w:t>
            </w:r>
          </w:p>
        </w:tc>
        <w:tc>
          <w:tcPr>
            <w:tcW w:w="2669" w:type="dxa"/>
            <w:tcBorders>
              <w:top w:val="nil"/>
              <w:left w:val="nil"/>
              <w:bottom w:val="single" w:sz="4" w:space="0" w:color="auto"/>
              <w:right w:val="single" w:sz="4" w:space="0" w:color="auto"/>
            </w:tcBorders>
            <w:shd w:val="clear" w:color="auto" w:fill="auto"/>
            <w:noWrap/>
            <w:hideMark/>
          </w:tcPr>
          <w:p w14:paraId="175EF97E"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xml:space="preserve">Social media engagement </w:t>
            </w:r>
          </w:p>
        </w:tc>
        <w:tc>
          <w:tcPr>
            <w:tcW w:w="915" w:type="dxa"/>
            <w:tcBorders>
              <w:top w:val="nil"/>
              <w:left w:val="nil"/>
              <w:bottom w:val="single" w:sz="4" w:space="0" w:color="auto"/>
              <w:right w:val="single" w:sz="4" w:space="0" w:color="auto"/>
            </w:tcBorders>
            <w:shd w:val="clear" w:color="auto" w:fill="auto"/>
            <w:noWrap/>
            <w:hideMark/>
          </w:tcPr>
          <w:p w14:paraId="31961A8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.485***</w:t>
            </w:r>
          </w:p>
        </w:tc>
        <w:tc>
          <w:tcPr>
            <w:tcW w:w="742" w:type="dxa"/>
            <w:tcBorders>
              <w:top w:val="nil"/>
              <w:left w:val="nil"/>
              <w:bottom w:val="single" w:sz="4" w:space="0" w:color="auto"/>
              <w:right w:val="single" w:sz="4" w:space="0" w:color="auto"/>
            </w:tcBorders>
            <w:shd w:val="clear" w:color="auto" w:fill="auto"/>
            <w:noWrap/>
            <w:hideMark/>
          </w:tcPr>
          <w:p w14:paraId="6683CEDB"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0.228</w:t>
            </w:r>
          </w:p>
        </w:tc>
        <w:tc>
          <w:tcPr>
            <w:tcW w:w="915" w:type="dxa"/>
            <w:tcBorders>
              <w:top w:val="nil"/>
              <w:left w:val="nil"/>
              <w:bottom w:val="single" w:sz="4" w:space="0" w:color="auto"/>
              <w:right w:val="single" w:sz="4" w:space="0" w:color="auto"/>
            </w:tcBorders>
            <w:shd w:val="clear" w:color="auto" w:fill="auto"/>
            <w:noWrap/>
            <w:hideMark/>
          </w:tcPr>
          <w:p w14:paraId="69A39B6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.205***</w:t>
            </w:r>
          </w:p>
        </w:tc>
      </w:tr>
      <w:tr w:rsidR="004F3A24" w:rsidRPr="004F3A24" w14:paraId="678EA2E1"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048FC0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0AF928F5"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13A4EA04"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38B26759"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0.0117</w:t>
            </w:r>
          </w:p>
        </w:tc>
        <w:tc>
          <w:tcPr>
            <w:tcW w:w="915" w:type="dxa"/>
            <w:tcBorders>
              <w:top w:val="nil"/>
              <w:left w:val="nil"/>
              <w:bottom w:val="nil"/>
              <w:right w:val="single" w:sz="4" w:space="0" w:color="auto"/>
            </w:tcBorders>
            <w:shd w:val="clear" w:color="auto" w:fill="auto"/>
            <w:noWrap/>
            <w:hideMark/>
          </w:tcPr>
          <w:p w14:paraId="2F338C0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5B29329"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660B8B7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63F3675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Normative influence</w:t>
            </w:r>
          </w:p>
        </w:tc>
        <w:tc>
          <w:tcPr>
            <w:tcW w:w="915" w:type="dxa"/>
            <w:tcBorders>
              <w:top w:val="nil"/>
              <w:left w:val="nil"/>
              <w:bottom w:val="single" w:sz="4" w:space="0" w:color="auto"/>
              <w:right w:val="single" w:sz="4" w:space="0" w:color="auto"/>
            </w:tcBorders>
            <w:shd w:val="clear" w:color="auto" w:fill="auto"/>
            <w:noWrap/>
            <w:hideMark/>
          </w:tcPr>
          <w:p w14:paraId="0BD07D8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.368***</w:t>
            </w:r>
          </w:p>
        </w:tc>
        <w:tc>
          <w:tcPr>
            <w:tcW w:w="742" w:type="dxa"/>
            <w:tcBorders>
              <w:top w:val="nil"/>
              <w:left w:val="nil"/>
              <w:bottom w:val="single" w:sz="4" w:space="0" w:color="auto"/>
              <w:right w:val="single" w:sz="4" w:space="0" w:color="auto"/>
            </w:tcBorders>
            <w:shd w:val="clear" w:color="auto" w:fill="auto"/>
            <w:noWrap/>
            <w:hideMark/>
          </w:tcPr>
          <w:p w14:paraId="586B6BD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0.146</w:t>
            </w:r>
          </w:p>
        </w:tc>
        <w:tc>
          <w:tcPr>
            <w:tcW w:w="915" w:type="dxa"/>
            <w:tcBorders>
              <w:top w:val="nil"/>
              <w:left w:val="nil"/>
              <w:bottom w:val="single" w:sz="4" w:space="0" w:color="auto"/>
              <w:right w:val="single" w:sz="4" w:space="0" w:color="auto"/>
            </w:tcBorders>
            <w:shd w:val="clear" w:color="auto" w:fill="auto"/>
            <w:noWrap/>
            <w:hideMark/>
          </w:tcPr>
          <w:p w14:paraId="2C1611B8"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.128***</w:t>
            </w:r>
          </w:p>
        </w:tc>
      </w:tr>
      <w:tr w:rsidR="004F3A24" w:rsidRPr="004F3A24" w14:paraId="2EFFECE6"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0EC48B8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5286DC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1B08B26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37AFFE78"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0.017</w:t>
            </w:r>
          </w:p>
        </w:tc>
        <w:tc>
          <w:tcPr>
            <w:tcW w:w="915" w:type="dxa"/>
            <w:tcBorders>
              <w:top w:val="nil"/>
              <w:left w:val="nil"/>
              <w:bottom w:val="nil"/>
              <w:right w:val="single" w:sz="4" w:space="0" w:color="auto"/>
            </w:tcBorders>
            <w:shd w:val="clear" w:color="auto" w:fill="auto"/>
            <w:noWrap/>
            <w:hideMark/>
          </w:tcPr>
          <w:p w14:paraId="75C2032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670FC321"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2B30059A"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2669" w:type="dxa"/>
            <w:tcBorders>
              <w:top w:val="nil"/>
              <w:left w:val="nil"/>
              <w:bottom w:val="single" w:sz="4" w:space="0" w:color="auto"/>
              <w:right w:val="single" w:sz="4" w:space="0" w:color="auto"/>
            </w:tcBorders>
            <w:shd w:val="clear" w:color="auto" w:fill="auto"/>
            <w:noWrap/>
            <w:hideMark/>
          </w:tcPr>
          <w:p w14:paraId="6C53BAD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Informative infulence</w:t>
            </w:r>
          </w:p>
        </w:tc>
        <w:tc>
          <w:tcPr>
            <w:tcW w:w="915" w:type="dxa"/>
            <w:tcBorders>
              <w:top w:val="nil"/>
              <w:left w:val="nil"/>
              <w:bottom w:val="single" w:sz="4" w:space="0" w:color="auto"/>
              <w:right w:val="single" w:sz="4" w:space="0" w:color="auto"/>
            </w:tcBorders>
            <w:shd w:val="clear" w:color="auto" w:fill="auto"/>
            <w:noWrap/>
            <w:hideMark/>
          </w:tcPr>
          <w:p w14:paraId="63329D8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0.388***</w:t>
            </w:r>
          </w:p>
        </w:tc>
        <w:tc>
          <w:tcPr>
            <w:tcW w:w="742" w:type="dxa"/>
            <w:tcBorders>
              <w:top w:val="nil"/>
              <w:left w:val="nil"/>
              <w:bottom w:val="single" w:sz="4" w:space="0" w:color="auto"/>
              <w:right w:val="single" w:sz="4" w:space="0" w:color="auto"/>
            </w:tcBorders>
            <w:shd w:val="clear" w:color="auto" w:fill="auto"/>
            <w:noWrap/>
            <w:hideMark/>
          </w:tcPr>
          <w:p w14:paraId="27D2D190"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0.186</w:t>
            </w:r>
          </w:p>
        </w:tc>
        <w:tc>
          <w:tcPr>
            <w:tcW w:w="915" w:type="dxa"/>
            <w:tcBorders>
              <w:top w:val="nil"/>
              <w:left w:val="nil"/>
              <w:bottom w:val="single" w:sz="4" w:space="0" w:color="auto"/>
              <w:right w:val="single" w:sz="4" w:space="0" w:color="auto"/>
            </w:tcBorders>
            <w:shd w:val="clear" w:color="auto" w:fill="auto"/>
            <w:noWrap/>
            <w:hideMark/>
          </w:tcPr>
          <w:p w14:paraId="5DBE42A6"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.168***</w:t>
            </w:r>
          </w:p>
        </w:tc>
      </w:tr>
      <w:tr w:rsidR="004F3A24" w:rsidRPr="004F3A24" w14:paraId="3A28CEC0" w14:textId="77777777" w:rsidTr="0073436B">
        <w:trPr>
          <w:trHeight w:val="280"/>
        </w:trPr>
        <w:tc>
          <w:tcPr>
            <w:tcW w:w="2639" w:type="dxa"/>
            <w:tcBorders>
              <w:top w:val="nil"/>
              <w:left w:val="single" w:sz="4" w:space="0" w:color="auto"/>
              <w:bottom w:val="nil"/>
              <w:right w:val="single" w:sz="4" w:space="0" w:color="auto"/>
            </w:tcBorders>
            <w:shd w:val="clear" w:color="auto" w:fill="auto"/>
            <w:noWrap/>
            <w:hideMark/>
          </w:tcPr>
          <w:p w14:paraId="62BDA73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2669" w:type="dxa"/>
            <w:tcBorders>
              <w:top w:val="nil"/>
              <w:left w:val="nil"/>
              <w:bottom w:val="nil"/>
              <w:right w:val="single" w:sz="4" w:space="0" w:color="auto"/>
            </w:tcBorders>
            <w:shd w:val="clear" w:color="auto" w:fill="auto"/>
            <w:noWrap/>
            <w:hideMark/>
          </w:tcPr>
          <w:p w14:paraId="20C6090F"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Control variables</w:t>
            </w:r>
          </w:p>
        </w:tc>
        <w:tc>
          <w:tcPr>
            <w:tcW w:w="915" w:type="dxa"/>
            <w:tcBorders>
              <w:top w:val="nil"/>
              <w:left w:val="nil"/>
              <w:bottom w:val="nil"/>
              <w:right w:val="single" w:sz="4" w:space="0" w:color="auto"/>
            </w:tcBorders>
            <w:shd w:val="clear" w:color="auto" w:fill="auto"/>
            <w:noWrap/>
            <w:hideMark/>
          </w:tcPr>
          <w:p w14:paraId="685650E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c>
          <w:tcPr>
            <w:tcW w:w="742" w:type="dxa"/>
            <w:tcBorders>
              <w:top w:val="nil"/>
              <w:left w:val="nil"/>
              <w:bottom w:val="nil"/>
              <w:right w:val="single" w:sz="4" w:space="0" w:color="auto"/>
            </w:tcBorders>
            <w:shd w:val="clear" w:color="auto" w:fill="auto"/>
            <w:noWrap/>
            <w:hideMark/>
          </w:tcPr>
          <w:p w14:paraId="526985B4"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0.022</w:t>
            </w:r>
          </w:p>
        </w:tc>
        <w:tc>
          <w:tcPr>
            <w:tcW w:w="915" w:type="dxa"/>
            <w:tcBorders>
              <w:top w:val="nil"/>
              <w:left w:val="nil"/>
              <w:bottom w:val="nil"/>
              <w:right w:val="single" w:sz="4" w:space="0" w:color="auto"/>
            </w:tcBorders>
            <w:shd w:val="clear" w:color="auto" w:fill="auto"/>
            <w:noWrap/>
            <w:hideMark/>
          </w:tcPr>
          <w:p w14:paraId="353B2C8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 </w:t>
            </w:r>
          </w:p>
        </w:tc>
      </w:tr>
      <w:tr w:rsidR="004F3A24" w:rsidRPr="004F3A24" w14:paraId="14473595" w14:textId="77777777" w:rsidTr="0073436B">
        <w:trPr>
          <w:trHeight w:val="280"/>
        </w:trPr>
        <w:tc>
          <w:tcPr>
            <w:tcW w:w="2639" w:type="dxa"/>
            <w:tcBorders>
              <w:top w:val="nil"/>
              <w:left w:val="single" w:sz="4" w:space="0" w:color="auto"/>
              <w:bottom w:val="single" w:sz="4" w:space="0" w:color="auto"/>
              <w:right w:val="single" w:sz="4" w:space="0" w:color="auto"/>
            </w:tcBorders>
            <w:shd w:val="clear" w:color="auto" w:fill="auto"/>
            <w:noWrap/>
            <w:hideMark/>
          </w:tcPr>
          <w:p w14:paraId="4A907810"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Behavioural intention</w:t>
            </w:r>
          </w:p>
        </w:tc>
        <w:tc>
          <w:tcPr>
            <w:tcW w:w="2669" w:type="dxa"/>
            <w:tcBorders>
              <w:top w:val="nil"/>
              <w:left w:val="nil"/>
              <w:bottom w:val="single" w:sz="4" w:space="0" w:color="auto"/>
              <w:right w:val="single" w:sz="4" w:space="0" w:color="auto"/>
            </w:tcBorders>
            <w:shd w:val="clear" w:color="auto" w:fill="auto"/>
            <w:noWrap/>
            <w:hideMark/>
          </w:tcPr>
          <w:p w14:paraId="235ACF43"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Purchase intention</w:t>
            </w:r>
          </w:p>
        </w:tc>
        <w:tc>
          <w:tcPr>
            <w:tcW w:w="915" w:type="dxa"/>
            <w:tcBorders>
              <w:top w:val="nil"/>
              <w:left w:val="nil"/>
              <w:bottom w:val="single" w:sz="4" w:space="0" w:color="auto"/>
              <w:right w:val="single" w:sz="4" w:space="0" w:color="auto"/>
            </w:tcBorders>
            <w:shd w:val="clear" w:color="auto" w:fill="auto"/>
            <w:noWrap/>
            <w:hideMark/>
          </w:tcPr>
          <w:p w14:paraId="6DCE01D2"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.238**</w:t>
            </w:r>
          </w:p>
        </w:tc>
        <w:tc>
          <w:tcPr>
            <w:tcW w:w="742" w:type="dxa"/>
            <w:tcBorders>
              <w:top w:val="nil"/>
              <w:left w:val="nil"/>
              <w:bottom w:val="single" w:sz="4" w:space="0" w:color="auto"/>
              <w:right w:val="single" w:sz="4" w:space="0" w:color="auto"/>
            </w:tcBorders>
            <w:shd w:val="clear" w:color="auto" w:fill="auto"/>
            <w:noWrap/>
            <w:hideMark/>
          </w:tcPr>
          <w:p w14:paraId="1328D63E" w14:textId="77777777" w:rsidR="0073436B" w:rsidRPr="004F3A24" w:rsidRDefault="0073436B" w:rsidP="0073436B">
            <w:pPr>
              <w:spacing w:after="0" w:line="240" w:lineRule="auto"/>
              <w:jc w:val="right"/>
              <w:rPr>
                <w:rFonts w:ascii="Cambria" w:eastAsia="Times New Roman" w:hAnsi="Cambria" w:cs="Calibri"/>
                <w:lang w:eastAsia="en-GB"/>
              </w:rPr>
            </w:pPr>
            <w:r w:rsidRPr="004F3A24">
              <w:rPr>
                <w:rFonts w:ascii="Cambria" w:eastAsia="Times New Roman" w:hAnsi="Cambria" w:cs="Calibri"/>
                <w:lang w:eastAsia="en-GB"/>
              </w:rPr>
              <w:t>0.117</w:t>
            </w:r>
          </w:p>
        </w:tc>
        <w:tc>
          <w:tcPr>
            <w:tcW w:w="915" w:type="dxa"/>
            <w:tcBorders>
              <w:top w:val="nil"/>
              <w:left w:val="nil"/>
              <w:bottom w:val="single" w:sz="4" w:space="0" w:color="auto"/>
              <w:right w:val="single" w:sz="4" w:space="0" w:color="auto"/>
            </w:tcBorders>
            <w:shd w:val="clear" w:color="auto" w:fill="auto"/>
            <w:noWrap/>
            <w:hideMark/>
          </w:tcPr>
          <w:p w14:paraId="20AFD33B"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.095**</w:t>
            </w:r>
          </w:p>
        </w:tc>
      </w:tr>
      <w:tr w:rsidR="004F3A24" w:rsidRPr="004F3A24" w14:paraId="2859FF92" w14:textId="77777777" w:rsidTr="0073436B">
        <w:trPr>
          <w:trHeight w:val="280"/>
        </w:trPr>
        <w:tc>
          <w:tcPr>
            <w:tcW w:w="2639" w:type="dxa"/>
            <w:tcBorders>
              <w:top w:val="nil"/>
              <w:left w:val="nil"/>
              <w:bottom w:val="nil"/>
              <w:right w:val="nil"/>
            </w:tcBorders>
            <w:shd w:val="clear" w:color="auto" w:fill="auto"/>
            <w:noWrap/>
            <w:hideMark/>
          </w:tcPr>
          <w:p w14:paraId="0ADF62FC"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.001</w:t>
            </w:r>
          </w:p>
        </w:tc>
        <w:tc>
          <w:tcPr>
            <w:tcW w:w="2669" w:type="dxa"/>
            <w:tcBorders>
              <w:top w:val="nil"/>
              <w:left w:val="nil"/>
              <w:bottom w:val="nil"/>
              <w:right w:val="nil"/>
            </w:tcBorders>
            <w:shd w:val="clear" w:color="auto" w:fill="auto"/>
            <w:noWrap/>
            <w:hideMark/>
          </w:tcPr>
          <w:p w14:paraId="36E50675" w14:textId="77777777" w:rsidR="0073436B" w:rsidRPr="004F3A24" w:rsidRDefault="0073436B" w:rsidP="0073436B">
            <w:pPr>
              <w:spacing w:after="0" w:line="240" w:lineRule="auto"/>
              <w:rPr>
                <w:rFonts w:ascii="Cambria" w:eastAsia="Times New Roman" w:hAnsi="Cambria" w:cs="Calibri"/>
                <w:lang w:eastAsia="en-GB"/>
              </w:rPr>
            </w:pPr>
          </w:p>
        </w:tc>
        <w:tc>
          <w:tcPr>
            <w:tcW w:w="915" w:type="dxa"/>
            <w:tcBorders>
              <w:top w:val="nil"/>
              <w:left w:val="nil"/>
              <w:bottom w:val="nil"/>
              <w:right w:val="nil"/>
            </w:tcBorders>
            <w:shd w:val="clear" w:color="auto" w:fill="auto"/>
            <w:noWrap/>
            <w:hideMark/>
          </w:tcPr>
          <w:p w14:paraId="0B359717"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c>
          <w:tcPr>
            <w:tcW w:w="742" w:type="dxa"/>
            <w:tcBorders>
              <w:top w:val="nil"/>
              <w:left w:val="nil"/>
              <w:bottom w:val="nil"/>
              <w:right w:val="nil"/>
            </w:tcBorders>
            <w:shd w:val="clear" w:color="auto" w:fill="auto"/>
            <w:noWrap/>
            <w:hideMark/>
          </w:tcPr>
          <w:p w14:paraId="21F20601"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c>
          <w:tcPr>
            <w:tcW w:w="915" w:type="dxa"/>
            <w:tcBorders>
              <w:top w:val="nil"/>
              <w:left w:val="nil"/>
              <w:bottom w:val="nil"/>
              <w:right w:val="nil"/>
            </w:tcBorders>
            <w:shd w:val="clear" w:color="auto" w:fill="auto"/>
            <w:noWrap/>
            <w:hideMark/>
          </w:tcPr>
          <w:p w14:paraId="5CDD1420" w14:textId="77777777" w:rsidR="0073436B" w:rsidRPr="004F3A24" w:rsidRDefault="0073436B" w:rsidP="0073436B">
            <w:pPr>
              <w:spacing w:after="0" w:line="240" w:lineRule="auto"/>
              <w:rPr>
                <w:rFonts w:ascii="Times New Roman" w:eastAsia="Times New Roman" w:hAnsi="Times New Roman" w:cs="Times New Roman"/>
                <w:sz w:val="20"/>
                <w:szCs w:val="20"/>
                <w:lang w:eastAsia="en-GB"/>
              </w:rPr>
            </w:pPr>
          </w:p>
        </w:tc>
      </w:tr>
      <w:tr w:rsidR="004F3A24" w:rsidRPr="004F3A24" w14:paraId="2C592EBE" w14:textId="77777777" w:rsidTr="0073436B">
        <w:trPr>
          <w:trHeight w:val="280"/>
        </w:trPr>
        <w:tc>
          <w:tcPr>
            <w:tcW w:w="2639" w:type="dxa"/>
            <w:tcBorders>
              <w:top w:val="nil"/>
              <w:left w:val="nil"/>
              <w:bottom w:val="nil"/>
              <w:right w:val="nil"/>
            </w:tcBorders>
            <w:shd w:val="clear" w:color="auto" w:fill="auto"/>
            <w:noWrap/>
            <w:hideMark/>
          </w:tcPr>
          <w:p w14:paraId="1FAE45C1"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.005</w:t>
            </w:r>
          </w:p>
        </w:tc>
        <w:tc>
          <w:tcPr>
            <w:tcW w:w="5241" w:type="dxa"/>
            <w:gridSpan w:val="4"/>
            <w:vMerge w:val="restart"/>
            <w:tcBorders>
              <w:top w:val="nil"/>
              <w:left w:val="nil"/>
              <w:bottom w:val="nil"/>
              <w:right w:val="nil"/>
            </w:tcBorders>
            <w:shd w:val="clear" w:color="auto" w:fill="auto"/>
            <w:vAlign w:val="bottom"/>
            <w:hideMark/>
          </w:tcPr>
          <w:p w14:paraId="7BB6BC0D"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The first of row every cell represents model 1with the control variables and the second row represents the model 2 with the independent variables from the model</w:t>
            </w:r>
          </w:p>
        </w:tc>
      </w:tr>
      <w:tr w:rsidR="004F3A24" w:rsidRPr="004F3A24" w14:paraId="0C4E5C7A" w14:textId="77777777" w:rsidTr="0073436B">
        <w:trPr>
          <w:trHeight w:val="280"/>
        </w:trPr>
        <w:tc>
          <w:tcPr>
            <w:tcW w:w="2639" w:type="dxa"/>
            <w:tcBorders>
              <w:top w:val="nil"/>
              <w:left w:val="nil"/>
              <w:bottom w:val="nil"/>
              <w:right w:val="nil"/>
            </w:tcBorders>
            <w:shd w:val="clear" w:color="auto" w:fill="auto"/>
            <w:noWrap/>
            <w:hideMark/>
          </w:tcPr>
          <w:p w14:paraId="7462F7C7" w14:textId="77777777" w:rsidR="0073436B" w:rsidRPr="004F3A24" w:rsidRDefault="0073436B" w:rsidP="0073436B">
            <w:pPr>
              <w:spacing w:after="0" w:line="240" w:lineRule="auto"/>
              <w:rPr>
                <w:rFonts w:ascii="Cambria" w:eastAsia="Times New Roman" w:hAnsi="Cambria" w:cs="Calibri"/>
                <w:lang w:eastAsia="en-GB"/>
              </w:rPr>
            </w:pPr>
            <w:r w:rsidRPr="004F3A24">
              <w:rPr>
                <w:rFonts w:ascii="Cambria" w:eastAsia="Times New Roman" w:hAnsi="Cambria" w:cs="Calibri"/>
                <w:lang w:eastAsia="en-GB"/>
              </w:rPr>
              <w:t>*p &lt; .05</w:t>
            </w:r>
          </w:p>
        </w:tc>
        <w:tc>
          <w:tcPr>
            <w:tcW w:w="5241" w:type="dxa"/>
            <w:gridSpan w:val="4"/>
            <w:vMerge/>
            <w:tcBorders>
              <w:top w:val="nil"/>
              <w:left w:val="nil"/>
              <w:bottom w:val="nil"/>
              <w:right w:val="nil"/>
            </w:tcBorders>
            <w:vAlign w:val="center"/>
            <w:hideMark/>
          </w:tcPr>
          <w:p w14:paraId="13C87572" w14:textId="77777777" w:rsidR="0073436B" w:rsidRPr="004F3A24" w:rsidRDefault="0073436B" w:rsidP="0073436B">
            <w:pPr>
              <w:spacing w:after="0" w:line="240" w:lineRule="auto"/>
              <w:rPr>
                <w:rFonts w:ascii="Cambria" w:eastAsia="Times New Roman" w:hAnsi="Cambria" w:cs="Calibri"/>
                <w:lang w:eastAsia="en-GB"/>
              </w:rPr>
            </w:pPr>
          </w:p>
        </w:tc>
      </w:tr>
      <w:tr w:rsidR="004F3A24" w:rsidRPr="004F3A24" w14:paraId="06487F58" w14:textId="77777777" w:rsidTr="0073436B">
        <w:trPr>
          <w:trHeight w:val="280"/>
        </w:trPr>
        <w:tc>
          <w:tcPr>
            <w:tcW w:w="2639" w:type="dxa"/>
            <w:tcBorders>
              <w:top w:val="nil"/>
              <w:left w:val="nil"/>
              <w:bottom w:val="nil"/>
              <w:right w:val="nil"/>
            </w:tcBorders>
            <w:shd w:val="clear" w:color="auto" w:fill="auto"/>
            <w:noWrap/>
            <w:hideMark/>
          </w:tcPr>
          <w:p w14:paraId="353E616E" w14:textId="77777777" w:rsidR="0073436B" w:rsidRPr="004F3A24" w:rsidRDefault="0073436B" w:rsidP="0073436B">
            <w:pPr>
              <w:spacing w:after="0" w:line="240" w:lineRule="auto"/>
              <w:rPr>
                <w:rFonts w:ascii="Cambria" w:eastAsia="Times New Roman" w:hAnsi="Cambria" w:cs="Calibri"/>
                <w:lang w:eastAsia="en-GB"/>
              </w:rPr>
            </w:pPr>
          </w:p>
        </w:tc>
        <w:tc>
          <w:tcPr>
            <w:tcW w:w="5241" w:type="dxa"/>
            <w:gridSpan w:val="4"/>
            <w:vMerge/>
            <w:tcBorders>
              <w:top w:val="nil"/>
              <w:left w:val="nil"/>
              <w:bottom w:val="nil"/>
              <w:right w:val="nil"/>
            </w:tcBorders>
            <w:vAlign w:val="center"/>
            <w:hideMark/>
          </w:tcPr>
          <w:p w14:paraId="352C79C6" w14:textId="77777777" w:rsidR="0073436B" w:rsidRPr="004F3A24" w:rsidRDefault="0073436B" w:rsidP="0073436B">
            <w:pPr>
              <w:spacing w:after="0" w:line="240" w:lineRule="auto"/>
              <w:rPr>
                <w:rFonts w:ascii="Cambria" w:eastAsia="Times New Roman" w:hAnsi="Cambria" w:cs="Calibri"/>
                <w:lang w:eastAsia="en-GB"/>
              </w:rPr>
            </w:pPr>
          </w:p>
        </w:tc>
      </w:tr>
    </w:tbl>
    <w:p w14:paraId="71325F33" w14:textId="77777777" w:rsidR="0073436B" w:rsidRPr="00530906" w:rsidRDefault="0073436B" w:rsidP="008756B1">
      <w:pPr>
        <w:spacing w:after="0" w:line="240" w:lineRule="auto"/>
        <w:jc w:val="both"/>
        <w:rPr>
          <w:rFonts w:ascii="Cambria" w:eastAsia="Times New Roman" w:hAnsi="Cambria" w:cs="Times New Roman"/>
          <w:color w:val="000000"/>
          <w:lang w:val="en-US"/>
        </w:rPr>
      </w:pPr>
    </w:p>
    <w:p w14:paraId="77756076" w14:textId="1E33755C" w:rsidR="00A41CEA" w:rsidRPr="00530906" w:rsidRDefault="00A41CEA" w:rsidP="008756B1">
      <w:pPr>
        <w:spacing w:line="259" w:lineRule="auto"/>
        <w:jc w:val="both"/>
        <w:rPr>
          <w:rFonts w:ascii="Cambria" w:eastAsia="Times New Roman" w:hAnsi="Cambria" w:cs="Times New Roman"/>
          <w:color w:val="000000"/>
          <w:lang w:val="en-US"/>
        </w:rPr>
      </w:pPr>
      <w:r w:rsidRPr="00530906">
        <w:rPr>
          <w:rFonts w:ascii="Cambria" w:eastAsia="Times New Roman" w:hAnsi="Cambria" w:cs="Times New Roman"/>
          <w:color w:val="000000"/>
          <w:lang w:val="en-US"/>
        </w:rPr>
        <w:br w:type="page"/>
      </w:r>
    </w:p>
    <w:p w14:paraId="6A0BB932" w14:textId="77777777" w:rsidR="007E4999" w:rsidRPr="00530906" w:rsidRDefault="007E4999" w:rsidP="008756B1">
      <w:pPr>
        <w:pStyle w:val="Heading1"/>
        <w:jc w:val="both"/>
      </w:pPr>
      <w:bookmarkStart w:id="163" w:name="_Toc74683217"/>
      <w:bookmarkStart w:id="164" w:name="_Toc115726318"/>
      <w:r w:rsidRPr="00530906">
        <w:t>Reference list</w:t>
      </w:r>
      <w:bookmarkEnd w:id="163"/>
      <w:bookmarkEnd w:id="164"/>
    </w:p>
    <w:p w14:paraId="5ECCB251" w14:textId="2FD0E3BD" w:rsidR="007E4999" w:rsidRPr="00530906" w:rsidRDefault="007E4999" w:rsidP="008756B1">
      <w:pPr>
        <w:pStyle w:val="Heading2"/>
        <w:ind w:left="567" w:hanging="567"/>
        <w:jc w:val="both"/>
        <w:rPr>
          <w:rFonts w:ascii="Cambria" w:hAnsi="Cambria"/>
          <w:color w:val="auto"/>
          <w:sz w:val="22"/>
          <w:szCs w:val="22"/>
        </w:rPr>
      </w:pPr>
    </w:p>
    <w:p w14:paraId="6DE1B0A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rPr>
        <w:t xml:space="preserve">Aagerup, U., &amp; Nilsson, J. (2016). Green consumer behavior: being good or seeming good? Journal </w:t>
      </w:r>
      <w:r w:rsidRPr="00530906">
        <w:rPr>
          <w:rFonts w:ascii="Cambria" w:hAnsi="Cambria"/>
          <w:sz w:val="24"/>
          <w:szCs w:val="24"/>
        </w:rPr>
        <w:t>of Product and Brand Management, 25(3), 274–284. doi:10.1108/jpbm–06–2015–0903</w:t>
      </w:r>
    </w:p>
    <w:p w14:paraId="0641FD37" w14:textId="5FF825E5"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Aaker, D.</w:t>
      </w:r>
      <w:r w:rsidR="00774B58" w:rsidRPr="00530906">
        <w:rPr>
          <w:rFonts w:ascii="Cambria" w:hAnsi="Cambria" w:cs="Segoe UI"/>
          <w:sz w:val="24"/>
          <w:szCs w:val="24"/>
        </w:rPr>
        <w:t xml:space="preserve"> </w:t>
      </w:r>
      <w:r w:rsidRPr="00530906">
        <w:rPr>
          <w:rFonts w:ascii="Cambria" w:hAnsi="Cambria" w:cs="Segoe UI"/>
          <w:sz w:val="24"/>
          <w:szCs w:val="24"/>
        </w:rPr>
        <w:t>A., Stayman, D.</w:t>
      </w:r>
      <w:r w:rsidR="00774B58" w:rsidRPr="00530906">
        <w:rPr>
          <w:rFonts w:ascii="Cambria" w:hAnsi="Cambria" w:cs="Segoe UI"/>
          <w:sz w:val="24"/>
          <w:szCs w:val="24"/>
        </w:rPr>
        <w:t xml:space="preserve"> </w:t>
      </w:r>
      <w:r w:rsidRPr="00530906">
        <w:rPr>
          <w:rFonts w:ascii="Cambria" w:hAnsi="Cambria" w:cs="Segoe UI"/>
          <w:sz w:val="24"/>
          <w:szCs w:val="24"/>
        </w:rPr>
        <w:t>M. and Vezina, R. (1988) ' Identifying feelings elicited by advertising',</w:t>
      </w:r>
      <w:r w:rsidRPr="00530906">
        <w:rPr>
          <w:rFonts w:ascii="Cambria" w:hAnsi="Cambria" w:cs="Segoe UI"/>
          <w:i/>
          <w:iCs/>
          <w:sz w:val="24"/>
          <w:szCs w:val="24"/>
        </w:rPr>
        <w:t xml:space="preserve"> Psychology &amp; Marketing</w:t>
      </w:r>
      <w:r w:rsidRPr="00530906">
        <w:rPr>
          <w:rFonts w:ascii="Cambria" w:hAnsi="Cambria" w:cs="Segoe UI"/>
          <w:sz w:val="24"/>
          <w:szCs w:val="24"/>
        </w:rPr>
        <w:t>, 5(1), pp. 1–16.</w:t>
      </w:r>
    </w:p>
    <w:p w14:paraId="6F94A924" w14:textId="3005EBCE"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Accenture (2018) To affinity and beyond: from me to we, the rise of the purpose – led brand. Available at: </w:t>
      </w:r>
      <w:hyperlink r:id="rId121" w:history="1">
        <w:r w:rsidRPr="00530906">
          <w:rPr>
            <w:rStyle w:val="Hyperlink"/>
            <w:rFonts w:ascii="Cambria" w:hAnsi="Cambria"/>
            <w:color w:val="auto"/>
            <w:sz w:val="24"/>
            <w:szCs w:val="24"/>
          </w:rPr>
          <w:t>https://www.accenture.com/t20190201T104905Z__w__/us–en/_acnmedia/Thought–Leadership–Assets/PDF/Accenture–CompetitiveAgility–GCPR–POV.pdf</w:t>
        </w:r>
      </w:hyperlink>
      <w:r w:rsidRPr="00530906">
        <w:rPr>
          <w:rFonts w:ascii="Cambria" w:hAnsi="Cambria"/>
          <w:sz w:val="24"/>
          <w:szCs w:val="24"/>
        </w:rPr>
        <w:t xml:space="preserve"> (accessed 1st May 2020)</w:t>
      </w:r>
    </w:p>
    <w:p w14:paraId="6E340278" w14:textId="3E442794" w:rsidR="003E0F75" w:rsidRPr="00530906" w:rsidRDefault="003E0F75">
      <w:pPr>
        <w:spacing w:line="360" w:lineRule="auto"/>
        <w:ind w:left="567" w:hanging="567"/>
        <w:jc w:val="both"/>
        <w:rPr>
          <w:rFonts w:ascii="Cambria" w:hAnsi="Cambria"/>
          <w:sz w:val="24"/>
          <w:szCs w:val="24"/>
        </w:rPr>
      </w:pPr>
      <w:bookmarkStart w:id="165" w:name="_Hlk72952007"/>
      <w:r w:rsidRPr="00530906">
        <w:rPr>
          <w:rFonts w:ascii="Cambria" w:hAnsi="Cambria" w:cs="Arial"/>
          <w:color w:val="222222"/>
          <w:sz w:val="24"/>
          <w:szCs w:val="24"/>
          <w:shd w:val="clear" w:color="auto" w:fill="FFFFFF"/>
        </w:rPr>
        <w:t>Ahmed, W. (2018). Using social media data for research: An overview of tools. </w:t>
      </w:r>
      <w:r w:rsidRPr="00530906">
        <w:rPr>
          <w:rFonts w:ascii="Cambria" w:hAnsi="Cambria" w:cs="Arial"/>
          <w:i/>
          <w:iCs/>
          <w:color w:val="222222"/>
          <w:sz w:val="24"/>
          <w:szCs w:val="24"/>
          <w:shd w:val="clear" w:color="auto" w:fill="FFFFFF"/>
        </w:rPr>
        <w:t>Journal of Communication Technology</w:t>
      </w:r>
      <w:r w:rsidRPr="00530906">
        <w:rPr>
          <w:rFonts w:ascii="Cambria" w:hAnsi="Cambria" w:cs="Arial"/>
          <w:color w:val="222222"/>
          <w:sz w:val="24"/>
          <w:szCs w:val="24"/>
          <w:shd w:val="clear" w:color="auto" w:fill="FFFFFF"/>
        </w:rPr>
        <w:t>, </w:t>
      </w:r>
      <w:r w:rsidRPr="00530906">
        <w:rPr>
          <w:rFonts w:ascii="Cambria" w:hAnsi="Cambria" w:cs="Arial"/>
          <w:i/>
          <w:iCs/>
          <w:color w:val="222222"/>
          <w:sz w:val="24"/>
          <w:szCs w:val="24"/>
          <w:shd w:val="clear" w:color="auto" w:fill="FFFFFF"/>
        </w:rPr>
        <w:t>1</w:t>
      </w:r>
      <w:r w:rsidRPr="00530906">
        <w:rPr>
          <w:rFonts w:ascii="Cambria" w:hAnsi="Cambria" w:cs="Arial"/>
          <w:color w:val="222222"/>
          <w:sz w:val="24"/>
          <w:szCs w:val="24"/>
          <w:shd w:val="clear" w:color="auto" w:fill="FFFFFF"/>
        </w:rPr>
        <w:t>(1), 78-93.</w:t>
      </w:r>
    </w:p>
    <w:bookmarkEnd w:id="165"/>
    <w:p w14:paraId="1F8CBA8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Algesheimer, R., Dholakia, U. M. and Herrmann, A. (2005) ‘The social influence of brand community: Evidence from European car clubs’, </w:t>
      </w:r>
      <w:r w:rsidRPr="00530906">
        <w:rPr>
          <w:rFonts w:ascii="Cambria" w:hAnsi="Cambria"/>
          <w:i/>
          <w:sz w:val="24"/>
          <w:szCs w:val="24"/>
        </w:rPr>
        <w:t>Journal of Marketing</w:t>
      </w:r>
      <w:r w:rsidRPr="00530906">
        <w:rPr>
          <w:rFonts w:ascii="Cambria" w:hAnsi="Cambria"/>
          <w:sz w:val="24"/>
          <w:szCs w:val="24"/>
        </w:rPr>
        <w:t xml:space="preserve">, 69(3), pp. 19–34. Available from: </w:t>
      </w:r>
      <w:hyperlink r:id="rId122" w:history="1">
        <w:r w:rsidRPr="00530906">
          <w:rPr>
            <w:rStyle w:val="Hyperlink"/>
            <w:rFonts w:ascii="Cambria" w:hAnsi="Cambria"/>
            <w:color w:val="auto"/>
            <w:sz w:val="24"/>
            <w:szCs w:val="24"/>
          </w:rPr>
          <w:t>http://web.b.ebscohost.com/ehost/pdfviewer/pdfviewer?vid=6&amp;sid=0ac6a5f6–a0be–4d5c–a00c–ce48d68f7924%40sessionmgr104</w:t>
        </w:r>
      </w:hyperlink>
      <w:r w:rsidRPr="00530906">
        <w:rPr>
          <w:rFonts w:ascii="Cambria" w:hAnsi="Cambria"/>
          <w:sz w:val="24"/>
          <w:szCs w:val="24"/>
        </w:rPr>
        <w:t xml:space="preserve"> . (Accessed: 20</w:t>
      </w:r>
      <w:r w:rsidRPr="00530906">
        <w:rPr>
          <w:rFonts w:ascii="Cambria" w:hAnsi="Cambria"/>
          <w:sz w:val="24"/>
          <w:szCs w:val="24"/>
          <w:vertAlign w:val="superscript"/>
        </w:rPr>
        <w:t>th</w:t>
      </w:r>
      <w:r w:rsidRPr="00530906">
        <w:rPr>
          <w:rFonts w:ascii="Cambria" w:hAnsi="Cambria"/>
          <w:sz w:val="24"/>
          <w:szCs w:val="24"/>
        </w:rPr>
        <w:t xml:space="preserve"> November 2017).</w:t>
      </w:r>
    </w:p>
    <w:p w14:paraId="74DD286E" w14:textId="2B5D6B36"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Akman, I. and Mishra, A. (2017) 'Factors influencing consumer intention in social commerce adoption', </w:t>
      </w:r>
      <w:r w:rsidRPr="00530906">
        <w:rPr>
          <w:rFonts w:ascii="Cambria" w:hAnsi="Cambria" w:cs="Segoe UI"/>
          <w:i/>
          <w:iCs/>
          <w:sz w:val="24"/>
          <w:szCs w:val="24"/>
        </w:rPr>
        <w:t>Information Technology &amp; People</w:t>
      </w:r>
      <w:r w:rsidRPr="00530906">
        <w:rPr>
          <w:rFonts w:ascii="Cambria" w:hAnsi="Cambria" w:cs="Segoe UI"/>
          <w:sz w:val="24"/>
          <w:szCs w:val="24"/>
        </w:rPr>
        <w:t>, 30(2), pp. 356</w:t>
      </w:r>
      <w:r w:rsidR="004179CD" w:rsidRPr="00530906">
        <w:rPr>
          <w:rFonts w:ascii="Cambria" w:hAnsi="Cambria" w:cs="Segoe UI"/>
          <w:sz w:val="24"/>
          <w:szCs w:val="24"/>
        </w:rPr>
        <w:t>–</w:t>
      </w:r>
      <w:r w:rsidRPr="00530906">
        <w:rPr>
          <w:rFonts w:ascii="Cambria" w:hAnsi="Cambria" w:cs="Segoe UI"/>
          <w:sz w:val="24"/>
          <w:szCs w:val="24"/>
        </w:rPr>
        <w:t>370. Doi: 10.1108/ITP</w:t>
      </w:r>
      <w:r w:rsidR="004179CD" w:rsidRPr="00530906">
        <w:rPr>
          <w:rFonts w:ascii="Cambria" w:hAnsi="Cambria" w:cs="Segoe UI"/>
          <w:sz w:val="24"/>
          <w:szCs w:val="24"/>
        </w:rPr>
        <w:t>–</w:t>
      </w:r>
      <w:r w:rsidRPr="00530906">
        <w:rPr>
          <w:rFonts w:ascii="Cambria" w:hAnsi="Cambria" w:cs="Segoe UI"/>
          <w:sz w:val="24"/>
          <w:szCs w:val="24"/>
        </w:rPr>
        <w:t>01</w:t>
      </w:r>
      <w:r w:rsidR="004179CD" w:rsidRPr="00530906">
        <w:rPr>
          <w:rFonts w:ascii="Cambria" w:hAnsi="Cambria" w:cs="Segoe UI"/>
          <w:sz w:val="24"/>
          <w:szCs w:val="24"/>
        </w:rPr>
        <w:t>–</w:t>
      </w:r>
      <w:r w:rsidRPr="00530906">
        <w:rPr>
          <w:rFonts w:ascii="Cambria" w:hAnsi="Cambria" w:cs="Segoe UI"/>
          <w:sz w:val="24"/>
          <w:szCs w:val="24"/>
        </w:rPr>
        <w:t>2016</w:t>
      </w:r>
      <w:r w:rsidR="004179CD" w:rsidRPr="00530906">
        <w:rPr>
          <w:rFonts w:ascii="Cambria" w:hAnsi="Cambria" w:cs="Segoe UI"/>
          <w:sz w:val="24"/>
          <w:szCs w:val="24"/>
        </w:rPr>
        <w:t>–</w:t>
      </w:r>
      <w:r w:rsidRPr="00530906">
        <w:rPr>
          <w:rFonts w:ascii="Cambria" w:hAnsi="Cambria" w:cs="Segoe UI"/>
          <w:sz w:val="24"/>
          <w:szCs w:val="24"/>
        </w:rPr>
        <w:t>0006</w:t>
      </w:r>
    </w:p>
    <w:p w14:paraId="6364FE2B" w14:textId="255DDF59"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Amit, E</w:t>
      </w:r>
      <w:r w:rsidR="00774B58" w:rsidRPr="00530906">
        <w:rPr>
          <w:rFonts w:ascii="Cambria" w:hAnsi="Cambria"/>
          <w:sz w:val="24"/>
          <w:szCs w:val="24"/>
        </w:rPr>
        <w:t>.</w:t>
      </w:r>
      <w:r w:rsidRPr="00530906">
        <w:rPr>
          <w:rFonts w:ascii="Cambria" w:hAnsi="Cambria"/>
          <w:sz w:val="24"/>
          <w:szCs w:val="24"/>
        </w:rPr>
        <w:t xml:space="preserve"> and Joshua D. Greene (2012), “You See, the Ends Don't Justify the Means: Visual Imagery and Moral Judgment,” Psychological Science, 23(8,) 861–868. Doi: 10.1177/0956797611434965</w:t>
      </w:r>
    </w:p>
    <w:p w14:paraId="34779B5A" w14:textId="096307E6"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Andersen. P. H. (2005) ‘Relationship marketing and brand involvement of professionals through web–enhanced brand communities: the case of Coloplast’, </w:t>
      </w:r>
      <w:r w:rsidRPr="00530906">
        <w:rPr>
          <w:rFonts w:ascii="Cambria" w:hAnsi="Cambria"/>
          <w:i/>
          <w:sz w:val="24"/>
          <w:szCs w:val="24"/>
        </w:rPr>
        <w:t xml:space="preserve">Industrial Marketing Management, </w:t>
      </w:r>
      <w:r w:rsidRPr="00530906">
        <w:rPr>
          <w:rFonts w:ascii="Cambria" w:hAnsi="Cambria"/>
          <w:sz w:val="24"/>
          <w:szCs w:val="24"/>
        </w:rPr>
        <w:t>34 (3), pp. 285– 297. doi:10.1016/j.indmarman.2004.07.007</w:t>
      </w:r>
    </w:p>
    <w:p w14:paraId="3732B5CE" w14:textId="2F7582F8" w:rsidR="005E11E7" w:rsidRPr="00530906" w:rsidRDefault="005E11E7">
      <w:pPr>
        <w:spacing w:line="360" w:lineRule="auto"/>
        <w:ind w:left="567" w:hanging="567"/>
        <w:jc w:val="both"/>
        <w:rPr>
          <w:rFonts w:ascii="Cambria" w:hAnsi="Cambria"/>
          <w:sz w:val="24"/>
          <w:szCs w:val="24"/>
        </w:rPr>
      </w:pPr>
      <w:r>
        <w:rPr>
          <w:rFonts w:ascii="Segoe UI" w:hAnsi="Segoe UI" w:cs="Segoe UI"/>
        </w:rPr>
        <w:t xml:space="preserve">Andreoli, V. and Worchel, S. (1978) 'Effects of Media, Communicator, and Message Position on Attitude Change', </w:t>
      </w:r>
      <w:r>
        <w:rPr>
          <w:rFonts w:ascii="Segoe UI" w:hAnsi="Segoe UI" w:cs="Segoe UI"/>
          <w:i/>
          <w:iCs/>
        </w:rPr>
        <w:t>Public opinion quarterly</w:t>
      </w:r>
      <w:r>
        <w:rPr>
          <w:rFonts w:ascii="Segoe UI" w:hAnsi="Segoe UI" w:cs="Segoe UI"/>
        </w:rPr>
        <w:t>, 42(1), pp. 59-70.</w:t>
      </w:r>
    </w:p>
    <w:p w14:paraId="6B8F9C77" w14:textId="58D215E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Andrews, J.</w:t>
      </w:r>
      <w:r w:rsidR="00774B58" w:rsidRPr="00530906">
        <w:rPr>
          <w:rFonts w:ascii="Cambria" w:hAnsi="Cambria" w:cs="Segoe UI"/>
          <w:sz w:val="24"/>
          <w:szCs w:val="24"/>
        </w:rPr>
        <w:t xml:space="preserve"> </w:t>
      </w:r>
      <w:r w:rsidRPr="00530906">
        <w:rPr>
          <w:rFonts w:ascii="Cambria" w:hAnsi="Cambria" w:cs="Segoe UI"/>
          <w:sz w:val="24"/>
          <w:szCs w:val="24"/>
        </w:rPr>
        <w:t>C., Akhter, S.</w:t>
      </w:r>
      <w:r w:rsidR="00774B58" w:rsidRPr="00530906">
        <w:rPr>
          <w:rFonts w:ascii="Cambria" w:hAnsi="Cambria" w:cs="Segoe UI"/>
          <w:sz w:val="24"/>
          <w:szCs w:val="24"/>
        </w:rPr>
        <w:t xml:space="preserve"> </w:t>
      </w:r>
      <w:r w:rsidRPr="00530906">
        <w:rPr>
          <w:rFonts w:ascii="Cambria" w:hAnsi="Cambria" w:cs="Segoe UI"/>
          <w:sz w:val="24"/>
          <w:szCs w:val="24"/>
        </w:rPr>
        <w:t xml:space="preserve">H., Durvasula, S. and Muehling, D.D. (1992) ' The effects of advertising distinctiveness and message content involvement on cognitive and affective responses to advertising', </w:t>
      </w:r>
      <w:r w:rsidRPr="00530906">
        <w:rPr>
          <w:rFonts w:ascii="Cambria" w:hAnsi="Cambria" w:cs="Segoe UI"/>
          <w:i/>
          <w:iCs/>
          <w:sz w:val="24"/>
          <w:szCs w:val="24"/>
        </w:rPr>
        <w:t>Journal of Current Issues &amp; Research in Advertising</w:t>
      </w:r>
      <w:r w:rsidRPr="00530906">
        <w:rPr>
          <w:rFonts w:ascii="Cambria" w:hAnsi="Cambria" w:cs="Segoe UI"/>
          <w:sz w:val="24"/>
          <w:szCs w:val="24"/>
        </w:rPr>
        <w:t>, 14(1), pp. 45–58. Doi: 10.1080/10641734.1992.10504979</w:t>
      </w:r>
    </w:p>
    <w:p w14:paraId="7F727A1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Angus, A. (2018) Top 10 Global Consumer Trends for 2018 Emerging Forces Shaping Consumer Behaviour, </w:t>
      </w:r>
      <w:r w:rsidRPr="00530906">
        <w:rPr>
          <w:rFonts w:ascii="Cambria" w:hAnsi="Cambria"/>
          <w:i/>
          <w:sz w:val="24"/>
          <w:szCs w:val="24"/>
        </w:rPr>
        <w:t>Euromonitor International</w:t>
      </w:r>
      <w:r w:rsidRPr="00530906">
        <w:rPr>
          <w:rFonts w:ascii="Cambria" w:hAnsi="Cambria"/>
          <w:sz w:val="24"/>
          <w:szCs w:val="24"/>
        </w:rPr>
        <w:t xml:space="preserve">. Available from: </w:t>
      </w:r>
      <w:hyperlink r:id="rId123" w:history="1">
        <w:r w:rsidRPr="00530906">
          <w:rPr>
            <w:rStyle w:val="Hyperlink"/>
            <w:rFonts w:ascii="Cambria" w:hAnsi="Cambria"/>
            <w:color w:val="auto"/>
            <w:sz w:val="24"/>
            <w:szCs w:val="24"/>
          </w:rPr>
          <w:t>http://go.euromonitor.com/white–paper–economies–consumers–2018–global–consumer–trends–EN.html</w:t>
        </w:r>
      </w:hyperlink>
      <w:r w:rsidRPr="00530906">
        <w:rPr>
          <w:rFonts w:ascii="Cambria" w:hAnsi="Cambria"/>
          <w:sz w:val="24"/>
          <w:szCs w:val="24"/>
        </w:rPr>
        <w:t xml:space="preserve"> (Accessed: 10th January 2018).</w:t>
      </w:r>
    </w:p>
    <w:p w14:paraId="65C29DB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Antonetti, P., &amp; Maklan, S. (2014). Feelings that Make a Difference: How Guilt and Pride Convince Consumers of the Effectiveness of Sustainable Consumption Choices. Journal of Business Ethics, 124(1), 117–134. doi:10.1007/s10551–013–1841–9</w:t>
      </w:r>
    </w:p>
    <w:p w14:paraId="762A76A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Antonetti, P., Manika, D., and Katsikeas, C. (2019). Why consumer animosity reduces product quality perceptions: The role of extreme emotions in international crises. </w:t>
      </w:r>
      <w:r w:rsidRPr="00530906">
        <w:rPr>
          <w:rFonts w:ascii="Cambria" w:hAnsi="Cambria" w:cs="Arial"/>
          <w:i/>
          <w:iCs/>
          <w:sz w:val="24"/>
          <w:szCs w:val="24"/>
          <w:shd w:val="clear" w:color="auto" w:fill="FFFFFF"/>
        </w:rPr>
        <w:t>International Business Review</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28</w:t>
      </w:r>
      <w:r w:rsidRPr="00530906">
        <w:rPr>
          <w:rFonts w:ascii="Cambria" w:hAnsi="Cambria" w:cs="Arial"/>
          <w:sz w:val="24"/>
          <w:szCs w:val="24"/>
          <w:shd w:val="clear" w:color="auto" w:fill="FFFFFF"/>
        </w:rPr>
        <w:t>(4), 739–753. Doi: 10.1016/j.ibusrev.2019.02.003</w:t>
      </w:r>
    </w:p>
    <w:p w14:paraId="561810A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Arli, D., &amp; Tjiptono, F. (2017). God and green: Investigating the impact of religiousness on green marketing. International Journal of Nonprofit and Voluntary Sector Marketing, 22(3). doi:10.1002/nvsm.1578</w:t>
      </w:r>
    </w:p>
    <w:p w14:paraId="7443EB3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Aronson, E., Wilson, T. D., and Akert, A. M. (2005). Social psychology. Upper Saddle River, NJ: Prentice Hall.</w:t>
      </w:r>
    </w:p>
    <w:p w14:paraId="6CA4D78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Ashforth, B. E. and Meal, M. (1989) Social Identity theory and the organization. </w:t>
      </w:r>
      <w:r w:rsidRPr="00530906">
        <w:rPr>
          <w:rFonts w:ascii="Cambria" w:hAnsi="Cambria"/>
          <w:i/>
          <w:sz w:val="24"/>
          <w:szCs w:val="24"/>
        </w:rPr>
        <w:t>Academy of management review</w:t>
      </w:r>
      <w:r w:rsidRPr="00530906">
        <w:rPr>
          <w:rFonts w:ascii="Cambria" w:hAnsi="Cambria"/>
          <w:sz w:val="24"/>
          <w:szCs w:val="24"/>
        </w:rPr>
        <w:t>. 14 (1), pp. 20–39. Doi: 10.5465/AMR.1989.4278999.</w:t>
      </w:r>
    </w:p>
    <w:p w14:paraId="0AEC676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Austgulen, M. H. (2014). Environmentally sustainable meat consumption: An analysis of the Norwegian public debate. </w:t>
      </w:r>
      <w:r w:rsidRPr="00530906">
        <w:rPr>
          <w:rFonts w:ascii="Cambria" w:hAnsi="Cambria" w:cs="Arial"/>
          <w:i/>
          <w:iCs/>
          <w:sz w:val="24"/>
          <w:szCs w:val="24"/>
          <w:shd w:val="clear" w:color="auto" w:fill="FFFFFF"/>
        </w:rPr>
        <w:t>Journal of Consumer Policy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37</w:t>
      </w:r>
      <w:r w:rsidRPr="00530906">
        <w:rPr>
          <w:rFonts w:ascii="Cambria" w:hAnsi="Cambria" w:cs="Arial"/>
          <w:sz w:val="24"/>
          <w:szCs w:val="24"/>
          <w:shd w:val="clear" w:color="auto" w:fill="FFFFFF"/>
        </w:rPr>
        <w:t>(1), 45–66.</w:t>
      </w:r>
      <w:r w:rsidRPr="00530906">
        <w:rPr>
          <w:rFonts w:ascii="Cambria" w:hAnsi="Cambria"/>
          <w:sz w:val="24"/>
          <w:szCs w:val="24"/>
        </w:rPr>
        <w:t xml:space="preserve"> </w:t>
      </w:r>
      <w:r w:rsidRPr="00530906">
        <w:rPr>
          <w:rFonts w:ascii="Cambria" w:hAnsi="Cambria" w:cs="AdvTT3713a231"/>
          <w:sz w:val="24"/>
          <w:szCs w:val="24"/>
        </w:rPr>
        <w:t>DOI 10.1007/s10603–013–9246–9</w:t>
      </w:r>
    </w:p>
    <w:p w14:paraId="71FEFBC6" w14:textId="77B8BA8B" w:rsidR="007E4999" w:rsidRPr="00530906" w:rsidRDefault="007E4999">
      <w:pPr>
        <w:spacing w:line="360" w:lineRule="auto"/>
        <w:ind w:left="567" w:hanging="567"/>
        <w:jc w:val="both"/>
        <w:rPr>
          <w:sz w:val="24"/>
          <w:szCs w:val="24"/>
        </w:rPr>
      </w:pPr>
      <w:r w:rsidRPr="00530906">
        <w:rPr>
          <w:rFonts w:ascii="Cambria" w:hAnsi="Cambria" w:cs="Segoe UI"/>
          <w:sz w:val="24"/>
          <w:szCs w:val="24"/>
        </w:rPr>
        <w:t xml:space="preserve">Axsen, J., Orlebar, C. and Skippon, S. (2013) 'Social influence and consumer preference formation for pro–environmental technology: The case of a UK workplace electric–vehicle study', </w:t>
      </w:r>
      <w:r w:rsidRPr="00530906">
        <w:rPr>
          <w:rFonts w:ascii="Cambria" w:hAnsi="Cambria" w:cs="Segoe UI"/>
          <w:i/>
          <w:iCs/>
          <w:sz w:val="24"/>
          <w:szCs w:val="24"/>
        </w:rPr>
        <w:t>Ecological Economics</w:t>
      </w:r>
      <w:r w:rsidRPr="00530906">
        <w:rPr>
          <w:rFonts w:ascii="Cambria" w:hAnsi="Cambria" w:cs="Segoe UI"/>
          <w:sz w:val="24"/>
          <w:szCs w:val="24"/>
        </w:rPr>
        <w:t>, 95, pp. 96–107. Doi: 10.1016/j.ecolecon.2013.08.009</w:t>
      </w:r>
    </w:p>
    <w:p w14:paraId="5E0DC64D" w14:textId="40F087D5"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Back, M. D., Stopfer, J. M., Vazire, S., Gaddis, S., Schmukle, S. C., Egloff, B.  and Gosling, S. D. (2010) Facebook Profiles Reflect Actual Personality, Not Self–Idealization, </w:t>
      </w:r>
      <w:r w:rsidRPr="00530906">
        <w:rPr>
          <w:rFonts w:ascii="Cambria" w:hAnsi="Cambria"/>
          <w:i/>
          <w:sz w:val="24"/>
          <w:szCs w:val="24"/>
        </w:rPr>
        <w:t>Psychological Science</w:t>
      </w:r>
      <w:r w:rsidRPr="00530906">
        <w:rPr>
          <w:rFonts w:ascii="Cambria" w:hAnsi="Cambria"/>
          <w:sz w:val="24"/>
          <w:szCs w:val="24"/>
        </w:rPr>
        <w:t>, 21(3) 372–374. Doi: 10.1177/0956797609360756.</w:t>
      </w:r>
    </w:p>
    <w:p w14:paraId="6697C6DA" w14:textId="67B4762E" w:rsidR="00CB63B7" w:rsidRPr="00530906" w:rsidRDefault="00CB63B7">
      <w:pPr>
        <w:spacing w:line="360" w:lineRule="auto"/>
        <w:ind w:left="567" w:hanging="567"/>
        <w:jc w:val="both"/>
        <w:rPr>
          <w:rFonts w:ascii="Cambria" w:hAnsi="Cambria"/>
          <w:sz w:val="24"/>
          <w:szCs w:val="24"/>
        </w:rPr>
      </w:pPr>
      <w:r>
        <w:rPr>
          <w:rFonts w:ascii="Segoe UI" w:hAnsi="Segoe UI" w:cs="Segoe UI"/>
        </w:rPr>
        <w:t xml:space="preserve">Baek, T.H., Kim, S., Yoon, S., Choi, Y.K., Choi, D. and Bang, H. (2021) 'Emojis and assertive environmental messages in social media campaigns', </w:t>
      </w:r>
      <w:r>
        <w:rPr>
          <w:rFonts w:ascii="Segoe UI" w:hAnsi="Segoe UI" w:cs="Segoe UI"/>
          <w:i/>
          <w:iCs/>
        </w:rPr>
        <w:t>Internet Research</w:t>
      </w:r>
      <w:r>
        <w:rPr>
          <w:rFonts w:ascii="Segoe UI" w:hAnsi="Segoe UI" w:cs="Segoe UI"/>
        </w:rPr>
        <w:t>, pp. 1066-2243.</w:t>
      </w:r>
    </w:p>
    <w:p w14:paraId="0E1264CA" w14:textId="1E21C6B3"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Bakker, I., van der Voordt, T., Vink, P. and de Boon, J., (2014). Pleasure, arousal, dominance: Mehrabian and Russell revisited</w:t>
      </w:r>
      <w:r w:rsidRPr="00530906">
        <w:rPr>
          <w:rFonts w:ascii="Cambria" w:hAnsi="Cambria"/>
          <w:i/>
          <w:sz w:val="24"/>
          <w:szCs w:val="24"/>
        </w:rPr>
        <w:t>. Current Psychology</w:t>
      </w:r>
      <w:r w:rsidRPr="00530906">
        <w:rPr>
          <w:rFonts w:ascii="Cambria" w:hAnsi="Cambria"/>
          <w:sz w:val="24"/>
          <w:szCs w:val="24"/>
        </w:rPr>
        <w:t>, 33(3), pp.405–421. doi: 10.1007/s12144–014–9219–4</w:t>
      </w:r>
    </w:p>
    <w:p w14:paraId="10D08D62" w14:textId="3BAA170E" w:rsidR="00976505" w:rsidRPr="00530906" w:rsidRDefault="00976505">
      <w:pPr>
        <w:spacing w:line="360" w:lineRule="auto"/>
        <w:ind w:left="567" w:hanging="567"/>
        <w:jc w:val="both"/>
        <w:rPr>
          <w:rFonts w:ascii="Cambria" w:hAnsi="Cambria"/>
          <w:sz w:val="24"/>
          <w:szCs w:val="24"/>
        </w:rPr>
      </w:pPr>
      <w:r w:rsidRPr="00530906">
        <w:rPr>
          <w:rFonts w:ascii="Cambria" w:hAnsi="Cambria"/>
          <w:sz w:val="24"/>
          <w:szCs w:val="24"/>
        </w:rPr>
        <w:t xml:space="preserve">Balderjahn, I., Buerke, A., Kirchgeorg, M., Peyer, M., Seegebarth, B. and Wiedmann, K.P. (2013) 'Consciousness for sustainable consumption: scale development and new insights in the economic dimension of consumers’ sustainability', </w:t>
      </w:r>
      <w:r w:rsidRPr="00530906">
        <w:rPr>
          <w:rFonts w:ascii="Cambria" w:hAnsi="Cambria"/>
          <w:i/>
          <w:iCs/>
          <w:sz w:val="24"/>
          <w:szCs w:val="24"/>
        </w:rPr>
        <w:t>AMS review</w:t>
      </w:r>
      <w:r w:rsidRPr="00530906">
        <w:rPr>
          <w:rFonts w:ascii="Cambria" w:hAnsi="Cambria"/>
          <w:sz w:val="24"/>
          <w:szCs w:val="24"/>
        </w:rPr>
        <w:t>, 3(4), pp. 181-192.</w:t>
      </w:r>
    </w:p>
    <w:p w14:paraId="17CCFAD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Banbury, C., Stinerock, R. and Subrahmanyan, S. (2012) Sustainable consumption: Introspecting across multiple lived cultures. </w:t>
      </w:r>
      <w:r w:rsidRPr="00530906">
        <w:rPr>
          <w:rFonts w:ascii="Cambria" w:hAnsi="Cambria"/>
          <w:i/>
          <w:sz w:val="24"/>
          <w:szCs w:val="24"/>
        </w:rPr>
        <w:t>Journal of Business Research</w:t>
      </w:r>
      <w:r w:rsidRPr="00530906">
        <w:rPr>
          <w:rFonts w:ascii="Cambria" w:hAnsi="Cambria"/>
          <w:sz w:val="24"/>
          <w:szCs w:val="24"/>
        </w:rPr>
        <w:t>. 65(4) pp. 497–503. doi:10.1016/j.jbusres.2011.02.028.</w:t>
      </w:r>
    </w:p>
    <w:p w14:paraId="2DC0A69C"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Bansal, P. and Roth, K. (2000) ' Why companies go green: A model of ecological responsiveness', </w:t>
      </w:r>
      <w:r w:rsidRPr="00530906">
        <w:rPr>
          <w:rFonts w:ascii="Cambria" w:hAnsi="Cambria" w:cs="Segoe UI"/>
          <w:i/>
          <w:iCs/>
          <w:sz w:val="24"/>
          <w:szCs w:val="24"/>
        </w:rPr>
        <w:t>Academy of management journal</w:t>
      </w:r>
      <w:r w:rsidRPr="00530906">
        <w:rPr>
          <w:rFonts w:ascii="Cambria" w:hAnsi="Cambria" w:cs="Segoe UI"/>
          <w:sz w:val="24"/>
          <w:szCs w:val="24"/>
        </w:rPr>
        <w:t>, 43(4), pp. 717–736.</w:t>
      </w:r>
    </w:p>
    <w:p w14:paraId="52C47C99" w14:textId="61FB422C"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Bapna, S., Benner, M.J. and Liangfei, Q. (2019) 'NURTURING ONLINE COMMUNITIES: AN EMPIRICAL INVESTIGATION', </w:t>
      </w:r>
      <w:r w:rsidRPr="00530906">
        <w:rPr>
          <w:rFonts w:ascii="Cambria" w:hAnsi="Cambria" w:cs="Segoe UI"/>
          <w:i/>
          <w:iCs/>
          <w:sz w:val="24"/>
          <w:szCs w:val="24"/>
        </w:rPr>
        <w:t>MIS Quarterly</w:t>
      </w:r>
      <w:r w:rsidRPr="00530906">
        <w:rPr>
          <w:rFonts w:ascii="Cambria" w:hAnsi="Cambria" w:cs="Segoe UI"/>
          <w:sz w:val="24"/>
          <w:szCs w:val="24"/>
        </w:rPr>
        <w:t>, 43(2), pp. 425</w:t>
      </w:r>
      <w:r w:rsidR="004179CD" w:rsidRPr="00530906">
        <w:rPr>
          <w:rFonts w:ascii="Cambria" w:hAnsi="Cambria" w:cs="Segoe UI"/>
          <w:sz w:val="24"/>
          <w:szCs w:val="24"/>
        </w:rPr>
        <w:t>–</w:t>
      </w:r>
      <w:r w:rsidRPr="00530906">
        <w:rPr>
          <w:rFonts w:ascii="Cambria" w:hAnsi="Cambria" w:cs="Segoe UI"/>
          <w:sz w:val="24"/>
          <w:szCs w:val="24"/>
        </w:rPr>
        <w:t>452. Doi: 10.25300/MISQ/2019/14530</w:t>
      </w:r>
    </w:p>
    <w:p w14:paraId="56ECCFD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Barreto, A. and Ramalho, D. (2019), "The impact of involvement on engagement with brand posts", </w:t>
      </w:r>
      <w:r w:rsidRPr="00530906">
        <w:rPr>
          <w:rFonts w:ascii="Cambria" w:hAnsi="Cambria"/>
          <w:i/>
          <w:sz w:val="24"/>
          <w:szCs w:val="24"/>
        </w:rPr>
        <w:t>Journal of Research in Interactive Marketing,</w:t>
      </w:r>
      <w:r w:rsidRPr="00530906">
        <w:rPr>
          <w:rFonts w:ascii="Cambria" w:hAnsi="Cambria"/>
          <w:sz w:val="24"/>
          <w:szCs w:val="24"/>
        </w:rPr>
        <w:t xml:space="preserve"> 13(3) pp. 277–301. Doi: 10.1108/JRIM–01–2018–0013</w:t>
      </w:r>
    </w:p>
    <w:p w14:paraId="55EDAE1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Barry, J. M., &amp; Graça, S. S. (2018). HUMOR EFFECTIVENESS IN SOCIAL VIDEO ENGAGEMENT. Journal of Marketing Theory &amp; Practice, 26(1/2), 158–180. doi:10.1080/10696679.2017.1389247</w:t>
      </w:r>
    </w:p>
    <w:p w14:paraId="1A3D6DEC"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Barsalou, L. W. (2008). Grounded cognition. </w:t>
      </w:r>
      <w:r w:rsidRPr="00530906">
        <w:rPr>
          <w:rFonts w:ascii="Cambria" w:hAnsi="Cambria" w:cs="Arial"/>
          <w:i/>
          <w:iCs/>
          <w:sz w:val="24"/>
          <w:szCs w:val="24"/>
          <w:shd w:val="clear" w:color="auto" w:fill="FFFFFF"/>
        </w:rPr>
        <w:t>Annu. Rev. Psychol.</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59</w:t>
      </w:r>
      <w:r w:rsidRPr="00530906">
        <w:rPr>
          <w:rFonts w:ascii="Cambria" w:hAnsi="Cambria" w:cs="Arial"/>
          <w:sz w:val="24"/>
          <w:szCs w:val="24"/>
          <w:shd w:val="clear" w:color="auto" w:fill="FFFFFF"/>
        </w:rPr>
        <w:t>, 617–645. Doi: 10.1146/annurev.psych.59.103006.093639</w:t>
      </w:r>
    </w:p>
    <w:p w14:paraId="41AEB2FA" w14:textId="77777777" w:rsidR="007E4999" w:rsidRPr="00530906" w:rsidRDefault="007E4999">
      <w:pPr>
        <w:spacing w:line="360" w:lineRule="auto"/>
        <w:ind w:left="567" w:hanging="567"/>
        <w:jc w:val="both"/>
        <w:rPr>
          <w:rStyle w:val="Hyperlink"/>
          <w:rFonts w:ascii="Cambria" w:hAnsi="Cambria"/>
          <w:color w:val="auto"/>
          <w:sz w:val="24"/>
          <w:szCs w:val="24"/>
          <w:shd w:val="clear" w:color="auto" w:fill="FFFFFF"/>
        </w:rPr>
      </w:pPr>
      <w:r w:rsidRPr="00530906">
        <w:rPr>
          <w:rFonts w:ascii="Cambria" w:hAnsi="Cambria" w:cs="Arial"/>
          <w:sz w:val="24"/>
          <w:szCs w:val="24"/>
          <w:shd w:val="clear" w:color="auto" w:fill="FFFFFF"/>
        </w:rPr>
        <w:t>Basu, K., &amp; Palazzo, G. (2008). Corporate social responsibility: A process model of sensemaking. </w:t>
      </w:r>
      <w:r w:rsidRPr="00530906">
        <w:rPr>
          <w:rFonts w:ascii="Cambria" w:hAnsi="Cambria" w:cs="Arial"/>
          <w:i/>
          <w:iCs/>
          <w:sz w:val="24"/>
          <w:szCs w:val="24"/>
          <w:shd w:val="clear" w:color="auto" w:fill="FFFFFF"/>
        </w:rPr>
        <w:t>Academy of management review</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33</w:t>
      </w:r>
      <w:r w:rsidRPr="00530906">
        <w:rPr>
          <w:rFonts w:ascii="Cambria" w:hAnsi="Cambria" w:cs="Arial"/>
          <w:sz w:val="24"/>
          <w:szCs w:val="24"/>
          <w:shd w:val="clear" w:color="auto" w:fill="FFFFFF"/>
        </w:rPr>
        <w:t xml:space="preserve">(1), 122–136. Doi: </w:t>
      </w:r>
      <w:hyperlink r:id="rId124" w:history="1">
        <w:r w:rsidRPr="00530906">
          <w:rPr>
            <w:rStyle w:val="Hyperlink"/>
            <w:rFonts w:ascii="Cambria" w:hAnsi="Cambria"/>
            <w:color w:val="auto"/>
            <w:sz w:val="24"/>
            <w:szCs w:val="24"/>
            <w:shd w:val="clear" w:color="auto" w:fill="FFFFFF"/>
          </w:rPr>
          <w:t>10.5465/amr.2008.27745504</w:t>
        </w:r>
      </w:hyperlink>
    </w:p>
    <w:p w14:paraId="6614FC28" w14:textId="02E60E1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Segoe UI"/>
          <w:sz w:val="24"/>
          <w:szCs w:val="24"/>
        </w:rPr>
        <w:t xml:space="preserve">Batra, R. and Stephens, D. (1994) ' Attitudinal effects of ad‐evoked moods and emotions: The moderating role of motivation', </w:t>
      </w:r>
      <w:r w:rsidRPr="00530906">
        <w:rPr>
          <w:rFonts w:ascii="Cambria" w:hAnsi="Cambria" w:cs="Segoe UI"/>
          <w:i/>
          <w:iCs/>
          <w:sz w:val="24"/>
          <w:szCs w:val="24"/>
        </w:rPr>
        <w:t>Psychology &amp; Marketing</w:t>
      </w:r>
      <w:r w:rsidRPr="00530906">
        <w:rPr>
          <w:rFonts w:ascii="Cambria" w:hAnsi="Cambria" w:cs="Segoe UI"/>
          <w:sz w:val="24"/>
          <w:szCs w:val="24"/>
        </w:rPr>
        <w:t>, 11(3), pp. 199</w:t>
      </w:r>
      <w:r w:rsidR="004179CD" w:rsidRPr="00530906">
        <w:rPr>
          <w:rFonts w:ascii="Cambria" w:hAnsi="Cambria" w:cs="Segoe UI"/>
          <w:sz w:val="24"/>
          <w:szCs w:val="24"/>
        </w:rPr>
        <w:t>–</w:t>
      </w:r>
      <w:r w:rsidRPr="00530906">
        <w:rPr>
          <w:rFonts w:ascii="Cambria" w:hAnsi="Cambria" w:cs="Segoe UI"/>
          <w:sz w:val="24"/>
          <w:szCs w:val="24"/>
        </w:rPr>
        <w:t>215. Doi: 10.1002/mar.4220110302</w:t>
      </w:r>
    </w:p>
    <w:p w14:paraId="4E1A747B" w14:textId="77777777" w:rsidR="007E4999" w:rsidRPr="00530906" w:rsidRDefault="007E4999">
      <w:pPr>
        <w:spacing w:line="360" w:lineRule="auto"/>
        <w:ind w:left="567" w:hanging="567"/>
        <w:jc w:val="both"/>
        <w:rPr>
          <w:rStyle w:val="Hyperlink"/>
          <w:rFonts w:ascii="Cambria" w:hAnsi="Cambria" w:cs="Arial"/>
          <w:color w:val="auto"/>
          <w:sz w:val="24"/>
          <w:szCs w:val="24"/>
          <w:bdr w:val="none" w:sz="0" w:space="0" w:color="auto" w:frame="1"/>
          <w:shd w:val="clear" w:color="auto" w:fill="FFFFFF"/>
        </w:rPr>
      </w:pPr>
      <w:r w:rsidRPr="00530906">
        <w:rPr>
          <w:rFonts w:ascii="Cambria" w:hAnsi="Cambria" w:cs="Arial"/>
          <w:sz w:val="24"/>
          <w:szCs w:val="24"/>
          <w:shd w:val="clear" w:color="auto" w:fill="FFFFFF"/>
        </w:rPr>
        <w:t>Batra, R., &amp; Ray, M. L. (1986). Affective responses mediating acceptance of advertising. </w:t>
      </w:r>
      <w:r w:rsidRPr="00530906">
        <w:rPr>
          <w:rFonts w:ascii="Cambria" w:hAnsi="Cambria" w:cs="Arial"/>
          <w:i/>
          <w:iCs/>
          <w:sz w:val="24"/>
          <w:szCs w:val="24"/>
          <w:shd w:val="clear" w:color="auto" w:fill="FFFFFF"/>
        </w:rPr>
        <w:t>Journal of consumer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13</w:t>
      </w:r>
      <w:r w:rsidRPr="00530906">
        <w:rPr>
          <w:rFonts w:ascii="Cambria" w:hAnsi="Cambria" w:cs="Arial"/>
          <w:sz w:val="24"/>
          <w:szCs w:val="24"/>
          <w:shd w:val="clear" w:color="auto" w:fill="FFFFFF"/>
        </w:rPr>
        <w:t>(2), 234–249.</w:t>
      </w:r>
      <w:hyperlink r:id="rId125" w:history="1">
        <w:r w:rsidRPr="00530906">
          <w:rPr>
            <w:rStyle w:val="Hyperlink"/>
            <w:rFonts w:ascii="Cambria" w:hAnsi="Cambria" w:cs="Arial"/>
            <w:color w:val="auto"/>
            <w:sz w:val="24"/>
            <w:szCs w:val="24"/>
            <w:bdr w:val="none" w:sz="0" w:space="0" w:color="auto" w:frame="1"/>
            <w:shd w:val="clear" w:color="auto" w:fill="FFFFFF"/>
          </w:rPr>
          <w:t>doi:10.1086/209063</w:t>
        </w:r>
      </w:hyperlink>
    </w:p>
    <w:p w14:paraId="2E523C67" w14:textId="11BE7595" w:rsidR="008D763F" w:rsidRPr="00530906" w:rsidRDefault="008D763F">
      <w:pPr>
        <w:spacing w:line="360" w:lineRule="auto"/>
        <w:ind w:left="567" w:hanging="567"/>
        <w:jc w:val="both"/>
        <w:rPr>
          <w:rFonts w:ascii="Cambria" w:hAnsi="Cambria"/>
          <w:sz w:val="24"/>
          <w:szCs w:val="24"/>
        </w:rPr>
      </w:pPr>
      <w:r w:rsidRPr="00530906">
        <w:rPr>
          <w:rFonts w:ascii="Cambria" w:hAnsi="Cambria"/>
          <w:sz w:val="24"/>
          <w:szCs w:val="24"/>
        </w:rPr>
        <w:t>Bbc.co.uk (2021) Asda: George brand to sell second</w:t>
      </w:r>
      <w:r w:rsidR="004179CD" w:rsidRPr="00530906">
        <w:rPr>
          <w:rFonts w:ascii="Cambria" w:hAnsi="Cambria"/>
          <w:sz w:val="24"/>
          <w:szCs w:val="24"/>
        </w:rPr>
        <w:t>–</w:t>
      </w:r>
      <w:r w:rsidRPr="00530906">
        <w:rPr>
          <w:rFonts w:ascii="Cambria" w:hAnsi="Cambria"/>
          <w:sz w:val="24"/>
          <w:szCs w:val="24"/>
        </w:rPr>
        <w:t xml:space="preserve">hand clothing in shops. Available at </w:t>
      </w:r>
      <w:hyperlink r:id="rId126" w:history="1">
        <w:r w:rsidRPr="00530906">
          <w:rPr>
            <w:rStyle w:val="Hyperlink"/>
            <w:rFonts w:ascii="Cambria" w:hAnsi="Cambria"/>
            <w:sz w:val="24"/>
            <w:szCs w:val="24"/>
          </w:rPr>
          <w:t>https://www.bbc.co.uk/news/business</w:t>
        </w:r>
        <w:r w:rsidR="004179CD" w:rsidRPr="00530906">
          <w:rPr>
            <w:rStyle w:val="Hyperlink"/>
            <w:rFonts w:ascii="Cambria" w:hAnsi="Cambria"/>
            <w:sz w:val="24"/>
            <w:szCs w:val="24"/>
          </w:rPr>
          <w:t>–</w:t>
        </w:r>
        <w:r w:rsidRPr="00530906">
          <w:rPr>
            <w:rStyle w:val="Hyperlink"/>
            <w:rFonts w:ascii="Cambria" w:hAnsi="Cambria"/>
            <w:sz w:val="24"/>
            <w:szCs w:val="24"/>
          </w:rPr>
          <w:t>56916414?at_medium=custom7&amp;at_custom3=BBC+Family+%26+Education+News&amp;at_custom4=16A94762</w:t>
        </w:r>
        <w:r w:rsidR="004179CD" w:rsidRPr="00530906">
          <w:rPr>
            <w:rStyle w:val="Hyperlink"/>
            <w:rFonts w:ascii="Cambria" w:hAnsi="Cambria"/>
            <w:sz w:val="24"/>
            <w:szCs w:val="24"/>
          </w:rPr>
          <w:t>–</w:t>
        </w:r>
        <w:r w:rsidRPr="00530906">
          <w:rPr>
            <w:rStyle w:val="Hyperlink"/>
            <w:rFonts w:ascii="Cambria" w:hAnsi="Cambria"/>
            <w:sz w:val="24"/>
            <w:szCs w:val="24"/>
          </w:rPr>
          <w:t>A8C9</w:t>
        </w:r>
        <w:r w:rsidR="004179CD" w:rsidRPr="00530906">
          <w:rPr>
            <w:rStyle w:val="Hyperlink"/>
            <w:rFonts w:ascii="Cambria" w:hAnsi="Cambria"/>
            <w:sz w:val="24"/>
            <w:szCs w:val="24"/>
          </w:rPr>
          <w:t>–</w:t>
        </w:r>
        <w:r w:rsidRPr="00530906">
          <w:rPr>
            <w:rStyle w:val="Hyperlink"/>
            <w:rFonts w:ascii="Cambria" w:hAnsi="Cambria"/>
            <w:sz w:val="24"/>
            <w:szCs w:val="24"/>
          </w:rPr>
          <w:t>11EB</w:t>
        </w:r>
        <w:r w:rsidR="004179CD" w:rsidRPr="00530906">
          <w:rPr>
            <w:rStyle w:val="Hyperlink"/>
            <w:rFonts w:ascii="Cambria" w:hAnsi="Cambria"/>
            <w:sz w:val="24"/>
            <w:szCs w:val="24"/>
          </w:rPr>
          <w:t>–</w:t>
        </w:r>
        <w:r w:rsidRPr="00530906">
          <w:rPr>
            <w:rStyle w:val="Hyperlink"/>
            <w:rFonts w:ascii="Cambria" w:hAnsi="Cambria"/>
            <w:sz w:val="24"/>
            <w:szCs w:val="24"/>
          </w:rPr>
          <w:t>A030</w:t>
        </w:r>
        <w:r w:rsidR="004179CD" w:rsidRPr="00530906">
          <w:rPr>
            <w:rStyle w:val="Hyperlink"/>
            <w:rFonts w:ascii="Cambria" w:hAnsi="Cambria"/>
            <w:sz w:val="24"/>
            <w:szCs w:val="24"/>
          </w:rPr>
          <w:t>–</w:t>
        </w:r>
        <w:r w:rsidRPr="00530906">
          <w:rPr>
            <w:rStyle w:val="Hyperlink"/>
            <w:rFonts w:ascii="Cambria" w:hAnsi="Cambria"/>
            <w:sz w:val="24"/>
            <w:szCs w:val="24"/>
          </w:rPr>
          <w:t>E0BF923C408C&amp;at_custom1=%5Bpost+type%5D&amp;at_campaign=64&amp;at_custom2=facebook_page&amp;fbclid=IwAR15t</w:t>
        </w:r>
        <w:r w:rsidR="004179CD" w:rsidRPr="00530906">
          <w:rPr>
            <w:rStyle w:val="Hyperlink"/>
            <w:rFonts w:ascii="Cambria" w:hAnsi="Cambria"/>
            <w:sz w:val="24"/>
            <w:szCs w:val="24"/>
          </w:rPr>
          <w:t>–</w:t>
        </w:r>
        <w:r w:rsidRPr="00530906">
          <w:rPr>
            <w:rStyle w:val="Hyperlink"/>
            <w:rFonts w:ascii="Cambria" w:hAnsi="Cambria"/>
            <w:sz w:val="24"/>
            <w:szCs w:val="24"/>
          </w:rPr>
          <w:t>tWE0a27J</w:t>
        </w:r>
        <w:r w:rsidR="004179CD" w:rsidRPr="00530906">
          <w:rPr>
            <w:rStyle w:val="Hyperlink"/>
            <w:rFonts w:ascii="Cambria" w:hAnsi="Cambria"/>
            <w:sz w:val="24"/>
            <w:szCs w:val="24"/>
          </w:rPr>
          <w:t>–</w:t>
        </w:r>
        <w:r w:rsidRPr="00530906">
          <w:rPr>
            <w:rStyle w:val="Hyperlink"/>
            <w:rFonts w:ascii="Cambria" w:hAnsi="Cambria"/>
            <w:sz w:val="24"/>
            <w:szCs w:val="24"/>
          </w:rPr>
          <w:t>PB08UYiXxGA97cH9CI</w:t>
        </w:r>
        <w:r w:rsidR="004179CD" w:rsidRPr="00530906">
          <w:rPr>
            <w:rStyle w:val="Hyperlink"/>
            <w:rFonts w:ascii="Cambria" w:hAnsi="Cambria"/>
            <w:sz w:val="24"/>
            <w:szCs w:val="24"/>
          </w:rPr>
          <w:t>–</w:t>
        </w:r>
        <w:r w:rsidRPr="00530906">
          <w:rPr>
            <w:rStyle w:val="Hyperlink"/>
            <w:rFonts w:ascii="Cambria" w:hAnsi="Cambria"/>
            <w:sz w:val="24"/>
            <w:szCs w:val="24"/>
          </w:rPr>
          <w:t>wKi4gr4S59f3hnD1PBJN2CYAY</w:t>
        </w:r>
      </w:hyperlink>
      <w:r w:rsidRPr="00530906">
        <w:rPr>
          <w:rStyle w:val="Hyperlink"/>
          <w:rFonts w:ascii="Cambria" w:hAnsi="Cambria"/>
          <w:color w:val="auto"/>
          <w:sz w:val="24"/>
          <w:szCs w:val="24"/>
          <w:u w:val="none"/>
        </w:rPr>
        <w:t xml:space="preserve"> (Accessed on: 9</w:t>
      </w:r>
      <w:r w:rsidRPr="00530906">
        <w:rPr>
          <w:rStyle w:val="Hyperlink"/>
          <w:rFonts w:ascii="Cambria" w:hAnsi="Cambria"/>
          <w:color w:val="auto"/>
          <w:sz w:val="24"/>
          <w:szCs w:val="24"/>
          <w:u w:val="none"/>
          <w:vertAlign w:val="superscript"/>
        </w:rPr>
        <w:t>th</w:t>
      </w:r>
      <w:r w:rsidRPr="00530906">
        <w:rPr>
          <w:rStyle w:val="Hyperlink"/>
          <w:rFonts w:ascii="Cambria" w:hAnsi="Cambria"/>
          <w:color w:val="auto"/>
          <w:sz w:val="24"/>
          <w:szCs w:val="24"/>
          <w:u w:val="none"/>
        </w:rPr>
        <w:t xml:space="preserve"> May 2021)</w:t>
      </w:r>
    </w:p>
    <w:p w14:paraId="53931AB5" w14:textId="77777777" w:rsidR="008D763F" w:rsidRPr="00530906" w:rsidRDefault="008D763F">
      <w:pPr>
        <w:spacing w:line="360" w:lineRule="auto"/>
        <w:ind w:left="567" w:hanging="567"/>
        <w:jc w:val="both"/>
        <w:rPr>
          <w:rStyle w:val="Hyperlink"/>
          <w:rFonts w:ascii="Cambria" w:hAnsi="Cambria"/>
          <w:color w:val="auto"/>
          <w:sz w:val="24"/>
          <w:szCs w:val="24"/>
        </w:rPr>
      </w:pPr>
      <w:r w:rsidRPr="00530906">
        <w:rPr>
          <w:rFonts w:ascii="Cambria" w:hAnsi="Cambria"/>
          <w:sz w:val="24"/>
          <w:szCs w:val="24"/>
        </w:rPr>
        <w:t xml:space="preserve">BCG (2018) Total social impact. Available at: </w:t>
      </w:r>
      <w:hyperlink r:id="rId127" w:history="1">
        <w:r w:rsidRPr="00530906">
          <w:rPr>
            <w:rStyle w:val="Hyperlink"/>
            <w:rFonts w:ascii="Cambria" w:hAnsi="Cambria"/>
            <w:sz w:val="24"/>
            <w:szCs w:val="24"/>
          </w:rPr>
          <w:t>https://www.bcg.com/d/press/25october2017–total–societal–impact–174436</w:t>
        </w:r>
      </w:hyperlink>
      <w:r w:rsidRPr="00530906">
        <w:rPr>
          <w:rFonts w:ascii="Cambria" w:hAnsi="Cambria"/>
          <w:sz w:val="24"/>
          <w:szCs w:val="24"/>
        </w:rPr>
        <w:t xml:space="preserve"> (Accessed on 10th December 2018)</w:t>
      </w:r>
    </w:p>
    <w:p w14:paraId="6E7FC50C" w14:textId="04DB5D9C" w:rsidR="007E4999" w:rsidRPr="00530906" w:rsidRDefault="007E4999">
      <w:pPr>
        <w:spacing w:line="360" w:lineRule="auto"/>
        <w:ind w:left="567" w:hanging="567"/>
        <w:jc w:val="both"/>
        <w:rPr>
          <w:rFonts w:ascii="Cambria" w:hAnsi="Cambria"/>
          <w:sz w:val="24"/>
          <w:szCs w:val="24"/>
        </w:rPr>
      </w:pPr>
      <w:bookmarkStart w:id="166" w:name="_Hlk64918147"/>
      <w:r w:rsidRPr="00530906">
        <w:rPr>
          <w:rFonts w:ascii="Cambria" w:hAnsi="Cambria" w:cs="Arial"/>
          <w:sz w:val="24"/>
          <w:szCs w:val="24"/>
          <w:shd w:val="clear" w:color="auto" w:fill="FFFFFF"/>
        </w:rPr>
        <w:t xml:space="preserve">Behl, A., &amp; Dutta, P. (2019). </w:t>
      </w:r>
      <w:bookmarkEnd w:id="166"/>
      <w:r w:rsidRPr="00530906">
        <w:rPr>
          <w:rFonts w:ascii="Cambria" w:hAnsi="Cambria" w:cs="Arial"/>
          <w:sz w:val="24"/>
          <w:szCs w:val="24"/>
          <w:shd w:val="clear" w:color="auto" w:fill="FFFFFF"/>
        </w:rPr>
        <w:t>Humanitarian supply chain management: a thematic literature review and future directions of research. </w:t>
      </w:r>
      <w:r w:rsidRPr="00530906">
        <w:rPr>
          <w:rFonts w:ascii="Cambria" w:hAnsi="Cambria" w:cs="Arial"/>
          <w:i/>
          <w:iCs/>
          <w:sz w:val="24"/>
          <w:szCs w:val="24"/>
          <w:shd w:val="clear" w:color="auto" w:fill="FFFFFF"/>
        </w:rPr>
        <w:t>Annals of Operations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283</w:t>
      </w:r>
      <w:r w:rsidRPr="00530906">
        <w:rPr>
          <w:rFonts w:ascii="Cambria" w:hAnsi="Cambria" w:cs="Arial"/>
          <w:sz w:val="24"/>
          <w:szCs w:val="24"/>
          <w:shd w:val="clear" w:color="auto" w:fill="FFFFFF"/>
        </w:rPr>
        <w:t>(1), 1001</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1044. Doi : </w:t>
      </w:r>
      <w:r w:rsidRPr="00530906">
        <w:rPr>
          <w:rFonts w:ascii="Cambria" w:hAnsi="Cambria" w:cs="Times-Roman"/>
          <w:sz w:val="24"/>
          <w:szCs w:val="24"/>
        </w:rPr>
        <w:t>10.1007/s10479</w:t>
      </w:r>
      <w:r w:rsidR="004179CD" w:rsidRPr="00530906">
        <w:rPr>
          <w:rFonts w:ascii="Cambria" w:hAnsi="Cambria" w:cs="Times-Roman"/>
          <w:sz w:val="24"/>
          <w:szCs w:val="24"/>
        </w:rPr>
        <w:t>–</w:t>
      </w:r>
      <w:r w:rsidRPr="00530906">
        <w:rPr>
          <w:rFonts w:ascii="Cambria" w:hAnsi="Cambria" w:cs="Times-Roman"/>
          <w:sz w:val="24"/>
          <w:szCs w:val="24"/>
        </w:rPr>
        <w:t>018</w:t>
      </w:r>
      <w:r w:rsidR="004179CD" w:rsidRPr="00530906">
        <w:rPr>
          <w:rFonts w:ascii="Cambria" w:hAnsi="Cambria" w:cs="Times-Roman"/>
          <w:sz w:val="24"/>
          <w:szCs w:val="24"/>
        </w:rPr>
        <w:t>–</w:t>
      </w:r>
      <w:r w:rsidRPr="00530906">
        <w:rPr>
          <w:rFonts w:ascii="Cambria" w:hAnsi="Cambria" w:cs="Times-Roman"/>
          <w:sz w:val="24"/>
          <w:szCs w:val="24"/>
        </w:rPr>
        <w:t>2806</w:t>
      </w:r>
      <w:r w:rsidR="004179CD" w:rsidRPr="00530906">
        <w:rPr>
          <w:rFonts w:ascii="Cambria" w:hAnsi="Cambria" w:cs="Times-Roman"/>
          <w:sz w:val="24"/>
          <w:szCs w:val="24"/>
        </w:rPr>
        <w:t>–</w:t>
      </w:r>
      <w:r w:rsidRPr="00530906">
        <w:rPr>
          <w:rFonts w:ascii="Cambria" w:hAnsi="Cambria" w:cs="Times-Roman"/>
          <w:sz w:val="24"/>
          <w:szCs w:val="24"/>
        </w:rPr>
        <w:t>2</w:t>
      </w:r>
    </w:p>
    <w:p w14:paraId="32F7B5C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Belz, F. M. and Peattie, K. (2012)</w:t>
      </w:r>
      <w:r w:rsidRPr="00530906">
        <w:rPr>
          <w:rFonts w:ascii="Cambria" w:hAnsi="Cambria"/>
          <w:i/>
          <w:sz w:val="24"/>
          <w:szCs w:val="24"/>
        </w:rPr>
        <w:t xml:space="preserve"> Sustainability marketing</w:t>
      </w:r>
      <w:r w:rsidRPr="00530906">
        <w:rPr>
          <w:rFonts w:ascii="Cambria" w:hAnsi="Cambria"/>
          <w:sz w:val="24"/>
          <w:szCs w:val="24"/>
        </w:rPr>
        <w:t>. 2</w:t>
      </w:r>
      <w:r w:rsidRPr="00530906">
        <w:rPr>
          <w:rFonts w:ascii="Cambria" w:hAnsi="Cambria"/>
          <w:sz w:val="24"/>
          <w:szCs w:val="24"/>
          <w:vertAlign w:val="superscript"/>
        </w:rPr>
        <w:t>nd</w:t>
      </w:r>
      <w:r w:rsidRPr="00530906">
        <w:rPr>
          <w:rFonts w:ascii="Cambria" w:hAnsi="Cambria"/>
          <w:sz w:val="24"/>
          <w:szCs w:val="24"/>
        </w:rPr>
        <w:t xml:space="preserve"> edition. India: Wiley. </w:t>
      </w:r>
    </w:p>
    <w:p w14:paraId="6405B07E" w14:textId="645C632C" w:rsidR="007E4999" w:rsidRPr="00530906" w:rsidRDefault="007E4999">
      <w:pPr>
        <w:spacing w:line="360" w:lineRule="auto"/>
        <w:ind w:left="567" w:hanging="567"/>
        <w:jc w:val="both"/>
        <w:rPr>
          <w:rFonts w:ascii="Cambria" w:hAnsi="Cambria" w:cs="Segoe UI"/>
          <w:sz w:val="24"/>
          <w:szCs w:val="24"/>
          <w:u w:val="single"/>
        </w:rPr>
      </w:pPr>
      <w:r w:rsidRPr="00530906">
        <w:rPr>
          <w:rFonts w:ascii="Cambria" w:hAnsi="Cambria" w:cs="Segoe UI"/>
          <w:sz w:val="24"/>
          <w:szCs w:val="24"/>
        </w:rPr>
        <w:t>Benson, V., Jean</w:t>
      </w:r>
      <w:r w:rsidR="004179CD" w:rsidRPr="00530906">
        <w:rPr>
          <w:rFonts w:ascii="Cambria" w:hAnsi="Cambria" w:cs="Segoe UI"/>
          <w:sz w:val="24"/>
          <w:szCs w:val="24"/>
        </w:rPr>
        <w:t>–</w:t>
      </w:r>
      <w:r w:rsidRPr="00530906">
        <w:rPr>
          <w:rFonts w:ascii="Cambria" w:hAnsi="Cambria" w:cs="Segoe UI"/>
          <w:sz w:val="24"/>
          <w:szCs w:val="24"/>
        </w:rPr>
        <w:t xml:space="preserve">Noel, E. and Hand, C. (2019) 'An empirical study of purchase behaviour on social platforms', </w:t>
      </w:r>
      <w:r w:rsidRPr="00530906">
        <w:rPr>
          <w:rFonts w:ascii="Cambria" w:hAnsi="Cambria" w:cs="Segoe UI"/>
          <w:i/>
          <w:iCs/>
          <w:sz w:val="24"/>
          <w:szCs w:val="24"/>
        </w:rPr>
        <w:t>Information Technology &amp; People</w:t>
      </w:r>
      <w:r w:rsidRPr="00530906">
        <w:rPr>
          <w:rFonts w:ascii="Cambria" w:hAnsi="Cambria" w:cs="Segoe UI"/>
          <w:sz w:val="24"/>
          <w:szCs w:val="24"/>
        </w:rPr>
        <w:t>, 32(4), pp. 876</w:t>
      </w:r>
      <w:r w:rsidR="004179CD" w:rsidRPr="00530906">
        <w:rPr>
          <w:rFonts w:ascii="Cambria" w:hAnsi="Cambria" w:cs="Segoe UI"/>
          <w:sz w:val="24"/>
          <w:szCs w:val="24"/>
        </w:rPr>
        <w:t>–</w:t>
      </w:r>
      <w:r w:rsidRPr="00530906">
        <w:rPr>
          <w:rFonts w:ascii="Cambria" w:hAnsi="Cambria" w:cs="Segoe UI"/>
          <w:sz w:val="24"/>
          <w:szCs w:val="24"/>
        </w:rPr>
        <w:t xml:space="preserve">896.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08</w:t>
      </w:r>
      <w:r w:rsidR="004179CD" w:rsidRPr="00530906">
        <w:rPr>
          <w:rFonts w:ascii="Cambria" w:hAnsi="Cambria" w:cs="Segoe UI"/>
          <w:sz w:val="24"/>
          <w:szCs w:val="24"/>
          <w:u w:val="single"/>
        </w:rPr>
        <w:t>–</w:t>
      </w:r>
      <w:r w:rsidRPr="00530906">
        <w:rPr>
          <w:rFonts w:ascii="Cambria" w:hAnsi="Cambria" w:cs="Segoe UI"/>
          <w:sz w:val="24"/>
          <w:szCs w:val="24"/>
          <w:u w:val="single"/>
        </w:rPr>
        <w:t>2017</w:t>
      </w:r>
      <w:r w:rsidR="004179CD" w:rsidRPr="00530906">
        <w:rPr>
          <w:rFonts w:ascii="Cambria" w:hAnsi="Cambria" w:cs="Segoe UI"/>
          <w:sz w:val="24"/>
          <w:szCs w:val="24"/>
          <w:u w:val="single"/>
        </w:rPr>
        <w:t>–</w:t>
      </w:r>
      <w:r w:rsidRPr="00530906">
        <w:rPr>
          <w:rFonts w:ascii="Cambria" w:hAnsi="Cambria" w:cs="Segoe UI"/>
          <w:sz w:val="24"/>
          <w:szCs w:val="24"/>
          <w:u w:val="single"/>
        </w:rPr>
        <w:t>0267</w:t>
      </w:r>
    </w:p>
    <w:p w14:paraId="4950AEC2" w14:textId="20A89403" w:rsidR="007E4999" w:rsidRDefault="007E4999">
      <w:pPr>
        <w:spacing w:line="360" w:lineRule="auto"/>
        <w:ind w:left="567" w:hanging="567"/>
        <w:jc w:val="both"/>
        <w:rPr>
          <w:rFonts w:ascii="Cambria" w:hAnsi="Cambria" w:cs="Segoe UI"/>
          <w:sz w:val="24"/>
          <w:szCs w:val="24"/>
          <w:u w:val="single"/>
        </w:rPr>
      </w:pPr>
      <w:r w:rsidRPr="00530906">
        <w:rPr>
          <w:rFonts w:ascii="Cambria" w:hAnsi="Cambria" w:cs="Segoe UI"/>
          <w:sz w:val="24"/>
          <w:szCs w:val="24"/>
        </w:rPr>
        <w:t xml:space="preserve">Benson, V., Saridakis, G. and Tennakoon, H. (2015) 'Information disclosure of social media users', </w:t>
      </w:r>
      <w:r w:rsidRPr="00530906">
        <w:rPr>
          <w:rFonts w:ascii="Cambria" w:hAnsi="Cambria" w:cs="Segoe UI"/>
          <w:i/>
          <w:iCs/>
          <w:sz w:val="24"/>
          <w:szCs w:val="24"/>
        </w:rPr>
        <w:t>Information Technology &amp; People</w:t>
      </w:r>
      <w:r w:rsidRPr="00530906">
        <w:rPr>
          <w:rFonts w:ascii="Cambria" w:hAnsi="Cambria" w:cs="Segoe UI"/>
          <w:sz w:val="24"/>
          <w:szCs w:val="24"/>
        </w:rPr>
        <w:t>, 28(3), pp. 426</w:t>
      </w:r>
      <w:r w:rsidR="004179CD" w:rsidRPr="00530906">
        <w:rPr>
          <w:rFonts w:ascii="Cambria" w:hAnsi="Cambria" w:cs="Segoe UI"/>
          <w:sz w:val="24"/>
          <w:szCs w:val="24"/>
        </w:rPr>
        <w:t>–</w:t>
      </w:r>
      <w:r w:rsidRPr="00530906">
        <w:rPr>
          <w:rFonts w:ascii="Cambria" w:hAnsi="Cambria" w:cs="Segoe UI"/>
          <w:sz w:val="24"/>
          <w:szCs w:val="24"/>
        </w:rPr>
        <w:t xml:space="preserve">441.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10</w:t>
      </w:r>
      <w:r w:rsidR="004179CD" w:rsidRPr="00530906">
        <w:rPr>
          <w:rFonts w:ascii="Cambria" w:hAnsi="Cambria" w:cs="Segoe UI"/>
          <w:sz w:val="24"/>
          <w:szCs w:val="24"/>
          <w:u w:val="single"/>
        </w:rPr>
        <w:t>–</w:t>
      </w:r>
      <w:r w:rsidRPr="00530906">
        <w:rPr>
          <w:rFonts w:ascii="Cambria" w:hAnsi="Cambria" w:cs="Segoe UI"/>
          <w:sz w:val="24"/>
          <w:szCs w:val="24"/>
          <w:u w:val="single"/>
        </w:rPr>
        <w:t>2014</w:t>
      </w:r>
      <w:r w:rsidR="004179CD" w:rsidRPr="00530906">
        <w:rPr>
          <w:rFonts w:ascii="Cambria" w:hAnsi="Cambria" w:cs="Segoe UI"/>
          <w:sz w:val="24"/>
          <w:szCs w:val="24"/>
          <w:u w:val="single"/>
        </w:rPr>
        <w:t>–</w:t>
      </w:r>
      <w:r w:rsidRPr="00530906">
        <w:rPr>
          <w:rFonts w:ascii="Cambria" w:hAnsi="Cambria" w:cs="Segoe UI"/>
          <w:sz w:val="24"/>
          <w:szCs w:val="24"/>
          <w:u w:val="single"/>
        </w:rPr>
        <w:t>0232</w:t>
      </w:r>
    </w:p>
    <w:p w14:paraId="7E430DDA" w14:textId="6D77716F" w:rsidR="00830991" w:rsidRPr="00530906" w:rsidRDefault="00830991">
      <w:pPr>
        <w:spacing w:line="360" w:lineRule="auto"/>
        <w:ind w:left="567" w:hanging="567"/>
        <w:jc w:val="both"/>
        <w:rPr>
          <w:rFonts w:ascii="Cambria" w:hAnsi="Cambria"/>
          <w:sz w:val="24"/>
          <w:szCs w:val="24"/>
        </w:rPr>
      </w:pPr>
      <w:r>
        <w:rPr>
          <w:rFonts w:ascii="Segoe UI" w:hAnsi="Segoe UI" w:cs="Segoe UI"/>
        </w:rPr>
        <w:t xml:space="preserve">Berger, J. and Milkman, K.L. (2012) 'What Makes Online Content Viral??', </w:t>
      </w:r>
      <w:r>
        <w:rPr>
          <w:rFonts w:ascii="Segoe UI" w:hAnsi="Segoe UI" w:cs="Segoe UI"/>
          <w:i/>
          <w:iCs/>
        </w:rPr>
        <w:t>Journal of Marketing Research (JMR)</w:t>
      </w:r>
      <w:r>
        <w:rPr>
          <w:rFonts w:ascii="Segoe UI" w:hAnsi="Segoe UI" w:cs="Segoe UI"/>
        </w:rPr>
        <w:t>, 49(2), pp. 192-205.</w:t>
      </w:r>
    </w:p>
    <w:p w14:paraId="374D324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Berkowitz, L. (1986) 'The elaboration likelihood model of persuasion', Advances in experimental social psychology, 19, pp. 123–205.</w:t>
      </w:r>
    </w:p>
    <w:p w14:paraId="278E938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Bhattacharya, C. B. and Sen, S. (2003) Consumer–Company Identification: A Framework for Understanding Consumers' Relationships with Companies. </w:t>
      </w:r>
      <w:r w:rsidRPr="00530906">
        <w:rPr>
          <w:rFonts w:ascii="Cambria" w:hAnsi="Cambria"/>
          <w:i/>
          <w:sz w:val="24"/>
          <w:szCs w:val="24"/>
        </w:rPr>
        <w:t>Journal of Marketing</w:t>
      </w:r>
      <w:r w:rsidRPr="00530906">
        <w:rPr>
          <w:rFonts w:ascii="Cambria" w:hAnsi="Cambria"/>
          <w:sz w:val="24"/>
          <w:szCs w:val="24"/>
        </w:rPr>
        <w:t>. 67 (2). Pp 76–88. Available from: http://web.a.ebscohost.com/ehost/pdfviewer/pdfviewer?vid=3&amp;sid=e35d2b98–eba6–4dae–b288–d9a8aa9aac1e%40sessionmgr4006 [Accessed February 25</w:t>
      </w:r>
      <w:r w:rsidRPr="00530906">
        <w:rPr>
          <w:rFonts w:ascii="Cambria" w:hAnsi="Cambria"/>
          <w:sz w:val="24"/>
          <w:szCs w:val="24"/>
          <w:vertAlign w:val="superscript"/>
        </w:rPr>
        <w:t>th</w:t>
      </w:r>
      <w:r w:rsidRPr="00530906">
        <w:rPr>
          <w:rFonts w:ascii="Cambria" w:hAnsi="Cambria"/>
          <w:sz w:val="24"/>
          <w:szCs w:val="24"/>
        </w:rPr>
        <w:t xml:space="preserve"> 2018]</w:t>
      </w:r>
    </w:p>
    <w:p w14:paraId="23BF662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 Bhattacharya, C. B., Rao, H. and Glynn, M. A. (1995) ‘Understanding the bond of identification: An investigation of its correlates among art museum members’, </w:t>
      </w:r>
      <w:r w:rsidRPr="00530906">
        <w:rPr>
          <w:rFonts w:ascii="Cambria" w:hAnsi="Cambria"/>
          <w:i/>
          <w:sz w:val="24"/>
          <w:szCs w:val="24"/>
        </w:rPr>
        <w:t>Journal of Marketing</w:t>
      </w:r>
      <w:r w:rsidRPr="00530906">
        <w:rPr>
          <w:rFonts w:ascii="Cambria" w:hAnsi="Cambria"/>
          <w:sz w:val="24"/>
          <w:szCs w:val="24"/>
        </w:rPr>
        <w:t>, 59 (4), pp. 46–57. Available from</w:t>
      </w:r>
      <w:hyperlink r:id="rId128" w:history="1">
        <w:r w:rsidRPr="00530906">
          <w:rPr>
            <w:rFonts w:ascii="Cambria" w:hAnsi="Cambria"/>
            <w:sz w:val="24"/>
            <w:szCs w:val="24"/>
          </w:rPr>
          <w:t>http://web.a.ebscohost.com/ehost/pdfviewer/pdfviewer?vid=10&amp;sid=0fe7fb3d–38f9–4172–b55a–7352b129af3a%40sessionmgr4009</w:t>
        </w:r>
      </w:hyperlink>
      <w:r w:rsidRPr="00530906">
        <w:rPr>
          <w:rFonts w:ascii="Cambria" w:hAnsi="Cambria"/>
          <w:sz w:val="24"/>
          <w:szCs w:val="24"/>
        </w:rPr>
        <w:t>[Accessed February 25</w:t>
      </w:r>
      <w:r w:rsidRPr="00530906">
        <w:rPr>
          <w:rFonts w:ascii="Cambria" w:hAnsi="Cambria"/>
          <w:sz w:val="24"/>
          <w:szCs w:val="24"/>
          <w:vertAlign w:val="superscript"/>
        </w:rPr>
        <w:t>th</w:t>
      </w:r>
      <w:r w:rsidRPr="00530906">
        <w:rPr>
          <w:rFonts w:ascii="Cambria" w:hAnsi="Cambria"/>
          <w:sz w:val="24"/>
          <w:szCs w:val="24"/>
        </w:rPr>
        <w:t xml:space="preserve"> 2018]</w:t>
      </w:r>
    </w:p>
    <w:p w14:paraId="5D8F1B6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Bickart, B. A. &amp; Ruth, J. A. (2012) Green Eco–Seals and Advertising Persuasion, </w:t>
      </w:r>
      <w:r w:rsidRPr="00530906">
        <w:rPr>
          <w:rFonts w:ascii="Cambria" w:hAnsi="Cambria"/>
          <w:i/>
          <w:iCs/>
          <w:sz w:val="24"/>
          <w:szCs w:val="24"/>
        </w:rPr>
        <w:t>Journal of Advertising</w:t>
      </w:r>
      <w:r w:rsidRPr="00530906">
        <w:rPr>
          <w:rFonts w:ascii="Cambria" w:hAnsi="Cambria"/>
          <w:sz w:val="24"/>
          <w:szCs w:val="24"/>
        </w:rPr>
        <w:t>, 41(4), 51–67, DOI: 10.1080/00913367.2012.10672457</w:t>
      </w:r>
    </w:p>
    <w:p w14:paraId="561BE111" w14:textId="0E9F15EA"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Binder, M. and Blankenberg, A.</w:t>
      </w:r>
      <w:r w:rsidR="00774B58" w:rsidRPr="00530906">
        <w:rPr>
          <w:rFonts w:ascii="Cambria" w:hAnsi="Cambria"/>
          <w:sz w:val="24"/>
          <w:szCs w:val="24"/>
        </w:rPr>
        <w:t xml:space="preserve"> </w:t>
      </w:r>
      <w:r w:rsidRPr="00530906">
        <w:rPr>
          <w:rFonts w:ascii="Cambria" w:hAnsi="Cambria"/>
          <w:sz w:val="24"/>
          <w:szCs w:val="24"/>
        </w:rPr>
        <w:t xml:space="preserve">K. (2017) “Green lifestyles and subjective well–being: More about self–image than actual behavior?”, </w:t>
      </w:r>
      <w:r w:rsidRPr="00530906">
        <w:rPr>
          <w:rFonts w:ascii="Cambria" w:hAnsi="Cambria"/>
          <w:i/>
          <w:sz w:val="24"/>
          <w:szCs w:val="24"/>
        </w:rPr>
        <w:t>Journal of Economic Behavior&amp; Organization</w:t>
      </w:r>
      <w:r w:rsidRPr="00530906">
        <w:rPr>
          <w:rFonts w:ascii="Cambria" w:hAnsi="Cambria"/>
          <w:sz w:val="24"/>
          <w:szCs w:val="24"/>
        </w:rPr>
        <w:t>, 137, pp. 304–323. doi: 10.1016/j.jebo.2017.03.009.</w:t>
      </w:r>
    </w:p>
    <w:p w14:paraId="06961E8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Bishop, J. (2007). Increasing participation in online communities: A framework for human–computer interaction. </w:t>
      </w:r>
      <w:r w:rsidRPr="00530906">
        <w:rPr>
          <w:rFonts w:ascii="Cambria" w:hAnsi="Cambria" w:cs="Arial"/>
          <w:i/>
          <w:iCs/>
          <w:sz w:val="24"/>
          <w:szCs w:val="24"/>
          <w:shd w:val="clear" w:color="auto" w:fill="FFFFFF"/>
        </w:rPr>
        <w:t>Computers in human behavior</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23</w:t>
      </w:r>
      <w:r w:rsidRPr="00530906">
        <w:rPr>
          <w:rFonts w:ascii="Cambria" w:hAnsi="Cambria" w:cs="Arial"/>
          <w:sz w:val="24"/>
          <w:szCs w:val="24"/>
          <w:shd w:val="clear" w:color="auto" w:fill="FFFFFF"/>
        </w:rPr>
        <w:t xml:space="preserve">(4), 1881–1893. doi: </w:t>
      </w:r>
      <w:hyperlink r:id="rId129" w:tgtFrame="_blank" w:tooltip="Persistent link using digital object identifier" w:history="1">
        <w:r w:rsidRPr="00530906">
          <w:rPr>
            <w:rStyle w:val="Hyperlink"/>
            <w:rFonts w:ascii="Cambria" w:hAnsi="Cambria" w:cs="Arial"/>
            <w:color w:val="auto"/>
            <w:sz w:val="24"/>
            <w:szCs w:val="24"/>
          </w:rPr>
          <w:t>10.1016/j.chb.2005.11.004</w:t>
        </w:r>
      </w:hyperlink>
    </w:p>
    <w:p w14:paraId="350B2D9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Black, J. S.; Stern, P. C.; Elworth, J. T. (1985) “Personal and Contextual Influences on Household Energy Adaptations” Journal of Applied Psychology. , Vol. 70(1), p3–21. 19p. 4 Diagrams, 2 Charts. DOI: 10.1037/0021–9010.70.1.3.</w:t>
      </w:r>
    </w:p>
    <w:p w14:paraId="1DCB06D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Blazevic, V., Hammedi, W.,  Garnefeld, I., Rust, R. T., Keiningham, T., Andreassen, T. W., Donthu, N. and Carl, W. (2013) "Beyond traditional word‐of‐mouth: An expanded model of customer‐driven influence", </w:t>
      </w:r>
      <w:r w:rsidRPr="00530906">
        <w:rPr>
          <w:rFonts w:ascii="Cambria" w:hAnsi="Cambria"/>
          <w:i/>
          <w:sz w:val="24"/>
          <w:szCs w:val="24"/>
        </w:rPr>
        <w:t>Journal of Service Management</w:t>
      </w:r>
      <w:r w:rsidRPr="00530906">
        <w:rPr>
          <w:rFonts w:ascii="Cambria" w:hAnsi="Cambria"/>
          <w:sz w:val="24"/>
          <w:szCs w:val="24"/>
        </w:rPr>
        <w:t>, 24(3), pp. 294–313. Doi: 10.1108/09564231311327003.</w:t>
      </w:r>
    </w:p>
    <w:p w14:paraId="10D1A15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Bloch, P. H., Sherrell, D. L., &amp; Ridgway, N. M. (1986). Consumer search: An extended framework. </w:t>
      </w:r>
      <w:r w:rsidRPr="00530906">
        <w:rPr>
          <w:rFonts w:ascii="Cambria" w:hAnsi="Cambria" w:cs="Arial"/>
          <w:i/>
          <w:iCs/>
          <w:sz w:val="24"/>
          <w:szCs w:val="24"/>
          <w:shd w:val="clear" w:color="auto" w:fill="FFFFFF"/>
        </w:rPr>
        <w:t>Journal of consumer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13</w:t>
      </w:r>
      <w:r w:rsidRPr="00530906">
        <w:rPr>
          <w:rFonts w:ascii="Cambria" w:hAnsi="Cambria" w:cs="Arial"/>
          <w:sz w:val="24"/>
          <w:szCs w:val="24"/>
          <w:shd w:val="clear" w:color="auto" w:fill="FFFFFF"/>
        </w:rPr>
        <w:t xml:space="preserve">(1), 119–126. Doi: </w:t>
      </w:r>
      <w:hyperlink r:id="rId130" w:history="1">
        <w:r w:rsidRPr="00530906">
          <w:rPr>
            <w:rStyle w:val="Hyperlink"/>
            <w:rFonts w:ascii="Cambria" w:hAnsi="Cambria"/>
            <w:color w:val="auto"/>
            <w:sz w:val="24"/>
            <w:szCs w:val="24"/>
            <w:bdr w:val="none" w:sz="0" w:space="0" w:color="auto" w:frame="1"/>
            <w:shd w:val="clear" w:color="auto" w:fill="FFFFFF"/>
          </w:rPr>
          <w:t>10.1086/209052</w:t>
        </w:r>
      </w:hyperlink>
    </w:p>
    <w:p w14:paraId="5526AA5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Bocken, N. M., &amp; Short, S. W. (2016). Towards a sufficiency–driven business model: Experiences and opportunities. </w:t>
      </w:r>
      <w:r w:rsidRPr="00530906">
        <w:rPr>
          <w:rFonts w:ascii="Cambria" w:hAnsi="Cambria" w:cs="Arial"/>
          <w:i/>
          <w:iCs/>
          <w:sz w:val="24"/>
          <w:szCs w:val="24"/>
          <w:shd w:val="clear" w:color="auto" w:fill="FFFFFF"/>
        </w:rPr>
        <w:t>Environmental Innovation and Societal Transitions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18</w:t>
      </w:r>
      <w:r w:rsidRPr="00530906">
        <w:rPr>
          <w:rFonts w:ascii="Cambria" w:hAnsi="Cambria" w:cs="Arial"/>
          <w:sz w:val="24"/>
          <w:szCs w:val="24"/>
          <w:shd w:val="clear" w:color="auto" w:fill="FFFFFF"/>
        </w:rPr>
        <w:t>, 41–61.</w:t>
      </w:r>
      <w:r w:rsidRPr="00530906">
        <w:rPr>
          <w:rFonts w:ascii="Cambria" w:hAnsi="Cambria"/>
          <w:sz w:val="24"/>
          <w:szCs w:val="24"/>
        </w:rPr>
        <w:t xml:space="preserve"> </w:t>
      </w:r>
      <w:hyperlink r:id="rId131" w:tgtFrame="_blank" w:tooltip="Persistent link using digital object identifier" w:history="1">
        <w:r w:rsidRPr="00530906">
          <w:rPr>
            <w:rStyle w:val="Hyperlink"/>
            <w:rFonts w:ascii="Cambria" w:hAnsi="Cambria" w:cs="Arial"/>
            <w:color w:val="auto"/>
            <w:sz w:val="24"/>
            <w:szCs w:val="24"/>
          </w:rPr>
          <w:t>https://doi.org/10.1016/j.eist.2015.07.010</w:t>
        </w:r>
      </w:hyperlink>
    </w:p>
    <w:p w14:paraId="4762C159" w14:textId="2A507F5A"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Bolton, R.</w:t>
      </w:r>
      <w:r w:rsidR="00774B58" w:rsidRPr="00530906">
        <w:rPr>
          <w:rFonts w:ascii="Cambria" w:hAnsi="Cambria"/>
          <w:sz w:val="24"/>
          <w:szCs w:val="24"/>
        </w:rPr>
        <w:t xml:space="preserve"> </w:t>
      </w:r>
      <w:r w:rsidRPr="00530906">
        <w:rPr>
          <w:rFonts w:ascii="Cambria" w:hAnsi="Cambria"/>
          <w:sz w:val="24"/>
          <w:szCs w:val="24"/>
        </w:rPr>
        <w:t>N., Parasuraman, A., Hoefnagels, A., Migchels, N., Kabadayi, S., Gruber, T., Loreiro, Y.</w:t>
      </w:r>
      <w:r w:rsidR="00774B58" w:rsidRPr="00530906">
        <w:rPr>
          <w:rFonts w:ascii="Cambria" w:hAnsi="Cambria"/>
          <w:sz w:val="24"/>
          <w:szCs w:val="24"/>
        </w:rPr>
        <w:t xml:space="preserve"> </w:t>
      </w:r>
      <w:r w:rsidRPr="00530906">
        <w:rPr>
          <w:rFonts w:ascii="Cambria" w:hAnsi="Cambria"/>
          <w:sz w:val="24"/>
          <w:szCs w:val="24"/>
        </w:rPr>
        <w:t>K. and Solnet, D. (2013) "Understanding Generation Y and their use of social media: a review and research agenda", Journal of Service Management, Vol. 24 Issue: 3, pp.245–267, https://doi.org/10.1108/09564231311326987</w:t>
      </w:r>
    </w:p>
    <w:p w14:paraId="32A04E1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Bondy, T. and Talwar, V. (2011) ‘Through Thick and Thin: How Fair Trade Consumers Have Reacted to the Global Economic Recession’, </w:t>
      </w:r>
      <w:r w:rsidRPr="00530906">
        <w:rPr>
          <w:rFonts w:ascii="Cambria" w:hAnsi="Cambria"/>
          <w:i/>
          <w:sz w:val="24"/>
          <w:szCs w:val="24"/>
        </w:rPr>
        <w:t>Journal of Business Ethics</w:t>
      </w:r>
      <w:r w:rsidRPr="00530906">
        <w:rPr>
          <w:rFonts w:ascii="Cambria" w:hAnsi="Cambria"/>
          <w:sz w:val="24"/>
          <w:szCs w:val="24"/>
        </w:rPr>
        <w:t>. 101(3), pp. 365–383. Doi: 10.1007/s10551–010–0726–4.</w:t>
      </w:r>
    </w:p>
    <w:p w14:paraId="4ADFE11B" w14:textId="6D325FAF"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Bone, P.</w:t>
      </w:r>
      <w:r w:rsidR="00774B58" w:rsidRPr="00530906">
        <w:rPr>
          <w:rFonts w:ascii="Cambria" w:hAnsi="Cambria"/>
          <w:sz w:val="24"/>
          <w:szCs w:val="24"/>
        </w:rPr>
        <w:t xml:space="preserve"> </w:t>
      </w:r>
      <w:r w:rsidRPr="00530906">
        <w:rPr>
          <w:rFonts w:ascii="Cambria" w:hAnsi="Cambria"/>
          <w:sz w:val="24"/>
          <w:szCs w:val="24"/>
        </w:rPr>
        <w:t>F. and Ellen, P.</w:t>
      </w:r>
      <w:r w:rsidR="00774B58" w:rsidRPr="00530906">
        <w:rPr>
          <w:rFonts w:ascii="Cambria" w:hAnsi="Cambria"/>
          <w:sz w:val="24"/>
          <w:szCs w:val="24"/>
        </w:rPr>
        <w:t xml:space="preserve"> </w:t>
      </w:r>
      <w:r w:rsidRPr="00530906">
        <w:rPr>
          <w:rFonts w:ascii="Cambria" w:hAnsi="Cambria"/>
          <w:sz w:val="24"/>
          <w:szCs w:val="24"/>
        </w:rPr>
        <w:t>S., (1992). The generation and consequences of communication–evoked imagery. Journal of Consumer Research, 19(1),</w:t>
      </w:r>
      <w:r w:rsidRPr="00530906">
        <w:rPr>
          <w:rFonts w:ascii="Cambria" w:hAnsi="Cambria" w:cs="Arial"/>
          <w:sz w:val="24"/>
          <w:szCs w:val="24"/>
          <w:shd w:val="clear" w:color="auto" w:fill="FFFFFF"/>
        </w:rPr>
        <w:t xml:space="preserve"> pp.93–104.</w:t>
      </w:r>
      <w:r w:rsidRPr="00530906">
        <w:rPr>
          <w:rFonts w:ascii="Cambria" w:hAnsi="Cambria"/>
          <w:sz w:val="24"/>
          <w:szCs w:val="24"/>
        </w:rPr>
        <w:t xml:space="preserve"> Doi: /10.1086/209289</w:t>
      </w:r>
    </w:p>
    <w:p w14:paraId="09CB971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Bowden, J. L. H. (2009) ‘The process of customer engagement: A conceptual framework’, </w:t>
      </w:r>
      <w:r w:rsidRPr="00530906">
        <w:rPr>
          <w:rFonts w:ascii="Cambria" w:hAnsi="Cambria"/>
          <w:i/>
          <w:sz w:val="24"/>
          <w:szCs w:val="24"/>
        </w:rPr>
        <w:t>Journal of Marketing Theory and Practice</w:t>
      </w:r>
      <w:r w:rsidRPr="00530906">
        <w:rPr>
          <w:rFonts w:ascii="Cambria" w:hAnsi="Cambria"/>
          <w:sz w:val="24"/>
          <w:szCs w:val="24"/>
        </w:rPr>
        <w:t>, 17(1), pp. 63–74. doi:10.2753/MTP1069–6679170105</w:t>
      </w:r>
    </w:p>
    <w:p w14:paraId="6270DFE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Braun, V., &amp; Clarke, V. (2006). Using thematic analysis in psychology. Qualitative Research in Psychology, 3(2), 77–101. doi:10.1191/1478088706qp063oa</w:t>
      </w:r>
    </w:p>
    <w:p w14:paraId="1F4A1C0D" w14:textId="3642F798" w:rsidR="007E4999" w:rsidRPr="00530906" w:rsidRDefault="007E4999">
      <w:pPr>
        <w:spacing w:line="360" w:lineRule="auto"/>
        <w:ind w:left="567" w:hanging="567"/>
        <w:jc w:val="both"/>
        <w:rPr>
          <w:rStyle w:val="Hyperlink"/>
          <w:rFonts w:ascii="Cambria" w:hAnsi="Cambria" w:cs="Arial"/>
          <w:color w:val="auto"/>
          <w:sz w:val="24"/>
          <w:szCs w:val="24"/>
          <w:shd w:val="clear" w:color="auto" w:fill="FFFFFF"/>
        </w:rPr>
      </w:pPr>
      <w:r w:rsidRPr="00530906">
        <w:rPr>
          <w:rFonts w:ascii="Cambria" w:hAnsi="Cambria" w:cs="Arial"/>
          <w:sz w:val="24"/>
          <w:szCs w:val="24"/>
          <w:shd w:val="clear" w:color="auto" w:fill="FFFFFF"/>
        </w:rPr>
        <w:t>Braun, V., &amp; Clarke, V. (2012). </w:t>
      </w:r>
      <w:r w:rsidRPr="00530906">
        <w:rPr>
          <w:rStyle w:val="Emphasis"/>
          <w:rFonts w:ascii="Cambria" w:hAnsi="Cambria" w:cs="Arial"/>
          <w:sz w:val="24"/>
          <w:szCs w:val="24"/>
          <w:shd w:val="clear" w:color="auto" w:fill="FFFFFF"/>
        </w:rPr>
        <w:t>Thematic analysis.</w:t>
      </w:r>
      <w:r w:rsidRPr="00530906">
        <w:rPr>
          <w:rFonts w:ascii="Cambria" w:hAnsi="Cambria" w:cs="Arial"/>
          <w:sz w:val="24"/>
          <w:szCs w:val="24"/>
          <w:shd w:val="clear" w:color="auto" w:fill="FFFFFF"/>
        </w:rPr>
        <w:t> In H. Cooper, P. M. Camic, D. L. Long, A. T. Panter, D. Rindskopf, &amp; K. J. Sher (Eds.), </w:t>
      </w:r>
      <w:r w:rsidRPr="00530906">
        <w:rPr>
          <w:rStyle w:val="Emphasis"/>
          <w:rFonts w:ascii="Cambria" w:hAnsi="Cambria" w:cs="Arial"/>
          <w:sz w:val="24"/>
          <w:szCs w:val="24"/>
          <w:shd w:val="clear" w:color="auto" w:fill="FFFFFF"/>
        </w:rPr>
        <w:t>APA handbooks in psychology®. APA handbook of research methods in psychology, Vol. 2. Research designs: Quantitative, qualitative, neuropsychological, and biological</w:t>
      </w:r>
      <w:r w:rsidRPr="00530906">
        <w:rPr>
          <w:rFonts w:ascii="Cambria" w:hAnsi="Cambria" w:cs="Arial"/>
          <w:sz w:val="24"/>
          <w:szCs w:val="24"/>
          <w:shd w:val="clear" w:color="auto" w:fill="FFFFFF"/>
        </w:rPr>
        <w:t> (p. 57–71). American Psychological Association. </w:t>
      </w:r>
      <w:hyperlink r:id="rId132" w:tgtFrame="_blank" w:history="1">
        <w:r w:rsidRPr="00530906">
          <w:rPr>
            <w:rStyle w:val="Hyperlink"/>
            <w:rFonts w:ascii="Cambria" w:hAnsi="Cambria" w:cs="Arial"/>
            <w:color w:val="auto"/>
            <w:sz w:val="24"/>
            <w:szCs w:val="24"/>
            <w:shd w:val="clear" w:color="auto" w:fill="FFFFFF"/>
          </w:rPr>
          <w:t>https://doi.org/10.1037/13620</w:t>
        </w:r>
        <w:r w:rsidR="004179CD" w:rsidRPr="00530906">
          <w:rPr>
            <w:rStyle w:val="Hyperlink"/>
            <w:rFonts w:ascii="Cambria" w:hAnsi="Cambria" w:cs="Arial"/>
            <w:color w:val="auto"/>
            <w:sz w:val="24"/>
            <w:szCs w:val="24"/>
            <w:shd w:val="clear" w:color="auto" w:fill="FFFFFF"/>
          </w:rPr>
          <w:t>–</w:t>
        </w:r>
        <w:r w:rsidRPr="00530906">
          <w:rPr>
            <w:rStyle w:val="Hyperlink"/>
            <w:rFonts w:ascii="Cambria" w:hAnsi="Cambria" w:cs="Arial"/>
            <w:color w:val="auto"/>
            <w:sz w:val="24"/>
            <w:szCs w:val="24"/>
            <w:shd w:val="clear" w:color="auto" w:fill="FFFFFF"/>
          </w:rPr>
          <w:t>004</w:t>
        </w:r>
      </w:hyperlink>
    </w:p>
    <w:p w14:paraId="422152B1" w14:textId="67F4A1A8" w:rsidR="00EC497B" w:rsidRPr="00530906" w:rsidRDefault="00EC497B">
      <w:pPr>
        <w:spacing w:line="360" w:lineRule="auto"/>
        <w:ind w:left="567" w:hanging="567"/>
        <w:jc w:val="both"/>
        <w:rPr>
          <w:rFonts w:ascii="Cambria" w:hAnsi="Cambria"/>
          <w:sz w:val="24"/>
          <w:szCs w:val="24"/>
        </w:rPr>
      </w:pPr>
      <w:bookmarkStart w:id="167" w:name="_Hlk72333947"/>
      <w:r w:rsidRPr="00530906">
        <w:rPr>
          <w:rFonts w:ascii="Cambria" w:hAnsi="Cambria" w:cs="Segoe UI"/>
          <w:sz w:val="24"/>
          <w:szCs w:val="24"/>
        </w:rPr>
        <w:t xml:space="preserve">Breves, P.L., Liebers, N., Abt, M. and Kunze, A. (2019) 'The perceived fit between instagram influencers and the endorsed brand: How influencer–brand fit affects source credibility and persuasive effectiveness.', </w:t>
      </w:r>
      <w:r w:rsidRPr="00530906">
        <w:rPr>
          <w:rFonts w:ascii="Cambria" w:hAnsi="Cambria" w:cs="Segoe UI"/>
          <w:i/>
          <w:iCs/>
          <w:sz w:val="24"/>
          <w:szCs w:val="24"/>
        </w:rPr>
        <w:t>Journal of Advertising Research</w:t>
      </w:r>
      <w:r w:rsidRPr="00530906">
        <w:rPr>
          <w:rFonts w:ascii="Cambria" w:hAnsi="Cambria" w:cs="Segoe UI"/>
          <w:sz w:val="24"/>
          <w:szCs w:val="24"/>
        </w:rPr>
        <w:t xml:space="preserve">, 59(4), pp. 440-454. Doi: </w:t>
      </w:r>
      <w:r w:rsidR="00910558" w:rsidRPr="00530906">
        <w:rPr>
          <w:rFonts w:ascii="Cambria" w:hAnsi="Cambria" w:cs="FranklinGothicITCbyBT-Book"/>
          <w:sz w:val="24"/>
          <w:szCs w:val="24"/>
        </w:rPr>
        <w:t xml:space="preserve">10.2501/JAR-2019-030 </w:t>
      </w:r>
    </w:p>
    <w:bookmarkEnd w:id="167"/>
    <w:p w14:paraId="7922D99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Briner, R. B., Denyer, D., &amp; Rousseau, D. M. (2009). Evidence–Based Management: Concept Cleanup Time? Academy of Management Perspectives, 23(4), 19–32. doi:10.5465/amp.23.4.19</w:t>
      </w:r>
    </w:p>
    <w:p w14:paraId="4903536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Brodie, R. J., Hollebeek, L. D., Juric´, B., and Ilic, A. (2011) ‘Customer engagement: conceptual domain, fundamental propositions, and implications for research’, </w:t>
      </w:r>
      <w:r w:rsidRPr="00530906">
        <w:rPr>
          <w:rFonts w:ascii="Cambria" w:hAnsi="Cambria"/>
          <w:i/>
          <w:sz w:val="24"/>
          <w:szCs w:val="24"/>
        </w:rPr>
        <w:t>Journal of Service Research</w:t>
      </w:r>
      <w:r w:rsidRPr="00530906">
        <w:rPr>
          <w:rFonts w:ascii="Cambria" w:hAnsi="Cambria"/>
          <w:sz w:val="24"/>
          <w:szCs w:val="24"/>
        </w:rPr>
        <w:t>, 14(3), pp. 252–271. doi: 10.1177/1094670511411703.</w:t>
      </w:r>
    </w:p>
    <w:p w14:paraId="1FA3312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Brodie, R. J., Ilic, A., Juric, B. and Hollebeek, L. (2013) ‘Consumer engagement in a virtual brand community: An exploratory analysis’, </w:t>
      </w:r>
      <w:r w:rsidRPr="00530906">
        <w:rPr>
          <w:rFonts w:ascii="Cambria" w:hAnsi="Cambria"/>
          <w:i/>
          <w:sz w:val="24"/>
          <w:szCs w:val="24"/>
        </w:rPr>
        <w:t>Journal of Business Research,</w:t>
      </w:r>
      <w:r w:rsidRPr="00530906">
        <w:rPr>
          <w:rFonts w:ascii="Cambria" w:hAnsi="Cambria"/>
          <w:sz w:val="24"/>
          <w:szCs w:val="24"/>
        </w:rPr>
        <w:t xml:space="preserve"> 66(1), pp. 105–114. doi:10.1016/j.jbusres.2011.07.029.</w:t>
      </w:r>
    </w:p>
    <w:p w14:paraId="52A2128A" w14:textId="408D9B0F"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Brooks, J.</w:t>
      </w:r>
      <w:r w:rsidR="00774B58" w:rsidRPr="00530906">
        <w:rPr>
          <w:rFonts w:ascii="Cambria" w:hAnsi="Cambria" w:cs="Segoe UI"/>
          <w:sz w:val="24"/>
          <w:szCs w:val="24"/>
        </w:rPr>
        <w:t xml:space="preserve"> </w:t>
      </w:r>
      <w:r w:rsidRPr="00530906">
        <w:rPr>
          <w:rFonts w:ascii="Cambria" w:hAnsi="Cambria" w:cs="Segoe UI"/>
          <w:sz w:val="24"/>
          <w:szCs w:val="24"/>
        </w:rPr>
        <w:t xml:space="preserve">S. and Wilson, C. (2015) 'The influence of contextual cues on the perceived status of consumption–reducing behavior', </w:t>
      </w:r>
      <w:r w:rsidRPr="00530906">
        <w:rPr>
          <w:rFonts w:ascii="Cambria" w:hAnsi="Cambria" w:cs="Segoe UI"/>
          <w:i/>
          <w:iCs/>
          <w:sz w:val="24"/>
          <w:szCs w:val="24"/>
        </w:rPr>
        <w:t>Ecological Economics</w:t>
      </w:r>
      <w:r w:rsidRPr="00530906">
        <w:rPr>
          <w:rFonts w:ascii="Cambria" w:hAnsi="Cambria" w:cs="Segoe UI"/>
          <w:sz w:val="24"/>
          <w:szCs w:val="24"/>
        </w:rPr>
        <w:t>, 117, pp. 108–117. Doi: 10.1016/j.ecolecon.2015.06.015</w:t>
      </w:r>
    </w:p>
    <w:p w14:paraId="2EAE22C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Brough, A. R., Wilkie, J. E. B., Jingjing, M. A., Isaac, M. S., &amp; Gal, D. (2016). Is Eco–Friendly Unmanly? The Green–Feminine Stereotype and Its Effect on Sustainable Consumption. Journal of Consumer Research, 43(4), 567–582. doi:10.1093/jcr/ucw044</w:t>
      </w:r>
    </w:p>
    <w:p w14:paraId="1C9F4AE3" w14:textId="3FDBA467"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Buenstorf, G. and Cordes, C. (2008) 'Can Sustainable–consumption be learned? A model of cultural evolution', Ecological Economics, 67(4), pp. 646–657.</w:t>
      </w:r>
    </w:p>
    <w:p w14:paraId="683EE858" w14:textId="6BFE24CE" w:rsidR="00CE75FA" w:rsidRPr="00530906" w:rsidRDefault="00CE75FA">
      <w:pPr>
        <w:spacing w:line="360" w:lineRule="auto"/>
        <w:ind w:left="567" w:hanging="567"/>
        <w:jc w:val="both"/>
        <w:rPr>
          <w:sz w:val="24"/>
          <w:szCs w:val="24"/>
        </w:rPr>
      </w:pPr>
      <w:r>
        <w:rPr>
          <w:rFonts w:ascii="Segoe UI" w:hAnsi="Segoe UI" w:cs="Segoe UI"/>
        </w:rPr>
        <w:t xml:space="preserve">Burton, J.L., Mueller, K.M., Gollins, J. and Walls, D.M. (2019) 'The impact of airing super bowl television ads early on social media: Benefits and drivers of watching, liking, and sharing advertisements on social media.', </w:t>
      </w:r>
      <w:r w:rsidR="008D44AD">
        <w:rPr>
          <w:rFonts w:ascii="Segoe UI" w:hAnsi="Segoe UI" w:cs="Segoe UI"/>
        </w:rPr>
        <w:t>J</w:t>
      </w:r>
      <w:r>
        <w:rPr>
          <w:rFonts w:ascii="Segoe UI" w:hAnsi="Segoe UI" w:cs="Segoe UI"/>
          <w:i/>
          <w:iCs/>
        </w:rPr>
        <w:t>ournal of Advertising Research</w:t>
      </w:r>
      <w:r>
        <w:rPr>
          <w:rFonts w:ascii="Segoe UI" w:hAnsi="Segoe UI" w:cs="Segoe UI"/>
        </w:rPr>
        <w:t>, 59(4), pp. 391-401.</w:t>
      </w:r>
    </w:p>
    <w:p w14:paraId="26089CA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Calder, B. J., Malthouse, E. C. and Schaedel, U. (2009) ‘An Experimental Study of the Relationship between Online Engagement and Advertising Effectiveness’, </w:t>
      </w:r>
      <w:r w:rsidRPr="00530906">
        <w:rPr>
          <w:rFonts w:ascii="Cambria" w:hAnsi="Cambria"/>
          <w:i/>
          <w:sz w:val="24"/>
          <w:szCs w:val="24"/>
        </w:rPr>
        <w:t>Journal of Interactive Marketing</w:t>
      </w:r>
      <w:r w:rsidRPr="00530906">
        <w:rPr>
          <w:rFonts w:ascii="Cambria" w:hAnsi="Cambria"/>
          <w:sz w:val="24"/>
          <w:szCs w:val="24"/>
        </w:rPr>
        <w:t>, 23(4), pp. 321–331. doi:10.1016/j.intmar.2009.07.002.</w:t>
      </w:r>
    </w:p>
    <w:p w14:paraId="336DFF91" w14:textId="0CB9DE61"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Calder, B.</w:t>
      </w:r>
      <w:r w:rsidR="00774B58" w:rsidRPr="00530906">
        <w:rPr>
          <w:rFonts w:ascii="Cambria" w:hAnsi="Cambria"/>
          <w:sz w:val="24"/>
          <w:szCs w:val="24"/>
        </w:rPr>
        <w:t xml:space="preserve"> </w:t>
      </w:r>
      <w:r w:rsidRPr="00530906">
        <w:rPr>
          <w:rFonts w:ascii="Cambria" w:hAnsi="Cambria"/>
          <w:sz w:val="24"/>
          <w:szCs w:val="24"/>
        </w:rPr>
        <w:t>J., Phillips, L.</w:t>
      </w:r>
      <w:r w:rsidR="00774B58" w:rsidRPr="00530906">
        <w:rPr>
          <w:rFonts w:ascii="Cambria" w:hAnsi="Cambria"/>
          <w:sz w:val="24"/>
          <w:szCs w:val="24"/>
        </w:rPr>
        <w:t xml:space="preserve"> </w:t>
      </w:r>
      <w:r w:rsidRPr="00530906">
        <w:rPr>
          <w:rFonts w:ascii="Cambria" w:hAnsi="Cambria"/>
          <w:sz w:val="24"/>
          <w:szCs w:val="24"/>
        </w:rPr>
        <w:t>W. and Tybout, A.</w:t>
      </w:r>
      <w:r w:rsidR="00774B58" w:rsidRPr="00530906">
        <w:rPr>
          <w:rFonts w:ascii="Cambria" w:hAnsi="Cambria"/>
          <w:sz w:val="24"/>
          <w:szCs w:val="24"/>
        </w:rPr>
        <w:t xml:space="preserve"> </w:t>
      </w:r>
      <w:r w:rsidRPr="00530906">
        <w:rPr>
          <w:rFonts w:ascii="Cambria" w:hAnsi="Cambria"/>
          <w:sz w:val="24"/>
          <w:szCs w:val="24"/>
        </w:rPr>
        <w:t>M. (1981), “Designing research for application”, Journal of Consumer Research, Vol. 8 No. 2, pp. 197–207.</w:t>
      </w:r>
    </w:p>
    <w:p w14:paraId="5194F2F9" w14:textId="02546BD6" w:rsidR="002E5650" w:rsidRPr="00530906" w:rsidRDefault="002E5650">
      <w:pPr>
        <w:spacing w:line="360" w:lineRule="auto"/>
        <w:ind w:left="567" w:hanging="567"/>
        <w:jc w:val="both"/>
        <w:rPr>
          <w:rFonts w:ascii="Cambria" w:hAnsi="Cambria"/>
          <w:sz w:val="24"/>
          <w:szCs w:val="24"/>
        </w:rPr>
      </w:pPr>
      <w:r>
        <w:rPr>
          <w:rFonts w:ascii="Segoe UI" w:hAnsi="Segoe UI" w:cs="Segoe UI"/>
        </w:rPr>
        <w:t xml:space="preserve">Cao, D., Meadows, M., Wong, D. and Xia, S. (2021) ' Understanding consumers’ social media engagement behaviour: An examination of the moderation effect of social media context', </w:t>
      </w:r>
      <w:r>
        <w:rPr>
          <w:rFonts w:ascii="Segoe UI" w:hAnsi="Segoe UI" w:cs="Segoe UI"/>
          <w:i/>
          <w:iCs/>
        </w:rPr>
        <w:t>Journal of Business Research</w:t>
      </w:r>
      <w:r>
        <w:rPr>
          <w:rFonts w:ascii="Segoe UI" w:hAnsi="Segoe UI" w:cs="Segoe UI"/>
        </w:rPr>
        <w:t>, 122, pp. 835-846.</w:t>
      </w:r>
    </w:p>
    <w:p w14:paraId="1DF23C2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Caprar, D. V. and Neville, B. A. (2012) ‘"Norming" and "Conforming": Integrating Cultural and Institutional Explanations for Sustainability–adoption in Business’, </w:t>
      </w:r>
      <w:r w:rsidRPr="00530906">
        <w:rPr>
          <w:rFonts w:ascii="Cambria" w:hAnsi="Cambria"/>
          <w:i/>
          <w:sz w:val="24"/>
          <w:szCs w:val="24"/>
        </w:rPr>
        <w:t>Journal of Business Ethics</w:t>
      </w:r>
      <w:r w:rsidRPr="00530906">
        <w:rPr>
          <w:rFonts w:ascii="Cambria" w:hAnsi="Cambria"/>
          <w:sz w:val="24"/>
          <w:szCs w:val="24"/>
        </w:rPr>
        <w:t>, 110(2), pp. 231–245. doi: 10.1007/s10551–012–1424–1.</w:t>
      </w:r>
    </w:p>
    <w:p w14:paraId="70FACC9B" w14:textId="08DC0288"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Carlson, J., Rahman, M., Voola, R. and De Vries, N., (2018) "Customer engagement behaviours in social media: capturing innovation opportunities", Journal of Services Marketing, Vol. 32 Issue: 1, pp.83–94, https://doi.org/10.1108/ JSM–02–2017–0059</w:t>
      </w:r>
      <w:r w:rsidR="00FF5295">
        <w:rPr>
          <w:rFonts w:ascii="Cambria" w:hAnsi="Cambria"/>
          <w:sz w:val="24"/>
          <w:szCs w:val="24"/>
        </w:rPr>
        <w:t xml:space="preserve">. </w:t>
      </w:r>
    </w:p>
    <w:p w14:paraId="0965EE85" w14:textId="77777777" w:rsidR="00FF5295" w:rsidRDefault="00FF5295" w:rsidP="00FF5295">
      <w:pPr>
        <w:autoSpaceDE w:val="0"/>
        <w:autoSpaceDN w:val="0"/>
        <w:adjustRightInd w:val="0"/>
        <w:spacing w:after="0" w:line="240" w:lineRule="auto"/>
        <w:rPr>
          <w:rFonts w:ascii="Segoe UI" w:hAnsi="Segoe UI" w:cs="Segoe UI"/>
        </w:rPr>
      </w:pPr>
      <w:r>
        <w:rPr>
          <w:rFonts w:ascii="Segoe UI" w:hAnsi="Segoe UI" w:cs="Segoe UI"/>
        </w:rPr>
        <w:t xml:space="preserve">Carlson, J.R., Hanson, S., Pancras, J., Ross, W.T. and Rousseau‐Anderson, J. (2022) 'Social media advertising: How online motivations and congruency influence perceptions of trust', </w:t>
      </w:r>
      <w:r>
        <w:rPr>
          <w:rFonts w:ascii="Segoe UI" w:hAnsi="Segoe UI" w:cs="Segoe UI"/>
          <w:i/>
          <w:iCs/>
        </w:rPr>
        <w:t>Journal of Consumer Behaviour</w:t>
      </w:r>
      <w:r>
        <w:rPr>
          <w:rFonts w:ascii="Segoe UI" w:hAnsi="Segoe UI" w:cs="Segoe UI"/>
        </w:rPr>
        <w:t>, 21(2), pp. 197-213.</w:t>
      </w:r>
    </w:p>
    <w:p w14:paraId="0069F9B4" w14:textId="77777777" w:rsidR="00FF5295" w:rsidRDefault="00FF5295">
      <w:pPr>
        <w:spacing w:line="360" w:lineRule="auto"/>
        <w:ind w:left="567" w:hanging="567"/>
        <w:jc w:val="both"/>
        <w:rPr>
          <w:rFonts w:ascii="Cambria" w:hAnsi="Cambria"/>
          <w:sz w:val="24"/>
          <w:szCs w:val="24"/>
        </w:rPr>
      </w:pPr>
    </w:p>
    <w:p w14:paraId="658EDDD3" w14:textId="50239723"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Carrington, M.</w:t>
      </w:r>
      <w:r w:rsidR="00774B58" w:rsidRPr="00530906">
        <w:rPr>
          <w:rFonts w:ascii="Cambria" w:hAnsi="Cambria"/>
          <w:sz w:val="24"/>
          <w:szCs w:val="24"/>
        </w:rPr>
        <w:t xml:space="preserve"> </w:t>
      </w:r>
      <w:r w:rsidRPr="00530906">
        <w:rPr>
          <w:rFonts w:ascii="Cambria" w:hAnsi="Cambria"/>
          <w:sz w:val="24"/>
          <w:szCs w:val="24"/>
        </w:rPr>
        <w:t>J., Neville, B.</w:t>
      </w:r>
      <w:r w:rsidR="00774B58" w:rsidRPr="00530906">
        <w:rPr>
          <w:rFonts w:ascii="Cambria" w:hAnsi="Cambria"/>
          <w:sz w:val="24"/>
          <w:szCs w:val="24"/>
        </w:rPr>
        <w:t xml:space="preserve"> </w:t>
      </w:r>
      <w:r w:rsidRPr="00530906">
        <w:rPr>
          <w:rFonts w:ascii="Cambria" w:hAnsi="Cambria"/>
          <w:sz w:val="24"/>
          <w:szCs w:val="24"/>
        </w:rPr>
        <w:t>A. and Whitwell, G.</w:t>
      </w:r>
      <w:r w:rsidR="00774B58" w:rsidRPr="00530906">
        <w:rPr>
          <w:rFonts w:ascii="Cambria" w:hAnsi="Cambria"/>
          <w:sz w:val="24"/>
          <w:szCs w:val="24"/>
        </w:rPr>
        <w:t xml:space="preserve"> </w:t>
      </w:r>
      <w:r w:rsidRPr="00530906">
        <w:rPr>
          <w:rFonts w:ascii="Cambria" w:hAnsi="Cambria"/>
          <w:sz w:val="24"/>
          <w:szCs w:val="24"/>
        </w:rPr>
        <w:t>J. (2010) 'Why Ethical Consumers Don't Walk Their Talk: Towards a Framework for Understanding the Gap Between the Ethical Purchase Intentions and Actual Buying Behaviour of Ethically Minded Consumers', Journal of Business Ethics 97(1), pp. 139–158. Doi: 10.1007/s10551–010–0501–6</w:t>
      </w:r>
    </w:p>
    <w:p w14:paraId="34E0C636" w14:textId="6C3621B4"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Carrington, M.</w:t>
      </w:r>
      <w:r w:rsidR="00774B58" w:rsidRPr="00530906">
        <w:rPr>
          <w:rFonts w:ascii="Cambria" w:hAnsi="Cambria"/>
          <w:sz w:val="24"/>
          <w:szCs w:val="24"/>
        </w:rPr>
        <w:t xml:space="preserve"> </w:t>
      </w:r>
      <w:r w:rsidRPr="00530906">
        <w:rPr>
          <w:rFonts w:ascii="Cambria" w:hAnsi="Cambria"/>
          <w:sz w:val="24"/>
          <w:szCs w:val="24"/>
        </w:rPr>
        <w:t>J., Neville, B.</w:t>
      </w:r>
      <w:r w:rsidR="00774B58" w:rsidRPr="00530906">
        <w:rPr>
          <w:rFonts w:ascii="Cambria" w:hAnsi="Cambria"/>
          <w:sz w:val="24"/>
          <w:szCs w:val="24"/>
        </w:rPr>
        <w:t xml:space="preserve"> </w:t>
      </w:r>
      <w:r w:rsidRPr="00530906">
        <w:rPr>
          <w:rFonts w:ascii="Cambria" w:hAnsi="Cambria"/>
          <w:sz w:val="24"/>
          <w:szCs w:val="24"/>
        </w:rPr>
        <w:t>A. and Whitwell, G.</w:t>
      </w:r>
      <w:r w:rsidR="00774B58" w:rsidRPr="00530906">
        <w:rPr>
          <w:rFonts w:ascii="Cambria" w:hAnsi="Cambria"/>
          <w:sz w:val="24"/>
          <w:szCs w:val="24"/>
        </w:rPr>
        <w:t xml:space="preserve"> </w:t>
      </w:r>
      <w:r w:rsidRPr="00530906">
        <w:rPr>
          <w:rFonts w:ascii="Cambria" w:hAnsi="Cambria"/>
          <w:sz w:val="24"/>
          <w:szCs w:val="24"/>
        </w:rPr>
        <w:t>J. (2014) 'Lost in translation: Exploring the ethical consumer intention–behavior gap', Journal of Business Research, 67(1), pp. 2759–2767. Doi: 10.1016/j.jbusres.2012.09.022</w:t>
      </w:r>
    </w:p>
    <w:p w14:paraId="2E20E84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Carroll, A. B. (1999) ‘Corporate Social Responsibility; Evolution of a Definitional Construct’. </w:t>
      </w:r>
      <w:r w:rsidRPr="00530906">
        <w:rPr>
          <w:rFonts w:ascii="Cambria" w:hAnsi="Cambria"/>
          <w:i/>
          <w:sz w:val="24"/>
          <w:szCs w:val="24"/>
        </w:rPr>
        <w:t>Business &amp; Society</w:t>
      </w:r>
      <w:r w:rsidRPr="00530906">
        <w:rPr>
          <w:rFonts w:ascii="Cambria" w:hAnsi="Cambria"/>
          <w:sz w:val="24"/>
          <w:szCs w:val="24"/>
        </w:rPr>
        <w:t>, 38 (3), pp. 268–295.</w:t>
      </w:r>
    </w:p>
    <w:p w14:paraId="285D2FD6" w14:textId="7E3557F2"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Casalo´, L. V., Flavia´ N, C. and Guinali´u, M. (2008) ‘Promoting consumer’s participation in virtual brand communities: A new paradigm in branding strategy’, </w:t>
      </w:r>
      <w:r w:rsidRPr="00530906">
        <w:rPr>
          <w:rFonts w:ascii="Cambria" w:hAnsi="Cambria"/>
          <w:i/>
          <w:sz w:val="24"/>
          <w:szCs w:val="24"/>
        </w:rPr>
        <w:t>Journal of Marketing Communications</w:t>
      </w:r>
      <w:r w:rsidRPr="00530906">
        <w:rPr>
          <w:rFonts w:ascii="Cambria" w:hAnsi="Cambria"/>
          <w:sz w:val="24"/>
          <w:szCs w:val="24"/>
        </w:rPr>
        <w:t>, 14(1), pp. 19–36. doi: 10.1080/13527260701535236.</w:t>
      </w:r>
    </w:p>
    <w:p w14:paraId="5F7BE70F" w14:textId="609BB225" w:rsidR="001E7AB3" w:rsidRPr="00530906" w:rsidRDefault="001E7AB3">
      <w:pPr>
        <w:spacing w:line="360" w:lineRule="auto"/>
        <w:ind w:left="567" w:hanging="567"/>
        <w:jc w:val="both"/>
        <w:rPr>
          <w:rFonts w:ascii="Cambria" w:hAnsi="Cambria"/>
          <w:sz w:val="24"/>
          <w:szCs w:val="24"/>
        </w:rPr>
      </w:pPr>
      <w:r w:rsidRPr="00530906">
        <w:rPr>
          <w:rFonts w:ascii="Segoe UI" w:hAnsi="Segoe UI" w:cs="Segoe UI"/>
        </w:rPr>
        <w:t xml:space="preserve">Cervellon, M.C. (2012) 'Victoria's dirty secrets: Effectiveness of green not-for-profit messages targeting brands', </w:t>
      </w:r>
      <w:r w:rsidRPr="00530906">
        <w:rPr>
          <w:rFonts w:ascii="Segoe UI" w:hAnsi="Segoe UI" w:cs="Segoe UI"/>
          <w:i/>
          <w:iCs/>
        </w:rPr>
        <w:t>Journal of Advertising</w:t>
      </w:r>
      <w:r w:rsidRPr="00530906">
        <w:rPr>
          <w:rFonts w:ascii="Segoe UI" w:hAnsi="Segoe UI" w:cs="Segoe UI"/>
        </w:rPr>
        <w:t>, 41(4), pp. 133-145. Doi: 10.2753/JOA0091-3367410409</w:t>
      </w:r>
    </w:p>
    <w:p w14:paraId="1A00F8D0" w14:textId="73B7F52B"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Chamberlain, L. and Broderick, A.</w:t>
      </w:r>
      <w:r w:rsidR="00774B58" w:rsidRPr="00530906">
        <w:rPr>
          <w:rFonts w:ascii="Cambria" w:hAnsi="Cambria"/>
          <w:sz w:val="24"/>
          <w:szCs w:val="24"/>
        </w:rPr>
        <w:t xml:space="preserve"> </w:t>
      </w:r>
      <w:r w:rsidRPr="00530906">
        <w:rPr>
          <w:rFonts w:ascii="Cambria" w:hAnsi="Cambria"/>
          <w:sz w:val="24"/>
          <w:szCs w:val="24"/>
        </w:rPr>
        <w:t xml:space="preserve">J. (2007), "The application of physiological observation methods to emotion research", </w:t>
      </w:r>
      <w:r w:rsidRPr="00530906">
        <w:rPr>
          <w:rFonts w:ascii="Cambria" w:hAnsi="Cambria"/>
          <w:i/>
          <w:iCs/>
          <w:sz w:val="24"/>
          <w:szCs w:val="24"/>
        </w:rPr>
        <w:t>Qualitative Market Research</w:t>
      </w:r>
      <w:r w:rsidRPr="00530906">
        <w:rPr>
          <w:rFonts w:ascii="Cambria" w:hAnsi="Cambria"/>
          <w:sz w:val="24"/>
          <w:szCs w:val="24"/>
        </w:rPr>
        <w:t>, 10 (2), pp. 199–216. doi:10.1108/13522750710740853</w:t>
      </w:r>
    </w:p>
    <w:p w14:paraId="325615C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Chan, K. W. and Li, S. Y. (2010) ‘Understanding consumer–to–consumer interactions in virtual communities: The salience of reciprocity’, </w:t>
      </w:r>
      <w:r w:rsidRPr="00530906">
        <w:rPr>
          <w:rFonts w:ascii="Cambria" w:hAnsi="Cambria"/>
          <w:i/>
          <w:sz w:val="24"/>
          <w:szCs w:val="24"/>
        </w:rPr>
        <w:t>Journal of Business Research,</w:t>
      </w:r>
      <w:r w:rsidRPr="00530906">
        <w:rPr>
          <w:rFonts w:ascii="Cambria" w:hAnsi="Cambria"/>
          <w:sz w:val="24"/>
          <w:szCs w:val="24"/>
        </w:rPr>
        <w:t xml:space="preserve"> 63(9–10), pp. 1033–1040. doi:10.1016/j.jbusres.2008.08.009.</w:t>
      </w:r>
    </w:p>
    <w:p w14:paraId="71F17CE5" w14:textId="4681865F"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Chan, R.Y., Wong, Y.</w:t>
      </w:r>
      <w:r w:rsidR="00774B58" w:rsidRPr="00530906">
        <w:rPr>
          <w:rFonts w:ascii="Cambria" w:hAnsi="Cambria" w:cs="Segoe UI"/>
          <w:sz w:val="24"/>
          <w:szCs w:val="24"/>
        </w:rPr>
        <w:t xml:space="preserve"> </w:t>
      </w:r>
      <w:r w:rsidRPr="00530906">
        <w:rPr>
          <w:rFonts w:ascii="Cambria" w:hAnsi="Cambria" w:cs="Segoe UI"/>
          <w:sz w:val="24"/>
          <w:szCs w:val="24"/>
        </w:rPr>
        <w:t>H. and Leung, T.</w:t>
      </w:r>
      <w:r w:rsidR="00774B58" w:rsidRPr="00530906">
        <w:rPr>
          <w:rFonts w:ascii="Cambria" w:hAnsi="Cambria" w:cs="Segoe UI"/>
          <w:sz w:val="24"/>
          <w:szCs w:val="24"/>
        </w:rPr>
        <w:t xml:space="preserve"> </w:t>
      </w:r>
      <w:r w:rsidRPr="00530906">
        <w:rPr>
          <w:rFonts w:ascii="Cambria" w:hAnsi="Cambria" w:cs="Segoe UI"/>
          <w:sz w:val="24"/>
          <w:szCs w:val="24"/>
        </w:rPr>
        <w:t xml:space="preserve">K. (2008) 'Applying ethical concepts to the study of “green” consumer behavior: An analysis of Chinese consumers’ intentions to bring their own shopping bags', </w:t>
      </w:r>
      <w:r w:rsidRPr="00530906">
        <w:rPr>
          <w:rFonts w:ascii="Cambria" w:hAnsi="Cambria" w:cs="Segoe UI"/>
          <w:i/>
          <w:iCs/>
          <w:sz w:val="24"/>
          <w:szCs w:val="24"/>
        </w:rPr>
        <w:t>Journal of Business Ethics</w:t>
      </w:r>
      <w:r w:rsidRPr="00530906">
        <w:rPr>
          <w:rFonts w:ascii="Cambria" w:hAnsi="Cambria" w:cs="Segoe UI"/>
          <w:sz w:val="24"/>
          <w:szCs w:val="24"/>
        </w:rPr>
        <w:t>, 79(4), pp. 469–481. Doi: 10.1007/s10551–007–9410–8</w:t>
      </w:r>
    </w:p>
    <w:p w14:paraId="7C1BCEA8" w14:textId="720CB8A9" w:rsidR="00E174FD" w:rsidRPr="00530906" w:rsidRDefault="00E174FD">
      <w:pPr>
        <w:spacing w:line="360" w:lineRule="auto"/>
        <w:ind w:left="567" w:hanging="567"/>
        <w:jc w:val="both"/>
        <w:rPr>
          <w:rFonts w:ascii="Cambria" w:hAnsi="Cambria" w:cs="Segoe UI"/>
          <w:sz w:val="24"/>
          <w:szCs w:val="24"/>
        </w:rPr>
      </w:pPr>
      <w:r w:rsidRPr="00530906">
        <w:rPr>
          <w:rFonts w:ascii="Cambria" w:hAnsi="Cambria" w:cs="Segoe UI"/>
          <w:sz w:val="24"/>
          <w:szCs w:val="24"/>
        </w:rPr>
        <w:t>Chandran, S. and Morwitz, V.</w:t>
      </w:r>
      <w:r w:rsidR="00774B58" w:rsidRPr="00530906">
        <w:rPr>
          <w:rFonts w:ascii="Cambria" w:hAnsi="Cambria" w:cs="Segoe UI"/>
          <w:sz w:val="24"/>
          <w:szCs w:val="24"/>
        </w:rPr>
        <w:t xml:space="preserve"> </w:t>
      </w:r>
      <w:r w:rsidRPr="00530906">
        <w:rPr>
          <w:rFonts w:ascii="Cambria" w:hAnsi="Cambria" w:cs="Segoe UI"/>
          <w:sz w:val="24"/>
          <w:szCs w:val="24"/>
        </w:rPr>
        <w:t xml:space="preserve">G. (2005) 'Effects of participative pricing on consumers' cognitions and actions: A goal theoretic perspective', </w:t>
      </w:r>
      <w:r w:rsidRPr="00530906">
        <w:rPr>
          <w:rFonts w:ascii="Cambria" w:hAnsi="Cambria" w:cs="Segoe UI"/>
          <w:i/>
          <w:iCs/>
          <w:sz w:val="24"/>
          <w:szCs w:val="24"/>
        </w:rPr>
        <w:t>Journal of Consumer Research</w:t>
      </w:r>
      <w:r w:rsidRPr="00530906">
        <w:rPr>
          <w:rFonts w:ascii="Cambria" w:hAnsi="Cambria" w:cs="Segoe UI"/>
          <w:sz w:val="24"/>
          <w:szCs w:val="24"/>
        </w:rPr>
        <w:t>, 32(2), pp. 249–259. Doi: 10.1086/432234</w:t>
      </w:r>
    </w:p>
    <w:p w14:paraId="585151E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Chang (2012), “The Role of Ad–evoked Consumption Visions in Predicting  Brand Attitudes: A Relevancy Principle Model,” Psychology and Marketing, 29, 12, 956–67. </w:t>
      </w:r>
    </w:p>
    <w:p w14:paraId="42C0F14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Chang, A., Hsieh, S. H., &amp; Lin, F. (2013). Personality Traits That Lead Members of Online Brand Communities to Participate in Information Sending and Receiving. International Journal of Electronic Commerce, 17(3), 37–61. doi:10.2753/jec1086–4415170302</w:t>
      </w:r>
    </w:p>
    <w:p w14:paraId="5EED1A2D" w14:textId="5D0EA2BE"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Chen, S.</w:t>
      </w:r>
      <w:r w:rsidR="00774B58" w:rsidRPr="00530906">
        <w:rPr>
          <w:rFonts w:ascii="Cambria" w:hAnsi="Cambria"/>
          <w:sz w:val="24"/>
          <w:szCs w:val="24"/>
        </w:rPr>
        <w:t xml:space="preserve"> </w:t>
      </w:r>
      <w:r w:rsidRPr="00530906">
        <w:rPr>
          <w:rFonts w:ascii="Cambria" w:hAnsi="Cambria"/>
          <w:sz w:val="24"/>
          <w:szCs w:val="24"/>
        </w:rPr>
        <w:t>C. and Hung, C.</w:t>
      </w:r>
      <w:r w:rsidR="00774B58" w:rsidRPr="00530906">
        <w:rPr>
          <w:rFonts w:ascii="Cambria" w:hAnsi="Cambria"/>
          <w:sz w:val="24"/>
          <w:szCs w:val="24"/>
        </w:rPr>
        <w:t xml:space="preserve"> </w:t>
      </w:r>
      <w:r w:rsidRPr="00530906">
        <w:rPr>
          <w:rFonts w:ascii="Cambria" w:hAnsi="Cambria"/>
          <w:sz w:val="24"/>
          <w:szCs w:val="24"/>
        </w:rPr>
        <w:t>W. (2016) 'Elucidating the factors influencing the acceptance of green products: An extension of theory of planned behavior', Technological Forecasting and Social Change, 112, pp. 155–163.</w:t>
      </w:r>
    </w:p>
    <w:p w14:paraId="4912296E" w14:textId="728DE4C3"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Chen, X., Li, X., Yao, D. and Zhou, Z. (2019) 'Seeking the support of the silent majority: are lurking users valuable to UGC platforms?', </w:t>
      </w:r>
      <w:r w:rsidRPr="00530906">
        <w:rPr>
          <w:rFonts w:ascii="Cambria" w:hAnsi="Cambria" w:cs="Segoe UI"/>
          <w:i/>
          <w:iCs/>
          <w:sz w:val="24"/>
          <w:szCs w:val="24"/>
        </w:rPr>
        <w:t>Journal of the Academy of Marketing Science</w:t>
      </w:r>
      <w:r w:rsidRPr="00530906">
        <w:rPr>
          <w:rFonts w:ascii="Cambria" w:hAnsi="Cambria" w:cs="Segoe UI"/>
          <w:sz w:val="24"/>
          <w:szCs w:val="24"/>
        </w:rPr>
        <w:t>, 47(6), pp. 986</w:t>
      </w:r>
      <w:r w:rsidR="004179CD" w:rsidRPr="00530906">
        <w:rPr>
          <w:rFonts w:ascii="Cambria" w:hAnsi="Cambria" w:cs="Segoe UI"/>
          <w:sz w:val="24"/>
          <w:szCs w:val="24"/>
        </w:rPr>
        <w:t>–</w:t>
      </w:r>
      <w:r w:rsidRPr="00530906">
        <w:rPr>
          <w:rFonts w:ascii="Cambria" w:hAnsi="Cambria" w:cs="Segoe UI"/>
          <w:sz w:val="24"/>
          <w:szCs w:val="24"/>
        </w:rPr>
        <w:t>1004. Doi: 10.1007/s11747</w:t>
      </w:r>
      <w:r w:rsidR="004179CD" w:rsidRPr="00530906">
        <w:rPr>
          <w:rFonts w:ascii="Cambria" w:hAnsi="Cambria" w:cs="Segoe UI"/>
          <w:sz w:val="24"/>
          <w:szCs w:val="24"/>
        </w:rPr>
        <w:t>–</w:t>
      </w:r>
      <w:r w:rsidRPr="00530906">
        <w:rPr>
          <w:rFonts w:ascii="Cambria" w:hAnsi="Cambria" w:cs="Segoe UI"/>
          <w:sz w:val="24"/>
          <w:szCs w:val="24"/>
        </w:rPr>
        <w:t>018</w:t>
      </w:r>
      <w:r w:rsidR="004179CD" w:rsidRPr="00530906">
        <w:rPr>
          <w:rFonts w:ascii="Cambria" w:hAnsi="Cambria" w:cs="Segoe UI"/>
          <w:sz w:val="24"/>
          <w:szCs w:val="24"/>
        </w:rPr>
        <w:t>–</w:t>
      </w:r>
      <w:r w:rsidRPr="00530906">
        <w:rPr>
          <w:rFonts w:ascii="Cambria" w:hAnsi="Cambria" w:cs="Segoe UI"/>
          <w:sz w:val="24"/>
          <w:szCs w:val="24"/>
        </w:rPr>
        <w:t>00624</w:t>
      </w:r>
      <w:r w:rsidR="004179CD" w:rsidRPr="00530906">
        <w:rPr>
          <w:rFonts w:ascii="Cambria" w:hAnsi="Cambria" w:cs="Segoe UI"/>
          <w:sz w:val="24"/>
          <w:szCs w:val="24"/>
        </w:rPr>
        <w:t>–</w:t>
      </w:r>
      <w:r w:rsidRPr="00530906">
        <w:rPr>
          <w:rFonts w:ascii="Cambria" w:hAnsi="Cambria" w:cs="Segoe UI"/>
          <w:sz w:val="24"/>
          <w:szCs w:val="24"/>
        </w:rPr>
        <w:t>8</w:t>
      </w:r>
    </w:p>
    <w:p w14:paraId="58CC4F2E" w14:textId="79463BE0"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Chiu, C.</w:t>
      </w:r>
      <w:r w:rsidR="00774B58" w:rsidRPr="00530906">
        <w:rPr>
          <w:rFonts w:ascii="Cambria" w:hAnsi="Cambria"/>
          <w:sz w:val="24"/>
          <w:szCs w:val="24"/>
        </w:rPr>
        <w:t xml:space="preserve"> </w:t>
      </w:r>
      <w:r w:rsidRPr="00530906">
        <w:rPr>
          <w:rFonts w:ascii="Cambria" w:hAnsi="Cambria"/>
          <w:sz w:val="24"/>
          <w:szCs w:val="24"/>
        </w:rPr>
        <w:t>M., Hsu, M.</w:t>
      </w:r>
      <w:r w:rsidR="00774B58" w:rsidRPr="00530906">
        <w:rPr>
          <w:rFonts w:ascii="Cambria" w:hAnsi="Cambria"/>
          <w:sz w:val="24"/>
          <w:szCs w:val="24"/>
        </w:rPr>
        <w:t xml:space="preserve"> </w:t>
      </w:r>
      <w:r w:rsidRPr="00530906">
        <w:rPr>
          <w:rFonts w:ascii="Cambria" w:hAnsi="Cambria"/>
          <w:sz w:val="24"/>
          <w:szCs w:val="24"/>
        </w:rPr>
        <w:t>H. and Wang, E.</w:t>
      </w:r>
      <w:r w:rsidR="00774B58" w:rsidRPr="00530906">
        <w:rPr>
          <w:rFonts w:ascii="Cambria" w:hAnsi="Cambria"/>
          <w:sz w:val="24"/>
          <w:szCs w:val="24"/>
        </w:rPr>
        <w:t xml:space="preserve"> </w:t>
      </w:r>
      <w:r w:rsidRPr="00530906">
        <w:rPr>
          <w:rFonts w:ascii="Cambria" w:hAnsi="Cambria"/>
          <w:sz w:val="24"/>
          <w:szCs w:val="24"/>
        </w:rPr>
        <w:t>T.</w:t>
      </w:r>
      <w:r w:rsidR="00774B58" w:rsidRPr="00530906">
        <w:rPr>
          <w:rFonts w:ascii="Cambria" w:hAnsi="Cambria"/>
          <w:sz w:val="24"/>
          <w:szCs w:val="24"/>
        </w:rPr>
        <w:t xml:space="preserve"> </w:t>
      </w:r>
      <w:r w:rsidRPr="00530906">
        <w:rPr>
          <w:rFonts w:ascii="Cambria" w:hAnsi="Cambria"/>
          <w:sz w:val="24"/>
          <w:szCs w:val="24"/>
        </w:rPr>
        <w:t>G. (2006) 'Understanding knowledge sharing in virtual communities: An integration of social capital and social cognitive theories', Decision Support Systems, 42(3), pp. 1872–1888. doi:10.1016/j.dss.2006.04.001</w:t>
      </w:r>
    </w:p>
    <w:p w14:paraId="310678F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Cho, Y. N., Thyroff, A., Rapert, M. I., Park, S. Y. and Lee, H. J. (2013) To be or not to be green: Exploring individualism and collectivism as antecedents of environmental behaviour, </w:t>
      </w:r>
      <w:r w:rsidRPr="00530906">
        <w:rPr>
          <w:rFonts w:ascii="Cambria" w:hAnsi="Cambria"/>
          <w:i/>
          <w:sz w:val="24"/>
          <w:szCs w:val="24"/>
        </w:rPr>
        <w:t>Journal of Business Research</w:t>
      </w:r>
      <w:r w:rsidRPr="00530906">
        <w:rPr>
          <w:rFonts w:ascii="Cambria" w:hAnsi="Cambria"/>
          <w:sz w:val="24"/>
          <w:szCs w:val="24"/>
        </w:rPr>
        <w:t>, 66 (8), pp. 1052–1059. doi:10.1016/j.jbusres.2012.08.020.</w:t>
      </w:r>
    </w:p>
    <w:p w14:paraId="605B9317" w14:textId="470028AE"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Choi, S. and Ng, A. (2011) ‘Environmental and economic dimensions of sustainability and price effects on consumer responses’, </w:t>
      </w:r>
      <w:r w:rsidRPr="00530906">
        <w:rPr>
          <w:rFonts w:ascii="Cambria" w:hAnsi="Cambria"/>
          <w:i/>
          <w:sz w:val="24"/>
          <w:szCs w:val="24"/>
        </w:rPr>
        <w:t>Journal of Business Ethics</w:t>
      </w:r>
      <w:r w:rsidRPr="00530906">
        <w:rPr>
          <w:rFonts w:ascii="Cambria" w:hAnsi="Cambria"/>
          <w:sz w:val="24"/>
          <w:szCs w:val="24"/>
        </w:rPr>
        <w:t>, 104(2), pp. 269–282. doi: 10.1 007/s 1 055 1–011 –0908–8.</w:t>
      </w:r>
    </w:p>
    <w:p w14:paraId="6C25683C" w14:textId="0D209CFC" w:rsidR="004F1FF1" w:rsidRPr="00530906" w:rsidRDefault="003A1193">
      <w:pPr>
        <w:spacing w:line="360" w:lineRule="auto"/>
        <w:ind w:left="567" w:hanging="567"/>
        <w:jc w:val="both"/>
        <w:rPr>
          <w:rFonts w:ascii="Cambria" w:hAnsi="Cambria"/>
          <w:sz w:val="24"/>
          <w:szCs w:val="24"/>
        </w:rPr>
      </w:pPr>
      <w:bookmarkStart w:id="168" w:name="_Hlk72781819"/>
      <w:r w:rsidRPr="00530906">
        <w:rPr>
          <w:rFonts w:ascii="Cambria" w:hAnsi="Cambria"/>
          <w:sz w:val="24"/>
          <w:szCs w:val="24"/>
        </w:rPr>
        <w:t>C</w:t>
      </w:r>
      <w:r w:rsidR="004F1FF1" w:rsidRPr="00530906">
        <w:rPr>
          <w:rFonts w:ascii="Cambria" w:hAnsi="Cambria"/>
          <w:sz w:val="24"/>
          <w:szCs w:val="24"/>
        </w:rPr>
        <w:t xml:space="preserve">horusanalytics.co.uk (2021) available at: The Chorus project: making sense from twitter. </w:t>
      </w:r>
      <w:hyperlink r:id="rId133" w:anchor=":~:text=Hence%2C%20the%20Chorus%20project%20is,for%20an%20audience%20unused%20to" w:history="1">
        <w:r w:rsidR="004F1FF1" w:rsidRPr="00530906">
          <w:rPr>
            <w:rStyle w:val="Hyperlink"/>
            <w:rFonts w:ascii="Cambria" w:hAnsi="Cambria"/>
            <w:sz w:val="24"/>
            <w:szCs w:val="24"/>
          </w:rPr>
          <w:t>http://chorusanalytics.co.uk/#:~:text=Hence%2C%20the%20Chorus%20project%20is,for%20an%20audience%20unused%20to</w:t>
        </w:r>
      </w:hyperlink>
      <w:r w:rsidR="004F1FF1" w:rsidRPr="00530906">
        <w:rPr>
          <w:rFonts w:ascii="Cambria" w:hAnsi="Cambria"/>
          <w:sz w:val="24"/>
          <w:szCs w:val="24"/>
        </w:rPr>
        <w:t xml:space="preserve"> (Accessed on 24</w:t>
      </w:r>
      <w:r w:rsidR="004F1FF1" w:rsidRPr="00530906">
        <w:rPr>
          <w:rFonts w:ascii="Cambria" w:hAnsi="Cambria"/>
          <w:sz w:val="24"/>
          <w:szCs w:val="24"/>
          <w:vertAlign w:val="superscript"/>
        </w:rPr>
        <w:t>th</w:t>
      </w:r>
      <w:r w:rsidR="004F1FF1" w:rsidRPr="00530906">
        <w:rPr>
          <w:rFonts w:ascii="Cambria" w:hAnsi="Cambria"/>
          <w:sz w:val="24"/>
          <w:szCs w:val="24"/>
        </w:rPr>
        <w:t xml:space="preserve"> May 2021)</w:t>
      </w:r>
    </w:p>
    <w:bookmarkEnd w:id="168"/>
    <w:p w14:paraId="3426C0C2" w14:textId="67940454"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Christensen, G.</w:t>
      </w:r>
      <w:r w:rsidR="00774B58" w:rsidRPr="00530906">
        <w:rPr>
          <w:rFonts w:ascii="Cambria" w:hAnsi="Cambria" w:cs="Segoe UI"/>
          <w:sz w:val="24"/>
          <w:szCs w:val="24"/>
        </w:rPr>
        <w:t xml:space="preserve"> </w:t>
      </w:r>
      <w:r w:rsidRPr="00530906">
        <w:rPr>
          <w:rFonts w:ascii="Cambria" w:hAnsi="Cambria" w:cs="Segoe UI"/>
          <w:sz w:val="24"/>
          <w:szCs w:val="24"/>
        </w:rPr>
        <w:t>L., Olson, J.</w:t>
      </w:r>
      <w:r w:rsidR="00774B58" w:rsidRPr="00530906">
        <w:rPr>
          <w:rFonts w:ascii="Cambria" w:hAnsi="Cambria" w:cs="Segoe UI"/>
          <w:sz w:val="24"/>
          <w:szCs w:val="24"/>
        </w:rPr>
        <w:t xml:space="preserve"> </w:t>
      </w:r>
      <w:r w:rsidRPr="00530906">
        <w:rPr>
          <w:rFonts w:ascii="Cambria" w:hAnsi="Cambria" w:cs="Segoe UI"/>
          <w:sz w:val="24"/>
          <w:szCs w:val="24"/>
        </w:rPr>
        <w:t>C. and Ross, W.</w:t>
      </w:r>
      <w:r w:rsidR="00774B58" w:rsidRPr="00530906">
        <w:rPr>
          <w:rFonts w:ascii="Cambria" w:hAnsi="Cambria" w:cs="Segoe UI"/>
          <w:sz w:val="24"/>
          <w:szCs w:val="24"/>
        </w:rPr>
        <w:t xml:space="preserve"> </w:t>
      </w:r>
      <w:r w:rsidRPr="00530906">
        <w:rPr>
          <w:rFonts w:ascii="Cambria" w:hAnsi="Cambria" w:cs="Segoe UI"/>
          <w:sz w:val="24"/>
          <w:szCs w:val="24"/>
        </w:rPr>
        <w:t xml:space="preserve">T. ( 2004) 'Why Consumption Vision? Understating Consumer Value in Anticipatory Consumption Imaging', </w:t>
      </w:r>
      <w:r w:rsidRPr="00530906">
        <w:rPr>
          <w:rFonts w:ascii="Cambria" w:hAnsi="Cambria" w:cs="Segoe UI"/>
          <w:i/>
          <w:iCs/>
          <w:sz w:val="24"/>
          <w:szCs w:val="24"/>
        </w:rPr>
        <w:t>Advances in Consumer Research, North American Advances.</w:t>
      </w:r>
      <w:r w:rsidRPr="00530906">
        <w:rPr>
          <w:rFonts w:ascii="Cambria" w:hAnsi="Cambria" w:cs="Segoe UI"/>
          <w:sz w:val="24"/>
          <w:szCs w:val="24"/>
        </w:rPr>
        <w:t>, 31, pp. 130–131.</w:t>
      </w:r>
    </w:p>
    <w:p w14:paraId="4DBD9F6D" w14:textId="09F413B0" w:rsidR="007E4999"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Chung, S. and Cho, H. (2017) 'Fostering Parasocial Relationships with Celebrities on Social Media: Implications for Celebrity Endorsement', </w:t>
      </w:r>
      <w:r w:rsidRPr="00530906">
        <w:rPr>
          <w:rFonts w:ascii="Cambria" w:hAnsi="Cambria" w:cs="Segoe UI"/>
          <w:i/>
          <w:iCs/>
          <w:sz w:val="24"/>
          <w:szCs w:val="24"/>
        </w:rPr>
        <w:t>Psychology &amp; Marketing</w:t>
      </w:r>
      <w:r w:rsidRPr="00530906">
        <w:rPr>
          <w:rFonts w:ascii="Cambria" w:hAnsi="Cambria" w:cs="Segoe UI"/>
          <w:sz w:val="24"/>
          <w:szCs w:val="24"/>
        </w:rPr>
        <w:t>, 34(4), pp. 481</w:t>
      </w:r>
      <w:r w:rsidR="004179CD" w:rsidRPr="00530906">
        <w:rPr>
          <w:rFonts w:ascii="Cambria" w:hAnsi="Cambria" w:cs="Segoe UI"/>
          <w:sz w:val="24"/>
          <w:szCs w:val="24"/>
        </w:rPr>
        <w:t>–</w:t>
      </w:r>
      <w:r w:rsidRPr="00530906">
        <w:rPr>
          <w:rFonts w:ascii="Cambria" w:hAnsi="Cambria" w:cs="Segoe UI"/>
          <w:sz w:val="24"/>
          <w:szCs w:val="24"/>
        </w:rPr>
        <w:t>495. Doi: 10.1002/mar.21001</w:t>
      </w:r>
    </w:p>
    <w:p w14:paraId="73A3FC0F" w14:textId="29B7C4EE" w:rsidR="00081D87" w:rsidRPr="00530906" w:rsidRDefault="00081D87">
      <w:pPr>
        <w:spacing w:line="360" w:lineRule="auto"/>
        <w:ind w:left="567" w:hanging="567"/>
        <w:jc w:val="both"/>
        <w:rPr>
          <w:rFonts w:ascii="Cambria" w:hAnsi="Cambria"/>
          <w:sz w:val="24"/>
          <w:szCs w:val="24"/>
        </w:rPr>
      </w:pPr>
      <w:r w:rsidRPr="00081D87">
        <w:rPr>
          <w:rFonts w:ascii="Cambria" w:hAnsi="Cambria"/>
          <w:sz w:val="24"/>
          <w:szCs w:val="24"/>
        </w:rPr>
        <w:t>Churchill,</w:t>
      </w:r>
      <w:r w:rsidR="00096007">
        <w:rPr>
          <w:rFonts w:ascii="Cambria" w:hAnsi="Cambria"/>
          <w:sz w:val="24"/>
          <w:szCs w:val="24"/>
        </w:rPr>
        <w:t xml:space="preserve"> G. A Jr</w:t>
      </w:r>
      <w:r w:rsidRPr="00081D87">
        <w:rPr>
          <w:rFonts w:ascii="Cambria" w:hAnsi="Cambria"/>
          <w:sz w:val="24"/>
          <w:szCs w:val="24"/>
        </w:rPr>
        <w:t>.</w:t>
      </w:r>
      <w:r w:rsidR="00096007">
        <w:rPr>
          <w:rFonts w:ascii="Cambria" w:hAnsi="Cambria"/>
          <w:sz w:val="24"/>
          <w:szCs w:val="24"/>
        </w:rPr>
        <w:t xml:space="preserve"> (1979)</w:t>
      </w:r>
      <w:r w:rsidRPr="00081D87">
        <w:rPr>
          <w:rFonts w:ascii="Cambria" w:hAnsi="Cambria"/>
          <w:sz w:val="24"/>
          <w:szCs w:val="24"/>
        </w:rPr>
        <w:t xml:space="preserve">, </w:t>
      </w:r>
      <w:r w:rsidR="00E668E2">
        <w:rPr>
          <w:rFonts w:ascii="Cambria" w:hAnsi="Cambria"/>
          <w:sz w:val="24"/>
          <w:szCs w:val="24"/>
        </w:rPr>
        <w:t>‘</w:t>
      </w:r>
      <w:r w:rsidRPr="00081D87">
        <w:rPr>
          <w:rFonts w:ascii="Cambria" w:hAnsi="Cambria"/>
          <w:sz w:val="24"/>
          <w:szCs w:val="24"/>
        </w:rPr>
        <w:t>A Paradigm for Developing Better Measures for Marketing Constructs</w:t>
      </w:r>
      <w:r w:rsidR="00096007">
        <w:rPr>
          <w:rFonts w:ascii="Cambria" w:hAnsi="Cambria"/>
          <w:sz w:val="24"/>
          <w:szCs w:val="24"/>
        </w:rPr>
        <w:t>’</w:t>
      </w:r>
      <w:r w:rsidRPr="00081D87">
        <w:rPr>
          <w:rFonts w:ascii="Cambria" w:hAnsi="Cambria"/>
          <w:sz w:val="24"/>
          <w:szCs w:val="24"/>
        </w:rPr>
        <w:t xml:space="preserve">. </w:t>
      </w:r>
      <w:r w:rsidRPr="00096007">
        <w:rPr>
          <w:rFonts w:ascii="Cambria" w:hAnsi="Cambria"/>
          <w:i/>
          <w:iCs/>
          <w:sz w:val="24"/>
          <w:szCs w:val="24"/>
        </w:rPr>
        <w:t>Journal of Marketing Research,</w:t>
      </w:r>
      <w:r w:rsidRPr="00081D87">
        <w:rPr>
          <w:rFonts w:ascii="Cambria" w:hAnsi="Cambria"/>
          <w:sz w:val="24"/>
          <w:szCs w:val="24"/>
        </w:rPr>
        <w:t xml:space="preserve"> 16</w:t>
      </w:r>
      <w:r w:rsidR="00E668E2">
        <w:rPr>
          <w:rFonts w:ascii="Cambria" w:hAnsi="Cambria"/>
          <w:sz w:val="24"/>
          <w:szCs w:val="24"/>
        </w:rPr>
        <w:t xml:space="preserve"> (</w:t>
      </w:r>
      <w:r w:rsidRPr="00081D87">
        <w:rPr>
          <w:rFonts w:ascii="Cambria" w:hAnsi="Cambria"/>
          <w:sz w:val="24"/>
          <w:szCs w:val="24"/>
        </w:rPr>
        <w:t>1</w:t>
      </w:r>
      <w:r w:rsidR="00E668E2">
        <w:rPr>
          <w:rFonts w:ascii="Cambria" w:hAnsi="Cambria"/>
          <w:sz w:val="24"/>
          <w:szCs w:val="24"/>
        </w:rPr>
        <w:t>)</w:t>
      </w:r>
      <w:r w:rsidRPr="00081D87">
        <w:rPr>
          <w:rFonts w:ascii="Cambria" w:hAnsi="Cambria"/>
          <w:sz w:val="24"/>
          <w:szCs w:val="24"/>
        </w:rPr>
        <w:t>.</w:t>
      </w:r>
    </w:p>
    <w:p w14:paraId="7E9A0757" w14:textId="3DF64452" w:rsidR="007E4999" w:rsidRPr="00530906" w:rsidRDefault="003A1193">
      <w:pPr>
        <w:spacing w:line="360" w:lineRule="auto"/>
        <w:ind w:left="567" w:hanging="567"/>
        <w:jc w:val="both"/>
        <w:rPr>
          <w:rFonts w:ascii="Cambria" w:hAnsi="Cambria"/>
          <w:sz w:val="24"/>
          <w:szCs w:val="24"/>
        </w:rPr>
      </w:pPr>
      <w:r w:rsidRPr="00530906">
        <w:rPr>
          <w:rFonts w:ascii="Cambria" w:hAnsi="Cambria"/>
          <w:sz w:val="24"/>
          <w:szCs w:val="24"/>
        </w:rPr>
        <w:t>C</w:t>
      </w:r>
      <w:r w:rsidR="007E4999" w:rsidRPr="00530906">
        <w:rPr>
          <w:rFonts w:ascii="Cambria" w:hAnsi="Cambria"/>
          <w:sz w:val="24"/>
          <w:szCs w:val="24"/>
        </w:rPr>
        <w:t xml:space="preserve">itytosea.org.uk (2019) “COMPLAINT MADE OVER “MISLEADING” COCA–COLA ADVERT” available at: </w:t>
      </w:r>
      <w:hyperlink r:id="rId134" w:history="1">
        <w:r w:rsidR="007E4999" w:rsidRPr="00530906">
          <w:rPr>
            <w:rStyle w:val="Hyperlink"/>
            <w:rFonts w:ascii="Cambria" w:hAnsi="Cambria"/>
            <w:color w:val="auto"/>
            <w:sz w:val="24"/>
            <w:szCs w:val="24"/>
          </w:rPr>
          <w:t>https://www.citytosea.org.uk/complaint–made–over–misleading–coca–cola–advert/</w:t>
        </w:r>
      </w:hyperlink>
      <w:r w:rsidR="007E4999" w:rsidRPr="00530906">
        <w:rPr>
          <w:rFonts w:ascii="Cambria" w:hAnsi="Cambria"/>
          <w:sz w:val="24"/>
          <w:szCs w:val="24"/>
        </w:rPr>
        <w:t xml:space="preserve"> (accessed 15</w:t>
      </w:r>
      <w:r w:rsidR="007E4999" w:rsidRPr="00530906">
        <w:rPr>
          <w:rFonts w:ascii="Cambria" w:hAnsi="Cambria"/>
          <w:sz w:val="24"/>
          <w:szCs w:val="24"/>
          <w:vertAlign w:val="superscript"/>
        </w:rPr>
        <w:t>th</w:t>
      </w:r>
      <w:r w:rsidR="007E4999" w:rsidRPr="00530906">
        <w:rPr>
          <w:rFonts w:ascii="Cambria" w:hAnsi="Cambria"/>
          <w:sz w:val="24"/>
          <w:szCs w:val="24"/>
        </w:rPr>
        <w:t xml:space="preserve"> Dec 2020)</w:t>
      </w:r>
    </w:p>
    <w:p w14:paraId="7618804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Claffey, E. and Brady, M. (2017) 'Examining Consumers' Motivations to Engage in Firm–Hosted Virtual Communities', </w:t>
      </w:r>
      <w:r w:rsidRPr="00530906">
        <w:rPr>
          <w:rFonts w:ascii="Cambria" w:hAnsi="Cambria"/>
          <w:i/>
          <w:sz w:val="24"/>
          <w:szCs w:val="24"/>
        </w:rPr>
        <w:t>Psychology &amp; Marketing,</w:t>
      </w:r>
      <w:r w:rsidRPr="00530906">
        <w:rPr>
          <w:rFonts w:ascii="Cambria" w:hAnsi="Cambria"/>
          <w:sz w:val="24"/>
          <w:szCs w:val="24"/>
        </w:rPr>
        <w:t xml:space="preserve"> 34(4), pp. 356–375. Doi: 10.1002/mar.20994.</w:t>
      </w:r>
    </w:p>
    <w:p w14:paraId="24FDFE62"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Cohen, J. (1988). </w:t>
      </w:r>
      <w:r w:rsidRPr="00530906">
        <w:rPr>
          <w:rFonts w:ascii="Cambria" w:hAnsi="Cambria" w:cs="Arial"/>
          <w:i/>
          <w:iCs/>
          <w:sz w:val="24"/>
          <w:szCs w:val="24"/>
          <w:shd w:val="clear" w:color="auto" w:fill="FFFFFF"/>
        </w:rPr>
        <w:t>Statistical power analysis for the behavioral sciences</w:t>
      </w:r>
      <w:r w:rsidRPr="00530906">
        <w:rPr>
          <w:rFonts w:ascii="Cambria" w:hAnsi="Cambria" w:cs="Arial"/>
          <w:sz w:val="24"/>
          <w:szCs w:val="24"/>
          <w:shd w:val="clear" w:color="auto" w:fill="FFFFFF"/>
        </w:rPr>
        <w:t>. 2</w:t>
      </w:r>
      <w:r w:rsidRPr="00530906">
        <w:rPr>
          <w:rFonts w:ascii="Cambria" w:hAnsi="Cambria" w:cs="Arial"/>
          <w:sz w:val="24"/>
          <w:szCs w:val="24"/>
          <w:shd w:val="clear" w:color="auto" w:fill="FFFFFF"/>
          <w:vertAlign w:val="superscript"/>
        </w:rPr>
        <w:t>nd</w:t>
      </w:r>
      <w:r w:rsidRPr="00530906">
        <w:rPr>
          <w:rFonts w:ascii="Cambria" w:hAnsi="Cambria" w:cs="Arial"/>
          <w:sz w:val="24"/>
          <w:szCs w:val="24"/>
          <w:shd w:val="clear" w:color="auto" w:fill="FFFFFF"/>
        </w:rPr>
        <w:t xml:space="preserve"> edition. Academic press.</w:t>
      </w:r>
    </w:p>
    <w:p w14:paraId="3F14C04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Colliander, J., &amp; Dahlén, M. (2011). Following the fashionable friend: The power of social media: Weighing publicity effectiveness of blogs versus online magazines. </w:t>
      </w:r>
      <w:r w:rsidRPr="00530906">
        <w:rPr>
          <w:rFonts w:ascii="Cambria" w:hAnsi="Cambria" w:cs="Arial"/>
          <w:i/>
          <w:iCs/>
          <w:sz w:val="24"/>
          <w:szCs w:val="24"/>
          <w:shd w:val="clear" w:color="auto" w:fill="FFFFFF"/>
        </w:rPr>
        <w:t>Journal of advertising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51</w:t>
      </w:r>
      <w:r w:rsidRPr="00530906">
        <w:rPr>
          <w:rFonts w:ascii="Cambria" w:hAnsi="Cambria" w:cs="Arial"/>
          <w:sz w:val="24"/>
          <w:szCs w:val="24"/>
          <w:shd w:val="clear" w:color="auto" w:fill="FFFFFF"/>
        </w:rPr>
        <w:t xml:space="preserve">(1), 313–320. Doi: </w:t>
      </w:r>
      <w:r w:rsidRPr="00530906">
        <w:rPr>
          <w:rFonts w:ascii="Cambria" w:hAnsi="Cambria"/>
          <w:sz w:val="24"/>
          <w:szCs w:val="24"/>
          <w:shd w:val="clear" w:color="auto" w:fill="FFFFFF"/>
        </w:rPr>
        <w:t>10.2501/JAR–51–1–313–320 </w:t>
      </w:r>
    </w:p>
    <w:p w14:paraId="1A224DD9"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Collis, J. and Hussey, R. (2014) </w:t>
      </w:r>
      <w:r w:rsidRPr="00530906">
        <w:rPr>
          <w:rFonts w:ascii="Cambria" w:hAnsi="Cambria" w:cs="Segoe UI"/>
          <w:i/>
          <w:iCs/>
          <w:sz w:val="24"/>
          <w:szCs w:val="24"/>
        </w:rPr>
        <w:t>Business research: A practical guide for undergraduate and postgraduate students</w:t>
      </w:r>
      <w:r w:rsidRPr="00530906">
        <w:rPr>
          <w:rFonts w:ascii="Cambria" w:hAnsi="Cambria" w:cs="Segoe UI"/>
          <w:sz w:val="24"/>
          <w:szCs w:val="24"/>
        </w:rPr>
        <w:t>. 4 edn. UK: Macmillan International Higher Education.</w:t>
      </w:r>
    </w:p>
    <w:p w14:paraId="31114BA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Cova, B. &amp; Dalli, D. (2009) ‘Working consumers: the next step in marketing theory?’, </w:t>
      </w:r>
      <w:r w:rsidRPr="00530906">
        <w:rPr>
          <w:rFonts w:ascii="Cambria" w:hAnsi="Cambria"/>
          <w:i/>
          <w:sz w:val="24"/>
          <w:szCs w:val="24"/>
        </w:rPr>
        <w:t>Marketing Theory</w:t>
      </w:r>
      <w:r w:rsidRPr="00530906">
        <w:rPr>
          <w:rFonts w:ascii="Cambria" w:hAnsi="Cambria"/>
          <w:sz w:val="24"/>
          <w:szCs w:val="24"/>
        </w:rPr>
        <w:t>, 9(3), pp. 315–339. doi: 10.1177/1470593109338144.</w:t>
      </w:r>
    </w:p>
    <w:p w14:paraId="7F9147D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Cova, B. and Pace, S. (2006) ‘Brand community of convenience products: new forms of customer empowerment – the case “my Nutella the Community”’, </w:t>
      </w:r>
      <w:r w:rsidRPr="00530906">
        <w:rPr>
          <w:rFonts w:ascii="Cambria" w:hAnsi="Cambria"/>
          <w:i/>
          <w:sz w:val="24"/>
          <w:szCs w:val="24"/>
        </w:rPr>
        <w:t>European Journal of Marketing,</w:t>
      </w:r>
      <w:r w:rsidRPr="00530906">
        <w:rPr>
          <w:rFonts w:ascii="Cambria" w:hAnsi="Cambria"/>
          <w:sz w:val="24"/>
          <w:szCs w:val="24"/>
        </w:rPr>
        <w:t xml:space="preserve"> 40(9/10), pp.1087–1105. doi:10.1108/03090560610681023.</w:t>
      </w:r>
    </w:p>
    <w:p w14:paraId="037E306B" w14:textId="77777777" w:rsidR="007E4999" w:rsidRPr="00530906" w:rsidRDefault="007E4999">
      <w:pPr>
        <w:spacing w:line="360" w:lineRule="auto"/>
        <w:ind w:left="567" w:hanging="567"/>
        <w:jc w:val="both"/>
        <w:rPr>
          <w:rFonts w:ascii="Cambria" w:hAnsi="Cambria" w:cs="NjxhpvGalliardStd-Roman"/>
          <w:sz w:val="24"/>
          <w:szCs w:val="24"/>
        </w:rPr>
      </w:pPr>
      <w:r w:rsidRPr="00530906">
        <w:rPr>
          <w:rFonts w:ascii="Cambria" w:hAnsi="Cambria" w:cs="Arial"/>
          <w:sz w:val="24"/>
          <w:szCs w:val="24"/>
          <w:shd w:val="clear" w:color="auto" w:fill="FFFFFF"/>
        </w:rPr>
        <w:t>Craig, G. (2019). Advertising Sustainability. In </w:t>
      </w:r>
      <w:r w:rsidRPr="00530906">
        <w:rPr>
          <w:rFonts w:ascii="Cambria" w:hAnsi="Cambria" w:cs="Arial"/>
          <w:i/>
          <w:iCs/>
          <w:sz w:val="24"/>
          <w:szCs w:val="24"/>
          <w:shd w:val="clear" w:color="auto" w:fill="FFFFFF"/>
        </w:rPr>
        <w:t>Media, Sustainability and Everyday Life</w:t>
      </w:r>
      <w:r w:rsidRPr="00530906">
        <w:rPr>
          <w:rFonts w:ascii="Cambria" w:hAnsi="Cambria" w:cs="Arial"/>
          <w:sz w:val="24"/>
          <w:szCs w:val="24"/>
          <w:shd w:val="clear" w:color="auto" w:fill="FFFFFF"/>
        </w:rPr>
        <w:t xml:space="preserve"> (pp. 83–109). Palgrave Macmillan, London. Doi: </w:t>
      </w:r>
      <w:r w:rsidRPr="00530906">
        <w:rPr>
          <w:rFonts w:ascii="Cambria" w:hAnsi="Cambria" w:cs="NjxhpvGalliardStd-Roman"/>
          <w:sz w:val="24"/>
          <w:szCs w:val="24"/>
        </w:rPr>
        <w:t>10.1057/978–1–137–53469–9_4</w:t>
      </w:r>
    </w:p>
    <w:p w14:paraId="70BF5AF3" w14:textId="0075F082" w:rsidR="007E4999" w:rsidRPr="00530906" w:rsidRDefault="007E4999">
      <w:pPr>
        <w:spacing w:line="360" w:lineRule="auto"/>
        <w:ind w:left="567" w:hanging="567"/>
        <w:jc w:val="both"/>
        <w:rPr>
          <w:sz w:val="24"/>
          <w:szCs w:val="24"/>
        </w:rPr>
      </w:pPr>
      <w:r w:rsidRPr="00530906">
        <w:rPr>
          <w:rFonts w:ascii="Cambria" w:hAnsi="Cambria" w:cs="Arial"/>
          <w:sz w:val="24"/>
          <w:szCs w:val="24"/>
          <w:shd w:val="clear" w:color="auto" w:fill="FFFFFF"/>
        </w:rPr>
        <w:t>Crosby, L. A. and Taylor, J. R. (1983), “Psychological Commitment and Its Effects on Post</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Decision Evaluation and Preference Stability Among Voters,” </w:t>
      </w:r>
      <w:r w:rsidRPr="00530906">
        <w:rPr>
          <w:rFonts w:ascii="Cambria" w:hAnsi="Cambria" w:cs="Arial"/>
          <w:i/>
          <w:iCs/>
          <w:sz w:val="24"/>
          <w:szCs w:val="24"/>
          <w:shd w:val="clear" w:color="auto" w:fill="FFFFFF"/>
        </w:rPr>
        <w:t>Journal of Consumer Research</w:t>
      </w:r>
      <w:r w:rsidRPr="00530906">
        <w:rPr>
          <w:rFonts w:ascii="Cambria" w:hAnsi="Cambria" w:cs="Arial"/>
          <w:sz w:val="24"/>
          <w:szCs w:val="24"/>
          <w:shd w:val="clear" w:color="auto" w:fill="FFFFFF"/>
        </w:rPr>
        <w:t xml:space="preserve">, 9 (4), 413–431. Doi: </w:t>
      </w:r>
      <w:hyperlink r:id="rId135" w:history="1">
        <w:r w:rsidRPr="00530906">
          <w:rPr>
            <w:rStyle w:val="Hyperlink"/>
            <w:rFonts w:ascii="Cambria" w:hAnsi="Cambria"/>
            <w:color w:val="006FB7"/>
            <w:sz w:val="24"/>
            <w:szCs w:val="24"/>
            <w:bdr w:val="none" w:sz="0" w:space="0" w:color="auto" w:frame="1"/>
            <w:shd w:val="clear" w:color="auto" w:fill="FFFFFF"/>
          </w:rPr>
          <w:t>10.1086/208935</w:t>
        </w:r>
      </w:hyperlink>
    </w:p>
    <w:p w14:paraId="631BF181" w14:textId="5FFF990E" w:rsidR="009F3164" w:rsidRPr="00530906" w:rsidRDefault="003A1193">
      <w:pPr>
        <w:spacing w:line="360" w:lineRule="auto"/>
        <w:ind w:left="567" w:hanging="567"/>
        <w:jc w:val="both"/>
        <w:rPr>
          <w:rFonts w:ascii="Cambria" w:hAnsi="Cambria"/>
          <w:sz w:val="24"/>
          <w:szCs w:val="24"/>
        </w:rPr>
      </w:pPr>
      <w:bookmarkStart w:id="169" w:name="_Hlk73184870"/>
      <w:r w:rsidRPr="00530906">
        <w:rPr>
          <w:rFonts w:ascii="Cambria" w:hAnsi="Cambria"/>
          <w:sz w:val="24"/>
          <w:szCs w:val="24"/>
        </w:rPr>
        <w:t>D</w:t>
      </w:r>
      <w:r w:rsidR="009F3164" w:rsidRPr="00530906">
        <w:rPr>
          <w:rFonts w:ascii="Cambria" w:hAnsi="Cambria"/>
          <w:sz w:val="24"/>
          <w:szCs w:val="24"/>
        </w:rPr>
        <w:t>ata.worldbank.org (2021) Fossil fuel energy consumption (% of total). Available at: https://data.worldbank.org/indicator/EG.USE.COMM.FO.ZS  (Accessed on 27</w:t>
      </w:r>
      <w:r w:rsidR="009F3164" w:rsidRPr="00530906">
        <w:rPr>
          <w:rFonts w:ascii="Cambria" w:hAnsi="Cambria"/>
          <w:sz w:val="24"/>
          <w:szCs w:val="24"/>
          <w:vertAlign w:val="superscript"/>
        </w:rPr>
        <w:t>th</w:t>
      </w:r>
      <w:r w:rsidR="009F3164" w:rsidRPr="00530906">
        <w:rPr>
          <w:rFonts w:ascii="Cambria" w:hAnsi="Cambria"/>
          <w:sz w:val="24"/>
          <w:szCs w:val="24"/>
        </w:rPr>
        <w:t xml:space="preserve"> May 2021)</w:t>
      </w:r>
    </w:p>
    <w:p w14:paraId="22E3521D" w14:textId="67306717" w:rsidR="00915701" w:rsidRPr="00530906" w:rsidRDefault="003A1193">
      <w:pPr>
        <w:spacing w:line="360" w:lineRule="auto"/>
        <w:ind w:left="567" w:hanging="567"/>
        <w:jc w:val="both"/>
        <w:rPr>
          <w:rFonts w:ascii="Cambria" w:hAnsi="Cambria"/>
          <w:sz w:val="24"/>
          <w:szCs w:val="24"/>
        </w:rPr>
      </w:pPr>
      <w:r w:rsidRPr="00530906">
        <w:rPr>
          <w:rFonts w:ascii="Cambria" w:hAnsi="Cambria"/>
          <w:sz w:val="24"/>
          <w:szCs w:val="24"/>
        </w:rPr>
        <w:t>D</w:t>
      </w:r>
      <w:r w:rsidR="00915701" w:rsidRPr="00530906">
        <w:rPr>
          <w:rFonts w:ascii="Cambria" w:hAnsi="Cambria"/>
          <w:sz w:val="24"/>
          <w:szCs w:val="24"/>
        </w:rPr>
        <w:t>atatopics.worldbank.org (2021)</w:t>
      </w:r>
      <w:r w:rsidR="004F06C8" w:rsidRPr="00530906">
        <w:rPr>
          <w:rFonts w:ascii="Cambria" w:hAnsi="Cambria"/>
          <w:sz w:val="24"/>
          <w:szCs w:val="24"/>
        </w:rPr>
        <w:t xml:space="preserve"> </w:t>
      </w:r>
      <w:r w:rsidR="00915701" w:rsidRPr="00530906">
        <w:rPr>
          <w:rFonts w:ascii="Cambria" w:hAnsi="Cambria"/>
          <w:sz w:val="24"/>
          <w:szCs w:val="24"/>
        </w:rPr>
        <w:t>12- RESPONSIBLE CONSUMPTION AND PRODUCTION: Managing plastic and food waste for a sustainable future. Available at: https://datatopics.worldbank.org/sdgatlas/goal-12-responsible-consumption-and-production/ (Accessed on 27</w:t>
      </w:r>
      <w:r w:rsidR="00915701" w:rsidRPr="00530906">
        <w:rPr>
          <w:rFonts w:ascii="Cambria" w:hAnsi="Cambria"/>
          <w:sz w:val="24"/>
          <w:szCs w:val="24"/>
          <w:vertAlign w:val="superscript"/>
        </w:rPr>
        <w:t>th</w:t>
      </w:r>
      <w:r w:rsidR="00915701" w:rsidRPr="00530906">
        <w:rPr>
          <w:rFonts w:ascii="Cambria" w:hAnsi="Cambria"/>
          <w:sz w:val="24"/>
          <w:szCs w:val="24"/>
        </w:rPr>
        <w:t xml:space="preserve"> May 2021)</w:t>
      </w:r>
      <w:r w:rsidR="009A6729" w:rsidRPr="00530906">
        <w:rPr>
          <w:rFonts w:ascii="Cambria" w:hAnsi="Cambria"/>
          <w:sz w:val="24"/>
          <w:szCs w:val="24"/>
        </w:rPr>
        <w:t>.</w:t>
      </w:r>
    </w:p>
    <w:bookmarkEnd w:id="169"/>
    <w:p w14:paraId="78110819" w14:textId="692FA00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Davari, A. and Strutton, D. (2014) ‘Marketing mix strategies for closing the gap between green consumers’ pro–environmental beliefs and behaviors’, Journal of Strategic Marketing, 22(7), pp. 563–586. doi: 10.1080/0965254X.2014.914059.</w:t>
      </w:r>
    </w:p>
    <w:p w14:paraId="40708F9B"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Davies, I. A., &amp; Gutsche, S. (2016). Consumer motivations for mainstream "ethical" consumption. European Journal of Marketing, 50(7–8), 1326–1347. doi:10.1108/ejm–11–2015–0795</w:t>
      </w:r>
    </w:p>
    <w:p w14:paraId="39421622" w14:textId="0BBF3CF4"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De Bakker, F. G., &amp; Hellsten, I. (2013). Capturing online presence: Hyperlinks and semantic networks in activist group websites on corporate social responsibility.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118</w:t>
      </w:r>
      <w:r w:rsidRPr="00530906">
        <w:rPr>
          <w:rFonts w:ascii="Cambria" w:hAnsi="Cambria" w:cs="Arial"/>
          <w:sz w:val="24"/>
          <w:szCs w:val="24"/>
          <w:shd w:val="clear" w:color="auto" w:fill="FFFFFF"/>
        </w:rPr>
        <w:t>(4), 807</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823. Doi: </w:t>
      </w:r>
      <w:r w:rsidRPr="00530906">
        <w:rPr>
          <w:rFonts w:ascii="Cambria" w:hAnsi="Cambria" w:cs="AdvPTimes"/>
          <w:sz w:val="24"/>
          <w:szCs w:val="24"/>
        </w:rPr>
        <w:t>10.1007/s10551</w:t>
      </w:r>
      <w:r w:rsidR="004179CD" w:rsidRPr="00530906">
        <w:rPr>
          <w:rFonts w:ascii="Cambria" w:hAnsi="Cambria" w:cs="AdvPTimes"/>
          <w:sz w:val="24"/>
          <w:szCs w:val="24"/>
        </w:rPr>
        <w:t>–</w:t>
      </w:r>
      <w:r w:rsidRPr="00530906">
        <w:rPr>
          <w:rFonts w:ascii="Cambria" w:hAnsi="Cambria" w:cs="AdvPTimes"/>
          <w:sz w:val="24"/>
          <w:szCs w:val="24"/>
        </w:rPr>
        <w:t>013</w:t>
      </w:r>
      <w:r w:rsidR="004179CD" w:rsidRPr="00530906">
        <w:rPr>
          <w:rFonts w:ascii="Cambria" w:hAnsi="Cambria" w:cs="AdvPTimes"/>
          <w:sz w:val="24"/>
          <w:szCs w:val="24"/>
        </w:rPr>
        <w:t>–</w:t>
      </w:r>
      <w:r w:rsidRPr="00530906">
        <w:rPr>
          <w:rFonts w:ascii="Cambria" w:hAnsi="Cambria" w:cs="AdvPTimes"/>
          <w:sz w:val="24"/>
          <w:szCs w:val="24"/>
        </w:rPr>
        <w:t>1962</w:t>
      </w:r>
      <w:r w:rsidR="004179CD" w:rsidRPr="00530906">
        <w:rPr>
          <w:rFonts w:ascii="Cambria" w:hAnsi="Cambria" w:cs="AdvPTimes"/>
          <w:sz w:val="24"/>
          <w:szCs w:val="24"/>
        </w:rPr>
        <w:t>–</w:t>
      </w:r>
      <w:r w:rsidRPr="00530906">
        <w:rPr>
          <w:rFonts w:ascii="Cambria" w:hAnsi="Cambria" w:cs="AdvPTimes"/>
          <w:sz w:val="24"/>
          <w:szCs w:val="24"/>
        </w:rPr>
        <w:t>1</w:t>
      </w:r>
    </w:p>
    <w:p w14:paraId="3757F49D"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DeBono, K. G., &amp; Harnish, R. J. (1988). Source expertise, source attractiveness, and the processing of persuasive information: A functional approach. </w:t>
      </w:r>
      <w:r w:rsidRPr="00530906">
        <w:rPr>
          <w:rFonts w:ascii="Cambria" w:hAnsi="Cambria" w:cs="Arial"/>
          <w:i/>
          <w:iCs/>
          <w:sz w:val="24"/>
          <w:szCs w:val="24"/>
          <w:shd w:val="clear" w:color="auto" w:fill="FFFFFF"/>
        </w:rPr>
        <w:t>Journal of Personality and social Psychology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55</w:t>
      </w:r>
      <w:r w:rsidRPr="00530906">
        <w:rPr>
          <w:rFonts w:ascii="Cambria" w:hAnsi="Cambria" w:cs="Arial"/>
          <w:sz w:val="24"/>
          <w:szCs w:val="24"/>
          <w:shd w:val="clear" w:color="auto" w:fill="FFFFFF"/>
        </w:rPr>
        <w:t>(4), 541. Doi: 10.1037/0022–3514.55.4.541</w:t>
      </w:r>
    </w:p>
    <w:p w14:paraId="444FF1D8"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 xml:space="preserve">de Gregorio, F., &amp; Sung, T. (2010). Understanding attitudes toward and behaviors in response to product placement. Journal of Advertising, 39(1), 83–96. </w:t>
      </w:r>
      <w:hyperlink r:id="rId136" w:history="1">
        <w:r w:rsidRPr="00530906">
          <w:rPr>
            <w:rStyle w:val="Hyperlink"/>
            <w:rFonts w:ascii="Cambria" w:hAnsi="Cambria" w:cs="Arial"/>
            <w:color w:val="auto"/>
            <w:sz w:val="24"/>
            <w:szCs w:val="24"/>
            <w:shd w:val="clear" w:color="auto" w:fill="FFFFFF"/>
          </w:rPr>
          <w:t>doi: 10.2753/JOA0091–3367390106</w:t>
        </w:r>
      </w:hyperlink>
      <w:r w:rsidRPr="00530906">
        <w:rPr>
          <w:rFonts w:ascii="Cambria" w:hAnsi="Cambria" w:cs="Arial"/>
          <w:sz w:val="24"/>
          <w:szCs w:val="24"/>
          <w:shd w:val="clear" w:color="auto" w:fill="FFFFFF"/>
        </w:rPr>
        <w:t>.</w:t>
      </w:r>
    </w:p>
    <w:p w14:paraId="2584B086" w14:textId="0BD6CF63"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de Oliveira Santini, F., Ladeira, W.</w:t>
      </w:r>
      <w:r w:rsidR="00774B58" w:rsidRPr="00530906">
        <w:rPr>
          <w:rFonts w:ascii="Cambria" w:hAnsi="Cambria" w:cs="Segoe UI"/>
          <w:sz w:val="24"/>
          <w:szCs w:val="24"/>
        </w:rPr>
        <w:t xml:space="preserve"> </w:t>
      </w:r>
      <w:r w:rsidRPr="00530906">
        <w:rPr>
          <w:rFonts w:ascii="Cambria" w:hAnsi="Cambria" w:cs="Segoe UI"/>
          <w:sz w:val="24"/>
          <w:szCs w:val="24"/>
        </w:rPr>
        <w:t>J., Pinto, D.</w:t>
      </w:r>
      <w:r w:rsidR="00774B58" w:rsidRPr="00530906">
        <w:rPr>
          <w:rFonts w:ascii="Cambria" w:hAnsi="Cambria" w:cs="Segoe UI"/>
          <w:sz w:val="24"/>
          <w:szCs w:val="24"/>
        </w:rPr>
        <w:t xml:space="preserve"> </w:t>
      </w:r>
      <w:r w:rsidRPr="00530906">
        <w:rPr>
          <w:rFonts w:ascii="Cambria" w:hAnsi="Cambria" w:cs="Segoe UI"/>
          <w:sz w:val="24"/>
          <w:szCs w:val="24"/>
        </w:rPr>
        <w:t>C., Herter, M.</w:t>
      </w:r>
      <w:r w:rsidR="00774B58" w:rsidRPr="00530906">
        <w:rPr>
          <w:rFonts w:ascii="Cambria" w:hAnsi="Cambria" w:cs="Segoe UI"/>
          <w:sz w:val="24"/>
          <w:szCs w:val="24"/>
        </w:rPr>
        <w:t xml:space="preserve"> </w:t>
      </w:r>
      <w:r w:rsidRPr="00530906">
        <w:rPr>
          <w:rFonts w:ascii="Cambria" w:hAnsi="Cambria" w:cs="Segoe UI"/>
          <w:sz w:val="24"/>
          <w:szCs w:val="24"/>
        </w:rPr>
        <w:t>M., Sampaio, C.H. and Babin, B.J. (2020) 'Customer engagement in social media: a framework and meta</w:t>
      </w:r>
      <w:r w:rsidR="004179CD" w:rsidRPr="00530906">
        <w:rPr>
          <w:rFonts w:ascii="Cambria" w:hAnsi="Cambria" w:cs="Segoe UI"/>
          <w:sz w:val="24"/>
          <w:szCs w:val="24"/>
        </w:rPr>
        <w:t>–</w:t>
      </w:r>
      <w:r w:rsidRPr="00530906">
        <w:rPr>
          <w:rFonts w:ascii="Cambria" w:hAnsi="Cambria" w:cs="Segoe UI"/>
          <w:sz w:val="24"/>
          <w:szCs w:val="24"/>
        </w:rPr>
        <w:t xml:space="preserve">analysis', </w:t>
      </w:r>
      <w:r w:rsidRPr="00530906">
        <w:rPr>
          <w:rFonts w:ascii="Cambria" w:hAnsi="Cambria" w:cs="Segoe UI"/>
          <w:i/>
          <w:iCs/>
          <w:sz w:val="24"/>
          <w:szCs w:val="24"/>
        </w:rPr>
        <w:t>Journal of the Academy of Marketing Science</w:t>
      </w:r>
      <w:r w:rsidRPr="00530906">
        <w:rPr>
          <w:rFonts w:ascii="Cambria" w:hAnsi="Cambria" w:cs="Segoe UI"/>
          <w:sz w:val="24"/>
          <w:szCs w:val="24"/>
        </w:rPr>
        <w:t>, 48(6), pp. 1211</w:t>
      </w:r>
      <w:r w:rsidR="004179CD" w:rsidRPr="00530906">
        <w:rPr>
          <w:rFonts w:ascii="Cambria" w:hAnsi="Cambria" w:cs="Segoe UI"/>
          <w:sz w:val="24"/>
          <w:szCs w:val="24"/>
        </w:rPr>
        <w:t>–</w:t>
      </w:r>
      <w:r w:rsidRPr="00530906">
        <w:rPr>
          <w:rFonts w:ascii="Cambria" w:hAnsi="Cambria" w:cs="Segoe UI"/>
          <w:sz w:val="24"/>
          <w:szCs w:val="24"/>
        </w:rPr>
        <w:t>1228. Doi: 10.1007/s11747</w:t>
      </w:r>
      <w:r w:rsidR="004179CD" w:rsidRPr="00530906">
        <w:rPr>
          <w:rFonts w:ascii="Cambria" w:hAnsi="Cambria" w:cs="Segoe UI"/>
          <w:sz w:val="24"/>
          <w:szCs w:val="24"/>
        </w:rPr>
        <w:t>–</w:t>
      </w:r>
      <w:r w:rsidRPr="00530906">
        <w:rPr>
          <w:rFonts w:ascii="Cambria" w:hAnsi="Cambria" w:cs="Segoe UI"/>
          <w:sz w:val="24"/>
          <w:szCs w:val="24"/>
        </w:rPr>
        <w:t>020</w:t>
      </w:r>
      <w:r w:rsidR="004179CD" w:rsidRPr="00530906">
        <w:rPr>
          <w:rFonts w:ascii="Cambria" w:hAnsi="Cambria" w:cs="Segoe UI"/>
          <w:sz w:val="24"/>
          <w:szCs w:val="24"/>
        </w:rPr>
        <w:t>–</w:t>
      </w:r>
      <w:r w:rsidRPr="00530906">
        <w:rPr>
          <w:rFonts w:ascii="Cambria" w:hAnsi="Cambria" w:cs="Segoe UI"/>
          <w:sz w:val="24"/>
          <w:szCs w:val="24"/>
        </w:rPr>
        <w:t>00731</w:t>
      </w:r>
      <w:r w:rsidR="004179CD" w:rsidRPr="00530906">
        <w:rPr>
          <w:rFonts w:ascii="Cambria" w:hAnsi="Cambria" w:cs="Segoe UI"/>
          <w:sz w:val="24"/>
          <w:szCs w:val="24"/>
        </w:rPr>
        <w:t>–</w:t>
      </w:r>
      <w:r w:rsidRPr="00530906">
        <w:rPr>
          <w:rFonts w:ascii="Cambria" w:hAnsi="Cambria" w:cs="Segoe UI"/>
          <w:sz w:val="24"/>
          <w:szCs w:val="24"/>
        </w:rPr>
        <w:t>5</w:t>
      </w:r>
    </w:p>
    <w:p w14:paraId="6E74C078"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De Pelsmacker, P., Dens, N. and Kolomiiets, A. (2018) 'The impact of text valence, star rating and rated usefulness in online reviews', </w:t>
      </w:r>
      <w:r w:rsidRPr="00530906">
        <w:rPr>
          <w:rFonts w:ascii="Cambria" w:hAnsi="Cambria" w:cs="Segoe UI"/>
          <w:i/>
          <w:iCs/>
          <w:sz w:val="24"/>
          <w:szCs w:val="24"/>
        </w:rPr>
        <w:t>International Journal of Advertising</w:t>
      </w:r>
      <w:r w:rsidRPr="00530906">
        <w:rPr>
          <w:rFonts w:ascii="Cambria" w:hAnsi="Cambria" w:cs="Segoe UI"/>
          <w:sz w:val="24"/>
          <w:szCs w:val="24"/>
        </w:rPr>
        <w:t>, 37(3), pp. 340–359. Doi: 10.1080/02650487.2018.1424792</w:t>
      </w:r>
    </w:p>
    <w:p w14:paraId="7CA2F9B2" w14:textId="2A3EC446" w:rsidR="00112367" w:rsidRDefault="00112367">
      <w:pPr>
        <w:spacing w:line="360" w:lineRule="auto"/>
        <w:ind w:left="567" w:hanging="567"/>
        <w:jc w:val="both"/>
        <w:rPr>
          <w:rFonts w:ascii="Cambria" w:hAnsi="Cambria"/>
          <w:sz w:val="24"/>
          <w:szCs w:val="24"/>
        </w:rPr>
      </w:pPr>
      <w:r w:rsidRPr="00530906">
        <w:rPr>
          <w:rFonts w:ascii="Cambria" w:hAnsi="Cambria"/>
          <w:sz w:val="24"/>
          <w:szCs w:val="24"/>
        </w:rPr>
        <w:t xml:space="preserve">de Valck, K., van Bruggen, G. H. and Wierenga, B. (2009) ‘Virtual communities: A marketing perspective’, </w:t>
      </w:r>
      <w:r w:rsidRPr="00530906">
        <w:rPr>
          <w:rFonts w:ascii="Cambria" w:hAnsi="Cambria"/>
          <w:i/>
          <w:sz w:val="24"/>
          <w:szCs w:val="24"/>
        </w:rPr>
        <w:t>Decision Support Systems,</w:t>
      </w:r>
      <w:r w:rsidRPr="00530906">
        <w:rPr>
          <w:rFonts w:ascii="Cambria" w:hAnsi="Cambria"/>
          <w:sz w:val="24"/>
          <w:szCs w:val="24"/>
        </w:rPr>
        <w:t xml:space="preserve"> 47(3), pp. 185–203. doi:10.1016/j.dss.2009.02.008.</w:t>
      </w:r>
    </w:p>
    <w:p w14:paraId="44FC7A8F" w14:textId="2514996F" w:rsidR="00CD56BC" w:rsidRPr="00530906" w:rsidRDefault="00CD56BC">
      <w:pPr>
        <w:spacing w:line="360" w:lineRule="auto"/>
        <w:ind w:left="567" w:hanging="567"/>
        <w:jc w:val="both"/>
        <w:rPr>
          <w:rFonts w:ascii="Cambria" w:hAnsi="Cambria"/>
          <w:sz w:val="24"/>
          <w:szCs w:val="24"/>
        </w:rPr>
      </w:pPr>
      <w:r>
        <w:rPr>
          <w:rFonts w:ascii="Segoe UI" w:hAnsi="Segoe UI" w:cs="Segoe UI"/>
        </w:rPr>
        <w:t xml:space="preserve">Delbaere, M., Michael, B. and Phillips, B.J. (2021) 'Social media influencers: A route to brand engagement for their followers', </w:t>
      </w:r>
      <w:r>
        <w:rPr>
          <w:rFonts w:ascii="Segoe UI" w:hAnsi="Segoe UI" w:cs="Segoe UI"/>
          <w:i/>
          <w:iCs/>
        </w:rPr>
        <w:t>Psychology &amp; Marketing</w:t>
      </w:r>
      <w:r>
        <w:rPr>
          <w:rFonts w:ascii="Segoe UI" w:hAnsi="Segoe UI" w:cs="Segoe UI"/>
        </w:rPr>
        <w:t>, 38(1), pp. 101-112.</w:t>
      </w:r>
    </w:p>
    <w:p w14:paraId="1008B9DA" w14:textId="60C18C43"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Demmers, J., van Dolen, W.M. and Weltevreden, J.</w:t>
      </w:r>
      <w:r w:rsidR="00774B58" w:rsidRPr="00530906">
        <w:rPr>
          <w:rFonts w:ascii="Cambria" w:hAnsi="Cambria" w:cs="Segoe UI"/>
          <w:sz w:val="24"/>
          <w:szCs w:val="24"/>
        </w:rPr>
        <w:t xml:space="preserve"> </w:t>
      </w:r>
      <w:r w:rsidRPr="00530906">
        <w:rPr>
          <w:rFonts w:ascii="Cambria" w:hAnsi="Cambria" w:cs="Segoe UI"/>
          <w:sz w:val="24"/>
          <w:szCs w:val="24"/>
        </w:rPr>
        <w:t>W.</w:t>
      </w:r>
      <w:r w:rsidR="00774B58" w:rsidRPr="00530906">
        <w:rPr>
          <w:rFonts w:ascii="Cambria" w:hAnsi="Cambria" w:cs="Segoe UI"/>
          <w:sz w:val="24"/>
          <w:szCs w:val="24"/>
        </w:rPr>
        <w:t xml:space="preserve"> </w:t>
      </w:r>
      <w:r w:rsidRPr="00530906">
        <w:rPr>
          <w:rFonts w:ascii="Cambria" w:hAnsi="Cambria" w:cs="Segoe UI"/>
          <w:sz w:val="24"/>
          <w:szCs w:val="24"/>
        </w:rPr>
        <w:t xml:space="preserve">J. (2018) 'Handling Consumer Messages on Social Networking Sites: Customer Service or Privacy Infringement?', </w:t>
      </w:r>
      <w:r w:rsidRPr="00530906">
        <w:rPr>
          <w:rFonts w:ascii="Cambria" w:hAnsi="Cambria" w:cs="Segoe UI"/>
          <w:i/>
          <w:iCs/>
          <w:sz w:val="24"/>
          <w:szCs w:val="24"/>
        </w:rPr>
        <w:t>International Journal of Electronic Commerce</w:t>
      </w:r>
      <w:r w:rsidRPr="00530906">
        <w:rPr>
          <w:rFonts w:ascii="Cambria" w:hAnsi="Cambria" w:cs="Segoe UI"/>
          <w:sz w:val="24"/>
          <w:szCs w:val="24"/>
        </w:rPr>
        <w:t>, 22(1), pp. 8</w:t>
      </w:r>
      <w:r w:rsidR="004179CD" w:rsidRPr="00530906">
        <w:rPr>
          <w:rFonts w:ascii="Cambria" w:hAnsi="Cambria" w:cs="Segoe UI"/>
          <w:sz w:val="24"/>
          <w:szCs w:val="24"/>
        </w:rPr>
        <w:t>–</w:t>
      </w:r>
      <w:r w:rsidRPr="00530906">
        <w:rPr>
          <w:rFonts w:ascii="Cambria" w:hAnsi="Cambria" w:cs="Segoe UI"/>
          <w:sz w:val="24"/>
          <w:szCs w:val="24"/>
        </w:rPr>
        <w:t>35. Doi: 10.1080/10864415.2018.1396110</w:t>
      </w:r>
    </w:p>
    <w:p w14:paraId="39CE9638" w14:textId="28B4D4B4"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Segoe UI"/>
          <w:sz w:val="24"/>
          <w:szCs w:val="24"/>
        </w:rPr>
        <w:t>Demmers, J., Weltevreden, J.</w:t>
      </w:r>
      <w:r w:rsidR="00774B58" w:rsidRPr="00530906">
        <w:rPr>
          <w:rFonts w:ascii="Cambria" w:hAnsi="Cambria" w:cs="Segoe UI"/>
          <w:sz w:val="24"/>
          <w:szCs w:val="24"/>
        </w:rPr>
        <w:t xml:space="preserve"> </w:t>
      </w:r>
      <w:r w:rsidRPr="00530906">
        <w:rPr>
          <w:rFonts w:ascii="Cambria" w:hAnsi="Cambria" w:cs="Segoe UI"/>
          <w:sz w:val="24"/>
          <w:szCs w:val="24"/>
        </w:rPr>
        <w:t>W.</w:t>
      </w:r>
      <w:r w:rsidR="00774B58" w:rsidRPr="00530906">
        <w:rPr>
          <w:rFonts w:ascii="Cambria" w:hAnsi="Cambria" w:cs="Segoe UI"/>
          <w:sz w:val="24"/>
          <w:szCs w:val="24"/>
        </w:rPr>
        <w:t xml:space="preserve"> </w:t>
      </w:r>
      <w:r w:rsidRPr="00530906">
        <w:rPr>
          <w:rFonts w:ascii="Cambria" w:hAnsi="Cambria" w:cs="Segoe UI"/>
          <w:sz w:val="24"/>
          <w:szCs w:val="24"/>
        </w:rPr>
        <w:t>J. and van Dolen, W.</w:t>
      </w:r>
      <w:r w:rsidR="00774B58" w:rsidRPr="00530906">
        <w:rPr>
          <w:rFonts w:ascii="Cambria" w:hAnsi="Cambria" w:cs="Segoe UI"/>
          <w:sz w:val="24"/>
          <w:szCs w:val="24"/>
        </w:rPr>
        <w:t xml:space="preserve"> </w:t>
      </w:r>
      <w:r w:rsidRPr="00530906">
        <w:rPr>
          <w:rFonts w:ascii="Cambria" w:hAnsi="Cambria" w:cs="Segoe UI"/>
          <w:sz w:val="24"/>
          <w:szCs w:val="24"/>
        </w:rPr>
        <w:t xml:space="preserve">M. (2020) 'Consumer Engagement with Brand Posts on Social Media in Consecutive Stages of the Customer Journey', </w:t>
      </w:r>
      <w:r w:rsidRPr="00530906">
        <w:rPr>
          <w:rFonts w:ascii="Cambria" w:hAnsi="Cambria" w:cs="Segoe UI"/>
          <w:i/>
          <w:iCs/>
          <w:sz w:val="24"/>
          <w:szCs w:val="24"/>
        </w:rPr>
        <w:t>International Journal of Electronic Commerce</w:t>
      </w:r>
      <w:r w:rsidRPr="00530906">
        <w:rPr>
          <w:rFonts w:ascii="Cambria" w:hAnsi="Cambria" w:cs="Segoe UI"/>
          <w:sz w:val="24"/>
          <w:szCs w:val="24"/>
        </w:rPr>
        <w:t>, 24(1), pp. 53</w:t>
      </w:r>
      <w:r w:rsidR="004179CD" w:rsidRPr="00530906">
        <w:rPr>
          <w:rFonts w:ascii="Cambria" w:hAnsi="Cambria" w:cs="Segoe UI"/>
          <w:sz w:val="24"/>
          <w:szCs w:val="24"/>
        </w:rPr>
        <w:t>–</w:t>
      </w:r>
      <w:r w:rsidRPr="00530906">
        <w:rPr>
          <w:rFonts w:ascii="Cambria" w:hAnsi="Cambria" w:cs="Segoe UI"/>
          <w:sz w:val="24"/>
          <w:szCs w:val="24"/>
        </w:rPr>
        <w:t>77. Doi: 10.1080/10864415.2019.1683701</w:t>
      </w:r>
    </w:p>
    <w:p w14:paraId="4565BAC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Dermody, J., Hanmer–Lloyd, S., Koenig–Lewis, N., &amp; Zhao, A. L. (2015). Advancing sustainable consumption in the UK and China: the mediating effect of pro–environmental self–identity. Journal of Marketing Management, 31(13–14), 1472–1502. doi:10.1080/0267257X.2015.1061039</w:t>
      </w:r>
    </w:p>
    <w:p w14:paraId="6ABA8B3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Dermody, J., Koenig–Lewis, N., Zhao, A. L., &amp; Hanmer–Lloyd, S. (2018). Appraising the influence of pro–environmental self–identity on sustainable consumption buying and curtailment in emerging markets: Evidence from China and Poland. Journal of Business Research, 86, 333–343. doi:10.1016/j.jbusres.2017.09.041</w:t>
      </w:r>
    </w:p>
    <w:p w14:paraId="117B24D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Desmet, P., (2010) ‘Are emotions consequences of affective expectations? A commentary essay’. </w:t>
      </w:r>
      <w:r w:rsidRPr="00530906">
        <w:rPr>
          <w:rFonts w:ascii="Cambria" w:hAnsi="Cambria" w:cs="Arial"/>
          <w:i/>
          <w:iCs/>
          <w:sz w:val="24"/>
          <w:szCs w:val="24"/>
          <w:shd w:val="clear" w:color="auto" w:fill="FFFFFF"/>
        </w:rPr>
        <w:t>Journal of Business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63</w:t>
      </w:r>
      <w:r w:rsidRPr="00530906">
        <w:rPr>
          <w:rFonts w:ascii="Cambria" w:hAnsi="Cambria" w:cs="Arial"/>
          <w:sz w:val="24"/>
          <w:szCs w:val="24"/>
          <w:shd w:val="clear" w:color="auto" w:fill="FFFFFF"/>
        </w:rPr>
        <w:t>(8), pp.903–904. Doi: 10.1016/j.jbusres.2009.09.006</w:t>
      </w:r>
    </w:p>
    <w:p w14:paraId="3C41ACA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Dessart, L. (2017). Social media engagement: a model of antecedents and relational outcomes. Journal of Marketing Management, 33(5–6), 375–399. doi:10.1080/0267257x.2017.1302975</w:t>
      </w:r>
    </w:p>
    <w:p w14:paraId="3E89DE0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Dessart, L., Veloutsou, C. and Morgan–Thomas, A. (2015) "Consumer engagement in online brand communities: a social–media perspective", </w:t>
      </w:r>
      <w:r w:rsidRPr="00530906">
        <w:rPr>
          <w:rFonts w:ascii="Cambria" w:hAnsi="Cambria"/>
          <w:i/>
          <w:sz w:val="24"/>
          <w:szCs w:val="24"/>
        </w:rPr>
        <w:t>Journal of Product and Brand Management</w:t>
      </w:r>
      <w:r w:rsidRPr="00530906">
        <w:rPr>
          <w:rFonts w:ascii="Cambria" w:hAnsi="Cambria"/>
          <w:sz w:val="24"/>
          <w:szCs w:val="24"/>
        </w:rPr>
        <w:t>, 24(1), pp. 28–42. doi:10.1108/JPBM–06–2014–0635.</w:t>
      </w:r>
    </w:p>
    <w:p w14:paraId="4A18B94B" w14:textId="74A4119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Deutsch, M. and Gerard, H.</w:t>
      </w:r>
      <w:r w:rsidR="00774B58" w:rsidRPr="00530906">
        <w:rPr>
          <w:rFonts w:ascii="Cambria" w:hAnsi="Cambria"/>
          <w:sz w:val="24"/>
          <w:szCs w:val="24"/>
        </w:rPr>
        <w:t xml:space="preserve"> </w:t>
      </w:r>
      <w:r w:rsidRPr="00530906">
        <w:rPr>
          <w:rFonts w:ascii="Cambria" w:hAnsi="Cambria"/>
          <w:sz w:val="24"/>
          <w:szCs w:val="24"/>
        </w:rPr>
        <w:t xml:space="preserve">B. (1955) 'A study of normative and informational social influences upon individual judgment', </w:t>
      </w:r>
      <w:r w:rsidRPr="00530906">
        <w:rPr>
          <w:rFonts w:ascii="Cambria" w:hAnsi="Cambria"/>
          <w:i/>
          <w:sz w:val="24"/>
          <w:szCs w:val="24"/>
        </w:rPr>
        <w:t>The Journal of Abnormal and Social Psychology</w:t>
      </w:r>
      <w:r w:rsidRPr="00530906">
        <w:rPr>
          <w:rFonts w:ascii="Cambria" w:hAnsi="Cambria"/>
          <w:sz w:val="24"/>
          <w:szCs w:val="24"/>
        </w:rPr>
        <w:t>, 51(3), pp. 629–636. Doi: 10.1037/h0046408</w:t>
      </w:r>
    </w:p>
    <w:p w14:paraId="318955E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Dholakia, U. M., Bagozzia, R. P. and Pearo, L. K. (2004) ‘A social influence model of consumer participation in network– and small–group–based virtual communities’, </w:t>
      </w:r>
      <w:r w:rsidRPr="00530906">
        <w:rPr>
          <w:rFonts w:ascii="Cambria" w:hAnsi="Cambria"/>
          <w:i/>
          <w:sz w:val="24"/>
          <w:szCs w:val="24"/>
        </w:rPr>
        <w:t xml:space="preserve">International Journal of Research in Marketing, </w:t>
      </w:r>
      <w:r w:rsidRPr="00530906">
        <w:rPr>
          <w:rFonts w:ascii="Cambria" w:hAnsi="Cambria"/>
          <w:sz w:val="24"/>
          <w:szCs w:val="24"/>
        </w:rPr>
        <w:t>21(3), pp. 241–263. doi:10.1016/j.ijresmar.2003.12.004.</w:t>
      </w:r>
    </w:p>
    <w:p w14:paraId="7CB148B8" w14:textId="4A62BF9F"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Dindar, M. and Yaman, N.</w:t>
      </w:r>
      <w:r w:rsidR="00774B58" w:rsidRPr="00530906">
        <w:rPr>
          <w:rFonts w:ascii="Cambria" w:hAnsi="Cambria" w:cs="Segoe UI"/>
          <w:sz w:val="24"/>
          <w:szCs w:val="24"/>
        </w:rPr>
        <w:t xml:space="preserve"> </w:t>
      </w:r>
      <w:r w:rsidRPr="00530906">
        <w:rPr>
          <w:rFonts w:ascii="Cambria" w:hAnsi="Cambria" w:cs="Segoe UI"/>
          <w:sz w:val="24"/>
          <w:szCs w:val="24"/>
        </w:rPr>
        <w:t xml:space="preserve">D. (2018) '#IUseTwitterBecause: content analytic study of a trending topic in Twitter', </w:t>
      </w:r>
      <w:r w:rsidRPr="00530906">
        <w:rPr>
          <w:rFonts w:ascii="Cambria" w:hAnsi="Cambria" w:cs="Segoe UI"/>
          <w:i/>
          <w:iCs/>
          <w:sz w:val="24"/>
          <w:szCs w:val="24"/>
        </w:rPr>
        <w:t>Information Technology &amp; People</w:t>
      </w:r>
      <w:r w:rsidRPr="00530906">
        <w:rPr>
          <w:rFonts w:ascii="Cambria" w:hAnsi="Cambria" w:cs="Segoe UI"/>
          <w:sz w:val="24"/>
          <w:szCs w:val="24"/>
        </w:rPr>
        <w:t>, 31(1), pp. 256</w:t>
      </w:r>
      <w:r w:rsidR="004179CD" w:rsidRPr="00530906">
        <w:rPr>
          <w:rFonts w:ascii="Cambria" w:hAnsi="Cambria" w:cs="Segoe UI"/>
          <w:sz w:val="24"/>
          <w:szCs w:val="24"/>
        </w:rPr>
        <w:t>–</w:t>
      </w:r>
      <w:r w:rsidRPr="00530906">
        <w:rPr>
          <w:rFonts w:ascii="Cambria" w:hAnsi="Cambria" w:cs="Segoe UI"/>
          <w:sz w:val="24"/>
          <w:szCs w:val="24"/>
        </w:rPr>
        <w:t xml:space="preserve">277.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02</w:t>
      </w:r>
      <w:r w:rsidR="004179CD" w:rsidRPr="00530906">
        <w:rPr>
          <w:rFonts w:ascii="Cambria" w:hAnsi="Cambria" w:cs="Segoe UI"/>
          <w:sz w:val="24"/>
          <w:szCs w:val="24"/>
          <w:u w:val="single"/>
        </w:rPr>
        <w:t>–</w:t>
      </w:r>
      <w:r w:rsidRPr="00530906">
        <w:rPr>
          <w:rFonts w:ascii="Cambria" w:hAnsi="Cambria" w:cs="Segoe UI"/>
          <w:sz w:val="24"/>
          <w:szCs w:val="24"/>
          <w:u w:val="single"/>
        </w:rPr>
        <w:t>2017</w:t>
      </w:r>
      <w:r w:rsidR="004179CD" w:rsidRPr="00530906">
        <w:rPr>
          <w:rFonts w:ascii="Cambria" w:hAnsi="Cambria" w:cs="Segoe UI"/>
          <w:sz w:val="24"/>
          <w:szCs w:val="24"/>
          <w:u w:val="single"/>
        </w:rPr>
        <w:t>–</w:t>
      </w:r>
      <w:r w:rsidRPr="00530906">
        <w:rPr>
          <w:rFonts w:ascii="Cambria" w:hAnsi="Cambria" w:cs="Segoe UI"/>
          <w:sz w:val="24"/>
          <w:szCs w:val="24"/>
          <w:u w:val="single"/>
        </w:rPr>
        <w:t>0029</w:t>
      </w:r>
    </w:p>
    <w:p w14:paraId="7F7BF297" w14:textId="382AB358" w:rsidR="007E4999"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Dolan, R., Conduit, J., Fahy, J. and Goodman, S. (2016) 'Social–media–engagement behaviour: a uses and gratifications perspective',</w:t>
      </w:r>
      <w:r w:rsidRPr="00530906">
        <w:rPr>
          <w:rFonts w:ascii="Cambria" w:hAnsi="Cambria" w:cs="Segoe UI"/>
          <w:i/>
          <w:iCs/>
          <w:sz w:val="24"/>
          <w:szCs w:val="24"/>
        </w:rPr>
        <w:t xml:space="preserve"> Journal of Strategic Marketing</w:t>
      </w:r>
      <w:r w:rsidRPr="00530906">
        <w:rPr>
          <w:rFonts w:ascii="Cambria" w:hAnsi="Cambria" w:cs="Segoe UI"/>
          <w:sz w:val="24"/>
          <w:szCs w:val="24"/>
        </w:rPr>
        <w:t>, 24(3), pp. 261–277.</w:t>
      </w:r>
    </w:p>
    <w:p w14:paraId="592F0FD5" w14:textId="3CF73502" w:rsidR="00974F70" w:rsidRPr="00530906" w:rsidRDefault="00974F70">
      <w:pPr>
        <w:spacing w:line="360" w:lineRule="auto"/>
        <w:ind w:left="567" w:hanging="567"/>
        <w:jc w:val="both"/>
        <w:rPr>
          <w:sz w:val="24"/>
          <w:szCs w:val="24"/>
          <w:shd w:val="clear" w:color="auto" w:fill="FFFFFF"/>
        </w:rPr>
      </w:pPr>
      <w:r>
        <w:rPr>
          <w:rFonts w:ascii="Segoe UI" w:hAnsi="Segoe UI" w:cs="Segoe UI"/>
        </w:rPr>
        <w:t xml:space="preserve">Eckler, P. and Bolls, P. (2011) ' Spreading the Virus, Emotional Tone of Viral Advertising and Its Effect on Forwarding Intentions and Attitudes', </w:t>
      </w:r>
      <w:r>
        <w:rPr>
          <w:rFonts w:ascii="Segoe UI" w:hAnsi="Segoe UI" w:cs="Segoe UI"/>
          <w:i/>
          <w:iCs/>
        </w:rPr>
        <w:t>Journal of Interactive Advertising</w:t>
      </w:r>
      <w:r>
        <w:rPr>
          <w:rFonts w:ascii="Segoe UI" w:hAnsi="Segoe UI" w:cs="Segoe UI"/>
        </w:rPr>
        <w:t>, 11(2), pp. 1-11.</w:t>
      </w:r>
    </w:p>
    <w:p w14:paraId="51167BFF"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Edelman, (2018) earned brands, An annual global study of how brands earn, strengthen and protect their relationships with consumers.  (</w:t>
      </w:r>
      <w:hyperlink r:id="rId137" w:history="1">
        <w:r w:rsidRPr="00530906">
          <w:rPr>
            <w:rStyle w:val="Hyperlink"/>
            <w:rFonts w:ascii="Cambria" w:hAnsi="Cambria" w:cs="Arial"/>
            <w:color w:val="auto"/>
            <w:sz w:val="24"/>
            <w:szCs w:val="24"/>
            <w:shd w:val="clear" w:color="auto" w:fill="FFFFFF"/>
          </w:rPr>
          <w:t>https</w:t>
        </w:r>
      </w:hyperlink>
      <w:hyperlink r:id="rId138" w:history="1">
        <w:r w:rsidRPr="00530906">
          <w:rPr>
            <w:rStyle w:val="Hyperlink"/>
            <w:rFonts w:ascii="Cambria" w:hAnsi="Cambria" w:cs="Arial"/>
            <w:color w:val="auto"/>
            <w:sz w:val="24"/>
            <w:szCs w:val="24"/>
            <w:shd w:val="clear" w:color="auto" w:fill="FFFFFF"/>
          </w:rPr>
          <w:t>://www.edelman.com/sites/g/files/aatuss191/files/2018–10/2018_Edelman_Earned_Brand_Executive_Summary_Brochure.pdf</w:t>
        </w:r>
      </w:hyperlink>
      <w:r w:rsidRPr="00530906">
        <w:rPr>
          <w:rFonts w:ascii="Cambria" w:hAnsi="Cambria" w:cs="Arial"/>
          <w:sz w:val="24"/>
          <w:szCs w:val="24"/>
          <w:shd w:val="clear" w:color="auto" w:fill="FFFFFF"/>
        </w:rPr>
        <w:t xml:space="preserve">). </w:t>
      </w:r>
    </w:p>
    <w:p w14:paraId="669FCA43"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Egea, J. M. O., &amp; de Frutos, N. G. (2013). Toward consumption reduction: An environmentally motivated perspective.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30</w:t>
      </w:r>
      <w:r w:rsidRPr="00530906">
        <w:rPr>
          <w:rFonts w:ascii="Cambria" w:hAnsi="Cambria" w:cs="Arial"/>
          <w:sz w:val="24"/>
          <w:szCs w:val="24"/>
          <w:shd w:val="clear" w:color="auto" w:fill="FFFFFF"/>
        </w:rPr>
        <w:t>(8), 660–675. Doi: doi.10.1002/mar.20636</w:t>
      </w:r>
    </w:p>
    <w:p w14:paraId="46ED9630" w14:textId="77777777" w:rsidR="003E6367" w:rsidRPr="00530906" w:rsidRDefault="003E6367">
      <w:pPr>
        <w:spacing w:line="360" w:lineRule="auto"/>
        <w:ind w:left="567" w:hanging="567"/>
        <w:jc w:val="both"/>
        <w:rPr>
          <w:rFonts w:ascii="Cambria" w:hAnsi="Cambria"/>
          <w:sz w:val="24"/>
          <w:szCs w:val="24"/>
        </w:rPr>
      </w:pPr>
      <w:bookmarkStart w:id="170" w:name="_Hlk72784575"/>
      <w:r w:rsidRPr="00530906">
        <w:rPr>
          <w:rFonts w:ascii="Cambria" w:hAnsi="Cambria"/>
          <w:sz w:val="24"/>
          <w:szCs w:val="24"/>
        </w:rPr>
        <w:t xml:space="preserve">EPI (2020) 2018 Environmental Performance Index (EPI) </w:t>
      </w:r>
      <w:hyperlink r:id="rId139" w:history="1">
        <w:r w:rsidRPr="00530906">
          <w:rPr>
            <w:rStyle w:val="Hyperlink"/>
            <w:rFonts w:ascii="Cambria" w:hAnsi="Cambria"/>
            <w:sz w:val="24"/>
            <w:szCs w:val="24"/>
          </w:rPr>
          <w:t>https://epi.yale.edu/epi-results/2020/country/ltu</w:t>
        </w:r>
      </w:hyperlink>
      <w:r w:rsidRPr="00530906">
        <w:rPr>
          <w:rFonts w:ascii="Cambria" w:hAnsi="Cambria"/>
          <w:sz w:val="24"/>
          <w:szCs w:val="24"/>
        </w:rPr>
        <w:t xml:space="preserve">  (Accessed on 24</w:t>
      </w:r>
      <w:r w:rsidRPr="00530906">
        <w:rPr>
          <w:rFonts w:ascii="Cambria" w:hAnsi="Cambria"/>
          <w:sz w:val="24"/>
          <w:szCs w:val="24"/>
          <w:vertAlign w:val="superscript"/>
        </w:rPr>
        <w:t>th</w:t>
      </w:r>
      <w:r w:rsidRPr="00530906">
        <w:rPr>
          <w:rFonts w:ascii="Cambria" w:hAnsi="Cambria"/>
          <w:sz w:val="24"/>
          <w:szCs w:val="24"/>
        </w:rPr>
        <w:t xml:space="preserve"> May 2021)</w:t>
      </w:r>
    </w:p>
    <w:bookmarkEnd w:id="170"/>
    <w:p w14:paraId="1B1F6A5F" w14:textId="05A0EE45" w:rsidR="007E4999" w:rsidRPr="00530906" w:rsidRDefault="007E4999">
      <w:pPr>
        <w:spacing w:line="360" w:lineRule="auto"/>
        <w:ind w:left="567" w:hanging="567"/>
        <w:jc w:val="both"/>
        <w:rPr>
          <w:rStyle w:val="Hyperlink"/>
          <w:rFonts w:ascii="Cambria" w:hAnsi="Cambria" w:cs="Arial"/>
          <w:color w:val="auto"/>
          <w:sz w:val="24"/>
          <w:szCs w:val="24"/>
        </w:rPr>
      </w:pPr>
      <w:r w:rsidRPr="00530906">
        <w:rPr>
          <w:rFonts w:ascii="Cambria" w:hAnsi="Cambria" w:cs="Arial"/>
          <w:sz w:val="24"/>
          <w:szCs w:val="24"/>
          <w:shd w:val="clear" w:color="auto" w:fill="FFFFFF"/>
        </w:rPr>
        <w:t>Erevelles, S. (1998). The role of affect in marketing. </w:t>
      </w:r>
      <w:r w:rsidRPr="00530906">
        <w:rPr>
          <w:rFonts w:ascii="Cambria" w:hAnsi="Cambria" w:cs="Arial"/>
          <w:i/>
          <w:iCs/>
          <w:sz w:val="24"/>
          <w:szCs w:val="24"/>
          <w:shd w:val="clear" w:color="auto" w:fill="FFFFFF"/>
        </w:rPr>
        <w:t>Journal of Business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42</w:t>
      </w:r>
      <w:r w:rsidRPr="00530906">
        <w:rPr>
          <w:rFonts w:ascii="Cambria" w:hAnsi="Cambria" w:cs="Arial"/>
          <w:sz w:val="24"/>
          <w:szCs w:val="24"/>
          <w:shd w:val="clear" w:color="auto" w:fill="FFFFFF"/>
        </w:rPr>
        <w:t xml:space="preserve">(3), 199–215. </w:t>
      </w:r>
      <w:hyperlink r:id="rId140" w:tgtFrame="_blank" w:tooltip="Persistent link using digital object identifier" w:history="1">
        <w:r w:rsidRPr="00530906">
          <w:rPr>
            <w:rStyle w:val="Hyperlink"/>
            <w:rFonts w:ascii="Cambria" w:hAnsi="Cambria" w:cs="Arial"/>
            <w:color w:val="auto"/>
            <w:sz w:val="24"/>
            <w:szCs w:val="24"/>
          </w:rPr>
          <w:t>10.1016/S0148–2963(97)00118–5</w:t>
        </w:r>
      </w:hyperlink>
    </w:p>
    <w:p w14:paraId="09E17E73" w14:textId="3D1E4898" w:rsidR="00267A17" w:rsidRPr="00530906" w:rsidRDefault="00267A17">
      <w:pPr>
        <w:spacing w:line="360" w:lineRule="auto"/>
        <w:ind w:left="567" w:hanging="567"/>
        <w:jc w:val="both"/>
        <w:rPr>
          <w:rStyle w:val="Hyperlink"/>
          <w:rFonts w:ascii="Cambria" w:hAnsi="Cambria" w:cs="Arial"/>
          <w:color w:val="auto"/>
          <w:sz w:val="24"/>
          <w:szCs w:val="24"/>
        </w:rPr>
      </w:pPr>
      <w:r w:rsidRPr="00530906">
        <w:rPr>
          <w:rFonts w:ascii="Arial" w:hAnsi="Arial" w:cs="Arial"/>
          <w:color w:val="222222"/>
          <w:sz w:val="24"/>
          <w:szCs w:val="24"/>
          <w:shd w:val="clear" w:color="auto" w:fill="FFFFFF"/>
        </w:rPr>
        <w:t>Errmann, A., Seo, Y., Choi, Y. K., &amp; Yoon, S. (2019). Divergent effects of friend recommendations on disclosed social media advertising in the United States and Korea. </w:t>
      </w:r>
      <w:r w:rsidRPr="00530906">
        <w:rPr>
          <w:rFonts w:ascii="Arial" w:hAnsi="Arial" w:cs="Arial"/>
          <w:i/>
          <w:iCs/>
          <w:color w:val="222222"/>
          <w:sz w:val="24"/>
          <w:szCs w:val="24"/>
          <w:shd w:val="clear" w:color="auto" w:fill="FFFFFF"/>
        </w:rPr>
        <w:t>Journal of Advertising</w:t>
      </w:r>
      <w:r w:rsidRPr="00530906">
        <w:rPr>
          <w:rFonts w:ascii="Arial" w:hAnsi="Arial" w:cs="Arial"/>
          <w:color w:val="222222"/>
          <w:sz w:val="24"/>
          <w:szCs w:val="24"/>
          <w:shd w:val="clear" w:color="auto" w:fill="FFFFFF"/>
        </w:rPr>
        <w:t>, </w:t>
      </w:r>
      <w:r w:rsidRPr="00530906">
        <w:rPr>
          <w:rFonts w:ascii="Arial" w:hAnsi="Arial" w:cs="Arial"/>
          <w:i/>
          <w:iCs/>
          <w:color w:val="222222"/>
          <w:sz w:val="24"/>
          <w:szCs w:val="24"/>
          <w:shd w:val="clear" w:color="auto" w:fill="FFFFFF"/>
        </w:rPr>
        <w:t>48</w:t>
      </w:r>
      <w:r w:rsidRPr="00530906">
        <w:rPr>
          <w:rFonts w:ascii="Arial" w:hAnsi="Arial" w:cs="Arial"/>
          <w:color w:val="222222"/>
          <w:sz w:val="24"/>
          <w:szCs w:val="24"/>
          <w:shd w:val="clear" w:color="auto" w:fill="FFFFFF"/>
        </w:rPr>
        <w:t>(5), 495-511. Doi: 10.1080/00913367.2019.1663320</w:t>
      </w:r>
    </w:p>
    <w:p w14:paraId="1F4085EC"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Segoe UI"/>
          <w:sz w:val="24"/>
          <w:szCs w:val="24"/>
        </w:rPr>
        <w:t xml:space="preserve">Ertz, M., Karakas, F. and Sarigöllü, E. (2016) 'Exploring pro–environmental behaviors of consumers: An analysis of contextual factors, attitude, and behaviors', </w:t>
      </w:r>
      <w:r w:rsidRPr="00530906">
        <w:rPr>
          <w:rFonts w:ascii="Cambria" w:hAnsi="Cambria" w:cs="Segoe UI"/>
          <w:i/>
          <w:iCs/>
          <w:sz w:val="24"/>
          <w:szCs w:val="24"/>
        </w:rPr>
        <w:t>Journal of Business Research</w:t>
      </w:r>
      <w:r w:rsidRPr="00530906">
        <w:rPr>
          <w:rFonts w:ascii="Cambria" w:hAnsi="Cambria" w:cs="Segoe UI"/>
          <w:sz w:val="24"/>
          <w:szCs w:val="24"/>
        </w:rPr>
        <w:t xml:space="preserve">, 69(10), pp. 3971–3980. Doi: </w:t>
      </w:r>
      <w:r w:rsidRPr="00530906">
        <w:rPr>
          <w:rFonts w:ascii="Cambria" w:hAnsi="Cambria" w:cs="AdvTT5235d5a9"/>
          <w:sz w:val="24"/>
          <w:szCs w:val="24"/>
        </w:rPr>
        <w:t>10.1016/j.jbusres.2016.06.010</w:t>
      </w:r>
    </w:p>
    <w:p w14:paraId="095E662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Escalas, Jennifer (2004), “Imagine Yourself in the Product: Mental Simulation, Narrative Transportation, and Persuasion,” Journal of Advertising, 33(2) 37–48.</w:t>
      </w:r>
    </w:p>
    <w:p w14:paraId="0582DC70" w14:textId="7D52D490"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Escobar, M.</w:t>
      </w:r>
      <w:r w:rsidR="00774B58" w:rsidRPr="00530906">
        <w:rPr>
          <w:rFonts w:ascii="Cambria" w:hAnsi="Cambria" w:cs="Segoe UI"/>
          <w:sz w:val="24"/>
          <w:szCs w:val="24"/>
        </w:rPr>
        <w:t xml:space="preserve"> </w:t>
      </w:r>
      <w:r w:rsidRPr="00530906">
        <w:rPr>
          <w:rFonts w:ascii="Cambria" w:hAnsi="Cambria" w:cs="Segoe UI"/>
          <w:sz w:val="24"/>
          <w:szCs w:val="24"/>
        </w:rPr>
        <w:t>L., Kommers, P.</w:t>
      </w:r>
      <w:r w:rsidR="00774B58" w:rsidRPr="00530906">
        <w:rPr>
          <w:rFonts w:ascii="Cambria" w:hAnsi="Cambria" w:cs="Segoe UI"/>
          <w:sz w:val="24"/>
          <w:szCs w:val="24"/>
        </w:rPr>
        <w:t xml:space="preserve"> </w:t>
      </w:r>
      <w:r w:rsidRPr="00530906">
        <w:rPr>
          <w:rFonts w:ascii="Cambria" w:hAnsi="Cambria" w:cs="Segoe UI"/>
          <w:sz w:val="24"/>
          <w:szCs w:val="24"/>
        </w:rPr>
        <w:t xml:space="preserve">A. and Beldad, A. (2014) 'Using narratives as tools for channeling participation in online communities', </w:t>
      </w:r>
      <w:r w:rsidRPr="00530906">
        <w:rPr>
          <w:rFonts w:ascii="Cambria" w:hAnsi="Cambria" w:cs="Segoe UI"/>
          <w:i/>
          <w:iCs/>
          <w:sz w:val="24"/>
          <w:szCs w:val="24"/>
        </w:rPr>
        <w:t>Computers in human behavior</w:t>
      </w:r>
      <w:r w:rsidRPr="00530906">
        <w:rPr>
          <w:rFonts w:ascii="Cambria" w:hAnsi="Cambria" w:cs="Segoe UI"/>
          <w:sz w:val="24"/>
          <w:szCs w:val="24"/>
        </w:rPr>
        <w:t>, 37, pp. 64–72. Doi: 10.1016/j.chb.2014.04.013</w:t>
      </w:r>
    </w:p>
    <w:p w14:paraId="1DF89B61" w14:textId="13702E93" w:rsidR="001948A9" w:rsidRPr="00530906" w:rsidRDefault="001948A9">
      <w:pPr>
        <w:spacing w:line="360" w:lineRule="auto"/>
        <w:ind w:left="567" w:hanging="567"/>
        <w:jc w:val="both"/>
        <w:rPr>
          <w:rFonts w:ascii="Cambria" w:hAnsi="Cambria"/>
          <w:sz w:val="24"/>
          <w:szCs w:val="24"/>
        </w:rPr>
      </w:pPr>
      <w:r w:rsidRPr="00530906">
        <w:rPr>
          <w:rFonts w:ascii="Cambria" w:hAnsi="Cambria"/>
          <w:sz w:val="24"/>
          <w:szCs w:val="24"/>
        </w:rPr>
        <w:t xml:space="preserve">ethicalhour.co.uk (2021) CONSUMER SUSTAINABILITY TRENDS 2021: WHAT TRENDS TO WATCH. Available at: </w:t>
      </w:r>
      <w:hyperlink r:id="rId141" w:anchor="proof" w:history="1">
        <w:r w:rsidRPr="00530906">
          <w:rPr>
            <w:rStyle w:val="Hyperlink"/>
            <w:rFonts w:ascii="Cambria" w:hAnsi="Cambria"/>
            <w:sz w:val="24"/>
            <w:szCs w:val="24"/>
          </w:rPr>
          <w:t>https://ethicalhour.co.uk/consumer-sustainability-trends-2021/#proof</w:t>
        </w:r>
      </w:hyperlink>
      <w:r w:rsidRPr="00530906">
        <w:rPr>
          <w:rFonts w:ascii="Cambria" w:hAnsi="Cambria"/>
          <w:sz w:val="24"/>
          <w:szCs w:val="24"/>
        </w:rPr>
        <w:t xml:space="preserve"> (accessed on 30</w:t>
      </w:r>
      <w:r w:rsidRPr="00530906">
        <w:rPr>
          <w:rFonts w:ascii="Cambria" w:hAnsi="Cambria"/>
          <w:sz w:val="24"/>
          <w:szCs w:val="24"/>
          <w:vertAlign w:val="superscript"/>
        </w:rPr>
        <w:t>th</w:t>
      </w:r>
      <w:r w:rsidRPr="00530906">
        <w:rPr>
          <w:rFonts w:ascii="Cambria" w:hAnsi="Cambria"/>
          <w:sz w:val="24"/>
          <w:szCs w:val="24"/>
        </w:rPr>
        <w:t xml:space="preserve"> May 2021)</w:t>
      </w:r>
    </w:p>
    <w:p w14:paraId="084F737B" w14:textId="5C9D6A0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Etikan, I., Musa, S.</w:t>
      </w:r>
      <w:r w:rsidR="00774B58" w:rsidRPr="00530906">
        <w:rPr>
          <w:rFonts w:ascii="Cambria" w:hAnsi="Cambria"/>
          <w:sz w:val="24"/>
          <w:szCs w:val="24"/>
        </w:rPr>
        <w:t xml:space="preserve"> </w:t>
      </w:r>
      <w:r w:rsidRPr="00530906">
        <w:rPr>
          <w:rFonts w:ascii="Cambria" w:hAnsi="Cambria"/>
          <w:sz w:val="24"/>
          <w:szCs w:val="24"/>
        </w:rPr>
        <w:t>A. and Alkassim, R.</w:t>
      </w:r>
      <w:r w:rsidR="00774B58" w:rsidRPr="00530906">
        <w:rPr>
          <w:rFonts w:ascii="Cambria" w:hAnsi="Cambria"/>
          <w:sz w:val="24"/>
          <w:szCs w:val="24"/>
        </w:rPr>
        <w:t xml:space="preserve"> </w:t>
      </w:r>
      <w:r w:rsidRPr="00530906">
        <w:rPr>
          <w:rFonts w:ascii="Cambria" w:hAnsi="Cambria"/>
          <w:sz w:val="24"/>
          <w:szCs w:val="24"/>
        </w:rPr>
        <w:t xml:space="preserve">S., 2016. Comparison of convenience sampling and purposive sampling. </w:t>
      </w:r>
      <w:r w:rsidRPr="00530906">
        <w:rPr>
          <w:rFonts w:ascii="Cambria" w:hAnsi="Cambria"/>
          <w:i/>
          <w:sz w:val="24"/>
          <w:szCs w:val="24"/>
        </w:rPr>
        <w:t>American journal of theoretical and applied statistics</w:t>
      </w:r>
      <w:r w:rsidRPr="00530906">
        <w:rPr>
          <w:rFonts w:ascii="Cambria" w:hAnsi="Cambria"/>
          <w:sz w:val="24"/>
          <w:szCs w:val="24"/>
        </w:rPr>
        <w:t>, 5(1), pp.1–4.</w:t>
      </w:r>
    </w:p>
    <w:p w14:paraId="3EF672CF" w14:textId="2873D2A3" w:rsidR="00F213C4" w:rsidRPr="00530906" w:rsidRDefault="00F213C4">
      <w:pPr>
        <w:spacing w:line="360" w:lineRule="auto"/>
        <w:ind w:left="567" w:hanging="567"/>
        <w:jc w:val="both"/>
        <w:rPr>
          <w:rFonts w:ascii="Cambria" w:hAnsi="Cambria"/>
          <w:sz w:val="24"/>
          <w:szCs w:val="24"/>
        </w:rPr>
      </w:pPr>
      <w:r w:rsidRPr="00530906">
        <w:rPr>
          <w:rFonts w:ascii="Cambria" w:hAnsi="Cambria"/>
          <w:sz w:val="24"/>
          <w:szCs w:val="24"/>
        </w:rPr>
        <w:t xml:space="preserve">europeanbusinessreview.com (2017) Sustainability: A $12 Trillion a Year Market by 2030. Available at: </w:t>
      </w:r>
      <w:hyperlink r:id="rId142" w:history="1">
        <w:r w:rsidRPr="00530906">
          <w:rPr>
            <w:rStyle w:val="Hyperlink"/>
            <w:rFonts w:ascii="Cambria" w:hAnsi="Cambria"/>
            <w:sz w:val="24"/>
            <w:szCs w:val="24"/>
          </w:rPr>
          <w:t>https://www.europeanbusinessreview.com/sustainability-a-12-trillion-a-year-market-by-2030/</w:t>
        </w:r>
      </w:hyperlink>
      <w:r w:rsidRPr="00530906">
        <w:rPr>
          <w:rFonts w:ascii="Cambria" w:hAnsi="Cambria"/>
          <w:sz w:val="24"/>
          <w:szCs w:val="24"/>
        </w:rPr>
        <w:t xml:space="preserve"> (accessed on 29</w:t>
      </w:r>
      <w:r w:rsidRPr="00530906">
        <w:rPr>
          <w:rFonts w:ascii="Cambria" w:hAnsi="Cambria"/>
          <w:sz w:val="24"/>
          <w:szCs w:val="24"/>
          <w:vertAlign w:val="superscript"/>
        </w:rPr>
        <w:t>th</w:t>
      </w:r>
      <w:r w:rsidRPr="00530906">
        <w:rPr>
          <w:rFonts w:ascii="Cambria" w:hAnsi="Cambria"/>
          <w:sz w:val="24"/>
          <w:szCs w:val="24"/>
        </w:rPr>
        <w:t xml:space="preserve"> May 2021 )</w:t>
      </w:r>
    </w:p>
    <w:p w14:paraId="10F2CD58" w14:textId="2D879CF6" w:rsidR="007E4999" w:rsidRPr="00530906" w:rsidRDefault="007E4999">
      <w:pPr>
        <w:spacing w:line="360" w:lineRule="auto"/>
        <w:ind w:left="567" w:hanging="567"/>
        <w:jc w:val="both"/>
        <w:rPr>
          <w:sz w:val="24"/>
          <w:szCs w:val="24"/>
        </w:rPr>
      </w:pPr>
      <w:r w:rsidRPr="00530906">
        <w:rPr>
          <w:rFonts w:ascii="Cambria" w:hAnsi="Cambria" w:cs="Arial"/>
          <w:sz w:val="24"/>
          <w:szCs w:val="24"/>
          <w:shd w:val="clear" w:color="auto" w:fill="FFFFFF"/>
        </w:rPr>
        <w:t>Evers, U., Gruner, R. L., Sneddon, J., &amp; Lee, J. A. (2018). Exploring materialism and frugality in determining product end</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use consumption behaviours.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35</w:t>
      </w:r>
      <w:r w:rsidRPr="00530906">
        <w:rPr>
          <w:rFonts w:ascii="Cambria" w:hAnsi="Cambria" w:cs="Arial"/>
          <w:sz w:val="24"/>
          <w:szCs w:val="24"/>
          <w:shd w:val="clear" w:color="auto" w:fill="FFFFFF"/>
        </w:rPr>
        <w:t>(12), 948–956. DOI: 10.1002/mar.21147</w:t>
      </w:r>
    </w:p>
    <w:p w14:paraId="4DBC630A" w14:textId="472A0C70"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Fairweather, G.</w:t>
      </w:r>
      <w:r w:rsidR="00774B58" w:rsidRPr="00530906">
        <w:rPr>
          <w:rFonts w:ascii="Cambria" w:hAnsi="Cambria" w:cs="Segoe UI"/>
          <w:sz w:val="24"/>
          <w:szCs w:val="24"/>
        </w:rPr>
        <w:t xml:space="preserve"> </w:t>
      </w:r>
      <w:r w:rsidRPr="00530906">
        <w:rPr>
          <w:rFonts w:ascii="Cambria" w:hAnsi="Cambria" w:cs="Segoe UI"/>
          <w:sz w:val="24"/>
          <w:szCs w:val="24"/>
        </w:rPr>
        <w:t>W. and Tornatzky, L.</w:t>
      </w:r>
      <w:r w:rsidR="00774B58" w:rsidRPr="00530906">
        <w:rPr>
          <w:rFonts w:ascii="Cambria" w:hAnsi="Cambria" w:cs="Segoe UI"/>
          <w:sz w:val="24"/>
          <w:szCs w:val="24"/>
        </w:rPr>
        <w:t xml:space="preserve"> </w:t>
      </w:r>
      <w:r w:rsidRPr="00530906">
        <w:rPr>
          <w:rFonts w:ascii="Cambria" w:hAnsi="Cambria" w:cs="Segoe UI"/>
          <w:sz w:val="24"/>
          <w:szCs w:val="24"/>
        </w:rPr>
        <w:t xml:space="preserve">G. (1977) </w:t>
      </w:r>
      <w:r w:rsidRPr="00530906">
        <w:rPr>
          <w:rFonts w:ascii="Cambria" w:hAnsi="Cambria" w:cs="Segoe UI"/>
          <w:i/>
          <w:iCs/>
          <w:sz w:val="24"/>
          <w:szCs w:val="24"/>
        </w:rPr>
        <w:t>Experimental methods for social policy research</w:t>
      </w:r>
      <w:r w:rsidRPr="00530906">
        <w:rPr>
          <w:rFonts w:ascii="Cambria" w:hAnsi="Cambria" w:cs="Segoe UI"/>
          <w:sz w:val="24"/>
          <w:szCs w:val="24"/>
        </w:rPr>
        <w:t>. 1 edn. Oxford: Pergamon.</w:t>
      </w:r>
    </w:p>
    <w:p w14:paraId="4F3047B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Fernando, A. G., Suganthi, L. and Sivakumaran, B. (2014) ‘If You Blog, Will They Follow? Using Online Media to Setthe Agenda for Consumer Concerns on “Greenwashed” Environmental Claims’, </w:t>
      </w:r>
      <w:r w:rsidRPr="00530906">
        <w:rPr>
          <w:rFonts w:ascii="Cambria" w:hAnsi="Cambria"/>
          <w:i/>
          <w:sz w:val="24"/>
          <w:szCs w:val="24"/>
        </w:rPr>
        <w:t>Journal of Advertising</w:t>
      </w:r>
      <w:r w:rsidRPr="00530906">
        <w:rPr>
          <w:rFonts w:ascii="Cambria" w:hAnsi="Cambria"/>
          <w:sz w:val="24"/>
          <w:szCs w:val="24"/>
        </w:rPr>
        <w:t>, 43(2), pp. 167–180. doi: 10.1080/00913367.2013.841088.</w:t>
      </w:r>
    </w:p>
    <w:p w14:paraId="0A3BB2C3" w14:textId="59ACB9BF"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Field, A. (2018). Discovering Statistics Using IBM SPSS Statistics 5th ed.</w:t>
      </w:r>
      <w:r w:rsidR="00474DD0" w:rsidRPr="00530906">
        <w:rPr>
          <w:rFonts w:ascii="Cambria" w:hAnsi="Cambria" w:cs="Arial"/>
          <w:sz w:val="24"/>
          <w:szCs w:val="24"/>
          <w:shd w:val="clear" w:color="auto" w:fill="FFFFFF"/>
        </w:rPr>
        <w:t xml:space="preserve"> </w:t>
      </w:r>
      <w:r w:rsidRPr="00530906">
        <w:rPr>
          <w:rFonts w:ascii="Cambria" w:hAnsi="Cambria" w:cs="Arial"/>
          <w:sz w:val="24"/>
          <w:szCs w:val="24"/>
          <w:shd w:val="clear" w:color="auto" w:fill="FFFFFF"/>
        </w:rPr>
        <w:t>Los Angeles, Sage.</w:t>
      </w:r>
    </w:p>
    <w:p w14:paraId="2F45ABAC" w14:textId="46EFBA31" w:rsidR="007E4999" w:rsidRPr="00530906" w:rsidRDefault="007E4999">
      <w:pPr>
        <w:spacing w:line="360" w:lineRule="auto"/>
        <w:ind w:left="567" w:hanging="567"/>
        <w:jc w:val="both"/>
        <w:rPr>
          <w:rFonts w:ascii="Cambria" w:hAnsi="Cambria" w:cs="AdvPTimes"/>
          <w:sz w:val="24"/>
          <w:szCs w:val="24"/>
        </w:rPr>
      </w:pPr>
      <w:r w:rsidRPr="00530906">
        <w:rPr>
          <w:rFonts w:ascii="Cambria" w:hAnsi="Cambria" w:cs="Arial"/>
          <w:sz w:val="24"/>
          <w:szCs w:val="24"/>
          <w:shd w:val="clear" w:color="auto" w:fill="FFFFFF"/>
        </w:rPr>
        <w:t>Fieseler, C., &amp; Fleck, M. (2013). The pursuit of empowerment through social media: Structural social capital dynamics in CSR</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blogging.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118</w:t>
      </w:r>
      <w:r w:rsidRPr="00530906">
        <w:rPr>
          <w:rFonts w:ascii="Cambria" w:hAnsi="Cambria" w:cs="Arial"/>
          <w:sz w:val="24"/>
          <w:szCs w:val="24"/>
          <w:shd w:val="clear" w:color="auto" w:fill="FFFFFF"/>
        </w:rPr>
        <w:t>(4), 759</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775.</w:t>
      </w:r>
      <w:r w:rsidRPr="00530906">
        <w:rPr>
          <w:rFonts w:ascii="Cambria" w:hAnsi="Cambria" w:cs="AdvPTimes"/>
          <w:sz w:val="24"/>
          <w:szCs w:val="24"/>
        </w:rPr>
        <w:t xml:space="preserve"> DOI 10.1007/s10551</w:t>
      </w:r>
      <w:r w:rsidR="004179CD" w:rsidRPr="00530906">
        <w:rPr>
          <w:rFonts w:ascii="Cambria" w:hAnsi="Cambria" w:cs="AdvPTimes"/>
          <w:sz w:val="24"/>
          <w:szCs w:val="24"/>
        </w:rPr>
        <w:t>–</w:t>
      </w:r>
      <w:r w:rsidRPr="00530906">
        <w:rPr>
          <w:rFonts w:ascii="Cambria" w:hAnsi="Cambria" w:cs="AdvPTimes"/>
          <w:sz w:val="24"/>
          <w:szCs w:val="24"/>
        </w:rPr>
        <w:t>013</w:t>
      </w:r>
      <w:r w:rsidR="004179CD" w:rsidRPr="00530906">
        <w:rPr>
          <w:rFonts w:ascii="Cambria" w:hAnsi="Cambria" w:cs="AdvPTimes"/>
          <w:sz w:val="24"/>
          <w:szCs w:val="24"/>
        </w:rPr>
        <w:t>–</w:t>
      </w:r>
      <w:r w:rsidRPr="00530906">
        <w:rPr>
          <w:rFonts w:ascii="Cambria" w:hAnsi="Cambria" w:cs="AdvPTimes"/>
          <w:sz w:val="24"/>
          <w:szCs w:val="24"/>
        </w:rPr>
        <w:t>1959</w:t>
      </w:r>
      <w:r w:rsidR="004179CD" w:rsidRPr="00530906">
        <w:rPr>
          <w:rFonts w:ascii="Cambria" w:hAnsi="Cambria" w:cs="AdvPTimes"/>
          <w:sz w:val="24"/>
          <w:szCs w:val="24"/>
        </w:rPr>
        <w:t>–</w:t>
      </w:r>
      <w:r w:rsidRPr="00530906">
        <w:rPr>
          <w:rFonts w:ascii="Cambria" w:hAnsi="Cambria" w:cs="AdvPTimes"/>
          <w:sz w:val="24"/>
          <w:szCs w:val="24"/>
        </w:rPr>
        <w:t>9</w:t>
      </w:r>
    </w:p>
    <w:p w14:paraId="75C6C5A9" w14:textId="4BED293B" w:rsidR="003A1193" w:rsidRPr="00530906" w:rsidRDefault="003A1193">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Fischer, D., Stanszus, L., Geiger, S., Grossman, P. and Schrader, U. (2017) 'Mindfulness and sustainable consumption: A systematic literature review of research approaches and findings', Journal of Cleaner Production, 162, pp. 544-558. Doi: 10.1016/j.jclepro.2017.06.007</w:t>
      </w:r>
    </w:p>
    <w:p w14:paraId="5344424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Folse, J. A. G., Porter, M., Godbole, M. B. and Reynolds, K. E. (2016) ‘The Effects of Negatively Valenced Emotional Expressions in Online Reviews on the Reviewer, the Review, and the Product’, </w:t>
      </w:r>
      <w:r w:rsidRPr="00530906">
        <w:rPr>
          <w:rFonts w:ascii="Cambria" w:hAnsi="Cambria"/>
          <w:i/>
          <w:sz w:val="24"/>
          <w:szCs w:val="24"/>
        </w:rPr>
        <w:t>Psychology and Marketing</w:t>
      </w:r>
      <w:r w:rsidRPr="00530906">
        <w:rPr>
          <w:rFonts w:ascii="Cambria" w:hAnsi="Cambria"/>
          <w:sz w:val="24"/>
          <w:szCs w:val="24"/>
        </w:rPr>
        <w:t>, 33(9), pp: 747–760. doi: 10.1002/mar.20914.</w:t>
      </w:r>
    </w:p>
    <w:p w14:paraId="7CB0BCF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Fournier, S., and Avery, J. (2011). The uninvited brand. </w:t>
      </w:r>
      <w:r w:rsidRPr="00530906">
        <w:rPr>
          <w:rFonts w:ascii="Cambria" w:hAnsi="Cambria"/>
          <w:i/>
          <w:sz w:val="24"/>
          <w:szCs w:val="24"/>
        </w:rPr>
        <w:t>Business Horizons,</w:t>
      </w:r>
      <w:r w:rsidRPr="00530906">
        <w:rPr>
          <w:rFonts w:ascii="Cambria" w:hAnsi="Cambria"/>
          <w:sz w:val="24"/>
          <w:szCs w:val="24"/>
        </w:rPr>
        <w:t xml:space="preserve"> 54(3),193–207. Doi: 10.1016/j.bushor.2011.01.001.</w:t>
      </w:r>
    </w:p>
    <w:p w14:paraId="234E61FE" w14:textId="5467DF18"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Fox, N.</w:t>
      </w:r>
      <w:r w:rsidR="007F5F46" w:rsidRPr="00530906">
        <w:rPr>
          <w:rFonts w:ascii="Cambria" w:hAnsi="Cambria" w:cs="Segoe UI"/>
          <w:sz w:val="24"/>
          <w:szCs w:val="24"/>
        </w:rPr>
        <w:t xml:space="preserve"> </w:t>
      </w:r>
      <w:r w:rsidRPr="00530906">
        <w:rPr>
          <w:rFonts w:ascii="Cambria" w:hAnsi="Cambria" w:cs="Segoe UI"/>
          <w:sz w:val="24"/>
          <w:szCs w:val="24"/>
        </w:rPr>
        <w:t xml:space="preserve">J. (2012) </w:t>
      </w:r>
      <w:r w:rsidRPr="00530906">
        <w:rPr>
          <w:rFonts w:ascii="Cambria" w:hAnsi="Cambria" w:cs="Segoe UI"/>
          <w:i/>
          <w:iCs/>
          <w:sz w:val="24"/>
          <w:szCs w:val="24"/>
        </w:rPr>
        <w:t>The SAGE Encyclopedia of Qualitative Research Methods</w:t>
      </w:r>
      <w:r w:rsidRPr="00530906">
        <w:rPr>
          <w:rFonts w:ascii="Cambria" w:hAnsi="Cambria" w:cs="Segoe UI"/>
          <w:sz w:val="24"/>
          <w:szCs w:val="24"/>
        </w:rPr>
        <w:t>. Thousand Oaks: SAGE Publications, Inc.</w:t>
      </w:r>
    </w:p>
    <w:p w14:paraId="11121655" w14:textId="39F06153"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Foxall, G.</w:t>
      </w:r>
      <w:r w:rsidR="007F5F46" w:rsidRPr="00530906">
        <w:rPr>
          <w:rFonts w:ascii="Cambria" w:hAnsi="Cambria"/>
          <w:sz w:val="24"/>
          <w:szCs w:val="24"/>
        </w:rPr>
        <w:t xml:space="preserve"> </w:t>
      </w:r>
      <w:r w:rsidRPr="00530906">
        <w:rPr>
          <w:rFonts w:ascii="Cambria" w:hAnsi="Cambria"/>
          <w:sz w:val="24"/>
          <w:szCs w:val="24"/>
        </w:rPr>
        <w:t>R. and Yani–de–Soriano, M.</w:t>
      </w:r>
      <w:r w:rsidR="007F5F46" w:rsidRPr="00530906">
        <w:rPr>
          <w:rFonts w:ascii="Cambria" w:hAnsi="Cambria"/>
          <w:sz w:val="24"/>
          <w:szCs w:val="24"/>
        </w:rPr>
        <w:t xml:space="preserve"> </w:t>
      </w:r>
      <w:r w:rsidRPr="00530906">
        <w:rPr>
          <w:rFonts w:ascii="Cambria" w:hAnsi="Cambria"/>
          <w:sz w:val="24"/>
          <w:szCs w:val="24"/>
        </w:rPr>
        <w:t xml:space="preserve">M., (2005). ‘Situational influences on consumers' attitudes and behavior’. </w:t>
      </w:r>
      <w:r w:rsidRPr="00530906">
        <w:rPr>
          <w:rFonts w:ascii="Cambria" w:hAnsi="Cambria"/>
          <w:i/>
          <w:sz w:val="24"/>
          <w:szCs w:val="24"/>
        </w:rPr>
        <w:t>Journal of Business Research</w:t>
      </w:r>
      <w:r w:rsidRPr="00530906">
        <w:rPr>
          <w:rFonts w:ascii="Cambria" w:hAnsi="Cambria"/>
          <w:sz w:val="24"/>
          <w:szCs w:val="24"/>
        </w:rPr>
        <w:t>, 58(4), pp.518–525. Doi: 10.1016/S0148–2963(03)00142–5.</w:t>
      </w:r>
    </w:p>
    <w:p w14:paraId="7DEF722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Frank, P. and Brock, C. (2018) “Bridging the intention–behavior gap among organic grocery customers: The crucial role of point–of–sale information”, </w:t>
      </w:r>
      <w:r w:rsidRPr="00530906">
        <w:rPr>
          <w:rFonts w:ascii="Cambria" w:hAnsi="Cambria"/>
          <w:i/>
          <w:sz w:val="24"/>
          <w:szCs w:val="24"/>
        </w:rPr>
        <w:t>Psychology and Marketing</w:t>
      </w:r>
      <w:r w:rsidRPr="00530906">
        <w:rPr>
          <w:rFonts w:ascii="Cambria" w:hAnsi="Cambria"/>
          <w:sz w:val="24"/>
          <w:szCs w:val="24"/>
        </w:rPr>
        <w:t>, 35 (8), pp. 586–602. DOI: 10.1002/mar.21108</w:t>
      </w:r>
    </w:p>
    <w:p w14:paraId="65FC0422" w14:textId="1DE74F82" w:rsidR="007E4999" w:rsidRPr="00530906" w:rsidRDefault="007E4999">
      <w:pPr>
        <w:spacing w:line="360" w:lineRule="auto"/>
        <w:ind w:left="567" w:hanging="567"/>
        <w:jc w:val="both"/>
        <w:rPr>
          <w:rFonts w:ascii="Cambria" w:hAnsi="Cambria"/>
          <w:sz w:val="24"/>
          <w:szCs w:val="24"/>
          <w:lang w:val="en"/>
        </w:rPr>
      </w:pPr>
      <w:r w:rsidRPr="00530906">
        <w:rPr>
          <w:rFonts w:ascii="Cambria" w:hAnsi="Cambria"/>
          <w:sz w:val="24"/>
          <w:szCs w:val="24"/>
          <w:lang w:val="en"/>
        </w:rPr>
        <w:t>Freitas–da–Costa, M</w:t>
      </w:r>
      <w:r w:rsidR="007F5F46" w:rsidRPr="00530906">
        <w:rPr>
          <w:rFonts w:ascii="Cambria" w:hAnsi="Cambria"/>
          <w:sz w:val="24"/>
          <w:szCs w:val="24"/>
          <w:lang w:val="en"/>
        </w:rPr>
        <w:t>.</w:t>
      </w:r>
      <w:r w:rsidRPr="00530906">
        <w:rPr>
          <w:rFonts w:ascii="Cambria" w:hAnsi="Cambria"/>
          <w:sz w:val="24"/>
          <w:szCs w:val="24"/>
          <w:lang w:val="en"/>
        </w:rPr>
        <w:t>, &amp; De Oliveira, K</w:t>
      </w:r>
      <w:r w:rsidR="007F5F46" w:rsidRPr="00530906">
        <w:rPr>
          <w:rFonts w:ascii="Cambria" w:hAnsi="Cambria"/>
          <w:sz w:val="24"/>
          <w:szCs w:val="24"/>
          <w:lang w:val="en"/>
        </w:rPr>
        <w:t>.</w:t>
      </w:r>
      <w:r w:rsidRPr="00530906">
        <w:rPr>
          <w:rFonts w:ascii="Cambria" w:hAnsi="Cambria"/>
          <w:sz w:val="24"/>
          <w:szCs w:val="24"/>
          <w:lang w:val="en"/>
        </w:rPr>
        <w:t xml:space="preserve"> K. (2015). Persuasive Communication on the Internet via You Tube: Is It Possible to Increase Environmental Awareness and Consumer Engagement with Sustainability? </w:t>
      </w:r>
      <w:r w:rsidRPr="00530906">
        <w:rPr>
          <w:rFonts w:ascii="Cambria" w:hAnsi="Cambria"/>
          <w:i/>
          <w:iCs/>
          <w:sz w:val="24"/>
          <w:szCs w:val="24"/>
          <w:lang w:val="en"/>
        </w:rPr>
        <w:t>Teoria E Prática Em Administração.,</w:t>
      </w:r>
      <w:r w:rsidRPr="00530906">
        <w:rPr>
          <w:rFonts w:ascii="Cambria" w:hAnsi="Cambria"/>
          <w:sz w:val="24"/>
          <w:szCs w:val="24"/>
          <w:lang w:val="en"/>
        </w:rPr>
        <w:t xml:space="preserve"> </w:t>
      </w:r>
      <w:r w:rsidRPr="00530906">
        <w:rPr>
          <w:rFonts w:ascii="Cambria" w:hAnsi="Cambria"/>
          <w:i/>
          <w:iCs/>
          <w:sz w:val="24"/>
          <w:szCs w:val="24"/>
          <w:lang w:val="en"/>
        </w:rPr>
        <w:t>5</w:t>
      </w:r>
      <w:r w:rsidRPr="00530906">
        <w:rPr>
          <w:rFonts w:ascii="Cambria" w:hAnsi="Cambria"/>
          <w:sz w:val="24"/>
          <w:szCs w:val="24"/>
          <w:lang w:val="en"/>
        </w:rPr>
        <w:t>(1), 1–24.</w:t>
      </w:r>
      <w:r w:rsidRPr="00530906">
        <w:rPr>
          <w:rFonts w:ascii="Cambria" w:hAnsi="Cambria"/>
          <w:sz w:val="24"/>
          <w:szCs w:val="24"/>
          <w:shd w:val="clear" w:color="auto" w:fill="FFFFFF"/>
        </w:rPr>
        <w:t xml:space="preserve"> DOI: </w:t>
      </w:r>
      <w:hyperlink r:id="rId143" w:history="1">
        <w:r w:rsidRPr="00530906">
          <w:rPr>
            <w:rStyle w:val="Hyperlink"/>
            <w:rFonts w:ascii="Cambria" w:hAnsi="Cambria"/>
            <w:color w:val="auto"/>
            <w:sz w:val="24"/>
            <w:szCs w:val="24"/>
            <w:shd w:val="clear" w:color="auto" w:fill="FFFFFF"/>
          </w:rPr>
          <w:t>https://doi.org/10.21714/tpa.v5i1.20254</w:t>
        </w:r>
      </w:hyperlink>
    </w:p>
    <w:p w14:paraId="076555B4" w14:textId="5E9292D7" w:rsidR="007E4999" w:rsidRPr="00530906" w:rsidRDefault="007E4999">
      <w:pPr>
        <w:spacing w:line="360" w:lineRule="auto"/>
        <w:ind w:left="567" w:hanging="567"/>
        <w:jc w:val="both"/>
        <w:rPr>
          <w:sz w:val="24"/>
          <w:szCs w:val="24"/>
        </w:rPr>
      </w:pPr>
      <w:r w:rsidRPr="00530906">
        <w:rPr>
          <w:rFonts w:ascii="Cambria" w:hAnsi="Cambria" w:cs="Arial"/>
          <w:sz w:val="24"/>
          <w:szCs w:val="24"/>
          <w:shd w:val="clear" w:color="auto" w:fill="FFFFFF"/>
        </w:rPr>
        <w:t>Fuller, C. M., Simmering, M. J., Atinc, G., Atinc, Y., and Babin, B. J. (2016). Common methods variance detection in business research. </w:t>
      </w:r>
      <w:r w:rsidRPr="00530906">
        <w:rPr>
          <w:rFonts w:ascii="Cambria" w:hAnsi="Cambria" w:cs="Arial"/>
          <w:i/>
          <w:iCs/>
          <w:sz w:val="24"/>
          <w:szCs w:val="24"/>
          <w:shd w:val="clear" w:color="auto" w:fill="FFFFFF"/>
        </w:rPr>
        <w:t>Journal of Business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69</w:t>
      </w:r>
      <w:r w:rsidRPr="00530906">
        <w:rPr>
          <w:rFonts w:ascii="Cambria" w:hAnsi="Cambria" w:cs="Arial"/>
          <w:sz w:val="24"/>
          <w:szCs w:val="24"/>
          <w:shd w:val="clear" w:color="auto" w:fill="FFFFFF"/>
        </w:rPr>
        <w:t>(8), 3192–3198. Doi: 10.1016/j.jbusres.2015.12.008</w:t>
      </w:r>
    </w:p>
    <w:p w14:paraId="559597A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Gavilanes, J. M., Flatten, T. C., and Brettel, M. (2018) ‘Content Strategies for Digital Consumer Engagement in Social Networks: Why Advertising Is an Antecedent of Engagement’, </w:t>
      </w:r>
      <w:r w:rsidRPr="00530906">
        <w:rPr>
          <w:rFonts w:ascii="Cambria" w:hAnsi="Cambria"/>
          <w:i/>
          <w:sz w:val="24"/>
          <w:szCs w:val="24"/>
        </w:rPr>
        <w:t>Journal of Advertising</w:t>
      </w:r>
      <w:r w:rsidRPr="00530906">
        <w:rPr>
          <w:rFonts w:ascii="Cambria" w:hAnsi="Cambria"/>
          <w:sz w:val="24"/>
          <w:szCs w:val="24"/>
        </w:rPr>
        <w:t>, 47(1), pp. 4–23, doi: 10.1080/00913367.2017.1405751</w:t>
      </w:r>
    </w:p>
    <w:p w14:paraId="66E8DE6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Gambetti, R. C., Graffigna, G. and Biraghi, S. (2012) ‘The grounded theory approach to consumer–brand engagement: The practitioner's standpoint’, </w:t>
      </w:r>
      <w:r w:rsidRPr="00530906">
        <w:rPr>
          <w:rFonts w:ascii="Cambria" w:hAnsi="Cambria"/>
          <w:i/>
          <w:sz w:val="24"/>
          <w:szCs w:val="24"/>
        </w:rPr>
        <w:t>International Journal of Market Research</w:t>
      </w:r>
      <w:r w:rsidRPr="00530906">
        <w:rPr>
          <w:rFonts w:ascii="Cambria" w:hAnsi="Cambria"/>
          <w:sz w:val="24"/>
          <w:szCs w:val="24"/>
        </w:rPr>
        <w:t>, 54(5), pp. 659–687. doi: 10.2501/IJMR–54–5–659–687.</w:t>
      </w:r>
    </w:p>
    <w:p w14:paraId="4437904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Gibson, K. (2018) </w:t>
      </w:r>
      <w:r w:rsidRPr="00530906">
        <w:rPr>
          <w:rFonts w:ascii="Cambria" w:hAnsi="Cambria"/>
          <w:i/>
          <w:iCs/>
          <w:sz w:val="24"/>
          <w:szCs w:val="24"/>
        </w:rPr>
        <w:t>Burberry trashes tens of millions of dollars' worth of unsold products</w:t>
      </w:r>
      <w:r w:rsidRPr="00530906">
        <w:rPr>
          <w:rFonts w:ascii="Cambria" w:hAnsi="Cambria"/>
          <w:sz w:val="24"/>
          <w:szCs w:val="24"/>
        </w:rPr>
        <w:t xml:space="preserve">. Available at: </w:t>
      </w:r>
      <w:hyperlink r:id="rId144" w:history="1">
        <w:r w:rsidRPr="00530906">
          <w:rPr>
            <w:rStyle w:val="Hyperlink"/>
            <w:rFonts w:ascii="Cambria" w:hAnsi="Cambria"/>
            <w:color w:val="auto"/>
            <w:sz w:val="24"/>
            <w:szCs w:val="24"/>
          </w:rPr>
          <w:t>https://www.cbsnews.com/news/burberry–trashes–tens–of–millions–of–dollars–worth–of–unsold–products/</w:t>
        </w:r>
      </w:hyperlink>
      <w:r w:rsidRPr="00530906">
        <w:rPr>
          <w:rFonts w:ascii="Cambria" w:hAnsi="Cambria"/>
          <w:sz w:val="24"/>
          <w:szCs w:val="24"/>
        </w:rPr>
        <w:t xml:space="preserve"> (Accessed date 04.03.2020)</w:t>
      </w:r>
    </w:p>
    <w:p w14:paraId="22A6972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 xml:space="preserve">Giddens, L., Goutas, L., Leidner, D., &amp; Sutanto, J. (2016). Engaging Consumers in Ethical Consumption: The Effect of Real–time Environmental Information on Eco–friendly Consumer Choice. </w:t>
      </w:r>
      <w:r w:rsidRPr="00530906">
        <w:rPr>
          <w:rFonts w:ascii="Cambria" w:hAnsi="Cambria" w:cs="Arial"/>
          <w:i/>
          <w:iCs/>
          <w:sz w:val="24"/>
          <w:szCs w:val="24"/>
          <w:shd w:val="clear" w:color="auto" w:fill="FFFFFF"/>
        </w:rPr>
        <w:t>49th Hawaii International Conference on System Sciences (HICSS)</w:t>
      </w:r>
      <w:r w:rsidRPr="00530906">
        <w:rPr>
          <w:rFonts w:ascii="Cambria" w:hAnsi="Cambria" w:cs="Arial"/>
          <w:sz w:val="24"/>
          <w:szCs w:val="24"/>
          <w:shd w:val="clear" w:color="auto" w:fill="FFFFFF"/>
        </w:rPr>
        <w:t xml:space="preserve"> (pp. 1020–1029). </w:t>
      </w:r>
      <w:r w:rsidRPr="00530906">
        <w:rPr>
          <w:rStyle w:val="Strong"/>
          <w:rFonts w:ascii="Cambria" w:hAnsi="Cambria" w:cs="Arial"/>
          <w:sz w:val="24"/>
          <w:szCs w:val="24"/>
          <w:shd w:val="clear" w:color="auto" w:fill="FFFFFF"/>
        </w:rPr>
        <w:t>DOI: </w:t>
      </w:r>
      <w:hyperlink r:id="rId145" w:tgtFrame="_blank" w:history="1">
        <w:r w:rsidRPr="00530906">
          <w:rPr>
            <w:rStyle w:val="Hyperlink"/>
            <w:rFonts w:ascii="Cambria" w:hAnsi="Cambria" w:cs="Arial"/>
            <w:color w:val="auto"/>
            <w:sz w:val="24"/>
            <w:szCs w:val="24"/>
            <w:shd w:val="clear" w:color="auto" w:fill="FFFFFF"/>
          </w:rPr>
          <w:t>10.1109/HICSS.2016.131</w:t>
        </w:r>
      </w:hyperlink>
    </w:p>
    <w:p w14:paraId="6C01CF8A" w14:textId="49A5D0C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Gilly, M.</w:t>
      </w:r>
      <w:r w:rsidR="003B1272" w:rsidRPr="00530906">
        <w:rPr>
          <w:rFonts w:ascii="Cambria" w:hAnsi="Cambria"/>
          <w:sz w:val="24"/>
          <w:szCs w:val="24"/>
        </w:rPr>
        <w:t xml:space="preserve"> </w:t>
      </w:r>
      <w:r w:rsidRPr="00530906">
        <w:rPr>
          <w:rFonts w:ascii="Cambria" w:hAnsi="Cambria"/>
          <w:sz w:val="24"/>
          <w:szCs w:val="24"/>
        </w:rPr>
        <w:t>C.; Graham, J.</w:t>
      </w:r>
      <w:r w:rsidR="003B1272" w:rsidRPr="00530906">
        <w:rPr>
          <w:rFonts w:ascii="Cambria" w:hAnsi="Cambria"/>
          <w:sz w:val="24"/>
          <w:szCs w:val="24"/>
        </w:rPr>
        <w:t xml:space="preserve"> </w:t>
      </w:r>
      <w:r w:rsidRPr="00530906">
        <w:rPr>
          <w:rFonts w:ascii="Cambria" w:hAnsi="Cambria"/>
          <w:sz w:val="24"/>
          <w:szCs w:val="24"/>
        </w:rPr>
        <w:t>L.; Wolfinbarger, M.</w:t>
      </w:r>
      <w:r w:rsidR="003B1272" w:rsidRPr="00530906">
        <w:rPr>
          <w:rFonts w:ascii="Cambria" w:hAnsi="Cambria"/>
          <w:sz w:val="24"/>
          <w:szCs w:val="24"/>
        </w:rPr>
        <w:t xml:space="preserve"> </w:t>
      </w:r>
      <w:r w:rsidRPr="00530906">
        <w:rPr>
          <w:rFonts w:ascii="Cambria" w:hAnsi="Cambria"/>
          <w:sz w:val="24"/>
          <w:szCs w:val="24"/>
        </w:rPr>
        <w:t>F.; and Yale, L.</w:t>
      </w:r>
      <w:r w:rsidR="003B1272" w:rsidRPr="00530906">
        <w:rPr>
          <w:rFonts w:ascii="Cambria" w:hAnsi="Cambria"/>
          <w:sz w:val="24"/>
          <w:szCs w:val="24"/>
        </w:rPr>
        <w:t xml:space="preserve"> </w:t>
      </w:r>
      <w:r w:rsidRPr="00530906">
        <w:rPr>
          <w:rFonts w:ascii="Cambria" w:hAnsi="Cambria"/>
          <w:sz w:val="24"/>
          <w:szCs w:val="24"/>
        </w:rPr>
        <w:t xml:space="preserve">J. (1998) ‘A dyadic study of interpersonal information search’. </w:t>
      </w:r>
      <w:r w:rsidRPr="00530906">
        <w:rPr>
          <w:rFonts w:ascii="Cambria" w:hAnsi="Cambria"/>
          <w:i/>
          <w:sz w:val="24"/>
          <w:szCs w:val="24"/>
        </w:rPr>
        <w:t>Journal of Academic of marketing Science,</w:t>
      </w:r>
      <w:r w:rsidRPr="00530906">
        <w:rPr>
          <w:rFonts w:ascii="Cambria" w:hAnsi="Cambria"/>
          <w:sz w:val="24"/>
          <w:szCs w:val="24"/>
        </w:rPr>
        <w:t xml:space="preserve"> 26(2), 83–100. Doi: 10.1177/0092070398262001</w:t>
      </w:r>
    </w:p>
    <w:p w14:paraId="7948374A" w14:textId="117FD575" w:rsidR="001F3B0D" w:rsidRPr="00530906" w:rsidRDefault="001F3B0D">
      <w:pPr>
        <w:spacing w:line="360" w:lineRule="auto"/>
        <w:ind w:left="567" w:hanging="567"/>
        <w:jc w:val="both"/>
        <w:rPr>
          <w:rFonts w:ascii="Cambria" w:hAnsi="Cambria"/>
          <w:sz w:val="24"/>
          <w:szCs w:val="24"/>
        </w:rPr>
      </w:pPr>
      <w:bookmarkStart w:id="171" w:name="_Hlk72596291"/>
      <w:r w:rsidRPr="00530906">
        <w:rPr>
          <w:rFonts w:ascii="Segoe UI" w:hAnsi="Segoe UI" w:cs="Segoe UI"/>
          <w:sz w:val="24"/>
          <w:szCs w:val="24"/>
        </w:rPr>
        <w:t xml:space="preserve">Gironda, J.T. and Korgaonkar, P.K. (2014) 'Understanding consumers’ social networking site usage', </w:t>
      </w:r>
      <w:r w:rsidRPr="00530906">
        <w:rPr>
          <w:rFonts w:ascii="Segoe UI" w:hAnsi="Segoe UI" w:cs="Segoe UI"/>
          <w:i/>
          <w:iCs/>
          <w:sz w:val="24"/>
          <w:szCs w:val="24"/>
        </w:rPr>
        <w:t>Journal of Marketing Management</w:t>
      </w:r>
      <w:r w:rsidRPr="00530906">
        <w:rPr>
          <w:rFonts w:ascii="Segoe UI" w:hAnsi="Segoe UI" w:cs="Segoe UI"/>
          <w:sz w:val="24"/>
          <w:szCs w:val="24"/>
        </w:rPr>
        <w:t>, 30(5-6), pp. 571-605. Doi: 10.1080/0267257X.2013.851106</w:t>
      </w:r>
    </w:p>
    <w:bookmarkEnd w:id="171"/>
    <w:p w14:paraId="1C83E48F" w14:textId="05ADF45F" w:rsidR="007E4999"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Goh K</w:t>
      </w:r>
      <w:r w:rsidR="00E36324" w:rsidRPr="00530906">
        <w:rPr>
          <w:rFonts w:ascii="Cambria" w:hAnsi="Cambria" w:cs="Segoe UI"/>
          <w:sz w:val="24"/>
          <w:szCs w:val="24"/>
        </w:rPr>
        <w:t xml:space="preserve">. </w:t>
      </w:r>
      <w:r w:rsidRPr="00530906">
        <w:rPr>
          <w:rFonts w:ascii="Cambria" w:hAnsi="Cambria" w:cs="Segoe UI"/>
          <w:sz w:val="24"/>
          <w:szCs w:val="24"/>
        </w:rPr>
        <w:t>Y</w:t>
      </w:r>
      <w:r w:rsidR="00E36324" w:rsidRPr="00530906">
        <w:rPr>
          <w:rFonts w:ascii="Cambria" w:hAnsi="Cambria" w:cs="Segoe UI"/>
          <w:sz w:val="24"/>
          <w:szCs w:val="24"/>
        </w:rPr>
        <w:t>.</w:t>
      </w:r>
      <w:r w:rsidRPr="00530906">
        <w:rPr>
          <w:rFonts w:ascii="Cambria" w:hAnsi="Cambria" w:cs="Segoe UI"/>
          <w:sz w:val="24"/>
          <w:szCs w:val="24"/>
        </w:rPr>
        <w:t>, Cheng</w:t>
      </w:r>
      <w:r w:rsidR="004179CD" w:rsidRPr="00530906">
        <w:rPr>
          <w:rFonts w:ascii="Cambria" w:hAnsi="Cambria" w:cs="Segoe UI"/>
          <w:sz w:val="24"/>
          <w:szCs w:val="24"/>
        </w:rPr>
        <w:t>–</w:t>
      </w:r>
      <w:r w:rsidRPr="00530906">
        <w:rPr>
          <w:rFonts w:ascii="Cambria" w:hAnsi="Cambria" w:cs="Segoe UI"/>
          <w:sz w:val="24"/>
          <w:szCs w:val="24"/>
        </w:rPr>
        <w:t>Suang H</w:t>
      </w:r>
      <w:r w:rsidR="00E36324" w:rsidRPr="00530906">
        <w:rPr>
          <w:rFonts w:ascii="Cambria" w:hAnsi="Cambria" w:cs="Segoe UI"/>
          <w:sz w:val="24"/>
          <w:szCs w:val="24"/>
        </w:rPr>
        <w:t>.</w:t>
      </w:r>
      <w:r w:rsidRPr="00530906">
        <w:rPr>
          <w:rFonts w:ascii="Cambria" w:hAnsi="Cambria" w:cs="Segoe UI"/>
          <w:sz w:val="24"/>
          <w:szCs w:val="24"/>
        </w:rPr>
        <w:t xml:space="preserve"> and Lin, Z. (2013) 'Social Media Brand Community and Consumer Behavior: Quantifying the Relative Impact of User</w:t>
      </w:r>
      <w:r w:rsidR="004179CD" w:rsidRPr="00530906">
        <w:rPr>
          <w:rFonts w:ascii="Cambria" w:hAnsi="Cambria" w:cs="Segoe UI"/>
          <w:sz w:val="24"/>
          <w:szCs w:val="24"/>
        </w:rPr>
        <w:t>–</w:t>
      </w:r>
      <w:r w:rsidRPr="00530906">
        <w:rPr>
          <w:rFonts w:ascii="Cambria" w:hAnsi="Cambria" w:cs="Segoe UI"/>
          <w:sz w:val="24"/>
          <w:szCs w:val="24"/>
        </w:rPr>
        <w:t xml:space="preserve"> and Marketer</w:t>
      </w:r>
      <w:r w:rsidR="004179CD" w:rsidRPr="00530906">
        <w:rPr>
          <w:rFonts w:ascii="Cambria" w:hAnsi="Cambria" w:cs="Segoe UI"/>
          <w:sz w:val="24"/>
          <w:szCs w:val="24"/>
        </w:rPr>
        <w:t>–</w:t>
      </w:r>
      <w:r w:rsidRPr="00530906">
        <w:rPr>
          <w:rFonts w:ascii="Cambria" w:hAnsi="Cambria" w:cs="Segoe UI"/>
          <w:sz w:val="24"/>
          <w:szCs w:val="24"/>
        </w:rPr>
        <w:t xml:space="preserve">Generated Content', </w:t>
      </w:r>
      <w:r w:rsidRPr="00530906">
        <w:rPr>
          <w:rFonts w:ascii="Cambria" w:hAnsi="Cambria" w:cs="Segoe UI"/>
          <w:i/>
          <w:iCs/>
          <w:sz w:val="24"/>
          <w:szCs w:val="24"/>
        </w:rPr>
        <w:t>Information Systems Research</w:t>
      </w:r>
      <w:r w:rsidRPr="00530906">
        <w:rPr>
          <w:rFonts w:ascii="Cambria" w:hAnsi="Cambria" w:cs="Segoe UI"/>
          <w:sz w:val="24"/>
          <w:szCs w:val="24"/>
        </w:rPr>
        <w:t>, 24(1), pp. 88</w:t>
      </w:r>
      <w:r w:rsidR="004179CD" w:rsidRPr="00530906">
        <w:rPr>
          <w:rFonts w:ascii="Cambria" w:hAnsi="Cambria" w:cs="Segoe UI"/>
          <w:sz w:val="24"/>
          <w:szCs w:val="24"/>
        </w:rPr>
        <w:t>–</w:t>
      </w:r>
      <w:r w:rsidRPr="00530906">
        <w:rPr>
          <w:rFonts w:ascii="Cambria" w:hAnsi="Cambria" w:cs="Segoe UI"/>
          <w:sz w:val="24"/>
          <w:szCs w:val="24"/>
        </w:rPr>
        <w:t>107. Doi: 10.1287/isre.1120.0469</w:t>
      </w:r>
    </w:p>
    <w:p w14:paraId="7D849FBF" w14:textId="344521CC" w:rsidR="00C6293A" w:rsidRPr="00530906" w:rsidRDefault="00C6293A">
      <w:pPr>
        <w:spacing w:line="360" w:lineRule="auto"/>
        <w:ind w:left="567" w:hanging="567"/>
        <w:jc w:val="both"/>
        <w:rPr>
          <w:rFonts w:ascii="Cambria" w:hAnsi="Cambria"/>
          <w:sz w:val="24"/>
          <w:szCs w:val="24"/>
        </w:rPr>
      </w:pPr>
      <w:r w:rsidRPr="00C6293A">
        <w:rPr>
          <w:rFonts w:ascii="Cambria" w:hAnsi="Cambria"/>
          <w:sz w:val="24"/>
          <w:szCs w:val="24"/>
        </w:rPr>
        <w:t xml:space="preserve">Goldberg, M. E., &amp; Hartwick, J. (1990). The effects of advertiser reputation and extremity of advertising claim on advertising effectiveness. </w:t>
      </w:r>
      <w:r w:rsidRPr="00C6293A">
        <w:rPr>
          <w:rFonts w:ascii="Cambria" w:hAnsi="Cambria"/>
          <w:i/>
          <w:iCs/>
          <w:sz w:val="24"/>
          <w:szCs w:val="24"/>
        </w:rPr>
        <w:t>Journal of consumer research,</w:t>
      </w:r>
      <w:r w:rsidRPr="00C6293A">
        <w:rPr>
          <w:rFonts w:ascii="Cambria" w:hAnsi="Cambria"/>
          <w:sz w:val="24"/>
          <w:szCs w:val="24"/>
        </w:rPr>
        <w:t xml:space="preserve"> 17(2), 172-179.</w:t>
      </w:r>
    </w:p>
    <w:p w14:paraId="69C0806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Gonçalves, H. M., Lourenço, T. F. and Silva, G. M. (2016) ‘Green buying behavior and the theory of consumption values: A fuzzy–set approach’, Journal of Business Research. 69 (4), 1484–1491. Doi: 10.1016/j.jbusres.2015.10.129. </w:t>
      </w:r>
    </w:p>
    <w:p w14:paraId="190C1EC8" w14:textId="1FD04DF7" w:rsidR="007E4999" w:rsidRPr="00530906" w:rsidRDefault="007E4999">
      <w:pPr>
        <w:spacing w:line="360" w:lineRule="auto"/>
        <w:ind w:left="567" w:hanging="567"/>
        <w:jc w:val="both"/>
        <w:rPr>
          <w:rFonts w:ascii="Cambria" w:hAnsi="Cambria"/>
          <w:sz w:val="24"/>
          <w:szCs w:val="24"/>
        </w:rPr>
      </w:pPr>
      <w:r w:rsidRPr="00530906">
        <w:rPr>
          <w:rFonts w:ascii="Cambria" w:hAnsi="Cambria" w:cs="Arial"/>
          <w:color w:val="222222"/>
          <w:sz w:val="24"/>
          <w:szCs w:val="24"/>
          <w:shd w:val="clear" w:color="auto" w:fill="FFFFFF"/>
        </w:rPr>
        <w:t>Green, M. C., &amp; Brock, T. C. (2000). The role of transportation in the persuasiveness of public narratives. </w:t>
      </w:r>
      <w:r w:rsidRPr="00530906">
        <w:rPr>
          <w:rFonts w:ascii="Cambria" w:hAnsi="Cambria" w:cs="Arial"/>
          <w:i/>
          <w:iCs/>
          <w:color w:val="222222"/>
          <w:sz w:val="24"/>
          <w:szCs w:val="24"/>
          <w:shd w:val="clear" w:color="auto" w:fill="FFFFFF"/>
        </w:rPr>
        <w:t>Journal of personality and social psychology</w:t>
      </w:r>
      <w:r w:rsidRPr="00530906">
        <w:rPr>
          <w:rFonts w:ascii="Cambria" w:hAnsi="Cambria" w:cs="Arial"/>
          <w:color w:val="222222"/>
          <w:sz w:val="24"/>
          <w:szCs w:val="24"/>
          <w:shd w:val="clear" w:color="auto" w:fill="FFFFFF"/>
        </w:rPr>
        <w:t>, </w:t>
      </w:r>
      <w:r w:rsidRPr="00530906">
        <w:rPr>
          <w:rFonts w:ascii="Cambria" w:hAnsi="Cambria" w:cs="Arial"/>
          <w:i/>
          <w:iCs/>
          <w:color w:val="222222"/>
          <w:sz w:val="24"/>
          <w:szCs w:val="24"/>
          <w:shd w:val="clear" w:color="auto" w:fill="FFFFFF"/>
        </w:rPr>
        <w:t>79</w:t>
      </w:r>
      <w:r w:rsidRPr="00530906">
        <w:rPr>
          <w:rFonts w:ascii="Cambria" w:hAnsi="Cambria" w:cs="Arial"/>
          <w:color w:val="222222"/>
          <w:sz w:val="24"/>
          <w:szCs w:val="24"/>
          <w:shd w:val="clear" w:color="auto" w:fill="FFFFFF"/>
        </w:rPr>
        <w:t xml:space="preserve">(5), 701. Doi: </w:t>
      </w:r>
      <w:r w:rsidRPr="00530906">
        <w:rPr>
          <w:rFonts w:ascii="Cambria" w:hAnsi="Cambria"/>
          <w:color w:val="3A3A3A"/>
          <w:sz w:val="24"/>
          <w:szCs w:val="24"/>
          <w:shd w:val="clear" w:color="auto" w:fill="F3F3F3"/>
        </w:rPr>
        <w:t>10.1037/0022</w:t>
      </w:r>
      <w:r w:rsidR="004179CD" w:rsidRPr="00530906">
        <w:rPr>
          <w:rFonts w:ascii="Cambria" w:hAnsi="Cambria"/>
          <w:color w:val="3A3A3A"/>
          <w:sz w:val="24"/>
          <w:szCs w:val="24"/>
          <w:shd w:val="clear" w:color="auto" w:fill="F3F3F3"/>
        </w:rPr>
        <w:t>–</w:t>
      </w:r>
      <w:r w:rsidRPr="00530906">
        <w:rPr>
          <w:rFonts w:ascii="Cambria" w:hAnsi="Cambria"/>
          <w:color w:val="3A3A3A"/>
          <w:sz w:val="24"/>
          <w:szCs w:val="24"/>
          <w:shd w:val="clear" w:color="auto" w:fill="F3F3F3"/>
        </w:rPr>
        <w:t>3514.79.5.701</w:t>
      </w:r>
    </w:p>
    <w:p w14:paraId="0105AD2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Greenpeace International (2018) “Global survey reveals FMCG companies’ contribution to plastic pollution crisis”. Available from: </w:t>
      </w:r>
      <w:hyperlink r:id="rId146" w:history="1">
        <w:r w:rsidRPr="00530906">
          <w:rPr>
            <w:rStyle w:val="Hyperlink"/>
            <w:rFonts w:ascii="Cambria" w:hAnsi="Cambria"/>
            <w:color w:val="auto"/>
            <w:sz w:val="24"/>
            <w:szCs w:val="24"/>
          </w:rPr>
          <w:t>https://www.greenpeace.org/international/press–release/19031/global–survey–reveals–fmcg–companies–contribution–to–plastic–pollution–crisis/</w:t>
        </w:r>
      </w:hyperlink>
      <w:r w:rsidRPr="00530906">
        <w:rPr>
          <w:rFonts w:ascii="Cambria" w:hAnsi="Cambria"/>
          <w:sz w:val="24"/>
          <w:szCs w:val="24"/>
        </w:rPr>
        <w:t xml:space="preserve"> (Accessed 16</w:t>
      </w:r>
      <w:r w:rsidRPr="00530906">
        <w:rPr>
          <w:rFonts w:ascii="Cambria" w:hAnsi="Cambria"/>
          <w:sz w:val="24"/>
          <w:szCs w:val="24"/>
          <w:vertAlign w:val="superscript"/>
        </w:rPr>
        <w:t>th</w:t>
      </w:r>
      <w:r w:rsidRPr="00530906">
        <w:rPr>
          <w:rFonts w:ascii="Cambria" w:hAnsi="Cambria"/>
          <w:sz w:val="24"/>
          <w:szCs w:val="24"/>
        </w:rPr>
        <w:t xml:space="preserve"> Oct 2020) </w:t>
      </w:r>
    </w:p>
    <w:p w14:paraId="51D1A556"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Greenwald, A. G., &amp; Leavitt, C. (1984). Audience involvement in advertising: Four levels. </w:t>
      </w:r>
      <w:r w:rsidRPr="00530906">
        <w:rPr>
          <w:rFonts w:ascii="Cambria" w:hAnsi="Cambria" w:cs="Arial"/>
          <w:i/>
          <w:iCs/>
          <w:sz w:val="24"/>
          <w:szCs w:val="24"/>
          <w:shd w:val="clear" w:color="auto" w:fill="FFFFFF"/>
        </w:rPr>
        <w:t>Journal of Consumer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11</w:t>
      </w:r>
      <w:r w:rsidRPr="00530906">
        <w:rPr>
          <w:rFonts w:ascii="Cambria" w:hAnsi="Cambria" w:cs="Arial"/>
          <w:sz w:val="24"/>
          <w:szCs w:val="24"/>
          <w:shd w:val="clear" w:color="auto" w:fill="FFFFFF"/>
        </w:rPr>
        <w:t>(1), 581–592. Doi: 10.1086/208994</w:t>
      </w:r>
    </w:p>
    <w:p w14:paraId="72C0B61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Grimmer, M. and Bingham, T. (2013) Company environmental performance and consumer purchase intentions, </w:t>
      </w:r>
      <w:r w:rsidRPr="00530906">
        <w:rPr>
          <w:rFonts w:ascii="Cambria" w:hAnsi="Cambria"/>
          <w:i/>
          <w:sz w:val="24"/>
          <w:szCs w:val="24"/>
        </w:rPr>
        <w:t>Journal of Business Research</w:t>
      </w:r>
      <w:r w:rsidRPr="00530906">
        <w:rPr>
          <w:rFonts w:ascii="Cambria" w:hAnsi="Cambria"/>
          <w:sz w:val="24"/>
          <w:szCs w:val="24"/>
        </w:rPr>
        <w:t>, 66 (10) 1945–1953. doi: 10.1016/j.jbusres.2013.02.017</w:t>
      </w:r>
    </w:p>
    <w:p w14:paraId="6616CAE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Grimmer, M., Kilburn, A. P., &amp; Miles, M. P. (2016). ‘The effect of purchase situation on realized pro–environmental consumer behavior’. </w:t>
      </w:r>
      <w:r w:rsidRPr="00530906">
        <w:rPr>
          <w:rFonts w:ascii="Cambria" w:hAnsi="Cambria"/>
          <w:i/>
          <w:sz w:val="24"/>
          <w:szCs w:val="24"/>
        </w:rPr>
        <w:t>Journal of Business Research</w:t>
      </w:r>
      <w:r w:rsidRPr="00530906">
        <w:rPr>
          <w:rFonts w:ascii="Cambria" w:hAnsi="Cambria"/>
          <w:sz w:val="24"/>
          <w:szCs w:val="24"/>
        </w:rPr>
        <w:t>, 69(5), 1582–1586. Doi: 10.1016/j.jbusres.2015.10.021</w:t>
      </w:r>
    </w:p>
    <w:p w14:paraId="5C4098B8" w14:textId="13A83372"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Gunarathne, P., Rui, H. and Seidmann, A. (2017) 'Whose and What Social Media Complaints Have Happier Resolutions? Evidence from Twitter', </w:t>
      </w:r>
      <w:r w:rsidRPr="00530906">
        <w:rPr>
          <w:rFonts w:ascii="Cambria" w:hAnsi="Cambria" w:cs="Segoe UI"/>
          <w:i/>
          <w:iCs/>
          <w:sz w:val="24"/>
          <w:szCs w:val="24"/>
        </w:rPr>
        <w:t>Journal of Management Information Systems</w:t>
      </w:r>
      <w:r w:rsidRPr="00530906">
        <w:rPr>
          <w:rFonts w:ascii="Cambria" w:hAnsi="Cambria" w:cs="Segoe UI"/>
          <w:sz w:val="24"/>
          <w:szCs w:val="24"/>
        </w:rPr>
        <w:t>, 34(2), pp. 314</w:t>
      </w:r>
      <w:r w:rsidR="004179CD" w:rsidRPr="00530906">
        <w:rPr>
          <w:rFonts w:ascii="Cambria" w:hAnsi="Cambria" w:cs="Segoe UI"/>
          <w:sz w:val="24"/>
          <w:szCs w:val="24"/>
        </w:rPr>
        <w:t>–</w:t>
      </w:r>
      <w:r w:rsidRPr="00530906">
        <w:rPr>
          <w:rFonts w:ascii="Cambria" w:hAnsi="Cambria" w:cs="Segoe UI"/>
          <w:sz w:val="24"/>
          <w:szCs w:val="24"/>
        </w:rPr>
        <w:t>340. Doi: 10.1080/07421222.2017.1334465</w:t>
      </w:r>
    </w:p>
    <w:p w14:paraId="0051D94D"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sz w:val="24"/>
          <w:szCs w:val="24"/>
        </w:rPr>
        <w:t>Gupta, S., Pansari, A. and Kumar, V. (2018) 'Global Customer Engagement'</w:t>
      </w:r>
      <w:r w:rsidRPr="00530906">
        <w:rPr>
          <w:rFonts w:ascii="Cambria" w:hAnsi="Cambria"/>
          <w:i/>
          <w:sz w:val="24"/>
          <w:szCs w:val="24"/>
        </w:rPr>
        <w:t>, Journal of International Marketing</w:t>
      </w:r>
      <w:r w:rsidRPr="00530906">
        <w:rPr>
          <w:rFonts w:ascii="Cambria" w:hAnsi="Cambria"/>
          <w:sz w:val="24"/>
          <w:szCs w:val="24"/>
        </w:rPr>
        <w:t>, 26(1), pp. 4–29. doi:</w:t>
      </w:r>
      <w:r w:rsidRPr="00530906">
        <w:rPr>
          <w:rFonts w:ascii="Cambria" w:hAnsi="Cambria" w:cs="Segoe UI"/>
          <w:sz w:val="24"/>
          <w:szCs w:val="24"/>
        </w:rPr>
        <w:t>10.1509/jim.17.0091</w:t>
      </w:r>
    </w:p>
    <w:p w14:paraId="20B79459" w14:textId="3198F086" w:rsidR="007E4999" w:rsidRPr="00530906" w:rsidRDefault="00D7121F" w:rsidP="008756B1">
      <w:pPr>
        <w:spacing w:line="360" w:lineRule="auto"/>
        <w:jc w:val="both"/>
        <w:rPr>
          <w:sz w:val="24"/>
          <w:szCs w:val="24"/>
        </w:rPr>
      </w:pPr>
      <w:r w:rsidRPr="00530906">
        <w:rPr>
          <w:rFonts w:ascii="Cambria" w:hAnsi="Cambria"/>
          <w:sz w:val="24"/>
          <w:szCs w:val="24"/>
        </w:rPr>
        <w:t>theguardian.com (2021) Co</w:t>
      </w:r>
      <w:r w:rsidR="004179CD" w:rsidRPr="00530906">
        <w:rPr>
          <w:rFonts w:ascii="Cambria" w:hAnsi="Cambria"/>
          <w:sz w:val="24"/>
          <w:szCs w:val="24"/>
        </w:rPr>
        <w:t>–</w:t>
      </w:r>
      <w:r w:rsidRPr="00530906">
        <w:rPr>
          <w:rFonts w:ascii="Cambria" w:hAnsi="Cambria"/>
          <w:sz w:val="24"/>
          <w:szCs w:val="24"/>
        </w:rPr>
        <w:t xml:space="preserve">op to ditch plastic bags for life over pollution concerns. Available at </w:t>
      </w:r>
      <w:hyperlink r:id="rId147" w:history="1">
        <w:r w:rsidRPr="00530906">
          <w:rPr>
            <w:rStyle w:val="Hyperlink"/>
            <w:rFonts w:ascii="Cambria" w:hAnsi="Cambria"/>
            <w:sz w:val="24"/>
            <w:szCs w:val="24"/>
          </w:rPr>
          <w:t>https://www.theguardian.com/business/2021/apr/30/co</w:t>
        </w:r>
        <w:r w:rsidR="004179CD" w:rsidRPr="00530906">
          <w:rPr>
            <w:rStyle w:val="Hyperlink"/>
            <w:rFonts w:ascii="Cambria" w:hAnsi="Cambria"/>
            <w:sz w:val="24"/>
            <w:szCs w:val="24"/>
          </w:rPr>
          <w:t>–</w:t>
        </w:r>
        <w:r w:rsidRPr="00530906">
          <w:rPr>
            <w:rStyle w:val="Hyperlink"/>
            <w:rFonts w:ascii="Cambria" w:hAnsi="Cambria"/>
            <w:sz w:val="24"/>
            <w:szCs w:val="24"/>
          </w:rPr>
          <w:t>op</w:t>
        </w:r>
        <w:r w:rsidR="004179CD" w:rsidRPr="00530906">
          <w:rPr>
            <w:rStyle w:val="Hyperlink"/>
            <w:rFonts w:ascii="Cambria" w:hAnsi="Cambria"/>
            <w:sz w:val="24"/>
            <w:szCs w:val="24"/>
          </w:rPr>
          <w:t>–</w:t>
        </w:r>
        <w:r w:rsidRPr="00530906">
          <w:rPr>
            <w:rStyle w:val="Hyperlink"/>
            <w:rFonts w:ascii="Cambria" w:hAnsi="Cambria"/>
            <w:sz w:val="24"/>
            <w:szCs w:val="24"/>
          </w:rPr>
          <w:t>to</w:t>
        </w:r>
        <w:r w:rsidR="004179CD" w:rsidRPr="00530906">
          <w:rPr>
            <w:rStyle w:val="Hyperlink"/>
            <w:rFonts w:ascii="Cambria" w:hAnsi="Cambria"/>
            <w:sz w:val="24"/>
            <w:szCs w:val="24"/>
          </w:rPr>
          <w:t>–</w:t>
        </w:r>
        <w:r w:rsidRPr="00530906">
          <w:rPr>
            <w:rStyle w:val="Hyperlink"/>
            <w:rFonts w:ascii="Cambria" w:hAnsi="Cambria"/>
            <w:sz w:val="24"/>
            <w:szCs w:val="24"/>
          </w:rPr>
          <w:t>ditch</w:t>
        </w:r>
        <w:r w:rsidR="004179CD" w:rsidRPr="00530906">
          <w:rPr>
            <w:rStyle w:val="Hyperlink"/>
            <w:rFonts w:ascii="Cambria" w:hAnsi="Cambria"/>
            <w:sz w:val="24"/>
            <w:szCs w:val="24"/>
          </w:rPr>
          <w:t>–</w:t>
        </w:r>
        <w:r w:rsidRPr="00530906">
          <w:rPr>
            <w:rStyle w:val="Hyperlink"/>
            <w:rFonts w:ascii="Cambria" w:hAnsi="Cambria"/>
            <w:sz w:val="24"/>
            <w:szCs w:val="24"/>
          </w:rPr>
          <w:t>plastic</w:t>
        </w:r>
        <w:r w:rsidR="004179CD" w:rsidRPr="00530906">
          <w:rPr>
            <w:rStyle w:val="Hyperlink"/>
            <w:rFonts w:ascii="Cambria" w:hAnsi="Cambria"/>
            <w:sz w:val="24"/>
            <w:szCs w:val="24"/>
          </w:rPr>
          <w:t>–</w:t>
        </w:r>
        <w:r w:rsidRPr="00530906">
          <w:rPr>
            <w:rStyle w:val="Hyperlink"/>
            <w:rFonts w:ascii="Cambria" w:hAnsi="Cambria"/>
            <w:sz w:val="24"/>
            <w:szCs w:val="24"/>
          </w:rPr>
          <w:t>bags</w:t>
        </w:r>
        <w:r w:rsidR="004179CD" w:rsidRPr="00530906">
          <w:rPr>
            <w:rStyle w:val="Hyperlink"/>
            <w:rFonts w:ascii="Cambria" w:hAnsi="Cambria"/>
            <w:sz w:val="24"/>
            <w:szCs w:val="24"/>
          </w:rPr>
          <w:t>–</w:t>
        </w:r>
        <w:r w:rsidRPr="00530906">
          <w:rPr>
            <w:rStyle w:val="Hyperlink"/>
            <w:rFonts w:ascii="Cambria" w:hAnsi="Cambria"/>
            <w:sz w:val="24"/>
            <w:szCs w:val="24"/>
          </w:rPr>
          <w:t>for</w:t>
        </w:r>
        <w:r w:rsidR="004179CD" w:rsidRPr="00530906">
          <w:rPr>
            <w:rStyle w:val="Hyperlink"/>
            <w:rFonts w:ascii="Cambria" w:hAnsi="Cambria"/>
            <w:sz w:val="24"/>
            <w:szCs w:val="24"/>
          </w:rPr>
          <w:t>–</w:t>
        </w:r>
        <w:r w:rsidRPr="00530906">
          <w:rPr>
            <w:rStyle w:val="Hyperlink"/>
            <w:rFonts w:ascii="Cambria" w:hAnsi="Cambria"/>
            <w:sz w:val="24"/>
            <w:szCs w:val="24"/>
          </w:rPr>
          <w:t>life</w:t>
        </w:r>
        <w:r w:rsidR="004179CD" w:rsidRPr="00530906">
          <w:rPr>
            <w:rStyle w:val="Hyperlink"/>
            <w:rFonts w:ascii="Cambria" w:hAnsi="Cambria"/>
            <w:sz w:val="24"/>
            <w:szCs w:val="24"/>
          </w:rPr>
          <w:t>–</w:t>
        </w:r>
        <w:r w:rsidRPr="00530906">
          <w:rPr>
            <w:rStyle w:val="Hyperlink"/>
            <w:rFonts w:ascii="Cambria" w:hAnsi="Cambria"/>
            <w:sz w:val="24"/>
            <w:szCs w:val="24"/>
          </w:rPr>
          <w:t>over</w:t>
        </w:r>
        <w:r w:rsidR="004179CD" w:rsidRPr="00530906">
          <w:rPr>
            <w:rStyle w:val="Hyperlink"/>
            <w:rFonts w:ascii="Cambria" w:hAnsi="Cambria"/>
            <w:sz w:val="24"/>
            <w:szCs w:val="24"/>
          </w:rPr>
          <w:t>–</w:t>
        </w:r>
        <w:r w:rsidRPr="00530906">
          <w:rPr>
            <w:rStyle w:val="Hyperlink"/>
            <w:rFonts w:ascii="Cambria" w:hAnsi="Cambria"/>
            <w:sz w:val="24"/>
            <w:szCs w:val="24"/>
          </w:rPr>
          <w:t>pollution</w:t>
        </w:r>
        <w:r w:rsidR="004179CD" w:rsidRPr="00530906">
          <w:rPr>
            <w:rStyle w:val="Hyperlink"/>
            <w:rFonts w:ascii="Cambria" w:hAnsi="Cambria"/>
            <w:sz w:val="24"/>
            <w:szCs w:val="24"/>
          </w:rPr>
          <w:t>–</w:t>
        </w:r>
        <w:r w:rsidRPr="00530906">
          <w:rPr>
            <w:rStyle w:val="Hyperlink"/>
            <w:rFonts w:ascii="Cambria" w:hAnsi="Cambria"/>
            <w:sz w:val="24"/>
            <w:szCs w:val="24"/>
          </w:rPr>
          <w:t>concerns</w:t>
        </w:r>
      </w:hyperlink>
      <w:r w:rsidRPr="00530906">
        <w:rPr>
          <w:rFonts w:ascii="Cambria" w:hAnsi="Cambria"/>
          <w:sz w:val="24"/>
          <w:szCs w:val="24"/>
        </w:rPr>
        <w:t xml:space="preserve"> (Accessed on 9th May 2021)</w:t>
      </w:r>
    </w:p>
    <w:p w14:paraId="3DC2EBE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Habibi, M. R., Larochea, M., and Richard, M. O. (2014) ‘Brand communities based in social media: How unique are they? Evidence from two exemplary brand communities’, </w:t>
      </w:r>
      <w:r w:rsidRPr="00530906">
        <w:rPr>
          <w:rFonts w:ascii="Cambria" w:hAnsi="Cambria"/>
          <w:i/>
          <w:sz w:val="24"/>
          <w:szCs w:val="24"/>
        </w:rPr>
        <w:t xml:space="preserve">International Journal of Information Management, </w:t>
      </w:r>
      <w:r w:rsidRPr="00530906">
        <w:rPr>
          <w:rFonts w:ascii="Cambria" w:hAnsi="Cambria"/>
          <w:sz w:val="24"/>
          <w:szCs w:val="24"/>
        </w:rPr>
        <w:t>34(2), pp. 123–132.  doi: 10.1016/j.ijinfomgt.2013.11.010.</w:t>
      </w:r>
    </w:p>
    <w:p w14:paraId="79E1DBE1" w14:textId="03584C91"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Hamilton, R.</w:t>
      </w:r>
      <w:r w:rsidR="003B1272" w:rsidRPr="00530906">
        <w:rPr>
          <w:rFonts w:ascii="Cambria" w:hAnsi="Cambria" w:cs="Segoe UI"/>
          <w:sz w:val="24"/>
          <w:szCs w:val="24"/>
        </w:rPr>
        <w:t xml:space="preserve"> </w:t>
      </w:r>
      <w:r w:rsidRPr="00530906">
        <w:rPr>
          <w:rFonts w:ascii="Cambria" w:hAnsi="Cambria" w:cs="Segoe UI"/>
          <w:sz w:val="24"/>
          <w:szCs w:val="24"/>
        </w:rPr>
        <w:t>W., Schlosser, A.</w:t>
      </w:r>
      <w:r w:rsidR="003B1272" w:rsidRPr="00530906">
        <w:rPr>
          <w:rFonts w:ascii="Cambria" w:hAnsi="Cambria" w:cs="Segoe UI"/>
          <w:sz w:val="24"/>
          <w:szCs w:val="24"/>
        </w:rPr>
        <w:t xml:space="preserve"> </w:t>
      </w:r>
      <w:r w:rsidRPr="00530906">
        <w:rPr>
          <w:rFonts w:ascii="Cambria" w:hAnsi="Cambria" w:cs="Segoe UI"/>
          <w:sz w:val="24"/>
          <w:szCs w:val="24"/>
        </w:rPr>
        <w:t>N.</w:t>
      </w:r>
      <w:r w:rsidR="003B1272" w:rsidRPr="00530906">
        <w:rPr>
          <w:rFonts w:ascii="Cambria" w:hAnsi="Cambria" w:cs="Segoe UI"/>
          <w:sz w:val="24"/>
          <w:szCs w:val="24"/>
        </w:rPr>
        <w:t xml:space="preserve"> </w:t>
      </w:r>
      <w:r w:rsidRPr="00530906">
        <w:rPr>
          <w:rFonts w:ascii="Cambria" w:hAnsi="Cambria" w:cs="Segoe UI"/>
          <w:sz w:val="24"/>
          <w:szCs w:val="24"/>
        </w:rPr>
        <w:t>N. and Yu</w:t>
      </w:r>
      <w:r w:rsidR="004179CD" w:rsidRPr="00530906">
        <w:rPr>
          <w:rFonts w:ascii="Cambria" w:hAnsi="Cambria" w:cs="Segoe UI"/>
          <w:sz w:val="24"/>
          <w:szCs w:val="24"/>
        </w:rPr>
        <w:t>–</w:t>
      </w:r>
      <w:r w:rsidRPr="00530906">
        <w:rPr>
          <w:rFonts w:ascii="Cambria" w:hAnsi="Cambria" w:cs="Segoe UI"/>
          <w:sz w:val="24"/>
          <w:szCs w:val="24"/>
        </w:rPr>
        <w:t xml:space="preserve">Jen, C. (2017) 'Who's Driving This Conversation? Systematic Biases in the Content of Online Consumer Discussions', </w:t>
      </w:r>
      <w:r w:rsidRPr="00530906">
        <w:rPr>
          <w:rFonts w:ascii="Cambria" w:hAnsi="Cambria" w:cs="Segoe UI"/>
          <w:i/>
          <w:iCs/>
          <w:sz w:val="24"/>
          <w:szCs w:val="24"/>
        </w:rPr>
        <w:t>Journal of Marketing Research (JMR)</w:t>
      </w:r>
      <w:r w:rsidRPr="00530906">
        <w:rPr>
          <w:rFonts w:ascii="Cambria" w:hAnsi="Cambria" w:cs="Segoe UI"/>
          <w:sz w:val="24"/>
          <w:szCs w:val="24"/>
        </w:rPr>
        <w:t>, 54(4), pp. 540</w:t>
      </w:r>
      <w:r w:rsidR="004179CD" w:rsidRPr="00530906">
        <w:rPr>
          <w:rFonts w:ascii="Cambria" w:hAnsi="Cambria" w:cs="Segoe UI"/>
          <w:sz w:val="24"/>
          <w:szCs w:val="24"/>
        </w:rPr>
        <w:t>–</w:t>
      </w:r>
      <w:r w:rsidRPr="00530906">
        <w:rPr>
          <w:rFonts w:ascii="Cambria" w:hAnsi="Cambria" w:cs="Segoe UI"/>
          <w:sz w:val="24"/>
          <w:szCs w:val="24"/>
        </w:rPr>
        <w:t>555. Doi: 10.1509/jmr.14.0012</w:t>
      </w:r>
    </w:p>
    <w:p w14:paraId="68BD3F7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Han, J., Seo, Y. and Ko, E. (2017) ‘Staging luxury experiences for understanding sustainable fashion consumption: A balance theory application’, Journal of Business Research. 74. Pp:162–167. Doi: 10.1016/j.jbusres.2016.10.029.</w:t>
      </w:r>
    </w:p>
    <w:p w14:paraId="3F37EA3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Han, N. R., Baek, T. H., Yoon, S., &amp; Kim, Y. (2019). Is that coffee mug smiling at me? How anthropomorphism impacts the effectiveness of desirability vs. feasibility appeals in Sustainability–advertising. </w:t>
      </w:r>
      <w:r w:rsidRPr="00530906">
        <w:rPr>
          <w:rFonts w:ascii="Cambria" w:hAnsi="Cambria" w:cs="Arial"/>
          <w:i/>
          <w:iCs/>
          <w:sz w:val="24"/>
          <w:szCs w:val="24"/>
          <w:shd w:val="clear" w:color="auto" w:fill="FFFFFF"/>
        </w:rPr>
        <w:t>Journal of Retailing and Consumer Services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51</w:t>
      </w:r>
      <w:r w:rsidRPr="00530906">
        <w:rPr>
          <w:rFonts w:ascii="Cambria" w:hAnsi="Cambria" w:cs="Arial"/>
          <w:sz w:val="24"/>
          <w:szCs w:val="24"/>
          <w:shd w:val="clear" w:color="auto" w:fill="FFFFFF"/>
        </w:rPr>
        <w:t>, 352–361.</w:t>
      </w:r>
    </w:p>
    <w:p w14:paraId="2A65FBEC" w14:textId="02ECB536" w:rsidR="007E4999"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Hair, J. F., Black, W. C., Babin, B. J., and Anderson, R. E. (2009). Multivariate Data Analysis 7th Edition Pearson Prentice Hall.</w:t>
      </w:r>
    </w:p>
    <w:p w14:paraId="4DF08101" w14:textId="64F549CD" w:rsidR="009072AC" w:rsidRPr="00530906" w:rsidRDefault="009072AC">
      <w:pPr>
        <w:spacing w:line="360" w:lineRule="auto"/>
        <w:ind w:left="567" w:hanging="567"/>
        <w:jc w:val="both"/>
        <w:rPr>
          <w:rFonts w:ascii="Cambria" w:hAnsi="Cambria" w:cs="Arial"/>
          <w:sz w:val="24"/>
          <w:szCs w:val="24"/>
          <w:shd w:val="clear" w:color="auto" w:fill="FFFFFF"/>
        </w:rPr>
      </w:pPr>
      <w:r w:rsidRPr="009072AC">
        <w:rPr>
          <w:rFonts w:ascii="Cambria" w:hAnsi="Cambria" w:cs="Arial"/>
          <w:sz w:val="24"/>
          <w:szCs w:val="24"/>
          <w:shd w:val="clear" w:color="auto" w:fill="FFFFFF"/>
        </w:rPr>
        <w:t>Hair Jr, J. F., Hult, G. T. M., Ringle, C. M., &amp; Sarstedt, M. (2021). A primer on partial least squares structural equation modeling (PLS-SEM).</w:t>
      </w:r>
      <w:r>
        <w:rPr>
          <w:rFonts w:ascii="Cambria" w:hAnsi="Cambria" w:cs="Arial"/>
          <w:sz w:val="24"/>
          <w:szCs w:val="24"/>
          <w:shd w:val="clear" w:color="auto" w:fill="FFFFFF"/>
        </w:rPr>
        <w:t xml:space="preserve"> 2nd edition</w:t>
      </w:r>
      <w:r w:rsidRPr="009072AC">
        <w:rPr>
          <w:rFonts w:ascii="Cambria" w:hAnsi="Cambria" w:cs="Arial"/>
          <w:sz w:val="24"/>
          <w:szCs w:val="24"/>
          <w:shd w:val="clear" w:color="auto" w:fill="FFFFFF"/>
        </w:rPr>
        <w:t xml:space="preserve"> Sage publications.</w:t>
      </w:r>
    </w:p>
    <w:p w14:paraId="257E5FC2" w14:textId="179788FF"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Harmeling, C.</w:t>
      </w:r>
      <w:r w:rsidR="003B1272" w:rsidRPr="00530906">
        <w:rPr>
          <w:rFonts w:ascii="Cambria" w:hAnsi="Cambria" w:cs="Segoe UI"/>
          <w:sz w:val="24"/>
          <w:szCs w:val="24"/>
        </w:rPr>
        <w:t xml:space="preserve"> </w:t>
      </w:r>
      <w:r w:rsidRPr="00530906">
        <w:rPr>
          <w:rFonts w:ascii="Cambria" w:hAnsi="Cambria" w:cs="Segoe UI"/>
          <w:sz w:val="24"/>
          <w:szCs w:val="24"/>
        </w:rPr>
        <w:t>M., Palmatier, R.</w:t>
      </w:r>
      <w:r w:rsidR="003B1272" w:rsidRPr="00530906">
        <w:rPr>
          <w:rFonts w:ascii="Cambria" w:hAnsi="Cambria" w:cs="Segoe UI"/>
          <w:sz w:val="24"/>
          <w:szCs w:val="24"/>
        </w:rPr>
        <w:t xml:space="preserve"> </w:t>
      </w:r>
      <w:r w:rsidRPr="00530906">
        <w:rPr>
          <w:rFonts w:ascii="Cambria" w:hAnsi="Cambria" w:cs="Segoe UI"/>
          <w:sz w:val="24"/>
          <w:szCs w:val="24"/>
        </w:rPr>
        <w:t xml:space="preserve">W., Fang, E. and Wang, D. (2017) 'Group Marketing: Theory, Mechanisms, and Dynamics', </w:t>
      </w:r>
      <w:r w:rsidRPr="00530906">
        <w:rPr>
          <w:rFonts w:ascii="Cambria" w:hAnsi="Cambria" w:cs="Segoe UI"/>
          <w:i/>
          <w:iCs/>
          <w:sz w:val="24"/>
          <w:szCs w:val="24"/>
        </w:rPr>
        <w:t>Journal of Marketing</w:t>
      </w:r>
      <w:r w:rsidRPr="00530906">
        <w:rPr>
          <w:rFonts w:ascii="Cambria" w:hAnsi="Cambria" w:cs="Segoe UI"/>
          <w:sz w:val="24"/>
          <w:szCs w:val="24"/>
        </w:rPr>
        <w:t>, 81(4), pp. 1</w:t>
      </w:r>
      <w:r w:rsidR="004179CD" w:rsidRPr="00530906">
        <w:rPr>
          <w:rFonts w:ascii="Cambria" w:hAnsi="Cambria" w:cs="Segoe UI"/>
          <w:sz w:val="24"/>
          <w:szCs w:val="24"/>
        </w:rPr>
        <w:t>–</w:t>
      </w:r>
      <w:r w:rsidRPr="00530906">
        <w:rPr>
          <w:rFonts w:ascii="Cambria" w:hAnsi="Cambria" w:cs="Segoe UI"/>
          <w:sz w:val="24"/>
          <w:szCs w:val="24"/>
        </w:rPr>
        <w:t>24. Doi: 10.1509/jm.15.0495</w:t>
      </w:r>
    </w:p>
    <w:p w14:paraId="7C2C52D7" w14:textId="4ED8F81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Harvey, C. G., Stewart, D. B., &amp; Ewing, M. T. (2011). Forward or delete: What drives peer–to–peer message propagation across social networks? Journal of Consumer Behaviour, 10(6), 365–372. doi:10.1002/cb.383</w:t>
      </w:r>
    </w:p>
    <w:p w14:paraId="74B188A7" w14:textId="36C88A1F" w:rsidR="00D76853" w:rsidRPr="00530906" w:rsidRDefault="00D76853">
      <w:pPr>
        <w:spacing w:line="360" w:lineRule="auto"/>
        <w:ind w:left="567" w:hanging="567"/>
        <w:jc w:val="both"/>
        <w:rPr>
          <w:rFonts w:ascii="Cambria" w:hAnsi="Cambria"/>
          <w:sz w:val="24"/>
          <w:szCs w:val="24"/>
        </w:rPr>
      </w:pPr>
      <w:r w:rsidRPr="00530906">
        <w:rPr>
          <w:rFonts w:ascii="Cambria" w:hAnsi="Cambria"/>
          <w:sz w:val="24"/>
          <w:szCs w:val="24"/>
        </w:rPr>
        <w:t>Hassan, S.M., Rahman, Z. and Paul, J. (2021) 'Consumer ethics: A review and research agenda', Psychology &amp; Marketing. Doi: 10.1002/mar.21580</w:t>
      </w:r>
    </w:p>
    <w:p w14:paraId="4B72F93E" w14:textId="4A2E64B9"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Havlena, W.</w:t>
      </w:r>
      <w:r w:rsidR="003B1272" w:rsidRPr="00530906">
        <w:rPr>
          <w:rFonts w:ascii="Cambria" w:hAnsi="Cambria"/>
          <w:sz w:val="24"/>
          <w:szCs w:val="24"/>
        </w:rPr>
        <w:t xml:space="preserve"> </w:t>
      </w:r>
      <w:r w:rsidRPr="00530906">
        <w:rPr>
          <w:rFonts w:ascii="Cambria" w:hAnsi="Cambria"/>
          <w:sz w:val="24"/>
          <w:szCs w:val="24"/>
        </w:rPr>
        <w:t>J., Holbrook, M.</w:t>
      </w:r>
      <w:r w:rsidR="003B1272" w:rsidRPr="00530906">
        <w:rPr>
          <w:rFonts w:ascii="Cambria" w:hAnsi="Cambria"/>
          <w:sz w:val="24"/>
          <w:szCs w:val="24"/>
        </w:rPr>
        <w:t xml:space="preserve"> </w:t>
      </w:r>
      <w:r w:rsidRPr="00530906">
        <w:rPr>
          <w:rFonts w:ascii="Cambria" w:hAnsi="Cambria"/>
          <w:sz w:val="24"/>
          <w:szCs w:val="24"/>
        </w:rPr>
        <w:t>B. and Lehmann, D.</w:t>
      </w:r>
      <w:r w:rsidR="003B1272" w:rsidRPr="00530906">
        <w:rPr>
          <w:rFonts w:ascii="Cambria" w:hAnsi="Cambria"/>
          <w:sz w:val="24"/>
          <w:szCs w:val="24"/>
        </w:rPr>
        <w:t xml:space="preserve"> </w:t>
      </w:r>
      <w:r w:rsidRPr="00530906">
        <w:rPr>
          <w:rFonts w:ascii="Cambria" w:hAnsi="Cambria"/>
          <w:sz w:val="24"/>
          <w:szCs w:val="24"/>
        </w:rPr>
        <w:t>R., (1989). Assessing the validity of emotional typologies. Psychology &amp; Marketing, 6(2), pp.97–112. Doi: 10.1002/mar.4220060203</w:t>
      </w:r>
    </w:p>
    <w:p w14:paraId="208462E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Heath, Y., &amp; Gifford, R. (2002). Extending the theory of planned behavior: Predicting the use of public transportation. </w:t>
      </w:r>
      <w:r w:rsidRPr="00530906">
        <w:rPr>
          <w:rFonts w:ascii="Cambria" w:hAnsi="Cambria"/>
          <w:i/>
          <w:sz w:val="24"/>
          <w:szCs w:val="24"/>
        </w:rPr>
        <w:t>Journal of Applied Social Psychology</w:t>
      </w:r>
      <w:r w:rsidRPr="00530906">
        <w:rPr>
          <w:rFonts w:ascii="Cambria" w:hAnsi="Cambria"/>
          <w:sz w:val="24"/>
          <w:szCs w:val="24"/>
        </w:rPr>
        <w:t>, 32(10), 2154–2189. Doi: 10.1111/j.1559–1816.2002.tb02068.x</w:t>
      </w:r>
    </w:p>
    <w:p w14:paraId="3D19CEF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Hennig–Thurau, T., Gwinner, K. P., Walsh, G. and Gremler, D. D. (2004) ‘Electronic word–of–mouth via consumer opinion platforms: what motivated consumers to articulate themselves on the internet?’, </w:t>
      </w:r>
      <w:r w:rsidRPr="00530906">
        <w:rPr>
          <w:rFonts w:ascii="Cambria" w:hAnsi="Cambria"/>
          <w:i/>
          <w:sz w:val="24"/>
          <w:szCs w:val="24"/>
        </w:rPr>
        <w:t>Journal of Interactive Marketing</w:t>
      </w:r>
      <w:r w:rsidRPr="00530906">
        <w:rPr>
          <w:rFonts w:ascii="Cambria" w:hAnsi="Cambria"/>
          <w:sz w:val="24"/>
          <w:szCs w:val="24"/>
        </w:rPr>
        <w:t xml:space="preserve">, 18(1), pp. 38–52. doi:IO.IOO2/dir.lOO73. </w:t>
      </w:r>
    </w:p>
    <w:p w14:paraId="22252B3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Herédia–Colaço, V., &amp; do Vale, R. C. (2018). Seize the day or save the world? The importance of ethical claims and product nature congruity.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152</w:t>
      </w:r>
      <w:r w:rsidRPr="00530906">
        <w:rPr>
          <w:rFonts w:ascii="Cambria" w:hAnsi="Cambria" w:cs="Arial"/>
          <w:sz w:val="24"/>
          <w:szCs w:val="24"/>
          <w:shd w:val="clear" w:color="auto" w:fill="FFFFFF"/>
        </w:rPr>
        <w:t>(3), 783–801. Doi:</w:t>
      </w:r>
      <w:r w:rsidRPr="00530906">
        <w:rPr>
          <w:rFonts w:ascii="Cambria" w:hAnsi="Cambria" w:cs="AdvPTimes"/>
          <w:sz w:val="24"/>
          <w:szCs w:val="24"/>
        </w:rPr>
        <w:t>10.1007/s10551–016–3342–0</w:t>
      </w:r>
    </w:p>
    <w:p w14:paraId="06F7251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Hindess, B. (1977) </w:t>
      </w:r>
      <w:r w:rsidRPr="00530906">
        <w:rPr>
          <w:rFonts w:ascii="Cambria" w:hAnsi="Cambria"/>
          <w:i/>
          <w:sz w:val="24"/>
          <w:szCs w:val="24"/>
        </w:rPr>
        <w:t>Philosophy and methodology in social sciences</w:t>
      </w:r>
      <w:r w:rsidRPr="00530906">
        <w:rPr>
          <w:rFonts w:ascii="Cambria" w:hAnsi="Cambria"/>
          <w:sz w:val="24"/>
          <w:szCs w:val="24"/>
        </w:rPr>
        <w:t xml:space="preserve">. Great Britain: The harvester press. </w:t>
      </w:r>
    </w:p>
    <w:p w14:paraId="52568380" w14:textId="70DAEDD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Hirschman, E.</w:t>
      </w:r>
      <w:r w:rsidR="003B1272" w:rsidRPr="00530906">
        <w:rPr>
          <w:rFonts w:ascii="Cambria" w:hAnsi="Cambria"/>
          <w:sz w:val="24"/>
          <w:szCs w:val="24"/>
        </w:rPr>
        <w:t xml:space="preserve"> </w:t>
      </w:r>
      <w:r w:rsidRPr="00530906">
        <w:rPr>
          <w:rFonts w:ascii="Cambria" w:hAnsi="Cambria"/>
          <w:sz w:val="24"/>
          <w:szCs w:val="24"/>
        </w:rPr>
        <w:t xml:space="preserve">C. (1983) ‘Predictors of self–projection, fantasy fulfillment, and escapism’. </w:t>
      </w:r>
      <w:r w:rsidRPr="00530906">
        <w:rPr>
          <w:rFonts w:ascii="Cambria" w:hAnsi="Cambria"/>
          <w:i/>
          <w:sz w:val="24"/>
          <w:szCs w:val="24"/>
        </w:rPr>
        <w:t>The Journal of Social Psychology</w:t>
      </w:r>
      <w:r w:rsidRPr="00530906">
        <w:rPr>
          <w:rFonts w:ascii="Cambria" w:hAnsi="Cambria"/>
          <w:sz w:val="24"/>
          <w:szCs w:val="24"/>
        </w:rPr>
        <w:t>, 120(1), pp.63–76, doi: 10.1080/00224545.1983.9712011</w:t>
      </w:r>
    </w:p>
    <w:p w14:paraId="5BFF9C6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Hirsh, J. B. and Dolderman, D. (2007) ‘Personality predictors of Consumerism and Environmentalism: A preliminary study’, </w:t>
      </w:r>
      <w:r w:rsidRPr="00530906">
        <w:rPr>
          <w:rFonts w:ascii="Cambria" w:hAnsi="Cambria"/>
          <w:i/>
          <w:sz w:val="24"/>
          <w:szCs w:val="24"/>
        </w:rPr>
        <w:t>Personality and Individual Differences</w:t>
      </w:r>
      <w:r w:rsidRPr="00530906">
        <w:rPr>
          <w:rFonts w:ascii="Cambria" w:hAnsi="Cambria"/>
          <w:sz w:val="24"/>
          <w:szCs w:val="24"/>
        </w:rPr>
        <w:t>. 43 (2007) 1583–1593. doi:10.1016/j.paid.2007.04.015</w:t>
      </w:r>
    </w:p>
    <w:p w14:paraId="7820835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Hoffman, D. L. and Novak, T. P. (1996) ‘Marketing in hypermedia computer–mediated environments: Conceptual foundations’, </w:t>
      </w:r>
      <w:r w:rsidRPr="00530906">
        <w:rPr>
          <w:rFonts w:ascii="Cambria" w:hAnsi="Cambria"/>
          <w:i/>
          <w:sz w:val="24"/>
          <w:szCs w:val="24"/>
        </w:rPr>
        <w:t>Journal of Marketing</w:t>
      </w:r>
      <w:r w:rsidRPr="00530906">
        <w:rPr>
          <w:rFonts w:ascii="Cambria" w:hAnsi="Cambria"/>
          <w:sz w:val="24"/>
          <w:szCs w:val="24"/>
        </w:rPr>
        <w:t xml:space="preserve">, 60 (3), pp. 50–68.  Available from: </w:t>
      </w:r>
      <w:hyperlink r:id="rId148" w:history="1">
        <w:r w:rsidRPr="00530906">
          <w:rPr>
            <w:rStyle w:val="Hyperlink"/>
            <w:rFonts w:ascii="Cambria" w:hAnsi="Cambria"/>
            <w:color w:val="auto"/>
            <w:sz w:val="24"/>
            <w:szCs w:val="24"/>
          </w:rPr>
          <w:t>http://web.b.ebscohost.com/ehost/pdfviewer/pdfviewer?vid=4&amp;sid=b2b31452–0c7e–4ea9–8655–49a0fd63ba28%40pdc–v–sessmgr01</w:t>
        </w:r>
      </w:hyperlink>
      <w:r w:rsidRPr="00530906">
        <w:rPr>
          <w:rFonts w:ascii="Cambria" w:hAnsi="Cambria"/>
          <w:sz w:val="24"/>
          <w:szCs w:val="24"/>
        </w:rPr>
        <w:t xml:space="preserve"> (Accessed 27</w:t>
      </w:r>
      <w:r w:rsidRPr="00530906">
        <w:rPr>
          <w:rFonts w:ascii="Cambria" w:hAnsi="Cambria"/>
          <w:sz w:val="24"/>
          <w:szCs w:val="24"/>
          <w:vertAlign w:val="superscript"/>
        </w:rPr>
        <w:t>th</w:t>
      </w:r>
      <w:r w:rsidRPr="00530906">
        <w:rPr>
          <w:rFonts w:ascii="Cambria" w:hAnsi="Cambria"/>
          <w:sz w:val="24"/>
          <w:szCs w:val="24"/>
        </w:rPr>
        <w:t xml:space="preserve"> November 2017)</w:t>
      </w:r>
    </w:p>
    <w:p w14:paraId="125AC173" w14:textId="19E41D44"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Holbrook, M.</w:t>
      </w:r>
      <w:r w:rsidR="003B1272" w:rsidRPr="00530906">
        <w:rPr>
          <w:rFonts w:ascii="Cambria" w:hAnsi="Cambria"/>
          <w:sz w:val="24"/>
          <w:szCs w:val="24"/>
        </w:rPr>
        <w:t xml:space="preserve"> </w:t>
      </w:r>
      <w:r w:rsidRPr="00530906">
        <w:rPr>
          <w:rFonts w:ascii="Cambria" w:hAnsi="Cambria"/>
          <w:sz w:val="24"/>
          <w:szCs w:val="24"/>
        </w:rPr>
        <w:t xml:space="preserve">B. and Batra, R., (1987). Assessing the role of emotions as mediators of consumer responses to advertising. </w:t>
      </w:r>
      <w:r w:rsidRPr="00530906">
        <w:rPr>
          <w:rFonts w:ascii="Cambria" w:hAnsi="Cambria"/>
          <w:i/>
          <w:sz w:val="24"/>
          <w:szCs w:val="24"/>
        </w:rPr>
        <w:t>Journal of consumer research</w:t>
      </w:r>
      <w:r w:rsidRPr="00530906">
        <w:rPr>
          <w:rFonts w:ascii="Cambria" w:hAnsi="Cambria"/>
          <w:sz w:val="24"/>
          <w:szCs w:val="24"/>
        </w:rPr>
        <w:t>, 14(3), pp.404–420. Doi: 10.1086/209123.</w:t>
      </w:r>
    </w:p>
    <w:p w14:paraId="3EBC188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Hollebeek, L. D. (2011) ‘Demystifying customer brand engagement: Exploring the loyalty nexus’, </w:t>
      </w:r>
      <w:r w:rsidRPr="00530906">
        <w:rPr>
          <w:rFonts w:ascii="Cambria" w:hAnsi="Cambria"/>
          <w:i/>
          <w:sz w:val="24"/>
          <w:szCs w:val="24"/>
        </w:rPr>
        <w:t>Journal of Marketing Management</w:t>
      </w:r>
      <w:r w:rsidRPr="00530906">
        <w:rPr>
          <w:rFonts w:ascii="Cambria" w:hAnsi="Cambria"/>
          <w:sz w:val="24"/>
          <w:szCs w:val="24"/>
        </w:rPr>
        <w:t>, 27(7–8), pp. 785–807. doi: 10.1080/0267257X.2010.500132.</w:t>
      </w:r>
    </w:p>
    <w:p w14:paraId="51065613" w14:textId="39FC8128"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Hollebeek, L.</w:t>
      </w:r>
      <w:r w:rsidR="003B1272" w:rsidRPr="00530906">
        <w:rPr>
          <w:rFonts w:ascii="Cambria" w:hAnsi="Cambria"/>
          <w:sz w:val="24"/>
          <w:szCs w:val="24"/>
        </w:rPr>
        <w:t xml:space="preserve"> </w:t>
      </w:r>
      <w:r w:rsidRPr="00530906">
        <w:rPr>
          <w:rFonts w:ascii="Cambria" w:hAnsi="Cambria"/>
          <w:sz w:val="24"/>
          <w:szCs w:val="24"/>
        </w:rPr>
        <w:t xml:space="preserve">D. (2018) "Individual–level cultural consumer engagement styles: Conceptualization, propositions and implications", </w:t>
      </w:r>
      <w:r w:rsidRPr="00530906">
        <w:rPr>
          <w:rFonts w:ascii="Cambria" w:hAnsi="Cambria"/>
          <w:i/>
          <w:sz w:val="24"/>
          <w:szCs w:val="24"/>
        </w:rPr>
        <w:t>International Marketing Review</w:t>
      </w:r>
      <w:r w:rsidRPr="00530906">
        <w:rPr>
          <w:rFonts w:ascii="Cambria" w:hAnsi="Cambria"/>
          <w:sz w:val="24"/>
          <w:szCs w:val="24"/>
        </w:rPr>
        <w:t>, 35(1), pp. 42–71, doi:10.1108/IMR–07–2016–0140</w:t>
      </w:r>
    </w:p>
    <w:p w14:paraId="7B20FEF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Hollebeek, L. D. and Chen, T. (2014) "Exploring positively– versus negatively–valenced brand engagement: a conceptual model", </w:t>
      </w:r>
      <w:r w:rsidRPr="00530906">
        <w:rPr>
          <w:rFonts w:ascii="Cambria" w:hAnsi="Cambria"/>
          <w:i/>
          <w:sz w:val="24"/>
          <w:szCs w:val="24"/>
        </w:rPr>
        <w:t>Journal of Product and Brand Management</w:t>
      </w:r>
      <w:r w:rsidRPr="00530906">
        <w:rPr>
          <w:rFonts w:ascii="Cambria" w:hAnsi="Cambria"/>
          <w:sz w:val="24"/>
          <w:szCs w:val="24"/>
        </w:rPr>
        <w:t xml:space="preserve">, 23(1), pp. 62–74, </w:t>
      </w:r>
      <w:hyperlink r:id="rId149" w:history="1">
        <w:r w:rsidRPr="00530906">
          <w:rPr>
            <w:rStyle w:val="Hyperlink"/>
            <w:rFonts w:ascii="Cambria" w:hAnsi="Cambria"/>
            <w:color w:val="auto"/>
            <w:sz w:val="24"/>
            <w:szCs w:val="24"/>
          </w:rPr>
          <w:t>doi</w:t>
        </w:r>
      </w:hyperlink>
      <w:r w:rsidRPr="00530906">
        <w:rPr>
          <w:rFonts w:ascii="Cambria" w:hAnsi="Cambria"/>
          <w:sz w:val="24"/>
          <w:szCs w:val="24"/>
        </w:rPr>
        <w:t>: 10.1108/JPBM–06–2013–0332</w:t>
      </w:r>
    </w:p>
    <w:p w14:paraId="3BE2A22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Hollebeek, L. D., Glynn, M. S. and Brodie, R. J. (2014) ‘Consumer brand engagement in social media: conceptualization, scale development and validation’, </w:t>
      </w:r>
      <w:r w:rsidRPr="00530906">
        <w:rPr>
          <w:rFonts w:ascii="Cambria" w:hAnsi="Cambria"/>
          <w:i/>
          <w:sz w:val="24"/>
          <w:szCs w:val="24"/>
        </w:rPr>
        <w:t>Journal of Interactive Marketing</w:t>
      </w:r>
      <w:r w:rsidRPr="00530906">
        <w:rPr>
          <w:rFonts w:ascii="Cambria" w:hAnsi="Cambria"/>
          <w:sz w:val="24"/>
          <w:szCs w:val="24"/>
        </w:rPr>
        <w:t>, 28(2), pp. 149–165. doi: 10.1016/j.intmar.2013.12.002.</w:t>
      </w:r>
    </w:p>
    <w:p w14:paraId="00726F49" w14:textId="5CBF150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Hollebeek, L. D., Srivastava, R. K. and Chen, T. (2016) ‘S–D logic–informed customer engagement: integrative framework, revised fundamental propositions, and application to CRM’, </w:t>
      </w:r>
      <w:r w:rsidRPr="00530906">
        <w:rPr>
          <w:rFonts w:ascii="Cambria" w:hAnsi="Cambria"/>
          <w:i/>
          <w:sz w:val="24"/>
          <w:szCs w:val="24"/>
        </w:rPr>
        <w:t>Journal Academy of Marketing Science</w:t>
      </w:r>
      <w:r w:rsidRPr="00530906">
        <w:rPr>
          <w:rFonts w:ascii="Cambria" w:hAnsi="Cambria"/>
          <w:sz w:val="24"/>
          <w:szCs w:val="24"/>
        </w:rPr>
        <w:t>, pp. 1–25. doi: 10.1007/s11747–016–0494–5.</w:t>
      </w:r>
    </w:p>
    <w:p w14:paraId="299772E3" w14:textId="1A6FA9F4" w:rsidR="00FC0E98" w:rsidRPr="00530906" w:rsidRDefault="00FC0E98" w:rsidP="00FC0E98">
      <w:pPr>
        <w:spacing w:line="360" w:lineRule="auto"/>
        <w:ind w:left="567" w:hanging="567"/>
        <w:jc w:val="both"/>
        <w:rPr>
          <w:rFonts w:ascii="Cambria" w:hAnsi="Cambria"/>
          <w:sz w:val="24"/>
          <w:szCs w:val="24"/>
        </w:rPr>
      </w:pPr>
      <w:r w:rsidRPr="00530906">
        <w:rPr>
          <w:rFonts w:ascii="Cambria" w:hAnsi="Cambria"/>
          <w:sz w:val="24"/>
          <w:szCs w:val="24"/>
        </w:rPr>
        <w:t>Hollenbeck, C. R., &amp; Zinkhan, G. M. (2006). Consumer activism on the internet: The role of anti-brand communities. ACR North American Advances. : 479-485.</w:t>
      </w:r>
    </w:p>
    <w:p w14:paraId="4123E5D6" w14:textId="26F3BBF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Hovland, C.</w:t>
      </w:r>
      <w:r w:rsidR="003B1272" w:rsidRPr="00530906">
        <w:rPr>
          <w:rFonts w:ascii="Cambria" w:hAnsi="Cambria"/>
          <w:sz w:val="24"/>
          <w:szCs w:val="24"/>
        </w:rPr>
        <w:t xml:space="preserve"> </w:t>
      </w:r>
      <w:r w:rsidRPr="00530906">
        <w:rPr>
          <w:rFonts w:ascii="Cambria" w:hAnsi="Cambria"/>
          <w:sz w:val="24"/>
          <w:szCs w:val="24"/>
        </w:rPr>
        <w:t xml:space="preserve">I., Janis, I.L. and Kelley, H.H., (1953). </w:t>
      </w:r>
      <w:r w:rsidRPr="00530906">
        <w:rPr>
          <w:rFonts w:ascii="Cambria" w:hAnsi="Cambria"/>
          <w:i/>
          <w:sz w:val="24"/>
          <w:szCs w:val="24"/>
        </w:rPr>
        <w:t>Communication and persuasion</w:t>
      </w:r>
      <w:r w:rsidRPr="00530906">
        <w:rPr>
          <w:rFonts w:ascii="Cambria" w:hAnsi="Cambria"/>
          <w:sz w:val="24"/>
          <w:szCs w:val="24"/>
        </w:rPr>
        <w:t>. New Haven, CT, US: Yale University Press.</w:t>
      </w:r>
    </w:p>
    <w:p w14:paraId="193523EE" w14:textId="6F7EC3C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Hsieh, S.</w:t>
      </w:r>
      <w:r w:rsidR="003B1272" w:rsidRPr="00530906">
        <w:rPr>
          <w:rFonts w:ascii="Cambria" w:hAnsi="Cambria"/>
          <w:sz w:val="24"/>
          <w:szCs w:val="24"/>
        </w:rPr>
        <w:t xml:space="preserve"> </w:t>
      </w:r>
      <w:r w:rsidRPr="00530906">
        <w:rPr>
          <w:rFonts w:ascii="Cambria" w:hAnsi="Cambria"/>
          <w:sz w:val="24"/>
          <w:szCs w:val="24"/>
        </w:rPr>
        <w:t xml:space="preserve">H. and Chang, A. (2016) 'The Psychological Mechanism of Brand Co–creation Engagement', </w:t>
      </w:r>
      <w:r w:rsidRPr="00530906">
        <w:rPr>
          <w:rFonts w:ascii="Cambria" w:hAnsi="Cambria"/>
          <w:i/>
          <w:sz w:val="24"/>
          <w:szCs w:val="24"/>
        </w:rPr>
        <w:t>Journal of Interactive Marketing,</w:t>
      </w:r>
      <w:r w:rsidRPr="00530906">
        <w:rPr>
          <w:rFonts w:ascii="Cambria" w:hAnsi="Cambria"/>
          <w:sz w:val="24"/>
          <w:szCs w:val="24"/>
        </w:rPr>
        <w:t xml:space="preserve"> 33, pp. 13–26. Doi: 10.1016/j.intmar.2015.10.001</w:t>
      </w:r>
    </w:p>
    <w:p w14:paraId="649124CD" w14:textId="77777777" w:rsidR="009E56F1" w:rsidRPr="00530906" w:rsidRDefault="009E56F1">
      <w:pPr>
        <w:spacing w:line="360" w:lineRule="auto"/>
        <w:ind w:left="567" w:hanging="567"/>
        <w:jc w:val="both"/>
        <w:rPr>
          <w:rFonts w:ascii="Cambria" w:hAnsi="Cambria"/>
          <w:sz w:val="24"/>
          <w:szCs w:val="24"/>
        </w:rPr>
      </w:pPr>
      <w:r w:rsidRPr="00530906">
        <w:rPr>
          <w:rFonts w:ascii="Cambria" w:hAnsi="Cambria"/>
          <w:sz w:val="24"/>
          <w:szCs w:val="24"/>
        </w:rPr>
        <w:t xml:space="preserve">Huang, H. C., Lin, T. H., Lai, M. C. and Lin, T. L. (2014) ‘Environmental consciousness and green customer behavior: An examination of motivation crowding effect’, International Journal of Hospitality Management, 40 (2014) 139–149. Doi: 10.1016/j.ijhm.2014.04.006. </w:t>
      </w:r>
    </w:p>
    <w:p w14:paraId="26B01098" w14:textId="6C45CAD2"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Huang, J., Boh, W.</w:t>
      </w:r>
      <w:r w:rsidR="003B1272" w:rsidRPr="00530906">
        <w:rPr>
          <w:rFonts w:ascii="Cambria" w:hAnsi="Cambria" w:cs="Segoe UI"/>
          <w:sz w:val="24"/>
          <w:szCs w:val="24"/>
        </w:rPr>
        <w:t xml:space="preserve"> </w:t>
      </w:r>
      <w:r w:rsidRPr="00530906">
        <w:rPr>
          <w:rFonts w:ascii="Cambria" w:hAnsi="Cambria" w:cs="Segoe UI"/>
          <w:sz w:val="24"/>
          <w:szCs w:val="24"/>
        </w:rPr>
        <w:t>F. and Goh, K.H. (2017)</w:t>
      </w:r>
      <w:r w:rsidRPr="00530906">
        <w:rPr>
          <w:rFonts w:ascii="Cambria" w:hAnsi="Cambria" w:cs="Segoe UI"/>
          <w:sz w:val="24"/>
          <w:szCs w:val="24"/>
          <w:vertAlign w:val="superscript"/>
        </w:rPr>
        <w:t>1</w:t>
      </w:r>
      <w:r w:rsidRPr="00530906">
        <w:rPr>
          <w:rFonts w:ascii="Cambria" w:hAnsi="Cambria" w:cs="Segoe UI"/>
          <w:sz w:val="24"/>
          <w:szCs w:val="24"/>
        </w:rPr>
        <w:t xml:space="preserve"> 'A Temporal Study of the Effects of Online Opinions: Information Sources Matter', </w:t>
      </w:r>
      <w:r w:rsidRPr="00530906">
        <w:rPr>
          <w:rFonts w:ascii="Cambria" w:hAnsi="Cambria" w:cs="Segoe UI"/>
          <w:i/>
          <w:iCs/>
          <w:sz w:val="24"/>
          <w:szCs w:val="24"/>
        </w:rPr>
        <w:t>Journal of Management Information Systems</w:t>
      </w:r>
      <w:r w:rsidRPr="00530906">
        <w:rPr>
          <w:rFonts w:ascii="Cambria" w:hAnsi="Cambria" w:cs="Segoe UI"/>
          <w:sz w:val="24"/>
          <w:szCs w:val="24"/>
        </w:rPr>
        <w:t>, 34(4), pp. 1169</w:t>
      </w:r>
      <w:r w:rsidR="004179CD" w:rsidRPr="00530906">
        <w:rPr>
          <w:rFonts w:ascii="Cambria" w:hAnsi="Cambria" w:cs="Segoe UI"/>
          <w:sz w:val="24"/>
          <w:szCs w:val="24"/>
        </w:rPr>
        <w:t>–</w:t>
      </w:r>
      <w:r w:rsidRPr="00530906">
        <w:rPr>
          <w:rFonts w:ascii="Cambria" w:hAnsi="Cambria" w:cs="Segoe UI"/>
          <w:sz w:val="24"/>
          <w:szCs w:val="24"/>
        </w:rPr>
        <w:t>1202. Doi: 10.1080/07421222.2017.1394079</w:t>
      </w:r>
    </w:p>
    <w:p w14:paraId="4B79545C" w14:textId="6BD73496"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Huang, J.</w:t>
      </w:r>
      <w:r w:rsidR="009E56F1" w:rsidRPr="00530906">
        <w:rPr>
          <w:rFonts w:ascii="Cambria" w:hAnsi="Cambria" w:cs="Segoe UI"/>
          <w:sz w:val="24"/>
          <w:szCs w:val="24"/>
        </w:rPr>
        <w:t xml:space="preserve"> </w:t>
      </w:r>
      <w:r w:rsidRPr="00530906">
        <w:rPr>
          <w:rFonts w:ascii="Cambria" w:hAnsi="Cambria" w:cs="Segoe UI"/>
          <w:sz w:val="24"/>
          <w:szCs w:val="24"/>
        </w:rPr>
        <w:t>H. and Chen, Y.</w:t>
      </w:r>
      <w:r w:rsidR="009E56F1" w:rsidRPr="00530906">
        <w:rPr>
          <w:rFonts w:ascii="Cambria" w:hAnsi="Cambria" w:cs="Segoe UI"/>
          <w:sz w:val="24"/>
          <w:szCs w:val="24"/>
        </w:rPr>
        <w:t xml:space="preserve"> </w:t>
      </w:r>
      <w:r w:rsidRPr="00530906">
        <w:rPr>
          <w:rFonts w:ascii="Cambria" w:hAnsi="Cambria" w:cs="Segoe UI"/>
          <w:sz w:val="24"/>
          <w:szCs w:val="24"/>
        </w:rPr>
        <w:t xml:space="preserve">F. (2006) ' Herding in online product choice', </w:t>
      </w:r>
      <w:r w:rsidRPr="00530906">
        <w:rPr>
          <w:rFonts w:ascii="Cambria" w:hAnsi="Cambria" w:cs="Segoe UI"/>
          <w:i/>
          <w:iCs/>
          <w:sz w:val="24"/>
          <w:szCs w:val="24"/>
        </w:rPr>
        <w:t>Psychology &amp; Marketing</w:t>
      </w:r>
      <w:r w:rsidRPr="00530906">
        <w:rPr>
          <w:rFonts w:ascii="Cambria" w:hAnsi="Cambria" w:cs="Segoe UI"/>
          <w:sz w:val="24"/>
          <w:szCs w:val="24"/>
        </w:rPr>
        <w:t>, 23(5), pp. 413–428. Doi: 10.1002/mar.20119</w:t>
      </w:r>
    </w:p>
    <w:p w14:paraId="03C85466" w14:textId="50CBBF20" w:rsidR="009E56F1" w:rsidRPr="00530906" w:rsidRDefault="009E56F1">
      <w:pPr>
        <w:spacing w:line="360" w:lineRule="auto"/>
        <w:ind w:left="567" w:hanging="567"/>
        <w:jc w:val="both"/>
        <w:rPr>
          <w:rFonts w:ascii="Cambria" w:hAnsi="Cambria"/>
          <w:sz w:val="24"/>
          <w:szCs w:val="24"/>
        </w:rPr>
      </w:pPr>
      <w:r w:rsidRPr="00530906">
        <w:rPr>
          <w:rFonts w:ascii="Cambria" w:hAnsi="Cambria" w:cs="Segoe UI"/>
          <w:sz w:val="24"/>
          <w:szCs w:val="24"/>
        </w:rPr>
        <w:t>Huang, L. (2015) 'Quality or responsibility? The impact of two categories of corporate social responsibility on the consumerbrand relationship.',</w:t>
      </w:r>
      <w:r w:rsidRPr="00530906">
        <w:rPr>
          <w:rFonts w:ascii="Cambria" w:hAnsi="Cambria" w:cs="Segoe UI"/>
          <w:i/>
          <w:iCs/>
          <w:sz w:val="24"/>
          <w:szCs w:val="24"/>
        </w:rPr>
        <w:t xml:space="preserve"> Marketing Management Journal</w:t>
      </w:r>
      <w:r w:rsidRPr="00530906">
        <w:rPr>
          <w:rFonts w:ascii="Cambria" w:hAnsi="Cambria" w:cs="Segoe UI"/>
          <w:sz w:val="24"/>
          <w:szCs w:val="24"/>
        </w:rPr>
        <w:t>, 25(1), pp. 27</w:t>
      </w:r>
      <w:r w:rsidR="004179CD" w:rsidRPr="00530906">
        <w:rPr>
          <w:rFonts w:ascii="Cambria" w:hAnsi="Cambria" w:cs="Segoe UI"/>
          <w:sz w:val="24"/>
          <w:szCs w:val="24"/>
        </w:rPr>
        <w:t>–</w:t>
      </w:r>
      <w:r w:rsidRPr="00530906">
        <w:rPr>
          <w:rFonts w:ascii="Cambria" w:hAnsi="Cambria" w:cs="Segoe UI"/>
          <w:sz w:val="24"/>
          <w:szCs w:val="24"/>
        </w:rPr>
        <w:t>41.</w:t>
      </w:r>
    </w:p>
    <w:p w14:paraId="08A62FA8"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Huang, M., Ali, R., &amp; Liao, J. (2017). The effect of user experience in online games on word of mouth: A pleasure–arousal–dominance (PAD) model perspective. </w:t>
      </w:r>
      <w:r w:rsidRPr="00530906">
        <w:rPr>
          <w:rFonts w:ascii="Cambria" w:hAnsi="Cambria" w:cs="Arial"/>
          <w:i/>
          <w:iCs/>
          <w:sz w:val="24"/>
          <w:szCs w:val="24"/>
          <w:shd w:val="clear" w:color="auto" w:fill="FFFFFF"/>
        </w:rPr>
        <w:t>Computers in Human Behavior</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75</w:t>
      </w:r>
      <w:r w:rsidRPr="00530906">
        <w:rPr>
          <w:rFonts w:ascii="Cambria" w:hAnsi="Cambria" w:cs="Arial"/>
          <w:sz w:val="24"/>
          <w:szCs w:val="24"/>
          <w:shd w:val="clear" w:color="auto" w:fill="FFFFFF"/>
        </w:rPr>
        <w:t>, 329–338. Doi: 10.1016/j.chb.2017.05.015</w:t>
      </w:r>
    </w:p>
    <w:p w14:paraId="6A7EF88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Huang, M. H. (2001). The theory of emotions in marketing. </w:t>
      </w:r>
      <w:r w:rsidRPr="00530906">
        <w:rPr>
          <w:rFonts w:ascii="Cambria" w:hAnsi="Cambria" w:cs="Arial"/>
          <w:i/>
          <w:iCs/>
          <w:sz w:val="24"/>
          <w:szCs w:val="24"/>
          <w:shd w:val="clear" w:color="auto" w:fill="FFFFFF"/>
        </w:rPr>
        <w:t>Journal of Business and Psychology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16</w:t>
      </w:r>
      <w:r w:rsidRPr="00530906">
        <w:rPr>
          <w:rFonts w:ascii="Cambria" w:hAnsi="Cambria" w:cs="Arial"/>
          <w:sz w:val="24"/>
          <w:szCs w:val="24"/>
          <w:shd w:val="clear" w:color="auto" w:fill="FFFFFF"/>
        </w:rPr>
        <w:t>(2), 239–247. DOI: 10.1023/A:1011109200392.</w:t>
      </w:r>
    </w:p>
    <w:p w14:paraId="41B46E9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Huang, M. H. and Rust, R. (2011) ‘Sustainability and consumption’, </w:t>
      </w:r>
      <w:r w:rsidRPr="00530906">
        <w:rPr>
          <w:rFonts w:ascii="Cambria" w:hAnsi="Cambria"/>
          <w:i/>
          <w:sz w:val="24"/>
          <w:szCs w:val="24"/>
        </w:rPr>
        <w:t>Journal of the academy of marketing science</w:t>
      </w:r>
      <w:r w:rsidRPr="00530906">
        <w:rPr>
          <w:rFonts w:ascii="Cambria" w:hAnsi="Cambria"/>
          <w:sz w:val="24"/>
          <w:szCs w:val="24"/>
        </w:rPr>
        <w:t>, 39(1):pp. 40–54,  doi:10.1007/s11747–010–0193–6</w:t>
      </w:r>
    </w:p>
    <w:p w14:paraId="42048ABA" w14:textId="6E8851CD"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Huang, Y., Wang, L. and Shi, J. (2012) 'How Attachment Affects the Strength of Peer Influence on Adolescent Consumer Behavior', </w:t>
      </w:r>
      <w:r w:rsidRPr="00530906">
        <w:rPr>
          <w:rFonts w:ascii="Cambria" w:hAnsi="Cambria" w:cs="Segoe UI"/>
          <w:i/>
          <w:iCs/>
          <w:sz w:val="24"/>
          <w:szCs w:val="24"/>
        </w:rPr>
        <w:t>Psychology &amp; Marketing</w:t>
      </w:r>
      <w:r w:rsidRPr="00530906">
        <w:rPr>
          <w:rFonts w:ascii="Cambria" w:hAnsi="Cambria" w:cs="Segoe UI"/>
          <w:sz w:val="24"/>
          <w:szCs w:val="24"/>
        </w:rPr>
        <w:t>, 29(8), pp. 558</w:t>
      </w:r>
      <w:r w:rsidR="004179CD" w:rsidRPr="00530906">
        <w:rPr>
          <w:rFonts w:ascii="Cambria" w:hAnsi="Cambria" w:cs="Segoe UI"/>
          <w:sz w:val="24"/>
          <w:szCs w:val="24"/>
        </w:rPr>
        <w:t>–</w:t>
      </w:r>
      <w:r w:rsidRPr="00530906">
        <w:rPr>
          <w:rFonts w:ascii="Cambria" w:hAnsi="Cambria" w:cs="Segoe UI"/>
          <w:sz w:val="24"/>
          <w:szCs w:val="24"/>
        </w:rPr>
        <w:t>567. Doi: 10.1002/mar.20543</w:t>
      </w:r>
    </w:p>
    <w:p w14:paraId="434AC78E" w14:textId="5221DBB2"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Hughes, C., Swaminathan, V. and Brooks, G. (2019) 'Driving Brand Engagement Through Online Social Influencers: An Empirical Investigation of Sponsored Blogging Campaigns', </w:t>
      </w:r>
      <w:r w:rsidRPr="00530906">
        <w:rPr>
          <w:rFonts w:ascii="Cambria" w:hAnsi="Cambria" w:cs="Segoe UI"/>
          <w:i/>
          <w:iCs/>
          <w:sz w:val="24"/>
          <w:szCs w:val="24"/>
        </w:rPr>
        <w:t>Journal of Marketing</w:t>
      </w:r>
      <w:r w:rsidRPr="00530906">
        <w:rPr>
          <w:rFonts w:ascii="Cambria" w:hAnsi="Cambria" w:cs="Segoe UI"/>
          <w:sz w:val="24"/>
          <w:szCs w:val="24"/>
        </w:rPr>
        <w:t>, 83(5), pp. 78</w:t>
      </w:r>
      <w:r w:rsidR="004179CD" w:rsidRPr="00530906">
        <w:rPr>
          <w:rFonts w:ascii="Cambria" w:hAnsi="Cambria" w:cs="Segoe UI"/>
          <w:sz w:val="24"/>
          <w:szCs w:val="24"/>
        </w:rPr>
        <w:t>–</w:t>
      </w:r>
      <w:r w:rsidRPr="00530906">
        <w:rPr>
          <w:rFonts w:ascii="Cambria" w:hAnsi="Cambria" w:cs="Segoe UI"/>
          <w:sz w:val="24"/>
          <w:szCs w:val="24"/>
        </w:rPr>
        <w:t>96. Doi: 10.1177/0022242919854374</w:t>
      </w:r>
    </w:p>
    <w:p w14:paraId="26D65F17" w14:textId="389DB0C6"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Huh, Y.</w:t>
      </w:r>
      <w:r w:rsidR="00E84959" w:rsidRPr="00530906">
        <w:rPr>
          <w:rFonts w:ascii="Cambria" w:hAnsi="Cambria" w:cs="Segoe UI"/>
          <w:sz w:val="24"/>
          <w:szCs w:val="24"/>
        </w:rPr>
        <w:t xml:space="preserve"> </w:t>
      </w:r>
      <w:r w:rsidRPr="00530906">
        <w:rPr>
          <w:rFonts w:ascii="Cambria" w:hAnsi="Cambria" w:cs="Segoe UI"/>
          <w:sz w:val="24"/>
          <w:szCs w:val="24"/>
        </w:rPr>
        <w:t>E., Vosgerau, J. and Morewedge, C.</w:t>
      </w:r>
      <w:r w:rsidR="00E84959" w:rsidRPr="00530906">
        <w:rPr>
          <w:rFonts w:ascii="Cambria" w:hAnsi="Cambria" w:cs="Segoe UI"/>
          <w:sz w:val="24"/>
          <w:szCs w:val="24"/>
        </w:rPr>
        <w:t xml:space="preserve"> </w:t>
      </w:r>
      <w:r w:rsidRPr="00530906">
        <w:rPr>
          <w:rFonts w:ascii="Cambria" w:hAnsi="Cambria" w:cs="Segoe UI"/>
          <w:sz w:val="24"/>
          <w:szCs w:val="24"/>
        </w:rPr>
        <w:t xml:space="preserve">K. (2014) 'Social Defaults: Observed Choices Become Choice Defaults', </w:t>
      </w:r>
      <w:r w:rsidRPr="00530906">
        <w:rPr>
          <w:rFonts w:ascii="Cambria" w:hAnsi="Cambria" w:cs="Segoe UI"/>
          <w:i/>
          <w:iCs/>
          <w:sz w:val="24"/>
          <w:szCs w:val="24"/>
        </w:rPr>
        <w:t>Journal of Consumer Research</w:t>
      </w:r>
      <w:r w:rsidRPr="00530906">
        <w:rPr>
          <w:rFonts w:ascii="Cambria" w:hAnsi="Cambria" w:cs="Segoe UI"/>
          <w:sz w:val="24"/>
          <w:szCs w:val="24"/>
        </w:rPr>
        <w:t>, 41(3), pp. 746</w:t>
      </w:r>
      <w:r w:rsidR="004179CD" w:rsidRPr="00530906">
        <w:rPr>
          <w:rFonts w:ascii="Cambria" w:hAnsi="Cambria" w:cs="Segoe UI"/>
          <w:sz w:val="24"/>
          <w:szCs w:val="24"/>
        </w:rPr>
        <w:t>–</w:t>
      </w:r>
      <w:r w:rsidRPr="00530906">
        <w:rPr>
          <w:rFonts w:ascii="Cambria" w:hAnsi="Cambria" w:cs="Segoe UI"/>
          <w:sz w:val="24"/>
          <w:szCs w:val="24"/>
        </w:rPr>
        <w:t>760. Doi: 10.1086/677315</w:t>
      </w:r>
    </w:p>
    <w:p w14:paraId="090ABA4B" w14:textId="7898528B"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Hussain, S., Wang, G.</w:t>
      </w:r>
      <w:r w:rsidR="003B1272" w:rsidRPr="00530906">
        <w:rPr>
          <w:rFonts w:ascii="Cambria" w:hAnsi="Cambria" w:cs="Segoe UI"/>
          <w:sz w:val="24"/>
          <w:szCs w:val="24"/>
        </w:rPr>
        <w:t xml:space="preserve"> </w:t>
      </w:r>
      <w:r w:rsidRPr="00530906">
        <w:rPr>
          <w:rFonts w:ascii="Cambria" w:hAnsi="Cambria" w:cs="Segoe UI"/>
          <w:sz w:val="24"/>
          <w:szCs w:val="24"/>
        </w:rPr>
        <w:t>J., Jafar, R.</w:t>
      </w:r>
      <w:r w:rsidR="00E84959" w:rsidRPr="00530906">
        <w:rPr>
          <w:rFonts w:ascii="Cambria" w:hAnsi="Cambria" w:cs="Segoe UI"/>
          <w:sz w:val="24"/>
          <w:szCs w:val="24"/>
        </w:rPr>
        <w:t xml:space="preserve"> </w:t>
      </w:r>
      <w:r w:rsidRPr="00530906">
        <w:rPr>
          <w:rFonts w:ascii="Cambria" w:hAnsi="Cambria" w:cs="Segoe UI"/>
          <w:sz w:val="24"/>
          <w:szCs w:val="24"/>
        </w:rPr>
        <w:t>M.</w:t>
      </w:r>
      <w:r w:rsidR="00E84959" w:rsidRPr="00530906">
        <w:rPr>
          <w:rFonts w:ascii="Cambria" w:hAnsi="Cambria" w:cs="Segoe UI"/>
          <w:sz w:val="24"/>
          <w:szCs w:val="24"/>
        </w:rPr>
        <w:t xml:space="preserve"> </w:t>
      </w:r>
      <w:r w:rsidRPr="00530906">
        <w:rPr>
          <w:rFonts w:ascii="Cambria" w:hAnsi="Cambria" w:cs="Segoe UI"/>
          <w:sz w:val="24"/>
          <w:szCs w:val="24"/>
        </w:rPr>
        <w:t>S., Ilyas, Z., Mustafa, G. and Yang, J.</w:t>
      </w:r>
      <w:r w:rsidR="003B1272" w:rsidRPr="00530906">
        <w:rPr>
          <w:rFonts w:ascii="Cambria" w:hAnsi="Cambria" w:cs="Segoe UI"/>
          <w:sz w:val="24"/>
          <w:szCs w:val="24"/>
        </w:rPr>
        <w:t xml:space="preserve"> </w:t>
      </w:r>
      <w:r w:rsidRPr="00530906">
        <w:rPr>
          <w:rFonts w:ascii="Cambria" w:hAnsi="Cambria" w:cs="Segoe UI"/>
          <w:sz w:val="24"/>
          <w:szCs w:val="24"/>
        </w:rPr>
        <w:t xml:space="preserve">Z. (2018) 'Consumers' online information adoption behavior: Motives and antecedents of electronic word of mouth communications', </w:t>
      </w:r>
      <w:r w:rsidRPr="00530906">
        <w:rPr>
          <w:rFonts w:ascii="Cambria" w:hAnsi="Cambria" w:cs="Segoe UI"/>
          <w:i/>
          <w:iCs/>
          <w:sz w:val="24"/>
          <w:szCs w:val="24"/>
        </w:rPr>
        <w:t>Computers in Human Behavior</w:t>
      </w:r>
      <w:r w:rsidRPr="00530906">
        <w:rPr>
          <w:rFonts w:ascii="Cambria" w:hAnsi="Cambria" w:cs="Segoe UI"/>
          <w:sz w:val="24"/>
          <w:szCs w:val="24"/>
        </w:rPr>
        <w:t>, 80, pp. 22</w:t>
      </w:r>
      <w:r w:rsidR="004179CD" w:rsidRPr="00530906">
        <w:rPr>
          <w:rFonts w:ascii="Cambria" w:hAnsi="Cambria" w:cs="Segoe UI"/>
          <w:sz w:val="24"/>
          <w:szCs w:val="24"/>
        </w:rPr>
        <w:t>–</w:t>
      </w:r>
      <w:r w:rsidRPr="00530906">
        <w:rPr>
          <w:rFonts w:ascii="Cambria" w:hAnsi="Cambria" w:cs="Segoe UI"/>
          <w:sz w:val="24"/>
          <w:szCs w:val="24"/>
        </w:rPr>
        <w:t>32. Doi: 10.1016/j.chb.2017.09.019</w:t>
      </w:r>
    </w:p>
    <w:p w14:paraId="4BD9BDA3" w14:textId="3F2932BA" w:rsidR="007E4999" w:rsidRPr="00530906" w:rsidRDefault="007E4999">
      <w:pPr>
        <w:spacing w:line="360" w:lineRule="auto"/>
        <w:ind w:left="567" w:hanging="567"/>
        <w:jc w:val="both"/>
        <w:rPr>
          <w:sz w:val="24"/>
          <w:szCs w:val="24"/>
        </w:rPr>
      </w:pPr>
      <w:r w:rsidRPr="00530906">
        <w:rPr>
          <w:rFonts w:ascii="Cambria" w:hAnsi="Cambria"/>
          <w:sz w:val="24"/>
          <w:szCs w:val="24"/>
        </w:rPr>
        <w:t xml:space="preserve">Hutter, K., Hautz, J., Dennhardt, S. and Fu¨ ller, J. (2013) ‘The impact of user interactions in social–media on brand awareness and purchase intention: the case of MINI on Facebook’, </w:t>
      </w:r>
      <w:r w:rsidRPr="00530906">
        <w:rPr>
          <w:rFonts w:ascii="Cambria" w:hAnsi="Cambria"/>
          <w:i/>
          <w:sz w:val="24"/>
          <w:szCs w:val="24"/>
        </w:rPr>
        <w:t>Journal of Product and Brand Management</w:t>
      </w:r>
      <w:r w:rsidRPr="00530906">
        <w:rPr>
          <w:rFonts w:ascii="Cambria" w:hAnsi="Cambria"/>
          <w:sz w:val="24"/>
          <w:szCs w:val="24"/>
        </w:rPr>
        <w:t xml:space="preserve">, 22/(5/6), pp. 342–35. Doi: 10.1108/JPBM–05–2013–0299. </w:t>
      </w:r>
    </w:p>
    <w:p w14:paraId="7B4CEF2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Ibrahim, H., and Al–Ajlouni, M. M. Q. (2018) "Sustainable consumption: Insights from the protection motivation (PMT), deontic justice (DJT) and construal level (CLT) theories", </w:t>
      </w:r>
      <w:r w:rsidRPr="00530906">
        <w:rPr>
          <w:rFonts w:ascii="Cambria" w:hAnsi="Cambria"/>
          <w:i/>
          <w:sz w:val="24"/>
          <w:szCs w:val="24"/>
        </w:rPr>
        <w:t>Management Decision,</w:t>
      </w:r>
      <w:r w:rsidRPr="00530906">
        <w:rPr>
          <w:rFonts w:ascii="Cambria" w:hAnsi="Cambria"/>
          <w:sz w:val="24"/>
          <w:szCs w:val="24"/>
        </w:rPr>
        <w:t xml:space="preserve"> Vol. 56 Issue: 3, pp.610–633. Doi: 10.1108/MD–05–2016–0323</w:t>
      </w:r>
    </w:p>
    <w:p w14:paraId="517F9C4F" w14:textId="1D2EEB7C"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Ibrahim, N.</w:t>
      </w:r>
      <w:r w:rsidR="003B1272" w:rsidRPr="00530906">
        <w:rPr>
          <w:rFonts w:ascii="Cambria" w:hAnsi="Cambria" w:cs="Segoe UI"/>
          <w:sz w:val="24"/>
          <w:szCs w:val="24"/>
        </w:rPr>
        <w:t xml:space="preserve"> </w:t>
      </w:r>
      <w:r w:rsidRPr="00530906">
        <w:rPr>
          <w:rFonts w:ascii="Cambria" w:hAnsi="Cambria" w:cs="Segoe UI"/>
          <w:sz w:val="24"/>
          <w:szCs w:val="24"/>
        </w:rPr>
        <w:t>F., Wang, X. and Bourne, H. (2017) 'Exploring the effect of user engagement in online brand communities: Evidence from Twitter',</w:t>
      </w:r>
      <w:r w:rsidRPr="00530906">
        <w:rPr>
          <w:rFonts w:ascii="Cambria" w:hAnsi="Cambria" w:cs="Segoe UI"/>
          <w:i/>
          <w:iCs/>
          <w:sz w:val="24"/>
          <w:szCs w:val="24"/>
        </w:rPr>
        <w:t xml:space="preserve"> Computers in Human Behavior</w:t>
      </w:r>
      <w:r w:rsidRPr="00530906">
        <w:rPr>
          <w:rFonts w:ascii="Cambria" w:hAnsi="Cambria" w:cs="Segoe UI"/>
          <w:sz w:val="24"/>
          <w:szCs w:val="24"/>
        </w:rPr>
        <w:t>, 72, pp. 321–338. Doi: 10.1016/j.chb.2017.03.005</w:t>
      </w:r>
    </w:p>
    <w:p w14:paraId="247CA77C" w14:textId="4EEA6371" w:rsidR="007E4999" w:rsidRPr="00530906" w:rsidRDefault="007E4999">
      <w:pPr>
        <w:spacing w:line="360" w:lineRule="auto"/>
        <w:ind w:left="567" w:hanging="567"/>
        <w:jc w:val="both"/>
        <w:rPr>
          <w:sz w:val="24"/>
          <w:szCs w:val="24"/>
        </w:rPr>
      </w:pPr>
      <w:r w:rsidRPr="00530906">
        <w:rPr>
          <w:rFonts w:ascii="Cambria" w:hAnsi="Cambria" w:cs="Segoe UI"/>
          <w:sz w:val="24"/>
          <w:szCs w:val="24"/>
        </w:rPr>
        <w:t>Ito, T.</w:t>
      </w:r>
      <w:r w:rsidR="003B1272" w:rsidRPr="00530906">
        <w:rPr>
          <w:rFonts w:ascii="Cambria" w:hAnsi="Cambria" w:cs="Segoe UI"/>
          <w:sz w:val="24"/>
          <w:szCs w:val="24"/>
        </w:rPr>
        <w:t xml:space="preserve"> </w:t>
      </w:r>
      <w:r w:rsidRPr="00530906">
        <w:rPr>
          <w:rFonts w:ascii="Cambria" w:hAnsi="Cambria" w:cs="Segoe UI"/>
          <w:sz w:val="24"/>
          <w:szCs w:val="24"/>
        </w:rPr>
        <w:t>A., Larsen, J.</w:t>
      </w:r>
      <w:r w:rsidR="003B1272" w:rsidRPr="00530906">
        <w:rPr>
          <w:rFonts w:ascii="Cambria" w:hAnsi="Cambria" w:cs="Segoe UI"/>
          <w:sz w:val="24"/>
          <w:szCs w:val="24"/>
        </w:rPr>
        <w:t xml:space="preserve"> </w:t>
      </w:r>
      <w:r w:rsidRPr="00530906">
        <w:rPr>
          <w:rFonts w:ascii="Cambria" w:hAnsi="Cambria" w:cs="Segoe UI"/>
          <w:sz w:val="24"/>
          <w:szCs w:val="24"/>
        </w:rPr>
        <w:t>T., Smith, N.</w:t>
      </w:r>
      <w:r w:rsidR="003B1272" w:rsidRPr="00530906">
        <w:rPr>
          <w:rFonts w:ascii="Cambria" w:hAnsi="Cambria" w:cs="Segoe UI"/>
          <w:sz w:val="24"/>
          <w:szCs w:val="24"/>
        </w:rPr>
        <w:t xml:space="preserve"> </w:t>
      </w:r>
      <w:r w:rsidRPr="00530906">
        <w:rPr>
          <w:rFonts w:ascii="Cambria" w:hAnsi="Cambria" w:cs="Segoe UI"/>
          <w:sz w:val="24"/>
          <w:szCs w:val="24"/>
        </w:rPr>
        <w:t xml:space="preserve">K. and Cacioppo, J.T. (1998) ' Negative information weighs more heavily on the brain: the negativity bias in evaluative categorizations', </w:t>
      </w:r>
      <w:r w:rsidRPr="00530906">
        <w:rPr>
          <w:rFonts w:ascii="Cambria" w:hAnsi="Cambria" w:cs="Segoe UI"/>
          <w:i/>
          <w:iCs/>
          <w:sz w:val="24"/>
          <w:szCs w:val="24"/>
        </w:rPr>
        <w:t>Journal of personality and social psychology</w:t>
      </w:r>
      <w:r w:rsidRPr="00530906">
        <w:rPr>
          <w:rFonts w:ascii="Cambria" w:hAnsi="Cambria" w:cs="Segoe UI"/>
          <w:sz w:val="24"/>
          <w:szCs w:val="24"/>
        </w:rPr>
        <w:t>, 75(4), pp. 887–900. Doi: 10.1037/0022–3514.75.4.887</w:t>
      </w:r>
    </w:p>
    <w:p w14:paraId="5D31F77E"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Jackson, T. and Papathanasopoulou, E. (2008) ' Luxury or ‘lock–in’? An exploration of unSustainable–consumption in the UK: 1968 to 2000', </w:t>
      </w:r>
      <w:r w:rsidRPr="00530906">
        <w:rPr>
          <w:rFonts w:ascii="Cambria" w:hAnsi="Cambria" w:cs="Segoe UI"/>
          <w:i/>
          <w:iCs/>
          <w:sz w:val="24"/>
          <w:szCs w:val="24"/>
        </w:rPr>
        <w:t>Ecological Economics</w:t>
      </w:r>
      <w:r w:rsidRPr="00530906">
        <w:rPr>
          <w:rFonts w:ascii="Cambria" w:hAnsi="Cambria" w:cs="Segoe UI"/>
          <w:sz w:val="24"/>
          <w:szCs w:val="24"/>
        </w:rPr>
        <w:t>, 68(1–2), pp. 80–95. Doi: 10.1016/j.ecolecon.2008.01.026</w:t>
      </w:r>
    </w:p>
    <w:p w14:paraId="60F0867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Jansson, J., Nordlund, A., &amp; Westin, K. (2017). Examining drivers of sustainable consumption: The influence of norms and opinion leadership on electric vehicle adoption in Sweden. Journal of Cleaner Production, 154, 176–187. doi:10.1016/j.jclepro.2017.03.186</w:t>
      </w:r>
    </w:p>
    <w:p w14:paraId="06649B4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Johnstone, M. L. and Tan, L. P. (2014) ‘Exploring the Gap Between Consumers' green rhetoric and Purchasing behaviour’, </w:t>
      </w:r>
      <w:r w:rsidRPr="00530906">
        <w:rPr>
          <w:rFonts w:ascii="Cambria" w:hAnsi="Cambria"/>
          <w:i/>
          <w:sz w:val="24"/>
          <w:szCs w:val="24"/>
        </w:rPr>
        <w:t>Journal of business ethics.</w:t>
      </w:r>
      <w:r w:rsidRPr="00530906">
        <w:rPr>
          <w:rFonts w:ascii="Cambria" w:hAnsi="Cambria"/>
          <w:sz w:val="24"/>
          <w:szCs w:val="24"/>
        </w:rPr>
        <w:t xml:space="preserve"> 132(2), pp . 311–328. Doi: 10.1007/s10551–014–2316–3.  </w:t>
      </w:r>
    </w:p>
    <w:p w14:paraId="5CA647F6" w14:textId="6836116C"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Johnstone, M.</w:t>
      </w:r>
      <w:r w:rsidR="004179CD" w:rsidRPr="00530906">
        <w:rPr>
          <w:rFonts w:ascii="Cambria" w:hAnsi="Cambria" w:cs="Segoe UI"/>
          <w:sz w:val="24"/>
          <w:szCs w:val="24"/>
        </w:rPr>
        <w:t>–</w:t>
      </w:r>
      <w:r w:rsidRPr="00530906">
        <w:rPr>
          <w:rFonts w:ascii="Cambria" w:hAnsi="Cambria" w:cs="Segoe UI"/>
          <w:sz w:val="24"/>
          <w:szCs w:val="24"/>
        </w:rPr>
        <w:t xml:space="preserve">L. and Hooper, S. (2016) 'Social influence and green consumption behaviour: a need for greater government involvement', </w:t>
      </w:r>
      <w:r w:rsidRPr="00530906">
        <w:rPr>
          <w:rFonts w:ascii="Cambria" w:hAnsi="Cambria" w:cs="Segoe UI"/>
          <w:i/>
          <w:iCs/>
          <w:sz w:val="24"/>
          <w:szCs w:val="24"/>
        </w:rPr>
        <w:t>Journal of Marketing Management</w:t>
      </w:r>
      <w:r w:rsidRPr="00530906">
        <w:rPr>
          <w:rFonts w:ascii="Cambria" w:hAnsi="Cambria" w:cs="Segoe UI"/>
          <w:sz w:val="24"/>
          <w:szCs w:val="24"/>
        </w:rPr>
        <w:t>, 32(9</w:t>
      </w:r>
      <w:r w:rsidR="004179CD" w:rsidRPr="00530906">
        <w:rPr>
          <w:rFonts w:ascii="Cambria" w:hAnsi="Cambria" w:cs="Segoe UI"/>
          <w:sz w:val="24"/>
          <w:szCs w:val="24"/>
        </w:rPr>
        <w:t>–</w:t>
      </w:r>
      <w:r w:rsidRPr="00530906">
        <w:rPr>
          <w:rFonts w:ascii="Cambria" w:hAnsi="Cambria" w:cs="Segoe UI"/>
          <w:sz w:val="24"/>
          <w:szCs w:val="24"/>
        </w:rPr>
        <w:t>10), pp. 827</w:t>
      </w:r>
      <w:r w:rsidR="004179CD" w:rsidRPr="00530906">
        <w:rPr>
          <w:rFonts w:ascii="Cambria" w:hAnsi="Cambria" w:cs="Segoe UI"/>
          <w:sz w:val="24"/>
          <w:szCs w:val="24"/>
        </w:rPr>
        <w:t>–</w:t>
      </w:r>
      <w:r w:rsidRPr="00530906">
        <w:rPr>
          <w:rFonts w:ascii="Cambria" w:hAnsi="Cambria" w:cs="Segoe UI"/>
          <w:sz w:val="24"/>
          <w:szCs w:val="24"/>
        </w:rPr>
        <w:t>855. Doi: : 10.1080/0267257X.2016.1189955</w:t>
      </w:r>
    </w:p>
    <w:p w14:paraId="72239FA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Joshi, Y., &amp; Rahman, Z. (2016). Predictors of young consumer's green purchase behaviour. Management of Environmental Quality, 27(4), 452–472. doi:10.1108/meq–05–2015–0091</w:t>
      </w:r>
    </w:p>
    <w:p w14:paraId="5BB0AA1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Juhl, H. J., Fenger, M. H., &amp; Thøgersen, J. (2017). Will the consistent organic food consumer step forward? An empirical analysis. Journal of Consumer Research, 44(3), 519–535. DOI: 10.1093/jcr/ucx052</w:t>
      </w:r>
    </w:p>
    <w:p w14:paraId="2C712E32" w14:textId="2004B729" w:rsidR="007E4999" w:rsidRPr="00530906" w:rsidRDefault="007E4999">
      <w:pPr>
        <w:spacing w:line="360" w:lineRule="auto"/>
        <w:ind w:left="567" w:hanging="567"/>
        <w:jc w:val="both"/>
        <w:rPr>
          <w:sz w:val="24"/>
          <w:szCs w:val="24"/>
        </w:rPr>
      </w:pPr>
      <w:r w:rsidRPr="00530906">
        <w:rPr>
          <w:rFonts w:ascii="Cambria" w:hAnsi="Cambria"/>
          <w:sz w:val="24"/>
          <w:szCs w:val="24"/>
        </w:rPr>
        <w:t xml:space="preserve">Jung, H. J., Kim, H., &amp; Oh, K. W. (2016). Green Leather for Ethical Consumers in China and Korea: Facilitating Ethical Consumption with Value–Belief–Attitude Logic. </w:t>
      </w:r>
      <w:r w:rsidRPr="00530906">
        <w:rPr>
          <w:rFonts w:ascii="Cambria" w:hAnsi="Cambria"/>
          <w:i/>
          <w:sz w:val="24"/>
          <w:szCs w:val="24"/>
        </w:rPr>
        <w:t>Journal of Business Ethics</w:t>
      </w:r>
      <w:r w:rsidRPr="00530906">
        <w:rPr>
          <w:rFonts w:ascii="Cambria" w:hAnsi="Cambria"/>
          <w:sz w:val="24"/>
          <w:szCs w:val="24"/>
        </w:rPr>
        <w:t>, 135(3), 483–502. doi:10.1007/s10551–014–2475–2</w:t>
      </w:r>
    </w:p>
    <w:p w14:paraId="0D05F8E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Kalamas, M., Cleveland, M., &amp; Laroche, M. (2014). Pro–environmental behaviours for thee but not for me: Green giants, green gods, and external environmental locus of control. </w:t>
      </w:r>
      <w:r w:rsidRPr="00530906">
        <w:rPr>
          <w:rFonts w:ascii="Cambria" w:hAnsi="Cambria"/>
          <w:i/>
          <w:sz w:val="24"/>
          <w:szCs w:val="24"/>
        </w:rPr>
        <w:t>Journal of Business Research</w:t>
      </w:r>
      <w:r w:rsidRPr="00530906">
        <w:rPr>
          <w:rFonts w:ascii="Cambria" w:hAnsi="Cambria"/>
          <w:sz w:val="24"/>
          <w:szCs w:val="24"/>
        </w:rPr>
        <w:t>, 67(2), 12–22. Doi: 10.1016/j.jbusres.2013.03.007</w:t>
      </w:r>
    </w:p>
    <w:p w14:paraId="46FEF07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Kangun, N., Carlson, L. and Grove, S.J. (1991), “Environmental advertising claims: a preliminary investigation”, Journal of Public Policy and Marketing, Vol. 10 No. 2, pp. 47–58.</w:t>
      </w:r>
    </w:p>
    <w:p w14:paraId="3D5AE67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Kaplan, A. M. and Haenlein, M. (2010) Users of the world, unite! The challenges and opportunities of Social Media, </w:t>
      </w:r>
      <w:r w:rsidRPr="00530906">
        <w:rPr>
          <w:rFonts w:ascii="Cambria" w:hAnsi="Cambria"/>
          <w:i/>
          <w:sz w:val="24"/>
          <w:szCs w:val="24"/>
        </w:rPr>
        <w:t>Business Horizons</w:t>
      </w:r>
      <w:r w:rsidRPr="00530906">
        <w:rPr>
          <w:rFonts w:ascii="Cambria" w:hAnsi="Cambria"/>
          <w:sz w:val="24"/>
          <w:szCs w:val="24"/>
        </w:rPr>
        <w:t xml:space="preserve">, 53(1), pp. 59–68. doi: 10.1016/j.bushor.2009.09.003 </w:t>
      </w:r>
    </w:p>
    <w:p w14:paraId="6347F45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Kaplan, M. F., &amp; Miller, C. E. (1987). Group decision making and normative versus informational influence. Effects of type of issue and assigned decision rule. Journal of Personality and Social Psychology, 53, 306–313. </w:t>
      </w:r>
    </w:p>
    <w:p w14:paraId="5A748AC9" w14:textId="306B0325"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Karahanna, E., Sean Xin, X., Yan, X. and Zhang, N. (2018) 'THE NEEDS–AFFORDANCES–FEATURES PERSPECTIVE FOR THE USE OF SOCIAL MEDIA', </w:t>
      </w:r>
      <w:r w:rsidRPr="00530906">
        <w:rPr>
          <w:rFonts w:ascii="Cambria" w:hAnsi="Cambria" w:cs="Segoe UI"/>
          <w:i/>
          <w:iCs/>
          <w:sz w:val="24"/>
          <w:szCs w:val="24"/>
        </w:rPr>
        <w:t>MIS Quarterly</w:t>
      </w:r>
      <w:r w:rsidRPr="00530906">
        <w:rPr>
          <w:rFonts w:ascii="Cambria" w:hAnsi="Cambria" w:cs="Segoe UI"/>
          <w:sz w:val="24"/>
          <w:szCs w:val="24"/>
        </w:rPr>
        <w:t>, 42(3), pp. 737</w:t>
      </w:r>
      <w:r w:rsidR="004179CD" w:rsidRPr="00530906">
        <w:rPr>
          <w:rFonts w:ascii="Cambria" w:hAnsi="Cambria" w:cs="Segoe UI"/>
          <w:sz w:val="24"/>
          <w:szCs w:val="24"/>
        </w:rPr>
        <w:t>–</w:t>
      </w:r>
      <w:r w:rsidRPr="00530906">
        <w:rPr>
          <w:rFonts w:ascii="Cambria" w:hAnsi="Cambria" w:cs="Segoe UI"/>
          <w:sz w:val="24"/>
          <w:szCs w:val="24"/>
        </w:rPr>
        <w:t>756. Doi: 10.25300/MISQ/2018/11492</w:t>
      </w:r>
    </w:p>
    <w:p w14:paraId="43FD262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Keller, K. L. (2013) Strategic brand management, 4</w:t>
      </w:r>
      <w:r w:rsidRPr="00530906">
        <w:rPr>
          <w:rFonts w:ascii="Cambria" w:hAnsi="Cambria"/>
          <w:sz w:val="24"/>
          <w:szCs w:val="24"/>
          <w:vertAlign w:val="superscript"/>
        </w:rPr>
        <w:t>th</w:t>
      </w:r>
      <w:r w:rsidRPr="00530906">
        <w:rPr>
          <w:rFonts w:ascii="Cambria" w:hAnsi="Cambria"/>
          <w:sz w:val="24"/>
          <w:szCs w:val="24"/>
        </w:rPr>
        <w:t xml:space="preserve"> edition (Boston, Pearson)</w:t>
      </w:r>
    </w:p>
    <w:p w14:paraId="61AE4810" w14:textId="04F7C14B"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Kemper, J.</w:t>
      </w:r>
      <w:r w:rsidR="003B1272" w:rsidRPr="00530906">
        <w:rPr>
          <w:rFonts w:ascii="Cambria" w:hAnsi="Cambria" w:cs="Segoe UI"/>
          <w:sz w:val="24"/>
          <w:szCs w:val="24"/>
        </w:rPr>
        <w:t xml:space="preserve"> </w:t>
      </w:r>
      <w:r w:rsidRPr="00530906">
        <w:rPr>
          <w:rFonts w:ascii="Cambria" w:hAnsi="Cambria" w:cs="Segoe UI"/>
          <w:sz w:val="24"/>
          <w:szCs w:val="24"/>
        </w:rPr>
        <w:t>A. and Ballantine, P.</w:t>
      </w:r>
      <w:r w:rsidR="003B1272" w:rsidRPr="00530906">
        <w:rPr>
          <w:rFonts w:ascii="Cambria" w:hAnsi="Cambria" w:cs="Segoe UI"/>
          <w:sz w:val="24"/>
          <w:szCs w:val="24"/>
        </w:rPr>
        <w:t xml:space="preserve"> </w:t>
      </w:r>
      <w:r w:rsidRPr="00530906">
        <w:rPr>
          <w:rFonts w:ascii="Cambria" w:hAnsi="Cambria" w:cs="Segoe UI"/>
          <w:sz w:val="24"/>
          <w:szCs w:val="24"/>
        </w:rPr>
        <w:t>W. (2019) 'What do we mean by sustainability marketing?',</w:t>
      </w:r>
      <w:r w:rsidRPr="00530906">
        <w:rPr>
          <w:rFonts w:ascii="Cambria" w:hAnsi="Cambria" w:cs="Segoe UI"/>
          <w:i/>
          <w:iCs/>
          <w:sz w:val="24"/>
          <w:szCs w:val="24"/>
        </w:rPr>
        <w:t xml:space="preserve"> Journal of Marketing Management</w:t>
      </w:r>
      <w:r w:rsidRPr="00530906">
        <w:rPr>
          <w:rFonts w:ascii="Cambria" w:hAnsi="Cambria" w:cs="Segoe UI"/>
          <w:sz w:val="24"/>
          <w:szCs w:val="24"/>
        </w:rPr>
        <w:t>, 35(3–4), pp. 277–309. Doi: 10.1080/0267257X.2019.1573845</w:t>
      </w:r>
    </w:p>
    <w:p w14:paraId="760F851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Khan, M. L. (2017). Social–media engagement: What motivates user participation and consumption on YouTube? </w:t>
      </w:r>
      <w:r w:rsidRPr="00530906">
        <w:rPr>
          <w:rFonts w:ascii="Cambria" w:hAnsi="Cambria"/>
          <w:i/>
          <w:sz w:val="24"/>
          <w:szCs w:val="24"/>
        </w:rPr>
        <w:t>Computers in Human Behavior</w:t>
      </w:r>
      <w:r w:rsidRPr="00530906">
        <w:rPr>
          <w:rFonts w:ascii="Cambria" w:hAnsi="Cambria"/>
          <w:sz w:val="24"/>
          <w:szCs w:val="24"/>
        </w:rPr>
        <w:t>, 66, 236–247. doi:10.1016/j.chb.2016.09.024</w:t>
      </w:r>
    </w:p>
    <w:p w14:paraId="4C71F08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Kidwell, B., Farmer, A. and Hardesty, D.M., (2013). Getting liberals and conservatives to go green: Political ideology and congruent appeals. Journal of Consumer Research, 40(2), pp.350–367. Doi: 10.1086/670610</w:t>
      </w:r>
    </w:p>
    <w:p w14:paraId="4A24C91A" w14:textId="6AFE4A7C"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Ki, C.</w:t>
      </w:r>
      <w:r w:rsidR="003B1272" w:rsidRPr="00530906">
        <w:rPr>
          <w:rFonts w:ascii="Cambria" w:hAnsi="Cambria" w:cs="Segoe UI"/>
          <w:sz w:val="24"/>
          <w:szCs w:val="24"/>
        </w:rPr>
        <w:t xml:space="preserve"> </w:t>
      </w:r>
      <w:r w:rsidRPr="00530906">
        <w:rPr>
          <w:rFonts w:ascii="Cambria" w:hAnsi="Cambria" w:cs="Segoe UI"/>
          <w:sz w:val="24"/>
          <w:szCs w:val="24"/>
        </w:rPr>
        <w:t>W.</w:t>
      </w:r>
      <w:r w:rsidR="003B1272" w:rsidRPr="00530906">
        <w:rPr>
          <w:rFonts w:ascii="Cambria" w:hAnsi="Cambria" w:cs="Segoe UI"/>
          <w:sz w:val="24"/>
          <w:szCs w:val="24"/>
        </w:rPr>
        <w:t xml:space="preserve"> </w:t>
      </w:r>
      <w:r w:rsidRPr="00530906">
        <w:rPr>
          <w:rFonts w:ascii="Cambria" w:hAnsi="Cambria" w:cs="Segoe UI"/>
          <w:sz w:val="24"/>
          <w:szCs w:val="24"/>
        </w:rPr>
        <w:t>C. and Kim, Y.</w:t>
      </w:r>
      <w:r w:rsidR="003B1272" w:rsidRPr="00530906">
        <w:rPr>
          <w:rFonts w:ascii="Cambria" w:hAnsi="Cambria" w:cs="Segoe UI"/>
          <w:sz w:val="24"/>
          <w:szCs w:val="24"/>
        </w:rPr>
        <w:t xml:space="preserve"> </w:t>
      </w:r>
      <w:r w:rsidRPr="00530906">
        <w:rPr>
          <w:rFonts w:ascii="Cambria" w:hAnsi="Cambria" w:cs="Segoe UI"/>
          <w:sz w:val="24"/>
          <w:szCs w:val="24"/>
        </w:rPr>
        <w:t xml:space="preserve">K. (2019) 'The mechanism by which social media influencers persuade consumers: The role of consumers' desire to mimic', </w:t>
      </w:r>
      <w:r w:rsidRPr="00530906">
        <w:rPr>
          <w:rFonts w:ascii="Cambria" w:hAnsi="Cambria" w:cs="Segoe UI"/>
          <w:i/>
          <w:iCs/>
          <w:sz w:val="24"/>
          <w:szCs w:val="24"/>
        </w:rPr>
        <w:t>Psychology &amp; Marketing</w:t>
      </w:r>
      <w:r w:rsidRPr="00530906">
        <w:rPr>
          <w:rFonts w:ascii="Cambria" w:hAnsi="Cambria" w:cs="Segoe UI"/>
          <w:sz w:val="24"/>
          <w:szCs w:val="24"/>
        </w:rPr>
        <w:t>, 36(10), pp. 905</w:t>
      </w:r>
      <w:r w:rsidR="004179CD" w:rsidRPr="00530906">
        <w:rPr>
          <w:rFonts w:ascii="Cambria" w:hAnsi="Cambria" w:cs="Segoe UI"/>
          <w:sz w:val="24"/>
          <w:szCs w:val="24"/>
        </w:rPr>
        <w:t>–</w:t>
      </w:r>
      <w:r w:rsidRPr="00530906">
        <w:rPr>
          <w:rFonts w:ascii="Cambria" w:hAnsi="Cambria" w:cs="Segoe UI"/>
          <w:sz w:val="24"/>
          <w:szCs w:val="24"/>
        </w:rPr>
        <w:t>922. Doi: 10.1002/mar.21244</w:t>
      </w:r>
    </w:p>
    <w:p w14:paraId="0043B96D" w14:textId="18AFF2BE"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Kiani, I. and Laroche, M. (2019) 'From desire to help to taking action: Effects of personal traits and social media on market mavens' diffusion of information', </w:t>
      </w:r>
      <w:r w:rsidRPr="00530906">
        <w:rPr>
          <w:rFonts w:ascii="Cambria" w:hAnsi="Cambria" w:cs="Segoe UI"/>
          <w:i/>
          <w:iCs/>
          <w:sz w:val="24"/>
          <w:szCs w:val="24"/>
        </w:rPr>
        <w:t>Psychology &amp; Marketing</w:t>
      </w:r>
      <w:r w:rsidRPr="00530906">
        <w:rPr>
          <w:rFonts w:ascii="Cambria" w:hAnsi="Cambria" w:cs="Segoe UI"/>
          <w:sz w:val="24"/>
          <w:szCs w:val="24"/>
        </w:rPr>
        <w:t>, 36(12), pp. 1147</w:t>
      </w:r>
      <w:r w:rsidR="004179CD" w:rsidRPr="00530906">
        <w:rPr>
          <w:rFonts w:ascii="Cambria" w:hAnsi="Cambria" w:cs="Segoe UI"/>
          <w:sz w:val="24"/>
          <w:szCs w:val="24"/>
        </w:rPr>
        <w:t>–</w:t>
      </w:r>
      <w:r w:rsidRPr="00530906">
        <w:rPr>
          <w:rFonts w:ascii="Cambria" w:hAnsi="Cambria" w:cs="Segoe UI"/>
          <w:sz w:val="24"/>
          <w:szCs w:val="24"/>
        </w:rPr>
        <w:t>1161. Doi: 10.1002/mar.21263</w:t>
      </w:r>
    </w:p>
    <w:p w14:paraId="412D28F2" w14:textId="367562FB"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Kilbourne, W.</w:t>
      </w:r>
      <w:r w:rsidR="003B1272" w:rsidRPr="00530906">
        <w:rPr>
          <w:rFonts w:ascii="Cambria" w:hAnsi="Cambria"/>
          <w:sz w:val="24"/>
          <w:szCs w:val="24"/>
        </w:rPr>
        <w:t xml:space="preserve"> </w:t>
      </w:r>
      <w:r w:rsidRPr="00530906">
        <w:rPr>
          <w:rFonts w:ascii="Cambria" w:hAnsi="Cambria"/>
          <w:sz w:val="24"/>
          <w:szCs w:val="24"/>
        </w:rPr>
        <w:t>E. (2004) ‘Sustainable communication and the dominant social paradigm: can they be integrated?’ Marketing theory. 4(3). 187–208.  DOI: 10.1177/1470593104045536</w:t>
      </w:r>
    </w:p>
    <w:p w14:paraId="7C88950B" w14:textId="5062FE7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Kilbourne, W.</w:t>
      </w:r>
      <w:r w:rsidR="003B1272" w:rsidRPr="00530906">
        <w:rPr>
          <w:rFonts w:ascii="Cambria" w:hAnsi="Cambria"/>
          <w:sz w:val="24"/>
          <w:szCs w:val="24"/>
        </w:rPr>
        <w:t xml:space="preserve"> </w:t>
      </w:r>
      <w:r w:rsidRPr="00530906">
        <w:rPr>
          <w:rFonts w:ascii="Cambria" w:hAnsi="Cambria"/>
          <w:sz w:val="24"/>
          <w:szCs w:val="24"/>
        </w:rPr>
        <w:t>E. (2010) 'Facing the Challenge of Sustainability in a Changing World: An Introduction to the Special Issue', Journal of Macromarketing, 30(2), pp. 109–111. Doi : 10.1177/0276146710363726</w:t>
      </w:r>
    </w:p>
    <w:p w14:paraId="1ECABA03" w14:textId="6DD0429F"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Kilbourne, W. E., &amp; Mittelstaedt, J. D. (2012). From profligacy to sustainability: Can we get there from here? In D. Mick, S. Pettigrew, C. Pechmann, &amp; J. Ozanne (Eds.), Transformative consumer research for personal and collective well</w:t>
      </w:r>
      <w:r w:rsidR="004179CD" w:rsidRPr="00530906">
        <w:rPr>
          <w:rFonts w:ascii="Cambria" w:hAnsi="Cambria"/>
          <w:sz w:val="24"/>
          <w:szCs w:val="24"/>
        </w:rPr>
        <w:t>–</w:t>
      </w:r>
      <w:r w:rsidRPr="00530906">
        <w:rPr>
          <w:rFonts w:ascii="Cambria" w:hAnsi="Cambria"/>
          <w:sz w:val="24"/>
          <w:szCs w:val="24"/>
        </w:rPr>
        <w:t>being (pp. 283–300). New York: Routledge.</w:t>
      </w:r>
    </w:p>
    <w:p w14:paraId="624ED80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Kilbourne, W. and Pickett, G. (2008) 'How materialism affects environmental beliefs, concern, and environmentally responsible behavior', </w:t>
      </w:r>
      <w:r w:rsidRPr="00530906">
        <w:rPr>
          <w:rFonts w:ascii="Cambria" w:hAnsi="Cambria"/>
          <w:i/>
          <w:sz w:val="24"/>
          <w:szCs w:val="24"/>
        </w:rPr>
        <w:t>Journal of Business Research</w:t>
      </w:r>
      <w:r w:rsidRPr="00530906">
        <w:rPr>
          <w:rFonts w:ascii="Cambria" w:hAnsi="Cambria"/>
          <w:sz w:val="24"/>
          <w:szCs w:val="24"/>
        </w:rPr>
        <w:t>, 61(9), pp. 885–893. doi:10.1016/j.jbusres.2007.09.016.</w:t>
      </w:r>
    </w:p>
    <w:p w14:paraId="05C2AE09" w14:textId="1471C3B4"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Kilbourne, W.</w:t>
      </w:r>
      <w:r w:rsidR="003B1272" w:rsidRPr="00530906">
        <w:rPr>
          <w:rFonts w:ascii="Cambria" w:hAnsi="Cambria"/>
          <w:sz w:val="24"/>
          <w:szCs w:val="24"/>
        </w:rPr>
        <w:t xml:space="preserve"> </w:t>
      </w:r>
      <w:r w:rsidRPr="00530906">
        <w:rPr>
          <w:rFonts w:ascii="Cambria" w:hAnsi="Cambria"/>
          <w:sz w:val="24"/>
          <w:szCs w:val="24"/>
        </w:rPr>
        <w:t>E., Beckmann, S.</w:t>
      </w:r>
      <w:r w:rsidR="003B1272" w:rsidRPr="00530906">
        <w:rPr>
          <w:rFonts w:ascii="Cambria" w:hAnsi="Cambria"/>
          <w:sz w:val="24"/>
          <w:szCs w:val="24"/>
        </w:rPr>
        <w:t xml:space="preserve"> </w:t>
      </w:r>
      <w:r w:rsidRPr="00530906">
        <w:rPr>
          <w:rFonts w:ascii="Cambria" w:hAnsi="Cambria"/>
          <w:sz w:val="24"/>
          <w:szCs w:val="24"/>
        </w:rPr>
        <w:t>C. and Thelenc, E. (2002) 'The role of the dominant social paradigm in environmental attitudes A multinational examination', Journal of Business Research, 55(3), pp. 193–204.</w:t>
      </w:r>
    </w:p>
    <w:p w14:paraId="189B3DCE" w14:textId="26C06771"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Kim, A. and Dennis, A.</w:t>
      </w:r>
      <w:r w:rsidR="003B1272" w:rsidRPr="00530906">
        <w:rPr>
          <w:rFonts w:ascii="Cambria" w:hAnsi="Cambria" w:cs="Segoe UI"/>
          <w:sz w:val="24"/>
          <w:szCs w:val="24"/>
        </w:rPr>
        <w:t xml:space="preserve"> </w:t>
      </w:r>
      <w:r w:rsidRPr="00530906">
        <w:rPr>
          <w:rFonts w:ascii="Cambria" w:hAnsi="Cambria" w:cs="Segoe UI"/>
          <w:sz w:val="24"/>
          <w:szCs w:val="24"/>
        </w:rPr>
        <w:t xml:space="preserve">R. (2019) 'SAYS WHO? THE EFFECTS OF PRESENTATION FORMAT AND SOURCE RATING ON FAKE NEWS IN SOCIAL MEDIA', </w:t>
      </w:r>
      <w:r w:rsidRPr="00530906">
        <w:rPr>
          <w:rFonts w:ascii="Cambria" w:hAnsi="Cambria" w:cs="Segoe UI"/>
          <w:i/>
          <w:iCs/>
          <w:sz w:val="24"/>
          <w:szCs w:val="24"/>
        </w:rPr>
        <w:t>MIS Quarterly</w:t>
      </w:r>
      <w:r w:rsidRPr="00530906">
        <w:rPr>
          <w:rFonts w:ascii="Cambria" w:hAnsi="Cambria" w:cs="Segoe UI"/>
          <w:sz w:val="24"/>
          <w:szCs w:val="24"/>
        </w:rPr>
        <w:t>, 43(3), pp. 1025</w:t>
      </w:r>
      <w:r w:rsidR="004179CD" w:rsidRPr="00530906">
        <w:rPr>
          <w:rFonts w:ascii="Cambria" w:hAnsi="Cambria" w:cs="Segoe UI"/>
          <w:sz w:val="24"/>
          <w:szCs w:val="24"/>
        </w:rPr>
        <w:t>–</w:t>
      </w:r>
      <w:r w:rsidRPr="00530906">
        <w:rPr>
          <w:rFonts w:ascii="Cambria" w:hAnsi="Cambria" w:cs="Segoe UI"/>
          <w:sz w:val="24"/>
          <w:szCs w:val="24"/>
        </w:rPr>
        <w:t>1039. Doi: 10.25300/MISQ/2019/15188</w:t>
      </w:r>
    </w:p>
    <w:p w14:paraId="169EB39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Kim, A. J., &amp; Johnson, K. K. (2016). Power of consumers using social media: Examining the influences of brand–related user–generated content on Facebook. </w:t>
      </w:r>
      <w:r w:rsidRPr="00530906">
        <w:rPr>
          <w:rFonts w:ascii="Cambria" w:hAnsi="Cambria" w:cs="Arial"/>
          <w:i/>
          <w:iCs/>
          <w:sz w:val="24"/>
          <w:szCs w:val="24"/>
          <w:shd w:val="clear" w:color="auto" w:fill="FFFFFF"/>
        </w:rPr>
        <w:t>Computers in Human Behavior</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58</w:t>
      </w:r>
      <w:r w:rsidRPr="00530906">
        <w:rPr>
          <w:rFonts w:ascii="Cambria" w:hAnsi="Cambria" w:cs="Arial"/>
          <w:sz w:val="24"/>
          <w:szCs w:val="24"/>
          <w:shd w:val="clear" w:color="auto" w:fill="FFFFFF"/>
        </w:rPr>
        <w:t xml:space="preserve">, 98–108. </w:t>
      </w:r>
      <w:r w:rsidRPr="00530906">
        <w:rPr>
          <w:rFonts w:ascii="Cambria" w:hAnsi="Cambria"/>
          <w:sz w:val="24"/>
          <w:szCs w:val="24"/>
        </w:rPr>
        <w:t>Doi: 10.1016/j.chb.2015.12.047</w:t>
      </w:r>
    </w:p>
    <w:p w14:paraId="615CAB0E" w14:textId="2F99485C"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Kim, A., Moravec, P.</w:t>
      </w:r>
      <w:r w:rsidR="003B1272" w:rsidRPr="00530906">
        <w:rPr>
          <w:rFonts w:ascii="Cambria" w:hAnsi="Cambria" w:cs="Segoe UI"/>
          <w:sz w:val="24"/>
          <w:szCs w:val="24"/>
        </w:rPr>
        <w:t xml:space="preserve"> </w:t>
      </w:r>
      <w:r w:rsidRPr="00530906">
        <w:rPr>
          <w:rFonts w:ascii="Cambria" w:hAnsi="Cambria" w:cs="Segoe UI"/>
          <w:sz w:val="24"/>
          <w:szCs w:val="24"/>
        </w:rPr>
        <w:t>L. and Dennis, A.</w:t>
      </w:r>
      <w:r w:rsidR="003B1272" w:rsidRPr="00530906">
        <w:rPr>
          <w:rFonts w:ascii="Cambria" w:hAnsi="Cambria" w:cs="Segoe UI"/>
          <w:sz w:val="24"/>
          <w:szCs w:val="24"/>
        </w:rPr>
        <w:t xml:space="preserve"> </w:t>
      </w:r>
      <w:r w:rsidRPr="00530906">
        <w:rPr>
          <w:rFonts w:ascii="Cambria" w:hAnsi="Cambria" w:cs="Segoe UI"/>
          <w:sz w:val="24"/>
          <w:szCs w:val="24"/>
        </w:rPr>
        <w:t xml:space="preserve">R. (2019) 'Combating Fake News on Social Media with Source Ratings: The Effects of User and Expert Reputation Ratings', </w:t>
      </w:r>
      <w:r w:rsidRPr="00530906">
        <w:rPr>
          <w:rFonts w:ascii="Cambria" w:hAnsi="Cambria" w:cs="Segoe UI"/>
          <w:i/>
          <w:iCs/>
          <w:sz w:val="24"/>
          <w:szCs w:val="24"/>
        </w:rPr>
        <w:t>Journal of Management Information Systems</w:t>
      </w:r>
      <w:r w:rsidRPr="00530906">
        <w:rPr>
          <w:rFonts w:ascii="Cambria" w:hAnsi="Cambria" w:cs="Segoe UI"/>
          <w:sz w:val="24"/>
          <w:szCs w:val="24"/>
        </w:rPr>
        <w:t>, 36(3), pp. 931</w:t>
      </w:r>
      <w:r w:rsidR="004179CD" w:rsidRPr="00530906">
        <w:rPr>
          <w:rFonts w:ascii="Cambria" w:hAnsi="Cambria" w:cs="Segoe UI"/>
          <w:sz w:val="24"/>
          <w:szCs w:val="24"/>
        </w:rPr>
        <w:t>–</w:t>
      </w:r>
      <w:r w:rsidRPr="00530906">
        <w:rPr>
          <w:rFonts w:ascii="Cambria" w:hAnsi="Cambria" w:cs="Segoe UI"/>
          <w:sz w:val="24"/>
          <w:szCs w:val="24"/>
        </w:rPr>
        <w:t>968. Doi: 10.1080/07421222.2019.1628921</w:t>
      </w:r>
    </w:p>
    <w:p w14:paraId="3B1B13F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Kim, E., &amp; Drumwright, M. (2016). Engaging consumers and building relationships in social media: How social relatedness influences intrinsic vs. extrinsic consumer motivation. Computers in Human Behavior, 63, 970–979. doi:10.1016/j.chb.2016.06.025</w:t>
      </w:r>
    </w:p>
    <w:p w14:paraId="18D91F48" w14:textId="726CDB4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Kim, S. (2013) ‘Does corporate advertising work in a crisis? An examination of inoculation theory’, </w:t>
      </w:r>
      <w:r w:rsidRPr="00530906">
        <w:rPr>
          <w:rFonts w:ascii="Cambria" w:hAnsi="Cambria"/>
          <w:i/>
          <w:sz w:val="24"/>
          <w:szCs w:val="24"/>
        </w:rPr>
        <w:t>Journal of Marketing Communications</w:t>
      </w:r>
      <w:r w:rsidRPr="00530906">
        <w:rPr>
          <w:rFonts w:ascii="Cambria" w:hAnsi="Cambria"/>
          <w:sz w:val="24"/>
          <w:szCs w:val="24"/>
        </w:rPr>
        <w:t>, 19(4), pp. 293–305. doi: 10.1080/13527266.2011.634430</w:t>
      </w:r>
    </w:p>
    <w:p w14:paraId="552432D1" w14:textId="16E79176" w:rsidR="009F016C" w:rsidRPr="00530906" w:rsidRDefault="009F016C">
      <w:pPr>
        <w:spacing w:line="360" w:lineRule="auto"/>
        <w:ind w:left="567" w:hanging="567"/>
        <w:jc w:val="both"/>
        <w:rPr>
          <w:rFonts w:ascii="Cambria" w:hAnsi="Cambria"/>
          <w:sz w:val="24"/>
          <w:szCs w:val="24"/>
        </w:rPr>
      </w:pPr>
      <w:r w:rsidRPr="00530906">
        <w:rPr>
          <w:rFonts w:ascii="Cambria" w:hAnsi="Cambria" w:cs="Segoe UI"/>
          <w:sz w:val="24"/>
          <w:szCs w:val="24"/>
        </w:rPr>
        <w:t xml:space="preserve">Kim, T., Kim, H. and Kim, Y. (2019) 'How Do Brands' Facebook Posts Induce Consumers'e-Word-of-Mouth Behavior?: Informational versus Emotional Message Strategy: A Computational Analysis', </w:t>
      </w:r>
      <w:r w:rsidRPr="00530906">
        <w:rPr>
          <w:rFonts w:ascii="Cambria" w:hAnsi="Cambria" w:cs="Segoe UI"/>
          <w:i/>
          <w:iCs/>
          <w:sz w:val="24"/>
          <w:szCs w:val="24"/>
        </w:rPr>
        <w:t>Journal of Advertising Research</w:t>
      </w:r>
      <w:r w:rsidRPr="00530906">
        <w:rPr>
          <w:rFonts w:ascii="Cambria" w:hAnsi="Cambria" w:cs="Segoe UI"/>
          <w:sz w:val="24"/>
          <w:szCs w:val="24"/>
        </w:rPr>
        <w:t>, 59(4), pp. 402-413. Doi: 10.2501/JAR-2019-027</w:t>
      </w:r>
    </w:p>
    <w:p w14:paraId="64BB0326" w14:textId="279F9113" w:rsidR="007E4999" w:rsidRDefault="007E4999">
      <w:pPr>
        <w:spacing w:line="360" w:lineRule="auto"/>
        <w:ind w:left="567" w:hanging="567"/>
        <w:jc w:val="both"/>
        <w:rPr>
          <w:rStyle w:val="Hyperlink"/>
          <w:rFonts w:ascii="Cambria" w:hAnsi="Cambria" w:cs="Arial"/>
          <w:color w:val="auto"/>
          <w:sz w:val="24"/>
          <w:szCs w:val="24"/>
          <w:shd w:val="clear" w:color="auto" w:fill="FFFFFF"/>
        </w:rPr>
      </w:pPr>
      <w:r w:rsidRPr="00530906">
        <w:rPr>
          <w:rFonts w:ascii="Cambria" w:hAnsi="Cambria" w:cs="Arial"/>
          <w:sz w:val="24"/>
          <w:szCs w:val="24"/>
          <w:shd w:val="clear" w:color="auto" w:fill="FFFFFF"/>
        </w:rPr>
        <w:t>Kinnear, T. C., and Taylor, J. R. (1973). The effect of ecological concern on brand perceptions. </w:t>
      </w:r>
      <w:r w:rsidRPr="00530906">
        <w:rPr>
          <w:rFonts w:ascii="Cambria" w:hAnsi="Cambria" w:cs="Arial"/>
          <w:i/>
          <w:iCs/>
          <w:sz w:val="24"/>
          <w:szCs w:val="24"/>
          <w:shd w:val="clear" w:color="auto" w:fill="FFFFFF"/>
        </w:rPr>
        <w:t>Journal of marketing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10</w:t>
      </w:r>
      <w:r w:rsidRPr="00530906">
        <w:rPr>
          <w:rFonts w:ascii="Cambria" w:hAnsi="Cambria" w:cs="Arial"/>
          <w:sz w:val="24"/>
          <w:szCs w:val="24"/>
          <w:shd w:val="clear" w:color="auto" w:fill="FFFFFF"/>
        </w:rPr>
        <w:t>(2), 191–197.</w:t>
      </w:r>
      <w:hyperlink r:id="rId150" w:history="1">
        <w:r w:rsidRPr="00530906">
          <w:rPr>
            <w:rStyle w:val="Hyperlink"/>
            <w:rFonts w:ascii="Cambria" w:hAnsi="Cambria" w:cs="Arial"/>
            <w:color w:val="auto"/>
            <w:sz w:val="24"/>
            <w:szCs w:val="24"/>
            <w:shd w:val="clear" w:color="auto" w:fill="FFFFFF"/>
          </w:rPr>
          <w:t>doi: 10.1177/002224377301000210</w:t>
        </w:r>
      </w:hyperlink>
    </w:p>
    <w:p w14:paraId="2F8D5028" w14:textId="315829FD" w:rsidR="000173F1" w:rsidRPr="00530906" w:rsidRDefault="000173F1">
      <w:pPr>
        <w:spacing w:line="360" w:lineRule="auto"/>
        <w:ind w:left="567" w:hanging="567"/>
        <w:jc w:val="both"/>
        <w:rPr>
          <w:rFonts w:ascii="Cambria" w:hAnsi="Cambria"/>
          <w:sz w:val="24"/>
          <w:szCs w:val="24"/>
        </w:rPr>
      </w:pPr>
      <w:r>
        <w:rPr>
          <w:rFonts w:ascii="Arial" w:hAnsi="Arial" w:cs="Arial"/>
          <w:color w:val="222222"/>
          <w:sz w:val="20"/>
          <w:szCs w:val="20"/>
          <w:shd w:val="clear" w:color="auto" w:fill="FFFFFF"/>
        </w:rPr>
        <w:t>Kisielius, J., &amp; Sternthal, B. (1986). Examining the vividness controversy: An availability-valence interpretation. </w:t>
      </w:r>
      <w:r>
        <w:rPr>
          <w:rFonts w:ascii="Arial" w:hAnsi="Arial" w:cs="Arial"/>
          <w:i/>
          <w:iCs/>
          <w:color w:val="222222"/>
          <w:sz w:val="20"/>
          <w:szCs w:val="20"/>
          <w:shd w:val="clear" w:color="auto" w:fill="FFFFFF"/>
        </w:rPr>
        <w:t>Journal of Consumer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(4), 418-431.</w:t>
      </w:r>
    </w:p>
    <w:p w14:paraId="7574A7E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Koller, M. Floh, A. and Alexander Zauner, A. (2011) ‘Further Insights into Perceived Value and Consumer Loyalty: A “Green” Perspective’  Psychology &amp; Marketing, 28(12): 1154–1176. DOI: 10.1002/mar.20432. </w:t>
      </w:r>
    </w:p>
    <w:p w14:paraId="7EE3FF48" w14:textId="21BD9F5D"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Kristensson, P., W</w:t>
      </w:r>
      <w:r w:rsidRPr="00530906">
        <w:rPr>
          <w:rFonts w:ascii="Cambria" w:hAnsi="Cambria" w:cs="Cambria"/>
          <w:sz w:val="24"/>
          <w:szCs w:val="24"/>
        </w:rPr>
        <w:t>ä</w:t>
      </w:r>
      <w:r w:rsidRPr="00530906">
        <w:rPr>
          <w:rFonts w:ascii="Cambria" w:hAnsi="Cambria"/>
          <w:sz w:val="24"/>
          <w:szCs w:val="24"/>
        </w:rPr>
        <w:t>stlund, E. and S</w:t>
      </w:r>
      <w:r w:rsidRPr="00530906">
        <w:rPr>
          <w:rFonts w:ascii="Cambria" w:hAnsi="Cambria" w:cs="Cambria"/>
          <w:sz w:val="24"/>
          <w:szCs w:val="24"/>
        </w:rPr>
        <w:t>ö</w:t>
      </w:r>
      <w:r w:rsidRPr="00530906">
        <w:rPr>
          <w:rFonts w:ascii="Cambria" w:hAnsi="Cambria"/>
          <w:sz w:val="24"/>
          <w:szCs w:val="24"/>
        </w:rPr>
        <w:t>derlund, M. (2017) ‘Influencing consumers to choose environment friendly offerings: Evidence from field experiments’, Journal of Business Research 76 (2017) 89–97. Doi:10.1016/j.jbusres.2017.03.003.</w:t>
      </w:r>
    </w:p>
    <w:p w14:paraId="02978822" w14:textId="0A4E2F8F" w:rsidR="001149AC" w:rsidRPr="00530906" w:rsidRDefault="001149AC">
      <w:pPr>
        <w:spacing w:line="360" w:lineRule="auto"/>
        <w:ind w:left="567" w:hanging="567"/>
        <w:jc w:val="both"/>
        <w:rPr>
          <w:rFonts w:ascii="Cambria" w:hAnsi="Cambria"/>
          <w:sz w:val="24"/>
          <w:szCs w:val="24"/>
        </w:rPr>
      </w:pPr>
      <w:r>
        <w:rPr>
          <w:rFonts w:ascii="Segoe UI" w:hAnsi="Segoe UI" w:cs="Segoe UI"/>
        </w:rPr>
        <w:t xml:space="preserve">Kulkarni, K.K., Kalro, A.D. and Sharma, D. (2020) 'The interaction effect of ad appeal and need for cognition on consumers' intentions to share viral advertisements', </w:t>
      </w:r>
      <w:r>
        <w:rPr>
          <w:rFonts w:ascii="Segoe UI" w:hAnsi="Segoe UI" w:cs="Segoe UI"/>
          <w:i/>
          <w:iCs/>
        </w:rPr>
        <w:t>Journal of Consumer Behaviour</w:t>
      </w:r>
      <w:r>
        <w:rPr>
          <w:rFonts w:ascii="Segoe UI" w:hAnsi="Segoe UI" w:cs="Segoe UI"/>
        </w:rPr>
        <w:t>, 19(4), pp. 327-338.</w:t>
      </w:r>
    </w:p>
    <w:p w14:paraId="1B941FC0" w14:textId="2ED827E6" w:rsidR="0009178E" w:rsidRPr="00530906" w:rsidRDefault="0009178E">
      <w:pPr>
        <w:spacing w:line="360" w:lineRule="auto"/>
        <w:ind w:left="567" w:hanging="567"/>
        <w:jc w:val="both"/>
        <w:rPr>
          <w:rFonts w:ascii="Cambria" w:hAnsi="Cambria"/>
          <w:sz w:val="24"/>
          <w:szCs w:val="24"/>
        </w:rPr>
      </w:pPr>
      <w:r w:rsidRPr="00530906">
        <w:rPr>
          <w:rFonts w:ascii="Cambria" w:hAnsi="Cambria" w:cs="Segoe UI"/>
          <w:sz w:val="24"/>
          <w:szCs w:val="24"/>
        </w:rPr>
        <w:t>Kumar, A., Bezawada, R., Rishika, R., Janakiraman, R. and Kannan, P.</w:t>
      </w:r>
      <w:r w:rsidR="003B1272" w:rsidRPr="00530906">
        <w:rPr>
          <w:rFonts w:ascii="Cambria" w:hAnsi="Cambria" w:cs="Segoe UI"/>
          <w:sz w:val="24"/>
          <w:szCs w:val="24"/>
        </w:rPr>
        <w:t xml:space="preserve"> </w:t>
      </w:r>
      <w:r w:rsidRPr="00530906">
        <w:rPr>
          <w:rFonts w:ascii="Cambria" w:hAnsi="Cambria" w:cs="Segoe UI"/>
          <w:sz w:val="24"/>
          <w:szCs w:val="24"/>
        </w:rPr>
        <w:t>K. (2016) 'From Social to Sale: The Effects of Firm</w:t>
      </w:r>
      <w:r w:rsidR="004179CD" w:rsidRPr="00530906">
        <w:rPr>
          <w:rFonts w:ascii="Cambria" w:hAnsi="Cambria" w:cs="Segoe UI"/>
          <w:sz w:val="24"/>
          <w:szCs w:val="24"/>
        </w:rPr>
        <w:t>–</w:t>
      </w:r>
      <w:r w:rsidRPr="00530906">
        <w:rPr>
          <w:rFonts w:ascii="Cambria" w:hAnsi="Cambria" w:cs="Segoe UI"/>
          <w:sz w:val="24"/>
          <w:szCs w:val="24"/>
        </w:rPr>
        <w:t xml:space="preserve">Generated Content in Social Media on Customer Behavior', </w:t>
      </w:r>
      <w:r w:rsidRPr="00530906">
        <w:rPr>
          <w:rFonts w:ascii="Cambria" w:hAnsi="Cambria" w:cs="Segoe UI"/>
          <w:i/>
          <w:iCs/>
          <w:sz w:val="24"/>
          <w:szCs w:val="24"/>
        </w:rPr>
        <w:t>Journal of Marketing</w:t>
      </w:r>
      <w:r w:rsidRPr="00530906">
        <w:rPr>
          <w:rFonts w:ascii="Cambria" w:hAnsi="Cambria" w:cs="Segoe UI"/>
          <w:sz w:val="24"/>
          <w:szCs w:val="24"/>
        </w:rPr>
        <w:t>, 80(1), pp. 7</w:t>
      </w:r>
      <w:r w:rsidR="004179CD" w:rsidRPr="00530906">
        <w:rPr>
          <w:rFonts w:ascii="Cambria" w:hAnsi="Cambria" w:cs="Segoe UI"/>
          <w:sz w:val="24"/>
          <w:szCs w:val="24"/>
        </w:rPr>
        <w:t>–</w:t>
      </w:r>
      <w:r w:rsidRPr="00530906">
        <w:rPr>
          <w:rFonts w:ascii="Cambria" w:hAnsi="Cambria" w:cs="Segoe UI"/>
          <w:sz w:val="24"/>
          <w:szCs w:val="24"/>
        </w:rPr>
        <w:t>2</w:t>
      </w:r>
      <w:r w:rsidRPr="00530906">
        <w:rPr>
          <w:rFonts w:ascii="Cambria" w:hAnsi="Cambria"/>
          <w:sz w:val="24"/>
          <w:szCs w:val="24"/>
        </w:rPr>
        <w:t xml:space="preserve">5. Doi: </w:t>
      </w:r>
      <w:hyperlink r:id="rId151" w:history="1">
        <w:r w:rsidRPr="00530906">
          <w:rPr>
            <w:rStyle w:val="Hyperlink"/>
            <w:rFonts w:ascii="Cambria" w:hAnsi="Cambria" w:cs="Arial"/>
            <w:color w:val="006ACC"/>
            <w:sz w:val="24"/>
            <w:szCs w:val="24"/>
            <w:shd w:val="clear" w:color="auto" w:fill="FFFFFF"/>
          </w:rPr>
          <w:t>10.1509/jm.14.0249</w:t>
        </w:r>
      </w:hyperlink>
    </w:p>
    <w:p w14:paraId="0BC5650C" w14:textId="719FD3FA"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Kumar, V., Chattaraman, V., Neghina, C., Skiera, B., Aksoy, L., Buoye, A. and Henseler, J. (2013) 'Data‐driven services marketing in a connected world', </w:t>
      </w:r>
      <w:r w:rsidRPr="00530906">
        <w:rPr>
          <w:rFonts w:ascii="Cambria" w:hAnsi="Cambria"/>
          <w:i/>
          <w:sz w:val="24"/>
          <w:szCs w:val="24"/>
        </w:rPr>
        <w:t>Journal of Service Management</w:t>
      </w:r>
      <w:r w:rsidRPr="00530906">
        <w:rPr>
          <w:rFonts w:ascii="Cambria" w:hAnsi="Cambria"/>
          <w:sz w:val="24"/>
          <w:szCs w:val="24"/>
        </w:rPr>
        <w:t>, 24(3), pp. 330–352. Doi: 10.1108/09564231311327021.</w:t>
      </w:r>
    </w:p>
    <w:p w14:paraId="39470E29" w14:textId="25CD9DEF" w:rsidR="0009178E"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Kumar, V., Rajan, B., Gupta, S. and Pozza, I.</w:t>
      </w:r>
      <w:r w:rsidR="003B1272" w:rsidRPr="00530906">
        <w:rPr>
          <w:rFonts w:ascii="Cambria" w:hAnsi="Cambria"/>
          <w:sz w:val="24"/>
          <w:szCs w:val="24"/>
        </w:rPr>
        <w:t xml:space="preserve"> </w:t>
      </w:r>
      <w:r w:rsidRPr="00530906">
        <w:rPr>
          <w:rFonts w:ascii="Cambria" w:hAnsi="Cambria"/>
          <w:sz w:val="24"/>
          <w:szCs w:val="24"/>
        </w:rPr>
        <w:t>D. (2017) 'Customer engagement in service'</w:t>
      </w:r>
      <w:r w:rsidRPr="00530906">
        <w:rPr>
          <w:rFonts w:ascii="Cambria" w:hAnsi="Cambria"/>
          <w:i/>
          <w:sz w:val="24"/>
          <w:szCs w:val="24"/>
        </w:rPr>
        <w:t>, Journal of the Academy of Marketing Science</w:t>
      </w:r>
      <w:r w:rsidRPr="00530906">
        <w:rPr>
          <w:rFonts w:ascii="Cambria" w:hAnsi="Cambria"/>
          <w:sz w:val="24"/>
          <w:szCs w:val="24"/>
        </w:rPr>
        <w:t>, 47(1), pp. 138–160. Doi: 10.1007/s11747–017–0565–2</w:t>
      </w:r>
    </w:p>
    <w:p w14:paraId="533577E4" w14:textId="63EB5F17" w:rsidR="007E4999" w:rsidRPr="00530906" w:rsidRDefault="007E4999">
      <w:pPr>
        <w:spacing w:line="360" w:lineRule="auto"/>
        <w:ind w:left="567" w:hanging="567"/>
        <w:jc w:val="both"/>
        <w:rPr>
          <w:sz w:val="24"/>
          <w:szCs w:val="24"/>
        </w:rPr>
      </w:pPr>
      <w:r w:rsidRPr="00530906">
        <w:rPr>
          <w:rFonts w:ascii="Cambria" w:hAnsi="Cambria"/>
          <w:sz w:val="24"/>
          <w:szCs w:val="24"/>
        </w:rPr>
        <w:t xml:space="preserve">Kuo, Y. F., and Feng, L. H. (2013) ‘Relationships among community interaction characteristics, perceived benefits, community commitment, and oppositional brand loyalty in online brand communities’, </w:t>
      </w:r>
      <w:r w:rsidRPr="00530906">
        <w:rPr>
          <w:rFonts w:ascii="Cambria" w:hAnsi="Cambria"/>
          <w:i/>
          <w:sz w:val="24"/>
          <w:szCs w:val="24"/>
        </w:rPr>
        <w:t>International Journal of Information Management</w:t>
      </w:r>
      <w:r w:rsidRPr="00530906">
        <w:rPr>
          <w:rFonts w:ascii="Cambria" w:hAnsi="Cambria"/>
          <w:sz w:val="24"/>
          <w:szCs w:val="24"/>
        </w:rPr>
        <w:t xml:space="preserve"> 33 (6), pp. 948– 962. doi:10.1016/j.ijinfomgt.2013.08.005 </w:t>
      </w:r>
    </w:p>
    <w:p w14:paraId="454538D9" w14:textId="5C30952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Lacher, K.</w:t>
      </w:r>
      <w:r w:rsidR="003B1272" w:rsidRPr="00530906">
        <w:rPr>
          <w:rFonts w:ascii="Cambria" w:hAnsi="Cambria"/>
          <w:sz w:val="24"/>
          <w:szCs w:val="24"/>
        </w:rPr>
        <w:t xml:space="preserve"> </w:t>
      </w:r>
      <w:r w:rsidRPr="00530906">
        <w:rPr>
          <w:rFonts w:ascii="Cambria" w:hAnsi="Cambria"/>
          <w:sz w:val="24"/>
          <w:szCs w:val="24"/>
        </w:rPr>
        <w:t xml:space="preserve">T. and Mizerski, R. (1994), ‘An exploratory study of the responses and relationships involved in the evaluation of, and in the intention to purchase new rock music’, </w:t>
      </w:r>
      <w:r w:rsidRPr="00530906">
        <w:rPr>
          <w:rFonts w:ascii="Cambria" w:hAnsi="Cambria"/>
          <w:i/>
          <w:sz w:val="24"/>
          <w:szCs w:val="24"/>
        </w:rPr>
        <w:t>Journal of Consumer Research</w:t>
      </w:r>
      <w:r w:rsidRPr="00530906">
        <w:rPr>
          <w:rFonts w:ascii="Cambria" w:hAnsi="Cambria"/>
          <w:sz w:val="24"/>
          <w:szCs w:val="24"/>
        </w:rPr>
        <w:t>, 21(2), pp.366–380. Doi: 10.1086/209404</w:t>
      </w:r>
    </w:p>
    <w:p w14:paraId="7DC2251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Larceneux, F., Benoit–Moreau, F., &amp;Renaudin, V. (2012). Why might organic labels fail to promote sustainable consumption? Marginal labelling and brand equity effects. Journal of Consumer Policy. 35, 85–104. doi:10.1007/s10603–011–9186–1</w:t>
      </w:r>
    </w:p>
    <w:p w14:paraId="1C158F7E" w14:textId="10F8812B"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Larson, L. R., Stedman, R.</w:t>
      </w:r>
      <w:r w:rsidR="003B1272" w:rsidRPr="00530906">
        <w:rPr>
          <w:rFonts w:ascii="Cambria" w:hAnsi="Cambria"/>
          <w:sz w:val="24"/>
          <w:szCs w:val="24"/>
        </w:rPr>
        <w:t xml:space="preserve"> </w:t>
      </w:r>
      <w:r w:rsidRPr="00530906">
        <w:rPr>
          <w:rFonts w:ascii="Cambria" w:hAnsi="Cambria"/>
          <w:sz w:val="24"/>
          <w:szCs w:val="24"/>
        </w:rPr>
        <w:t>C.,</w:t>
      </w:r>
      <w:r w:rsidR="003B1272" w:rsidRPr="00530906">
        <w:rPr>
          <w:rFonts w:ascii="Cambria" w:hAnsi="Cambria"/>
          <w:sz w:val="24"/>
          <w:szCs w:val="24"/>
        </w:rPr>
        <w:t xml:space="preserve"> </w:t>
      </w:r>
      <w:r w:rsidRPr="00530906">
        <w:rPr>
          <w:rFonts w:ascii="Cambria" w:hAnsi="Cambria"/>
          <w:sz w:val="24"/>
          <w:szCs w:val="24"/>
        </w:rPr>
        <w:t>Cooper, C.</w:t>
      </w:r>
      <w:r w:rsidR="003B1272" w:rsidRPr="00530906">
        <w:rPr>
          <w:rFonts w:ascii="Cambria" w:hAnsi="Cambria"/>
          <w:sz w:val="24"/>
          <w:szCs w:val="24"/>
        </w:rPr>
        <w:t xml:space="preserve"> </w:t>
      </w:r>
      <w:r w:rsidRPr="00530906">
        <w:rPr>
          <w:rFonts w:ascii="Cambria" w:hAnsi="Cambria"/>
          <w:sz w:val="24"/>
          <w:szCs w:val="24"/>
        </w:rPr>
        <w:t>B., Decker, D.</w:t>
      </w:r>
      <w:r w:rsidR="003B1272" w:rsidRPr="00530906">
        <w:rPr>
          <w:rFonts w:ascii="Cambria" w:hAnsi="Cambria"/>
          <w:sz w:val="24"/>
          <w:szCs w:val="24"/>
        </w:rPr>
        <w:t xml:space="preserve"> </w:t>
      </w:r>
      <w:r w:rsidRPr="00530906">
        <w:rPr>
          <w:rFonts w:ascii="Cambria" w:hAnsi="Cambria"/>
          <w:sz w:val="24"/>
          <w:szCs w:val="24"/>
        </w:rPr>
        <w:t>J.  (2015), Understanding the multi–dimensional structure of pro–environmental behavior. Journal of Environmental Psychology, 43 pp. 112–124</w:t>
      </w:r>
    </w:p>
    <w:p w14:paraId="022E87C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Lareu, J. (2017) </w:t>
      </w:r>
      <w:r w:rsidRPr="00530906">
        <w:rPr>
          <w:rFonts w:ascii="Cambria" w:hAnsi="Cambria"/>
          <w:i/>
          <w:iCs/>
          <w:sz w:val="24"/>
          <w:szCs w:val="24"/>
        </w:rPr>
        <w:t xml:space="preserve">How VW fared with its no–apology ads. </w:t>
      </w:r>
      <w:r w:rsidRPr="00530906">
        <w:rPr>
          <w:rFonts w:ascii="Cambria" w:hAnsi="Cambria"/>
          <w:sz w:val="24"/>
          <w:szCs w:val="24"/>
        </w:rPr>
        <w:t>Available at:</w:t>
      </w:r>
      <w:hyperlink r:id="rId152" w:history="1">
        <w:r w:rsidRPr="00530906">
          <w:rPr>
            <w:rStyle w:val="Hyperlink"/>
            <w:rFonts w:ascii="Cambria" w:hAnsi="Cambria"/>
            <w:color w:val="auto"/>
            <w:sz w:val="24"/>
            <w:szCs w:val="24"/>
          </w:rPr>
          <w:t>https://www.autonews.com/article/20170408/RETAIL03/304109995/how–vw–fared–with–its–no–apology–ads</w:t>
        </w:r>
      </w:hyperlink>
      <w:r w:rsidRPr="00530906">
        <w:rPr>
          <w:rFonts w:ascii="Cambria" w:hAnsi="Cambria"/>
          <w:sz w:val="24"/>
          <w:szCs w:val="24"/>
        </w:rPr>
        <w:t xml:space="preserve"> (Accessed date 04.03.2020</w:t>
      </w:r>
    </w:p>
    <w:p w14:paraId="4E1C91B2" w14:textId="632D5CA6"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Leary, R.</w:t>
      </w:r>
      <w:r w:rsidR="003B1272" w:rsidRPr="00530906">
        <w:rPr>
          <w:rFonts w:ascii="Cambria" w:hAnsi="Cambria" w:cs="Segoe UI"/>
          <w:sz w:val="24"/>
          <w:szCs w:val="24"/>
        </w:rPr>
        <w:t xml:space="preserve"> </w:t>
      </w:r>
      <w:r w:rsidRPr="00530906">
        <w:rPr>
          <w:rFonts w:ascii="Cambria" w:hAnsi="Cambria" w:cs="Segoe UI"/>
          <w:sz w:val="24"/>
          <w:szCs w:val="24"/>
        </w:rPr>
        <w:t>B., Vann, R.</w:t>
      </w:r>
      <w:r w:rsidR="003B1272" w:rsidRPr="00530906">
        <w:rPr>
          <w:rFonts w:ascii="Cambria" w:hAnsi="Cambria" w:cs="Segoe UI"/>
          <w:sz w:val="24"/>
          <w:szCs w:val="24"/>
        </w:rPr>
        <w:t xml:space="preserve"> </w:t>
      </w:r>
      <w:r w:rsidRPr="00530906">
        <w:rPr>
          <w:rFonts w:ascii="Cambria" w:hAnsi="Cambria" w:cs="Segoe UI"/>
          <w:sz w:val="24"/>
          <w:szCs w:val="24"/>
        </w:rPr>
        <w:t>J., Mittelstaedt, J.</w:t>
      </w:r>
      <w:r w:rsidR="003B1272" w:rsidRPr="00530906">
        <w:rPr>
          <w:rFonts w:ascii="Cambria" w:hAnsi="Cambria" w:cs="Segoe UI"/>
          <w:sz w:val="24"/>
          <w:szCs w:val="24"/>
        </w:rPr>
        <w:t xml:space="preserve"> </w:t>
      </w:r>
      <w:r w:rsidRPr="00530906">
        <w:rPr>
          <w:rFonts w:ascii="Cambria" w:hAnsi="Cambria" w:cs="Segoe UI"/>
          <w:sz w:val="24"/>
          <w:szCs w:val="24"/>
        </w:rPr>
        <w:t>D., Murphy, P.</w:t>
      </w:r>
      <w:r w:rsidR="003B1272" w:rsidRPr="00530906">
        <w:rPr>
          <w:rFonts w:ascii="Cambria" w:hAnsi="Cambria" w:cs="Segoe UI"/>
          <w:sz w:val="24"/>
          <w:szCs w:val="24"/>
        </w:rPr>
        <w:t xml:space="preserve"> </w:t>
      </w:r>
      <w:r w:rsidRPr="00530906">
        <w:rPr>
          <w:rFonts w:ascii="Cambria" w:hAnsi="Cambria" w:cs="Segoe UI"/>
          <w:sz w:val="24"/>
          <w:szCs w:val="24"/>
        </w:rPr>
        <w:t>E. and Sherry, J.</w:t>
      </w:r>
      <w:r w:rsidR="003B1272" w:rsidRPr="00530906">
        <w:rPr>
          <w:rFonts w:ascii="Cambria" w:hAnsi="Cambria" w:cs="Segoe UI"/>
          <w:sz w:val="24"/>
          <w:szCs w:val="24"/>
        </w:rPr>
        <w:t xml:space="preserve"> </w:t>
      </w:r>
      <w:r w:rsidRPr="00530906">
        <w:rPr>
          <w:rFonts w:ascii="Cambria" w:hAnsi="Cambria" w:cs="Segoe UI"/>
          <w:sz w:val="24"/>
          <w:szCs w:val="24"/>
        </w:rPr>
        <w:t xml:space="preserve">F. (2014) 'Changing the marketplace one behavior at a time: Perceived marketplace influence and sustainable consumption', </w:t>
      </w:r>
      <w:r w:rsidRPr="00530906">
        <w:rPr>
          <w:rFonts w:ascii="Cambria" w:hAnsi="Cambria" w:cs="Segoe UI"/>
          <w:i/>
          <w:iCs/>
          <w:sz w:val="24"/>
          <w:szCs w:val="24"/>
        </w:rPr>
        <w:t>Journal of Business Research</w:t>
      </w:r>
      <w:r w:rsidRPr="00530906">
        <w:rPr>
          <w:rFonts w:ascii="Cambria" w:hAnsi="Cambria" w:cs="Segoe UI"/>
          <w:sz w:val="24"/>
          <w:szCs w:val="24"/>
        </w:rPr>
        <w:t>, 67(9), pp. 1953–1958. Doi: 10.1016/j.jbusres.2013.11.004</w:t>
      </w:r>
    </w:p>
    <w:p w14:paraId="390E4BC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Lee, J. S., Hsu, L. T., Han, H. and Kim, Y. (2010) ‘Understanding how consumers view green hotels: how a hotel's green image can influence behavioural intentions’, </w:t>
      </w:r>
      <w:r w:rsidRPr="00530906">
        <w:rPr>
          <w:rFonts w:ascii="Cambria" w:hAnsi="Cambria"/>
          <w:i/>
          <w:sz w:val="24"/>
          <w:szCs w:val="24"/>
        </w:rPr>
        <w:t>Journal of Sustainable Tourism</w:t>
      </w:r>
      <w:r w:rsidRPr="00530906">
        <w:rPr>
          <w:rFonts w:ascii="Cambria" w:hAnsi="Cambria"/>
          <w:sz w:val="24"/>
          <w:szCs w:val="24"/>
        </w:rPr>
        <w:t>, 18(7), 901–914. DOI:10.1080/09669581003777747</w:t>
      </w:r>
    </w:p>
    <w:p w14:paraId="747E1AA2" w14:textId="7CB448F8"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Lee, K., Oh, W. Y., &amp; Kim, N. (2013). Social media for socially responsible firms: Analysis of Fortune 500’s Twitter profiles and their CSR/CSIR ratings.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118</w:t>
      </w:r>
      <w:r w:rsidRPr="00530906">
        <w:rPr>
          <w:rFonts w:ascii="Cambria" w:hAnsi="Cambria" w:cs="Arial"/>
          <w:sz w:val="24"/>
          <w:szCs w:val="24"/>
          <w:shd w:val="clear" w:color="auto" w:fill="FFFFFF"/>
        </w:rPr>
        <w:t>(4), 791</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806. </w:t>
      </w:r>
      <w:r w:rsidRPr="00530906">
        <w:rPr>
          <w:rFonts w:ascii="Cambria" w:hAnsi="Cambria" w:cs="AdvPTimes"/>
          <w:sz w:val="24"/>
          <w:szCs w:val="24"/>
        </w:rPr>
        <w:t>DOI 10.1007/s10551</w:t>
      </w:r>
      <w:r w:rsidR="004179CD" w:rsidRPr="00530906">
        <w:rPr>
          <w:rFonts w:ascii="Cambria" w:hAnsi="Cambria" w:cs="AdvPTimes"/>
          <w:sz w:val="24"/>
          <w:szCs w:val="24"/>
        </w:rPr>
        <w:t>–</w:t>
      </w:r>
      <w:r w:rsidRPr="00530906">
        <w:rPr>
          <w:rFonts w:ascii="Cambria" w:hAnsi="Cambria" w:cs="AdvPTimes"/>
          <w:sz w:val="24"/>
          <w:szCs w:val="24"/>
        </w:rPr>
        <w:t>013</w:t>
      </w:r>
      <w:r w:rsidR="004179CD" w:rsidRPr="00530906">
        <w:rPr>
          <w:rFonts w:ascii="Cambria" w:hAnsi="Cambria" w:cs="AdvPTimes"/>
          <w:sz w:val="24"/>
          <w:szCs w:val="24"/>
        </w:rPr>
        <w:t>–</w:t>
      </w:r>
      <w:r w:rsidRPr="00530906">
        <w:rPr>
          <w:rFonts w:ascii="Cambria" w:hAnsi="Cambria" w:cs="AdvPTimes"/>
          <w:sz w:val="24"/>
          <w:szCs w:val="24"/>
        </w:rPr>
        <w:t>1961</w:t>
      </w:r>
      <w:r w:rsidR="004179CD" w:rsidRPr="00530906">
        <w:rPr>
          <w:rFonts w:ascii="Cambria" w:hAnsi="Cambria" w:cs="AdvPTimes"/>
          <w:sz w:val="24"/>
          <w:szCs w:val="24"/>
        </w:rPr>
        <w:t>–</w:t>
      </w:r>
      <w:r w:rsidRPr="00530906">
        <w:rPr>
          <w:rFonts w:ascii="Cambria" w:hAnsi="Cambria" w:cs="AdvPTimes"/>
          <w:sz w:val="24"/>
          <w:szCs w:val="24"/>
        </w:rPr>
        <w:t>2</w:t>
      </w:r>
    </w:p>
    <w:p w14:paraId="24D0B70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Lee, M. K., Shi, N., Cheung, C. M., Lim, K. H., &amp; Sia, C. L. (2011). Consumer's decision to shop online: The moderating role of positive informational social influence. </w:t>
      </w:r>
      <w:r w:rsidRPr="00530906">
        <w:rPr>
          <w:rFonts w:ascii="Cambria" w:hAnsi="Cambria" w:cs="Arial"/>
          <w:i/>
          <w:iCs/>
          <w:sz w:val="24"/>
          <w:szCs w:val="24"/>
          <w:shd w:val="clear" w:color="auto" w:fill="FFFFFF"/>
        </w:rPr>
        <w:t>Information &amp; management</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48</w:t>
      </w:r>
      <w:r w:rsidRPr="00530906">
        <w:rPr>
          <w:rFonts w:ascii="Cambria" w:hAnsi="Cambria" w:cs="Arial"/>
          <w:sz w:val="24"/>
          <w:szCs w:val="24"/>
          <w:shd w:val="clear" w:color="auto" w:fill="FFFFFF"/>
        </w:rPr>
        <w:t>(6), 185–191. Doi:10.1016/j.im.2010.08.005</w:t>
      </w:r>
    </w:p>
    <w:p w14:paraId="7451538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Leila, E., Elisa, M. and Fanny, R. (2016) ‘“Do as I Do”: Effect of Descriptive Social Norm and Endorsement on Ad Credibility and Intention to Purchase Non–Overpackaged Products’, AMA Marketing &amp; Public Policy Academic Conference Proceedings, 26, pp. 109–110. Available at: </w:t>
      </w:r>
      <w:hyperlink r:id="rId153" w:history="1">
        <w:r w:rsidRPr="00530906">
          <w:rPr>
            <w:rStyle w:val="Hyperlink"/>
            <w:rFonts w:ascii="Cambria" w:hAnsi="Cambria"/>
            <w:color w:val="auto"/>
            <w:sz w:val="24"/>
            <w:szCs w:val="24"/>
          </w:rPr>
          <w:t>http://search.ebscohost.com/login.aspx?direct=true&amp;db=bth&amp;AN=119960883&amp;site=bsi–live</w:t>
        </w:r>
      </w:hyperlink>
      <w:r w:rsidRPr="00530906">
        <w:rPr>
          <w:rFonts w:ascii="Cambria" w:hAnsi="Cambria"/>
          <w:sz w:val="24"/>
          <w:szCs w:val="24"/>
        </w:rPr>
        <w:t xml:space="preserve"> (Accessed: 22 November 2020).</w:t>
      </w:r>
    </w:p>
    <w:p w14:paraId="6EFF0DE7"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Lemke, F., Clark, M. and Wilson, H. (2011) 'Customer experience quality: an exploration in business and consumer contexts using repertory grid technique', </w:t>
      </w:r>
      <w:r w:rsidRPr="00530906">
        <w:rPr>
          <w:rFonts w:ascii="Cambria" w:hAnsi="Cambria" w:cs="Segoe UI"/>
          <w:i/>
          <w:sz w:val="24"/>
          <w:szCs w:val="24"/>
        </w:rPr>
        <w:t>Journal of the Academy of Marketing Science</w:t>
      </w:r>
      <w:r w:rsidRPr="00530906">
        <w:rPr>
          <w:rFonts w:ascii="Cambria" w:hAnsi="Cambria" w:cs="Segoe UI"/>
          <w:sz w:val="24"/>
          <w:szCs w:val="24"/>
        </w:rPr>
        <w:t>, 39(6), pp. p846–869. Doi: 10.1007/s11747–010–0219–0.</w:t>
      </w:r>
    </w:p>
    <w:p w14:paraId="49C5546C"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Li, C. Y. (2013). Persuasive messages on information system acceptance: A theoretical extension of elaboration likelihood model and social influence theory. </w:t>
      </w:r>
      <w:r w:rsidRPr="00530906">
        <w:rPr>
          <w:rFonts w:ascii="Cambria" w:hAnsi="Cambria" w:cs="Segoe UI"/>
          <w:i/>
          <w:sz w:val="24"/>
          <w:szCs w:val="24"/>
        </w:rPr>
        <w:t xml:space="preserve">Computers in Human Behavior, </w:t>
      </w:r>
      <w:r w:rsidRPr="00530906">
        <w:rPr>
          <w:rFonts w:ascii="Cambria" w:hAnsi="Cambria" w:cs="Segoe UI"/>
          <w:sz w:val="24"/>
          <w:szCs w:val="24"/>
        </w:rPr>
        <w:t>29(1), 264–275. doi: 10.1016/j.chb.2012.09.003</w:t>
      </w:r>
    </w:p>
    <w:p w14:paraId="0C54D306"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Li, L. P., Juric, B., &amp; Brodie, R. J. (2018). Actor engagement valence: Conceptual foundations, propositions and research directions. </w:t>
      </w:r>
      <w:r w:rsidRPr="00530906">
        <w:rPr>
          <w:rFonts w:ascii="Cambria" w:hAnsi="Cambria" w:cs="Segoe UI"/>
          <w:i/>
          <w:sz w:val="24"/>
          <w:szCs w:val="24"/>
        </w:rPr>
        <w:t>Journal of Service Management</w:t>
      </w:r>
      <w:r w:rsidRPr="00530906">
        <w:rPr>
          <w:rFonts w:ascii="Cambria" w:hAnsi="Cambria" w:cs="Segoe UI"/>
          <w:sz w:val="24"/>
          <w:szCs w:val="24"/>
        </w:rPr>
        <w:t>, 29(3), 491–516. Doi: 10.1108/JOSM–08–2016–0235</w:t>
      </w:r>
    </w:p>
    <w:p w14:paraId="2D3049CC" w14:textId="1933E86F" w:rsidR="007E4999"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Li, T., Berens, G. and de Maertelaere, M. (2013) 'Corporate Twitter Channels: The Impact of Engagement and Informedness on Corporate Reputation', </w:t>
      </w:r>
      <w:r w:rsidRPr="00530906">
        <w:rPr>
          <w:rFonts w:ascii="Cambria" w:hAnsi="Cambria" w:cs="Segoe UI"/>
          <w:i/>
          <w:iCs/>
          <w:sz w:val="24"/>
          <w:szCs w:val="24"/>
        </w:rPr>
        <w:t>International Journal of Electronic Commerce</w:t>
      </w:r>
      <w:r w:rsidRPr="00530906">
        <w:rPr>
          <w:rFonts w:ascii="Cambria" w:hAnsi="Cambria" w:cs="Segoe UI"/>
          <w:sz w:val="24"/>
          <w:szCs w:val="24"/>
        </w:rPr>
        <w:t>, 18(2), pp. 97</w:t>
      </w:r>
      <w:r w:rsidR="004179CD" w:rsidRPr="00530906">
        <w:rPr>
          <w:rFonts w:ascii="Cambria" w:hAnsi="Cambria" w:cs="Segoe UI"/>
          <w:sz w:val="24"/>
          <w:szCs w:val="24"/>
        </w:rPr>
        <w:t>–</w:t>
      </w:r>
      <w:r w:rsidRPr="00530906">
        <w:rPr>
          <w:rFonts w:ascii="Cambria" w:hAnsi="Cambria" w:cs="Segoe UI"/>
          <w:sz w:val="24"/>
          <w:szCs w:val="24"/>
        </w:rPr>
        <w:t>126. Doi: 10.2753/JEC1086</w:t>
      </w:r>
      <w:r w:rsidR="004179CD" w:rsidRPr="00530906">
        <w:rPr>
          <w:rFonts w:ascii="Cambria" w:hAnsi="Cambria" w:cs="Segoe UI"/>
          <w:sz w:val="24"/>
          <w:szCs w:val="24"/>
        </w:rPr>
        <w:t>–</w:t>
      </w:r>
      <w:r w:rsidRPr="00530906">
        <w:rPr>
          <w:rFonts w:ascii="Cambria" w:hAnsi="Cambria" w:cs="Segoe UI"/>
          <w:sz w:val="24"/>
          <w:szCs w:val="24"/>
        </w:rPr>
        <w:t>4415180204</w:t>
      </w:r>
    </w:p>
    <w:p w14:paraId="7768ADFB" w14:textId="6878C684" w:rsidR="002A5EEE" w:rsidRPr="00530906" w:rsidRDefault="002A5EEE">
      <w:pPr>
        <w:spacing w:line="360" w:lineRule="auto"/>
        <w:ind w:left="567" w:hanging="567"/>
        <w:jc w:val="both"/>
        <w:rPr>
          <w:rFonts w:ascii="Cambria" w:hAnsi="Cambria"/>
          <w:sz w:val="24"/>
          <w:szCs w:val="24"/>
        </w:rPr>
      </w:pPr>
      <w:r w:rsidRPr="002A5EEE">
        <w:rPr>
          <w:rFonts w:ascii="Cambria" w:hAnsi="Cambria"/>
          <w:sz w:val="24"/>
          <w:szCs w:val="24"/>
        </w:rPr>
        <w:t>Li, X., &amp; Kaplanidou, K. (2013). The impact of the 2008 Beijing Olympic Games on China’s destination brand: A US-based examination. Journal of Hospitality &amp; Tourism Research, 37(2), 237-261</w:t>
      </w:r>
      <w:r w:rsidR="00F41B61">
        <w:rPr>
          <w:rFonts w:ascii="Cambria" w:hAnsi="Cambria"/>
          <w:sz w:val="24"/>
          <w:szCs w:val="24"/>
        </w:rPr>
        <w:t xml:space="preserve">. Doi: </w:t>
      </w:r>
      <w:r w:rsidR="00F41B61" w:rsidRPr="00F41B61">
        <w:rPr>
          <w:rFonts w:ascii="Cambria" w:hAnsi="Cambria"/>
          <w:sz w:val="24"/>
          <w:szCs w:val="24"/>
        </w:rPr>
        <w:t>10.1177/1096348011425499</w:t>
      </w:r>
    </w:p>
    <w:p w14:paraId="406352D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Lim, W. M. (2016) ‘A blueprint for sustainability marketing: Defining its conceptual boundaries for progress’, </w:t>
      </w:r>
      <w:r w:rsidRPr="00530906">
        <w:rPr>
          <w:rFonts w:ascii="Cambria" w:hAnsi="Cambria"/>
          <w:i/>
          <w:sz w:val="24"/>
          <w:szCs w:val="24"/>
        </w:rPr>
        <w:t>Marketing Theory</w:t>
      </w:r>
      <w:r w:rsidRPr="00530906">
        <w:rPr>
          <w:rFonts w:ascii="Cambria" w:hAnsi="Cambria"/>
          <w:sz w:val="24"/>
          <w:szCs w:val="24"/>
        </w:rPr>
        <w:t>, 16(2), pp. 232–249. doi: 10.1177/1470593115609796.</w:t>
      </w:r>
    </w:p>
    <w:p w14:paraId="3D6F131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Lim, W. M. (2017) ‘Inside the substantial consumption theoretical toolbox: Critical concept for sustainability, consumption and marketing’, </w:t>
      </w:r>
      <w:r w:rsidRPr="00530906">
        <w:rPr>
          <w:rFonts w:ascii="Cambria" w:hAnsi="Cambria"/>
          <w:i/>
          <w:sz w:val="24"/>
          <w:szCs w:val="24"/>
        </w:rPr>
        <w:t>Journal of Business Research</w:t>
      </w:r>
      <w:r w:rsidRPr="00530906">
        <w:rPr>
          <w:rFonts w:ascii="Cambria" w:hAnsi="Cambria"/>
          <w:sz w:val="24"/>
          <w:szCs w:val="24"/>
        </w:rPr>
        <w:t>, Vol 78, pp. 69–80. doi: 10.1016/j.jbusres.2017.05.001.</w:t>
      </w:r>
    </w:p>
    <w:p w14:paraId="1A573B4A" w14:textId="5616DB7F" w:rsidR="008C5730" w:rsidRPr="00530906" w:rsidRDefault="008C5730">
      <w:pPr>
        <w:spacing w:line="360" w:lineRule="auto"/>
        <w:ind w:left="567" w:hanging="567"/>
        <w:jc w:val="both"/>
        <w:rPr>
          <w:rFonts w:ascii="Cambria" w:hAnsi="Cambria"/>
          <w:sz w:val="24"/>
          <w:szCs w:val="24"/>
        </w:rPr>
      </w:pPr>
      <w:r w:rsidRPr="00530906">
        <w:rPr>
          <w:rFonts w:ascii="Cambria" w:hAnsi="Cambria" w:cs="Segoe UI"/>
          <w:sz w:val="24"/>
          <w:szCs w:val="24"/>
        </w:rPr>
        <w:t xml:space="preserve">Lin, X., Sarker, S. and Featherman, M. (2019) 'Users' Psychological Perceptions of Information Sharing in the Context of Social Media: A Comprehensive Model', </w:t>
      </w:r>
      <w:r w:rsidRPr="00530906">
        <w:rPr>
          <w:rFonts w:ascii="Cambria" w:hAnsi="Cambria" w:cs="Segoe UI"/>
          <w:i/>
          <w:iCs/>
          <w:sz w:val="24"/>
          <w:szCs w:val="24"/>
        </w:rPr>
        <w:t>International Journal of Electronic Commerce</w:t>
      </w:r>
      <w:r w:rsidRPr="00530906">
        <w:rPr>
          <w:rFonts w:ascii="Cambria" w:hAnsi="Cambria" w:cs="Segoe UI"/>
          <w:sz w:val="24"/>
          <w:szCs w:val="24"/>
        </w:rPr>
        <w:t>, 23(4), pp. 453</w:t>
      </w:r>
      <w:r w:rsidR="004179CD" w:rsidRPr="00530906">
        <w:rPr>
          <w:rFonts w:ascii="Cambria" w:hAnsi="Cambria" w:cs="Segoe UI"/>
          <w:sz w:val="24"/>
          <w:szCs w:val="24"/>
        </w:rPr>
        <w:t>–</w:t>
      </w:r>
      <w:r w:rsidRPr="00530906">
        <w:rPr>
          <w:rFonts w:ascii="Cambria" w:hAnsi="Cambria" w:cs="Segoe UI"/>
          <w:sz w:val="24"/>
          <w:szCs w:val="24"/>
        </w:rPr>
        <w:t>491. Doi: 10.1080/10864415.2019.1655210</w:t>
      </w:r>
    </w:p>
    <w:p w14:paraId="693D6B7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Lin, H. Y. and Hsu, M. H. (2015) “Using Social Cognitive Theory to Investigate Green Consumer Behavior”, </w:t>
      </w:r>
      <w:r w:rsidRPr="00530906">
        <w:rPr>
          <w:rFonts w:ascii="Cambria" w:hAnsi="Cambria"/>
          <w:i/>
          <w:sz w:val="24"/>
          <w:szCs w:val="24"/>
        </w:rPr>
        <w:t>Business Strategy and the Environment</w:t>
      </w:r>
      <w:r w:rsidRPr="00530906">
        <w:rPr>
          <w:rFonts w:ascii="Cambria" w:hAnsi="Cambria"/>
          <w:sz w:val="24"/>
          <w:szCs w:val="24"/>
        </w:rPr>
        <w:t xml:space="preserve">, 24 (5), pp. 326–343, DOI: 10.1002/bse.1820. </w:t>
      </w:r>
    </w:p>
    <w:p w14:paraId="7451BBC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Line, N. D., Hanks, L. and Zhang, L. (2016) ‘Sustainability communication: The effect of message construals on consumers’ attitudes towards green restaurants’, I</w:t>
      </w:r>
      <w:r w:rsidRPr="00530906">
        <w:rPr>
          <w:rFonts w:ascii="Cambria" w:hAnsi="Cambria"/>
          <w:i/>
          <w:sz w:val="24"/>
          <w:szCs w:val="24"/>
        </w:rPr>
        <w:t>nternational Journal of Hospitality Management</w:t>
      </w:r>
      <w:r w:rsidRPr="00530906">
        <w:rPr>
          <w:rFonts w:ascii="Cambria" w:hAnsi="Cambria"/>
          <w:sz w:val="24"/>
          <w:szCs w:val="24"/>
        </w:rPr>
        <w:t>. 57, pp. 143–151. Doi:10.1016/j.ijhm.2016.07.001.</w:t>
      </w:r>
    </w:p>
    <w:p w14:paraId="290918C9" w14:textId="17AC75B0"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Liobikiene, G., Mandravickaite, J., &amp; Bernatoniene, J. (2016). Theory of planned behavior approach to understand the green purchasing behavior in the EU: A cross–cultural study. Ecological Economics, 125, 38–46. doi:10.1016/j.ecolecon.2016.02.008</w:t>
      </w:r>
    </w:p>
    <w:p w14:paraId="4E2BAC17" w14:textId="40BC1316" w:rsidR="00DA6FC1" w:rsidRPr="00530906" w:rsidRDefault="00DA6FC1">
      <w:pPr>
        <w:spacing w:line="360" w:lineRule="auto"/>
        <w:ind w:left="567" w:hanging="567"/>
        <w:jc w:val="both"/>
        <w:rPr>
          <w:rFonts w:ascii="Cambria" w:hAnsi="Cambria"/>
          <w:sz w:val="24"/>
          <w:szCs w:val="24"/>
        </w:rPr>
      </w:pPr>
      <w:r w:rsidRPr="00DA6FC1">
        <w:rPr>
          <w:rFonts w:ascii="Cambria" w:hAnsi="Cambria"/>
          <w:sz w:val="24"/>
          <w:szCs w:val="24"/>
        </w:rPr>
        <w:t>Lorde, T., Greenidge, D., &amp; Devonish, D. (2011). Local residents’ perceptions of the impacts of the ICC Cricket World Cup 2007 on Barbados: Comparisons of pre-and post-games. Tourism management, 32(2), 349-356.</w:t>
      </w:r>
      <w:r w:rsidR="00095686">
        <w:rPr>
          <w:rFonts w:ascii="Cambria" w:hAnsi="Cambria"/>
          <w:sz w:val="24"/>
          <w:szCs w:val="24"/>
        </w:rPr>
        <w:t xml:space="preserve"> Doi: </w:t>
      </w:r>
      <w:r w:rsidR="00C51DFE" w:rsidRPr="00C51DFE">
        <w:rPr>
          <w:rFonts w:ascii="Cambria" w:hAnsi="Cambria"/>
          <w:sz w:val="24"/>
          <w:szCs w:val="24"/>
        </w:rPr>
        <w:t>10.1016/j.tourman.2010.03.004</w:t>
      </w:r>
    </w:p>
    <w:p w14:paraId="5D08927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Loureiro, S. M. C., Gorgus, T., &amp; Kaufmann, H. R. (2017). Antecedents and outcomes of online brand engagement The role of brand love on enhancing electronic–word–of–mouth. Online Information Review, 41(7), 985–1005. doi:10.1108/oir–08–2016–0236</w:t>
      </w:r>
    </w:p>
    <w:p w14:paraId="28B1E60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Lovett, M. J., Peres, R. and Shachar, R. (2013), ‘On Brands and Word of Mouth,’ </w:t>
      </w:r>
      <w:r w:rsidRPr="00530906">
        <w:rPr>
          <w:rFonts w:ascii="Cambria" w:hAnsi="Cambria"/>
          <w:i/>
          <w:sz w:val="24"/>
          <w:szCs w:val="24"/>
        </w:rPr>
        <w:t>Journal of Marketing Research</w:t>
      </w:r>
      <w:r w:rsidRPr="00530906">
        <w:rPr>
          <w:rFonts w:ascii="Cambria" w:hAnsi="Cambria"/>
          <w:sz w:val="24"/>
          <w:szCs w:val="24"/>
        </w:rPr>
        <w:t>, 50 (4), 427–444. doi: 10.1509/jmr.11.0458.</w:t>
      </w:r>
    </w:p>
    <w:p w14:paraId="4BD15D9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Lowe, B. and Johnson, D. (2017) "Diagnostic and prescriptive benefits of consumer participation in virtual communities of personal challenge", </w:t>
      </w:r>
      <w:r w:rsidRPr="00530906">
        <w:rPr>
          <w:rFonts w:ascii="Cambria" w:hAnsi="Cambria"/>
          <w:i/>
          <w:sz w:val="24"/>
          <w:szCs w:val="24"/>
        </w:rPr>
        <w:t>European Journal of Marketing</w:t>
      </w:r>
      <w:r w:rsidRPr="00530906">
        <w:rPr>
          <w:rFonts w:ascii="Cambria" w:hAnsi="Cambria"/>
          <w:sz w:val="24"/>
          <w:szCs w:val="24"/>
        </w:rPr>
        <w:t>, Vol. 51 Issue: 11/12, pp.1817–1835. Doi: 10.1108/EJM–05–2016–0271</w:t>
      </w:r>
    </w:p>
    <w:p w14:paraId="1FA324AA" w14:textId="5E484576"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Luchs, M.</w:t>
      </w:r>
      <w:r w:rsidR="003B1272" w:rsidRPr="00530906">
        <w:rPr>
          <w:rFonts w:ascii="Cambria" w:hAnsi="Cambria" w:cs="Segoe UI"/>
          <w:sz w:val="24"/>
          <w:szCs w:val="24"/>
        </w:rPr>
        <w:t xml:space="preserve"> </w:t>
      </w:r>
      <w:r w:rsidRPr="00530906">
        <w:rPr>
          <w:rFonts w:ascii="Cambria" w:hAnsi="Cambria" w:cs="Segoe UI"/>
          <w:sz w:val="24"/>
          <w:szCs w:val="24"/>
        </w:rPr>
        <w:t>G. and Kumar, M. (2017) ' “Yes, but this other one looks better/works better”: how do consumers respond to trade–offs between sustainability and other valued attributes?',</w:t>
      </w:r>
      <w:r w:rsidRPr="00530906">
        <w:rPr>
          <w:rFonts w:ascii="Cambria" w:hAnsi="Cambria" w:cs="Segoe UI"/>
          <w:i/>
          <w:iCs/>
          <w:sz w:val="24"/>
          <w:szCs w:val="24"/>
        </w:rPr>
        <w:t xml:space="preserve"> Journal of Business Ethics</w:t>
      </w:r>
      <w:r w:rsidRPr="00530906">
        <w:rPr>
          <w:rFonts w:ascii="Cambria" w:hAnsi="Cambria" w:cs="Segoe UI"/>
          <w:sz w:val="24"/>
          <w:szCs w:val="24"/>
        </w:rPr>
        <w:t>, 140(3), pp. 567–584. Doi: 10.1007/s10551–015–2695–0</w:t>
      </w:r>
    </w:p>
    <w:p w14:paraId="50C24F05" w14:textId="77777777" w:rsidR="007E4999" w:rsidRPr="00530906" w:rsidRDefault="007E4999">
      <w:pPr>
        <w:spacing w:line="360" w:lineRule="auto"/>
        <w:ind w:left="567" w:hanging="567"/>
        <w:jc w:val="both"/>
        <w:rPr>
          <w:rFonts w:ascii="Cambria" w:hAnsi="Cambria" w:cs="YjjwbtAdvPTimes"/>
          <w:sz w:val="24"/>
          <w:szCs w:val="24"/>
        </w:rPr>
      </w:pPr>
      <w:r w:rsidRPr="00530906">
        <w:rPr>
          <w:rFonts w:ascii="Cambria" w:hAnsi="Cambria" w:cs="YjjwbtAdvPTimes"/>
          <w:sz w:val="24"/>
          <w:szCs w:val="24"/>
        </w:rPr>
        <w:t xml:space="preserve">Luchs, M. G., Brower, J., &amp; Chitturi, R. (2012). Product choice and the importance of aesthetic design given the emotion–laden trade–off between sustainability and functional performance. </w:t>
      </w:r>
      <w:r w:rsidRPr="00530906">
        <w:rPr>
          <w:rFonts w:ascii="Cambria" w:hAnsi="Cambria" w:cs="VkqpyqAdvPTimesI"/>
          <w:sz w:val="24"/>
          <w:szCs w:val="24"/>
        </w:rPr>
        <w:t>Journal of Product Innovation Management, 29</w:t>
      </w:r>
      <w:r w:rsidRPr="00530906">
        <w:rPr>
          <w:rFonts w:ascii="Cambria" w:hAnsi="Cambria" w:cs="YjjwbtAdvPTimes"/>
          <w:sz w:val="24"/>
          <w:szCs w:val="24"/>
        </w:rPr>
        <w:t xml:space="preserve">(6), 903–916. Doi: </w:t>
      </w:r>
      <w:r w:rsidRPr="00530906">
        <w:rPr>
          <w:rFonts w:ascii="Cambria" w:hAnsi="Cambria" w:cs="Times-Roman"/>
          <w:sz w:val="24"/>
          <w:szCs w:val="24"/>
        </w:rPr>
        <w:t>10.1111/j.1540–5885.2012.00970.x</w:t>
      </w:r>
    </w:p>
    <w:p w14:paraId="495E54AC" w14:textId="159DB50F"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Luchs, M.</w:t>
      </w:r>
      <w:r w:rsidR="003B1272" w:rsidRPr="00530906">
        <w:rPr>
          <w:rFonts w:ascii="Cambria" w:hAnsi="Cambria" w:cs="Segoe UI"/>
          <w:sz w:val="24"/>
          <w:szCs w:val="24"/>
        </w:rPr>
        <w:t xml:space="preserve"> </w:t>
      </w:r>
      <w:r w:rsidRPr="00530906">
        <w:rPr>
          <w:rFonts w:ascii="Cambria" w:hAnsi="Cambria" w:cs="Segoe UI"/>
          <w:sz w:val="24"/>
          <w:szCs w:val="24"/>
        </w:rPr>
        <w:t xml:space="preserve">G., Naylor, R.W., Irwin, J.R. and Raghunathan, R. (2010) 'The sustainability liability: Potential negative effects of ethicality on product preference', </w:t>
      </w:r>
      <w:r w:rsidRPr="00530906">
        <w:rPr>
          <w:rFonts w:ascii="Cambria" w:hAnsi="Cambria" w:cs="Segoe UI"/>
          <w:i/>
          <w:iCs/>
          <w:sz w:val="24"/>
          <w:szCs w:val="24"/>
        </w:rPr>
        <w:t>Journal of Marketing</w:t>
      </w:r>
      <w:r w:rsidRPr="00530906">
        <w:rPr>
          <w:rFonts w:ascii="Cambria" w:hAnsi="Cambria" w:cs="Segoe UI"/>
          <w:sz w:val="24"/>
          <w:szCs w:val="24"/>
        </w:rPr>
        <w:t>, 74(5), pp. 18–31. Doi:10.1509/jmkg.74.5.018</w:t>
      </w:r>
    </w:p>
    <w:p w14:paraId="203D0715" w14:textId="4712306E" w:rsidR="007E4999" w:rsidRPr="00530906" w:rsidRDefault="007E4999">
      <w:pPr>
        <w:spacing w:line="360" w:lineRule="auto"/>
        <w:ind w:left="567" w:hanging="567"/>
        <w:jc w:val="both"/>
        <w:rPr>
          <w:sz w:val="24"/>
          <w:szCs w:val="24"/>
          <w:shd w:val="clear" w:color="auto" w:fill="FFFFFF"/>
        </w:rPr>
      </w:pPr>
      <w:r w:rsidRPr="00530906">
        <w:rPr>
          <w:rFonts w:ascii="Cambria" w:hAnsi="Cambria"/>
          <w:sz w:val="24"/>
          <w:szCs w:val="24"/>
        </w:rPr>
        <w:t xml:space="preserve">Lyon, T. P. and Montgomery, A. W. (2014) ‘Tweetjacked: The impact of social–media on corporate Greenwash’, </w:t>
      </w:r>
      <w:r w:rsidRPr="00530906">
        <w:rPr>
          <w:rFonts w:ascii="Cambria" w:hAnsi="Cambria"/>
          <w:i/>
          <w:sz w:val="24"/>
          <w:szCs w:val="24"/>
        </w:rPr>
        <w:t>Journal of Business Ethics,</w:t>
      </w:r>
      <w:r w:rsidRPr="00530906">
        <w:rPr>
          <w:rFonts w:ascii="Cambria" w:hAnsi="Cambria"/>
          <w:sz w:val="24"/>
          <w:szCs w:val="24"/>
        </w:rPr>
        <w:t xml:space="preserve"> 118(4), pp. 747–757. doi: 10.1007/s10551–013–1958–x.</w:t>
      </w:r>
    </w:p>
    <w:p w14:paraId="60458093"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MacKenzie, S. B., Lutz, R. J., &amp; Belch, G. E. (1986). The role of attitude toward the ad as a mediator of advertising effectiveness: A test of competing explanations. </w:t>
      </w:r>
      <w:r w:rsidRPr="00530906">
        <w:rPr>
          <w:rFonts w:ascii="Cambria" w:hAnsi="Cambria" w:cs="Arial"/>
          <w:i/>
          <w:iCs/>
          <w:sz w:val="24"/>
          <w:szCs w:val="24"/>
          <w:shd w:val="clear" w:color="auto" w:fill="FFFFFF"/>
        </w:rPr>
        <w:t>Journal of marketing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23</w:t>
      </w:r>
      <w:r w:rsidRPr="00530906">
        <w:rPr>
          <w:rFonts w:ascii="Cambria" w:hAnsi="Cambria" w:cs="Arial"/>
          <w:sz w:val="24"/>
          <w:szCs w:val="24"/>
          <w:shd w:val="clear" w:color="auto" w:fill="FFFFFF"/>
        </w:rPr>
        <w:t xml:space="preserve">(2), 130–143. Doi: </w:t>
      </w:r>
      <w:hyperlink r:id="rId154" w:history="1">
        <w:r w:rsidRPr="00530906">
          <w:rPr>
            <w:rStyle w:val="Hyperlink"/>
            <w:rFonts w:ascii="Cambria" w:hAnsi="Cambria" w:cs="Arial"/>
            <w:color w:val="auto"/>
            <w:sz w:val="24"/>
            <w:szCs w:val="24"/>
            <w:shd w:val="clear" w:color="auto" w:fill="FFFFFF"/>
          </w:rPr>
          <w:t>10.1177/002224378602300205</w:t>
        </w:r>
      </w:hyperlink>
    </w:p>
    <w:p w14:paraId="6562805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MacKenzie, S. B., &amp; Podsakoff, P. M. (2012). Common method bias in marketing: Causes, mechanisms, and procedural remedies. </w:t>
      </w:r>
      <w:r w:rsidRPr="00530906">
        <w:rPr>
          <w:rFonts w:ascii="Cambria" w:hAnsi="Cambria" w:cs="Arial"/>
          <w:i/>
          <w:iCs/>
          <w:sz w:val="24"/>
          <w:szCs w:val="24"/>
          <w:shd w:val="clear" w:color="auto" w:fill="FFFFFF"/>
        </w:rPr>
        <w:t>Journal of retailing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88</w:t>
      </w:r>
      <w:r w:rsidRPr="00530906">
        <w:rPr>
          <w:rFonts w:ascii="Cambria" w:hAnsi="Cambria" w:cs="Arial"/>
          <w:sz w:val="24"/>
          <w:szCs w:val="24"/>
          <w:shd w:val="clear" w:color="auto" w:fill="FFFFFF"/>
        </w:rPr>
        <w:t xml:space="preserve">(4), 542–555. Doi: </w:t>
      </w:r>
      <w:r w:rsidRPr="00530906">
        <w:rPr>
          <w:rFonts w:ascii="Cambria" w:hAnsi="Cambria"/>
          <w:sz w:val="24"/>
          <w:szCs w:val="24"/>
        </w:rPr>
        <w:t>10.1016/j.jretai.2012.08.001</w:t>
      </w:r>
    </w:p>
    <w:p w14:paraId="1945552E" w14:textId="0FF2FFCB"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Majid, S., Lopez, C., Megicks, P. and Lim, W.</w:t>
      </w:r>
      <w:r w:rsidR="003B1272" w:rsidRPr="00530906">
        <w:rPr>
          <w:rFonts w:ascii="Cambria" w:hAnsi="Cambria" w:cs="Segoe UI"/>
          <w:sz w:val="24"/>
          <w:szCs w:val="24"/>
        </w:rPr>
        <w:t xml:space="preserve"> </w:t>
      </w:r>
      <w:r w:rsidRPr="00530906">
        <w:rPr>
          <w:rFonts w:ascii="Cambria" w:hAnsi="Cambria" w:cs="Segoe UI"/>
          <w:sz w:val="24"/>
          <w:szCs w:val="24"/>
        </w:rPr>
        <w:t xml:space="preserve">M. (2019) 'Developing effective social media messages: Insights from an exploratory study of industry experts', </w:t>
      </w:r>
      <w:r w:rsidRPr="00530906">
        <w:rPr>
          <w:rFonts w:ascii="Cambria" w:hAnsi="Cambria" w:cs="Segoe UI"/>
          <w:i/>
          <w:iCs/>
          <w:sz w:val="24"/>
          <w:szCs w:val="24"/>
        </w:rPr>
        <w:t>Psychology &amp; Marketing</w:t>
      </w:r>
      <w:r w:rsidRPr="00530906">
        <w:rPr>
          <w:rFonts w:ascii="Cambria" w:hAnsi="Cambria" w:cs="Segoe UI"/>
          <w:sz w:val="24"/>
          <w:szCs w:val="24"/>
        </w:rPr>
        <w:t>, 36(6), pp. 551</w:t>
      </w:r>
      <w:r w:rsidR="004179CD" w:rsidRPr="00530906">
        <w:rPr>
          <w:rFonts w:ascii="Cambria" w:hAnsi="Cambria" w:cs="Segoe UI"/>
          <w:sz w:val="24"/>
          <w:szCs w:val="24"/>
        </w:rPr>
        <w:t>–</w:t>
      </w:r>
      <w:r w:rsidRPr="00530906">
        <w:rPr>
          <w:rFonts w:ascii="Cambria" w:hAnsi="Cambria" w:cs="Segoe UI"/>
          <w:sz w:val="24"/>
          <w:szCs w:val="24"/>
        </w:rPr>
        <w:t>564. Doi: 10.1002/mar.21196</w:t>
      </w:r>
    </w:p>
    <w:p w14:paraId="13E195F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Malhotra, N. K. and Das, S. (2013) </w:t>
      </w:r>
      <w:r w:rsidRPr="00530906">
        <w:rPr>
          <w:rFonts w:ascii="Cambria" w:hAnsi="Cambria"/>
          <w:i/>
          <w:sz w:val="24"/>
          <w:szCs w:val="24"/>
        </w:rPr>
        <w:t>Marketing research: An applied orientation</w:t>
      </w:r>
      <w:r w:rsidRPr="00530906">
        <w:rPr>
          <w:rFonts w:ascii="Cambria" w:hAnsi="Cambria"/>
          <w:sz w:val="24"/>
          <w:szCs w:val="24"/>
        </w:rPr>
        <w:t>. 6th edition. India: Pearson.</w:t>
      </w:r>
    </w:p>
    <w:p w14:paraId="5042C67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Manika, D., Gregory</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Smith, D., &amp; Antonetti, P. (2017). Pride in Technology</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Based Health Interventions: A Double</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Edged Sword.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34</w:t>
      </w:r>
      <w:r w:rsidRPr="00530906">
        <w:rPr>
          <w:rFonts w:ascii="Cambria" w:hAnsi="Cambria" w:cs="Arial"/>
          <w:sz w:val="24"/>
          <w:szCs w:val="24"/>
          <w:shd w:val="clear" w:color="auto" w:fill="FFFFFF"/>
        </w:rPr>
        <w:t xml:space="preserve">(4), 410–427. Doi: </w:t>
      </w:r>
      <w:hyperlink r:id="rId155" w:history="1">
        <w:r w:rsidRPr="00530906">
          <w:rPr>
            <w:rStyle w:val="Hyperlink"/>
            <w:rFonts w:ascii="Cambria" w:hAnsi="Cambria" w:cs="Arial"/>
            <w:bCs/>
            <w:color w:val="auto"/>
            <w:sz w:val="24"/>
            <w:szCs w:val="24"/>
            <w:shd w:val="clear" w:color="auto" w:fill="FFFFFF"/>
          </w:rPr>
          <w:t>10.1002/mar.20997</w:t>
        </w:r>
      </w:hyperlink>
    </w:p>
    <w:p w14:paraId="2CC3F99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Malthouse,</w:t>
      </w:r>
      <w:r w:rsidRPr="00530906">
        <w:rPr>
          <w:rFonts w:ascii="Cambria" w:hAnsi="Cambria" w:cs="Cambria"/>
          <w:sz w:val="24"/>
          <w:szCs w:val="24"/>
        </w:rPr>
        <w:t xml:space="preserve"> E.</w:t>
      </w:r>
      <w:r w:rsidRPr="00530906">
        <w:rPr>
          <w:rFonts w:ascii="Cambria" w:hAnsi="Cambria"/>
          <w:sz w:val="24"/>
          <w:szCs w:val="24"/>
        </w:rPr>
        <w:t xml:space="preserve"> and Hofacker, C. (2010) ‘Looking back and looking forward with interactive marketing’, </w:t>
      </w:r>
      <w:r w:rsidRPr="00530906">
        <w:rPr>
          <w:rFonts w:ascii="Cambria" w:hAnsi="Cambria"/>
          <w:i/>
          <w:sz w:val="24"/>
          <w:szCs w:val="24"/>
        </w:rPr>
        <w:t>Journal of Interactive Marketing,</w:t>
      </w:r>
      <w:r w:rsidRPr="00530906">
        <w:rPr>
          <w:rFonts w:ascii="Cambria" w:hAnsi="Cambria"/>
          <w:sz w:val="24"/>
          <w:szCs w:val="24"/>
        </w:rPr>
        <w:t xml:space="preserve"> 24(3), pp. 181–184. doi: 10.1016/j.intmar.2010.04.005.</w:t>
      </w:r>
    </w:p>
    <w:p w14:paraId="754A676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Marbach, J., Lages, C. R. and Nunan, D. (2016) ‘Who are you and what do you value? Investigating the role of personality traits and customer–perceived value in online customer engagement’, </w:t>
      </w:r>
      <w:r w:rsidRPr="00530906">
        <w:rPr>
          <w:rFonts w:ascii="Cambria" w:hAnsi="Cambria"/>
          <w:i/>
          <w:sz w:val="24"/>
          <w:szCs w:val="24"/>
        </w:rPr>
        <w:t>Journal of Marketing Management</w:t>
      </w:r>
      <w:r w:rsidRPr="00530906">
        <w:rPr>
          <w:rFonts w:ascii="Cambria" w:hAnsi="Cambria"/>
          <w:sz w:val="24"/>
          <w:szCs w:val="24"/>
        </w:rPr>
        <w:t>, 32(5–6), pp. 502–525. Doi: 10.1080/0267257X.2015.1128472</w:t>
      </w:r>
    </w:p>
    <w:p w14:paraId="426D9C94" w14:textId="48BEC075"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Marder, B., Shankar, A., Houghton, D. and Joinson, A. (2017) '“What if my mum sees it?”', </w:t>
      </w:r>
      <w:r w:rsidRPr="00530906">
        <w:rPr>
          <w:rFonts w:ascii="Cambria" w:hAnsi="Cambria" w:cs="Segoe UI"/>
          <w:i/>
          <w:iCs/>
          <w:sz w:val="24"/>
          <w:szCs w:val="24"/>
        </w:rPr>
        <w:t>Information Technology &amp; People</w:t>
      </w:r>
      <w:r w:rsidRPr="00530906">
        <w:rPr>
          <w:rFonts w:ascii="Cambria" w:hAnsi="Cambria" w:cs="Segoe UI"/>
          <w:sz w:val="24"/>
          <w:szCs w:val="24"/>
        </w:rPr>
        <w:t>, 30(1), pp. 210</w:t>
      </w:r>
      <w:r w:rsidR="004179CD" w:rsidRPr="00530906">
        <w:rPr>
          <w:rFonts w:ascii="Cambria" w:hAnsi="Cambria" w:cs="Segoe UI"/>
          <w:sz w:val="24"/>
          <w:szCs w:val="24"/>
        </w:rPr>
        <w:t>–</w:t>
      </w:r>
      <w:r w:rsidRPr="00530906">
        <w:rPr>
          <w:rFonts w:ascii="Cambria" w:hAnsi="Cambria" w:cs="Segoe UI"/>
          <w:sz w:val="24"/>
          <w:szCs w:val="24"/>
        </w:rPr>
        <w:t xml:space="preserve">226.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10</w:t>
      </w:r>
      <w:r w:rsidR="004179CD" w:rsidRPr="00530906">
        <w:rPr>
          <w:rFonts w:ascii="Cambria" w:hAnsi="Cambria" w:cs="Segoe UI"/>
          <w:sz w:val="24"/>
          <w:szCs w:val="24"/>
          <w:u w:val="single"/>
        </w:rPr>
        <w:t>–</w:t>
      </w:r>
      <w:r w:rsidRPr="00530906">
        <w:rPr>
          <w:rFonts w:ascii="Cambria" w:hAnsi="Cambria" w:cs="Segoe UI"/>
          <w:sz w:val="24"/>
          <w:szCs w:val="24"/>
          <w:u w:val="single"/>
        </w:rPr>
        <w:t>2015</w:t>
      </w:r>
      <w:r w:rsidR="004179CD" w:rsidRPr="00530906">
        <w:rPr>
          <w:rFonts w:ascii="Cambria" w:hAnsi="Cambria" w:cs="Segoe UI"/>
          <w:sz w:val="24"/>
          <w:szCs w:val="24"/>
          <w:u w:val="single"/>
        </w:rPr>
        <w:t>–</w:t>
      </w:r>
      <w:r w:rsidRPr="00530906">
        <w:rPr>
          <w:rFonts w:ascii="Cambria" w:hAnsi="Cambria" w:cs="Segoe UI"/>
          <w:sz w:val="24"/>
          <w:szCs w:val="24"/>
          <w:u w:val="single"/>
        </w:rPr>
        <w:t>0263</w:t>
      </w:r>
    </w:p>
    <w:p w14:paraId="021CC298" w14:textId="33111817" w:rsidR="007E4999" w:rsidRPr="00530906" w:rsidRDefault="007E4999">
      <w:pPr>
        <w:spacing w:line="360" w:lineRule="auto"/>
        <w:ind w:left="567" w:hanging="567"/>
        <w:jc w:val="both"/>
        <w:rPr>
          <w:rFonts w:ascii="Cambria" w:hAnsi="Cambria"/>
          <w:sz w:val="24"/>
          <w:szCs w:val="24"/>
        </w:rPr>
      </w:pPr>
      <w:bookmarkStart w:id="172" w:name="_Hlk71448002"/>
      <w:r w:rsidRPr="00530906">
        <w:rPr>
          <w:rFonts w:ascii="Cambria" w:hAnsi="Cambria"/>
          <w:sz w:val="24"/>
          <w:szCs w:val="24"/>
        </w:rPr>
        <w:t xml:space="preserve">Marketingweek (2016) Consumer trust in brands on social–media falls as line between marketing and non–commercial blurs. Available at : </w:t>
      </w:r>
      <w:hyperlink r:id="rId156" w:history="1">
        <w:r w:rsidRPr="00530906">
          <w:rPr>
            <w:rStyle w:val="Hyperlink"/>
            <w:rFonts w:ascii="Cambria" w:eastAsia="Calibri" w:hAnsi="Cambria" w:cs="Times New Roman"/>
            <w:color w:val="auto"/>
            <w:sz w:val="24"/>
            <w:szCs w:val="24"/>
          </w:rPr>
          <w:t>https://www.marketingweek.com/consumer–trust–in–brands–on–social–media–falls–as–line–between–marketing–and–non–commercial–blurs/</w:t>
        </w:r>
      </w:hyperlink>
      <w:r w:rsidRPr="00530906">
        <w:rPr>
          <w:rFonts w:ascii="Cambria" w:hAnsi="Cambria"/>
          <w:sz w:val="24"/>
          <w:szCs w:val="24"/>
        </w:rPr>
        <w:t xml:space="preserve"> (Accessed on 5</w:t>
      </w:r>
      <w:r w:rsidRPr="00530906">
        <w:rPr>
          <w:rFonts w:ascii="Cambria" w:hAnsi="Cambria"/>
          <w:sz w:val="24"/>
          <w:szCs w:val="24"/>
          <w:vertAlign w:val="superscript"/>
        </w:rPr>
        <w:t>th</w:t>
      </w:r>
      <w:r w:rsidRPr="00530906">
        <w:rPr>
          <w:rFonts w:ascii="Cambria" w:hAnsi="Cambria"/>
          <w:sz w:val="24"/>
          <w:szCs w:val="24"/>
        </w:rPr>
        <w:t xml:space="preserve"> May 2020)</w:t>
      </w:r>
    </w:p>
    <w:bookmarkEnd w:id="172"/>
    <w:p w14:paraId="2461F91E"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Massara, F., Liu, S. S., &amp;Melara, R. D. (2010). Adapting to a retail environment: Modeling consumer–environment interactions. </w:t>
      </w:r>
      <w:r w:rsidRPr="00530906">
        <w:rPr>
          <w:rFonts w:ascii="Cambria" w:hAnsi="Cambria" w:cs="Arial"/>
          <w:i/>
          <w:iCs/>
          <w:sz w:val="24"/>
          <w:szCs w:val="24"/>
          <w:shd w:val="clear" w:color="auto" w:fill="FFFFFF"/>
        </w:rPr>
        <w:t>Journal of Business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63</w:t>
      </w:r>
      <w:r w:rsidRPr="00530906">
        <w:rPr>
          <w:rFonts w:ascii="Cambria" w:hAnsi="Cambria" w:cs="Arial"/>
          <w:sz w:val="24"/>
          <w:szCs w:val="24"/>
          <w:shd w:val="clear" w:color="auto" w:fill="FFFFFF"/>
        </w:rPr>
        <w:t>(7), 673–681. Doi; 10.1016/j.jbusres.2009.05.004</w:t>
      </w:r>
    </w:p>
    <w:p w14:paraId="5D9EBAB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Martin, D. and Schouten, J. (2012) </w:t>
      </w:r>
      <w:r w:rsidRPr="00530906">
        <w:rPr>
          <w:rFonts w:ascii="Cambria" w:hAnsi="Cambria"/>
          <w:i/>
          <w:iCs/>
          <w:sz w:val="24"/>
          <w:szCs w:val="24"/>
        </w:rPr>
        <w:t>Sustainable marketing</w:t>
      </w:r>
      <w:r w:rsidRPr="00530906">
        <w:rPr>
          <w:rFonts w:ascii="Cambria" w:hAnsi="Cambria"/>
          <w:sz w:val="24"/>
          <w:szCs w:val="24"/>
        </w:rPr>
        <w:t>. Boston, Prentice hall</w:t>
      </w:r>
    </w:p>
    <w:p w14:paraId="60010756" w14:textId="05E63E6F"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Mazaheri, E., Richard, M.</w:t>
      </w:r>
      <w:r w:rsidR="003B1272" w:rsidRPr="00530906">
        <w:rPr>
          <w:rFonts w:ascii="Cambria" w:hAnsi="Cambria"/>
          <w:sz w:val="24"/>
          <w:szCs w:val="24"/>
        </w:rPr>
        <w:t xml:space="preserve"> </w:t>
      </w:r>
      <w:r w:rsidRPr="00530906">
        <w:rPr>
          <w:rFonts w:ascii="Cambria" w:hAnsi="Cambria"/>
          <w:sz w:val="24"/>
          <w:szCs w:val="24"/>
        </w:rPr>
        <w:t>O. and Laroche, M., (2011). Online consumer behavior: Comparing Canadian and Chinese website visitors. Journal of Business Research, 64(9), pp.958–965. doi:10.1016/j.jbusres.2010.11.018</w:t>
      </w:r>
    </w:p>
    <w:p w14:paraId="2283513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McAlexander, J. H., Schouten, J. W. and Koenig, H. F. (2002) ‘Building brand community’, </w:t>
      </w:r>
      <w:r w:rsidRPr="00530906">
        <w:rPr>
          <w:rFonts w:ascii="Cambria" w:hAnsi="Cambria"/>
          <w:i/>
          <w:sz w:val="24"/>
          <w:szCs w:val="24"/>
        </w:rPr>
        <w:t>Journal of Marketing</w:t>
      </w:r>
      <w:r w:rsidRPr="00530906">
        <w:rPr>
          <w:rFonts w:ascii="Cambria" w:hAnsi="Cambria"/>
          <w:sz w:val="24"/>
          <w:szCs w:val="24"/>
        </w:rPr>
        <w:t xml:space="preserve">, 66(1), pp. 38–54. Available at: </w:t>
      </w:r>
      <w:hyperlink r:id="rId157" w:history="1">
        <w:r w:rsidRPr="00530906">
          <w:rPr>
            <w:rStyle w:val="Hyperlink"/>
            <w:rFonts w:ascii="Cambria" w:hAnsi="Cambria"/>
            <w:color w:val="auto"/>
            <w:sz w:val="24"/>
            <w:szCs w:val="24"/>
          </w:rPr>
          <w:t>http://web.b.ebscohost.com/ehost/pdfviewer/pdfviewer?vid=14&amp;sid=0ac6a5f6–a0be–4d5c–a00c–ce48d68f7924%40sessionmgr104</w:t>
        </w:r>
      </w:hyperlink>
      <w:r w:rsidRPr="00530906">
        <w:rPr>
          <w:rFonts w:ascii="Cambria" w:hAnsi="Cambria"/>
          <w:sz w:val="24"/>
          <w:szCs w:val="24"/>
        </w:rPr>
        <w:t>. (Accessed: 22</w:t>
      </w:r>
      <w:r w:rsidRPr="00530906">
        <w:rPr>
          <w:rFonts w:ascii="Cambria" w:hAnsi="Cambria"/>
          <w:sz w:val="24"/>
          <w:szCs w:val="24"/>
          <w:vertAlign w:val="superscript"/>
        </w:rPr>
        <w:t>nd</w:t>
      </w:r>
      <w:r w:rsidRPr="00530906">
        <w:rPr>
          <w:rFonts w:ascii="Cambria" w:hAnsi="Cambria"/>
          <w:sz w:val="24"/>
          <w:szCs w:val="24"/>
        </w:rPr>
        <w:t xml:space="preserve"> November 2017)</w:t>
      </w:r>
    </w:p>
    <w:p w14:paraId="22CFCF8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McDonagh, P. (1998) 'Towards a theory of Sustainable Communication in Risk Society: Relating issues of sustainability to marketing communications', </w:t>
      </w:r>
      <w:r w:rsidRPr="00530906">
        <w:rPr>
          <w:rFonts w:ascii="Cambria" w:hAnsi="Cambria" w:cs="Segoe UI"/>
          <w:i/>
          <w:iCs/>
          <w:sz w:val="24"/>
          <w:szCs w:val="24"/>
        </w:rPr>
        <w:t>Journal of Marketing Management</w:t>
      </w:r>
      <w:r w:rsidRPr="00530906">
        <w:rPr>
          <w:rFonts w:ascii="Cambria" w:hAnsi="Cambria" w:cs="Segoe UI"/>
          <w:sz w:val="24"/>
          <w:szCs w:val="24"/>
        </w:rPr>
        <w:t>, 14(6 ), pp. 591–622. Doi: 10.1362/026725798784867699</w:t>
      </w:r>
    </w:p>
    <w:p w14:paraId="4D493DDC" w14:textId="60399446"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McDonagh, P. and Prothero, A. (2014) ‘Sustainability marketing research: past, present and future’, </w:t>
      </w:r>
      <w:r w:rsidRPr="00530906">
        <w:rPr>
          <w:rFonts w:ascii="Cambria" w:hAnsi="Cambria"/>
          <w:i/>
          <w:sz w:val="24"/>
          <w:szCs w:val="24"/>
        </w:rPr>
        <w:t>Journal of Marketing Management</w:t>
      </w:r>
      <w:r w:rsidRPr="00530906">
        <w:rPr>
          <w:rFonts w:ascii="Cambria" w:hAnsi="Cambria"/>
          <w:sz w:val="24"/>
          <w:szCs w:val="24"/>
        </w:rPr>
        <w:t xml:space="preserve">, 30(11–12), pp. 1186–1219, </w:t>
      </w:r>
    </w:p>
    <w:p w14:paraId="0DD6FF09" w14:textId="17C82A8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Meire, M., Hewett, K., Ballings, M., Kumar, V. and Van den Poel, D. (2019) 'The Role of Marketer</w:t>
      </w:r>
      <w:r w:rsidR="004179CD" w:rsidRPr="00530906">
        <w:rPr>
          <w:rFonts w:ascii="Cambria" w:hAnsi="Cambria" w:cs="Segoe UI"/>
          <w:sz w:val="24"/>
          <w:szCs w:val="24"/>
        </w:rPr>
        <w:t>–</w:t>
      </w:r>
      <w:r w:rsidRPr="00530906">
        <w:rPr>
          <w:rFonts w:ascii="Cambria" w:hAnsi="Cambria" w:cs="Segoe UI"/>
          <w:sz w:val="24"/>
          <w:szCs w:val="24"/>
        </w:rPr>
        <w:t xml:space="preserve">Generated Content in Customer Engagement Marketing', </w:t>
      </w:r>
      <w:r w:rsidRPr="00530906">
        <w:rPr>
          <w:rFonts w:ascii="Cambria" w:hAnsi="Cambria" w:cs="Segoe UI"/>
          <w:i/>
          <w:iCs/>
          <w:sz w:val="24"/>
          <w:szCs w:val="24"/>
        </w:rPr>
        <w:t>Journal of Marketing</w:t>
      </w:r>
      <w:r w:rsidRPr="00530906">
        <w:rPr>
          <w:rFonts w:ascii="Cambria" w:hAnsi="Cambria" w:cs="Segoe UI"/>
          <w:sz w:val="24"/>
          <w:szCs w:val="24"/>
        </w:rPr>
        <w:t>, 83(6), pp. 21</w:t>
      </w:r>
      <w:r w:rsidR="004179CD" w:rsidRPr="00530906">
        <w:rPr>
          <w:rFonts w:ascii="Cambria" w:hAnsi="Cambria" w:cs="Segoe UI"/>
          <w:sz w:val="24"/>
          <w:szCs w:val="24"/>
        </w:rPr>
        <w:t>–</w:t>
      </w:r>
      <w:r w:rsidRPr="00530906">
        <w:rPr>
          <w:rFonts w:ascii="Cambria" w:hAnsi="Cambria" w:cs="Segoe UI"/>
          <w:sz w:val="24"/>
          <w:szCs w:val="24"/>
        </w:rPr>
        <w:t>42. Doi: 10.1177/0022242919873903</w:t>
      </w:r>
    </w:p>
    <w:p w14:paraId="0C02B52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Mehrbian, A. (1996) ‘Pleasure–Arousal.Dominance: A General Framework for Describing and Measuring Individual Differences in Temperament’, </w:t>
      </w:r>
      <w:r w:rsidRPr="00530906">
        <w:rPr>
          <w:rFonts w:ascii="Cambria" w:hAnsi="Cambria"/>
          <w:i/>
          <w:sz w:val="24"/>
          <w:szCs w:val="24"/>
        </w:rPr>
        <w:t>Current Psychology</w:t>
      </w:r>
      <w:r w:rsidRPr="00530906">
        <w:rPr>
          <w:rFonts w:ascii="Cambria" w:hAnsi="Cambria"/>
          <w:sz w:val="24"/>
          <w:szCs w:val="24"/>
        </w:rPr>
        <w:t xml:space="preserve">, 14(4), pp. 261–292. Doi: 10.1007/BF02686918.  </w:t>
      </w:r>
    </w:p>
    <w:p w14:paraId="5EEBFAB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Mehrabian, A., &amp; Russell J. A. (1974). An approach to environmental psychology. Cambridge, MA: MIT Press.</w:t>
      </w:r>
    </w:p>
    <w:p w14:paraId="1DFF54F8" w14:textId="1473E04B" w:rsidR="007E4999" w:rsidRPr="00530906" w:rsidRDefault="007E4999">
      <w:pPr>
        <w:spacing w:line="360" w:lineRule="auto"/>
        <w:ind w:left="567" w:hanging="567"/>
        <w:jc w:val="both"/>
        <w:rPr>
          <w:rFonts w:ascii="Cambria" w:hAnsi="Cambria" w:cs="Adobe Devanagari"/>
          <w:sz w:val="24"/>
          <w:szCs w:val="24"/>
        </w:rPr>
      </w:pPr>
      <w:r w:rsidRPr="00530906">
        <w:rPr>
          <w:rFonts w:ascii="Cambria" w:hAnsi="Cambria" w:cs="Adobe Devanagari"/>
          <w:sz w:val="24"/>
          <w:szCs w:val="24"/>
        </w:rPr>
        <w:t>Melville, N.</w:t>
      </w:r>
      <w:r w:rsidR="002F4C19" w:rsidRPr="00530906">
        <w:rPr>
          <w:rFonts w:ascii="Cambria" w:hAnsi="Cambria" w:cs="Adobe Devanagari"/>
          <w:sz w:val="24"/>
          <w:szCs w:val="24"/>
        </w:rPr>
        <w:t xml:space="preserve"> </w:t>
      </w:r>
      <w:r w:rsidRPr="00530906">
        <w:rPr>
          <w:rFonts w:ascii="Cambria" w:hAnsi="Cambria" w:cs="Adobe Devanagari"/>
          <w:sz w:val="24"/>
          <w:szCs w:val="24"/>
        </w:rPr>
        <w:t>P. (2010) 'Information systems innovation for environmental sustainability', MIS Quarterly Executive, 34(1), pp. 1–21.</w:t>
      </w:r>
    </w:p>
    <w:p w14:paraId="676B70ED" w14:textId="6CF5D042" w:rsidR="007E4999" w:rsidRPr="00530906" w:rsidRDefault="007E4999">
      <w:pPr>
        <w:spacing w:line="360" w:lineRule="auto"/>
        <w:ind w:left="567" w:hanging="567"/>
        <w:jc w:val="both"/>
        <w:rPr>
          <w:rFonts w:ascii="Cambria" w:hAnsi="Cambria" w:cs="Adobe Devanagari"/>
          <w:sz w:val="24"/>
          <w:szCs w:val="24"/>
        </w:rPr>
      </w:pPr>
      <w:r w:rsidRPr="00530906">
        <w:rPr>
          <w:rFonts w:ascii="Cambria" w:hAnsi="Cambria" w:cs="Adobe Devanagari"/>
          <w:sz w:val="24"/>
          <w:szCs w:val="24"/>
        </w:rPr>
        <w:t>Menguca, B. and Ozanne, L.</w:t>
      </w:r>
      <w:r w:rsidR="003B1272" w:rsidRPr="00530906">
        <w:rPr>
          <w:rFonts w:ascii="Cambria" w:hAnsi="Cambria" w:cs="Adobe Devanagari"/>
          <w:sz w:val="24"/>
          <w:szCs w:val="24"/>
        </w:rPr>
        <w:t xml:space="preserve"> </w:t>
      </w:r>
      <w:r w:rsidRPr="00530906">
        <w:rPr>
          <w:rFonts w:ascii="Cambria" w:hAnsi="Cambria" w:cs="Adobe Devanagari"/>
          <w:sz w:val="24"/>
          <w:szCs w:val="24"/>
        </w:rPr>
        <w:t xml:space="preserve">K. (2005) 'Challenges of the ‘‘green imperative’’: a natural resource–based approach to the environmental orientation–business performance relationship', </w:t>
      </w:r>
      <w:r w:rsidRPr="00530906">
        <w:rPr>
          <w:rFonts w:ascii="Cambria" w:hAnsi="Cambria" w:cs="Adobe Devanagari"/>
          <w:i/>
          <w:sz w:val="24"/>
          <w:szCs w:val="24"/>
        </w:rPr>
        <w:t>Journal of Business Research</w:t>
      </w:r>
      <w:r w:rsidRPr="00530906">
        <w:rPr>
          <w:rFonts w:ascii="Cambria" w:hAnsi="Cambria" w:cs="Adobe Devanagari"/>
          <w:sz w:val="24"/>
          <w:szCs w:val="24"/>
        </w:rPr>
        <w:t>, 58( 4), pp. 430– 438. doi: 10.1016/j.jbusres.2003.09.002</w:t>
      </w:r>
    </w:p>
    <w:p w14:paraId="1FD83534" w14:textId="77777777" w:rsidR="007E4999" w:rsidRPr="00530906" w:rsidRDefault="007E4999">
      <w:pPr>
        <w:spacing w:line="360" w:lineRule="auto"/>
        <w:ind w:left="567" w:hanging="567"/>
        <w:jc w:val="both"/>
        <w:rPr>
          <w:rFonts w:ascii="Cambria" w:hAnsi="Cambria" w:cs="Adobe Devanagari"/>
          <w:sz w:val="24"/>
          <w:szCs w:val="24"/>
        </w:rPr>
      </w:pPr>
      <w:r w:rsidRPr="00530906">
        <w:rPr>
          <w:rFonts w:ascii="Cambria" w:hAnsi="Cambria" w:cs="Adobe Devanagari"/>
          <w:sz w:val="24"/>
          <w:szCs w:val="24"/>
        </w:rPr>
        <w:t xml:space="preserve">Mick, D. G. (2006) “PRESIDENTIAL ADDRESS: Meaning and mattering through transformative consumer research”, </w:t>
      </w:r>
      <w:r w:rsidRPr="00530906">
        <w:rPr>
          <w:rFonts w:ascii="Cambria" w:hAnsi="Cambria" w:cs="Adobe Devanagari"/>
          <w:i/>
          <w:sz w:val="24"/>
          <w:szCs w:val="24"/>
        </w:rPr>
        <w:t>Advances in consumer research</w:t>
      </w:r>
      <w:r w:rsidRPr="00530906">
        <w:rPr>
          <w:rFonts w:ascii="Cambria" w:hAnsi="Cambria" w:cs="Adobe Devanagari"/>
          <w:sz w:val="24"/>
          <w:szCs w:val="24"/>
        </w:rPr>
        <w:t xml:space="preserve">, 33, pp. 1–4. </w:t>
      </w:r>
    </w:p>
    <w:p w14:paraId="447DBE18" w14:textId="77777777" w:rsidR="007E4999" w:rsidRPr="00530906" w:rsidRDefault="007E4999">
      <w:pPr>
        <w:spacing w:line="360" w:lineRule="auto"/>
        <w:ind w:left="567" w:hanging="567"/>
        <w:jc w:val="both"/>
        <w:rPr>
          <w:rFonts w:ascii="Cambria" w:hAnsi="Cambria" w:cs="Adobe Devanagari"/>
          <w:sz w:val="24"/>
          <w:szCs w:val="24"/>
        </w:rPr>
      </w:pPr>
      <w:r w:rsidRPr="00530906">
        <w:rPr>
          <w:rFonts w:ascii="Cambria" w:hAnsi="Cambria" w:cs="Adobe Devanagari"/>
          <w:sz w:val="24"/>
          <w:szCs w:val="24"/>
        </w:rPr>
        <w:t>Middlemiss, L. (2018) Sustainable–consumption Key Issues (London, Routledge)</w:t>
      </w:r>
    </w:p>
    <w:p w14:paraId="26F26D05" w14:textId="77777777" w:rsidR="007E4999" w:rsidRPr="00530906" w:rsidRDefault="007E4999">
      <w:pPr>
        <w:spacing w:line="360" w:lineRule="auto"/>
        <w:ind w:left="567" w:hanging="567"/>
        <w:jc w:val="both"/>
        <w:rPr>
          <w:rFonts w:ascii="Cambria" w:hAnsi="Cambria" w:cs="Adobe Devanagari"/>
          <w:sz w:val="24"/>
          <w:szCs w:val="24"/>
        </w:rPr>
      </w:pPr>
      <w:r w:rsidRPr="00530906">
        <w:rPr>
          <w:rFonts w:ascii="Cambria" w:hAnsi="Cambria" w:cs="Adobe Devanagari"/>
          <w:sz w:val="24"/>
          <w:szCs w:val="24"/>
        </w:rPr>
        <w:t xml:space="preserve">Miniero, G., Rurale, A. and Addis, M., (2014) ‘Effects of arousal, dominance, and their interaction on pleasure in a cultural environment’, </w:t>
      </w:r>
      <w:r w:rsidRPr="00530906">
        <w:rPr>
          <w:rFonts w:ascii="Cambria" w:hAnsi="Cambria" w:cs="Adobe Devanagari"/>
          <w:i/>
          <w:sz w:val="24"/>
          <w:szCs w:val="24"/>
        </w:rPr>
        <w:t>Psychology &amp; Marketing</w:t>
      </w:r>
      <w:r w:rsidRPr="00530906">
        <w:rPr>
          <w:rFonts w:ascii="Cambria" w:hAnsi="Cambria" w:cs="Adobe Devanagari"/>
          <w:sz w:val="24"/>
          <w:szCs w:val="24"/>
        </w:rPr>
        <w:t>, 31(8), pp.628–634. doi: 10.1002/mar.20723</w:t>
      </w:r>
    </w:p>
    <w:p w14:paraId="3D4D2B8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Minton, E. Lee, C., Orth, U., Kim, C. H. and Kahle, L. (2012) ‘Sustainable marketing and social media’, </w:t>
      </w:r>
      <w:r w:rsidRPr="00530906">
        <w:rPr>
          <w:rFonts w:ascii="Cambria" w:hAnsi="Cambria"/>
          <w:i/>
          <w:sz w:val="24"/>
          <w:szCs w:val="24"/>
        </w:rPr>
        <w:t>Journal of Advertising,</w:t>
      </w:r>
      <w:r w:rsidRPr="00530906">
        <w:rPr>
          <w:rFonts w:ascii="Cambria" w:hAnsi="Cambria"/>
          <w:sz w:val="24"/>
          <w:szCs w:val="24"/>
        </w:rPr>
        <w:t xml:space="preserve"> 41(4), pp. 69–84. doi: 10.2753/JOA0091–3367410405.</w:t>
      </w:r>
    </w:p>
    <w:p w14:paraId="548C14FD" w14:textId="54C16F6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Minton, E.</w:t>
      </w:r>
      <w:r w:rsidR="003B1272" w:rsidRPr="00530906">
        <w:rPr>
          <w:rFonts w:ascii="Cambria" w:hAnsi="Cambria"/>
          <w:sz w:val="24"/>
          <w:szCs w:val="24"/>
        </w:rPr>
        <w:t xml:space="preserve"> </w:t>
      </w:r>
      <w:r w:rsidRPr="00530906">
        <w:rPr>
          <w:rFonts w:ascii="Cambria" w:hAnsi="Cambria"/>
          <w:sz w:val="24"/>
          <w:szCs w:val="24"/>
        </w:rPr>
        <w:t>A., Kahle, L.</w:t>
      </w:r>
      <w:r w:rsidR="003B1272" w:rsidRPr="00530906">
        <w:rPr>
          <w:rFonts w:ascii="Cambria" w:hAnsi="Cambria"/>
          <w:sz w:val="24"/>
          <w:szCs w:val="24"/>
        </w:rPr>
        <w:t xml:space="preserve"> </w:t>
      </w:r>
      <w:r w:rsidRPr="00530906">
        <w:rPr>
          <w:rFonts w:ascii="Cambria" w:hAnsi="Cambria"/>
          <w:sz w:val="24"/>
          <w:szCs w:val="24"/>
        </w:rPr>
        <w:t>R. and Kim, C.</w:t>
      </w:r>
      <w:r w:rsidR="003B1272" w:rsidRPr="00530906">
        <w:rPr>
          <w:rFonts w:ascii="Cambria" w:hAnsi="Cambria"/>
          <w:sz w:val="24"/>
          <w:szCs w:val="24"/>
        </w:rPr>
        <w:t xml:space="preserve"> </w:t>
      </w:r>
      <w:r w:rsidRPr="00530906">
        <w:rPr>
          <w:rFonts w:ascii="Cambria" w:hAnsi="Cambria"/>
          <w:sz w:val="24"/>
          <w:szCs w:val="24"/>
        </w:rPr>
        <w:t>H. (2015) 'Religion and motives for sustainable behaviors: A cross–cultural comparison and contrast', Journal of Business Research, 68(9), pp. 1937–1944.</w:t>
      </w:r>
    </w:p>
    <w:p w14:paraId="1D0E0F2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Minton, E. A., Spielmann, N., Kahle, L. R., &amp; Kim, C. H. (2018). The subjective norms of sustainable consumption: A cross–cultural exploration. Journal of Business Research, 82, 400–408. doi:10.1016/j.jbusres.2016.12.031</w:t>
      </w:r>
    </w:p>
    <w:p w14:paraId="2F0C55CD" w14:textId="0C6F9753"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Mitchell, A. A. (1986), "The Effect of Verbal and Visual Components of Advertisements on Brand Attitudes and Attitude Toward the Advertisement," journal of consumption Research, 13 (), 12</w:t>
      </w:r>
      <w:r w:rsidR="004179CD" w:rsidRPr="00530906">
        <w:rPr>
          <w:rFonts w:ascii="Cambria" w:hAnsi="Cambria"/>
          <w:sz w:val="24"/>
          <w:szCs w:val="24"/>
        </w:rPr>
        <w:t>–</w:t>
      </w:r>
      <w:r w:rsidRPr="00530906">
        <w:rPr>
          <w:rFonts w:ascii="Cambria" w:hAnsi="Cambria"/>
          <w:sz w:val="24"/>
          <w:szCs w:val="24"/>
        </w:rPr>
        <w:t xml:space="preserve">24. Doi : </w:t>
      </w:r>
      <w:hyperlink r:id="rId158" w:history="1">
        <w:r w:rsidRPr="00530906">
          <w:rPr>
            <w:rStyle w:val="Hyperlink"/>
            <w:rFonts w:ascii="Cambria" w:hAnsi="Cambria"/>
            <w:color w:val="006FB7"/>
            <w:sz w:val="24"/>
            <w:szCs w:val="24"/>
            <w:bdr w:val="none" w:sz="0" w:space="0" w:color="auto" w:frame="1"/>
            <w:shd w:val="clear" w:color="auto" w:fill="FFFFFF"/>
          </w:rPr>
          <w:t>10.1086/209044</w:t>
        </w:r>
      </w:hyperlink>
    </w:p>
    <w:p w14:paraId="0744666E" w14:textId="7666431F"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Montororios, F. J., Luque–Martinez, T. and Rodriguez–Molina, M.</w:t>
      </w:r>
      <w:r w:rsidR="003B1272" w:rsidRPr="00530906">
        <w:rPr>
          <w:rFonts w:ascii="Cambria" w:hAnsi="Cambria"/>
          <w:sz w:val="24"/>
          <w:szCs w:val="24"/>
        </w:rPr>
        <w:t xml:space="preserve"> </w:t>
      </w:r>
      <w:r w:rsidRPr="00530906">
        <w:rPr>
          <w:rFonts w:ascii="Cambria" w:hAnsi="Cambria"/>
          <w:sz w:val="24"/>
          <w:szCs w:val="24"/>
        </w:rPr>
        <w:t xml:space="preserve">A. (2008) ‘How green should you be: Can environmental associations enhance brand performance?’, </w:t>
      </w:r>
      <w:r w:rsidRPr="00530906">
        <w:rPr>
          <w:rFonts w:ascii="Cambria" w:hAnsi="Cambria"/>
          <w:i/>
          <w:sz w:val="24"/>
          <w:szCs w:val="24"/>
        </w:rPr>
        <w:t>Journal of Advertising Research</w:t>
      </w:r>
      <w:r w:rsidRPr="00530906">
        <w:rPr>
          <w:rFonts w:ascii="Cambria" w:hAnsi="Cambria"/>
          <w:sz w:val="24"/>
          <w:szCs w:val="24"/>
        </w:rPr>
        <w:t>, 48(4), pp. 547–563. doi: 10.2501/S0021849908080525.</w:t>
      </w:r>
    </w:p>
    <w:p w14:paraId="4C29EC5B" w14:textId="34D5B2D1" w:rsidR="000C4140" w:rsidRPr="00530906" w:rsidRDefault="000C4140">
      <w:pPr>
        <w:spacing w:line="360" w:lineRule="auto"/>
        <w:ind w:left="567" w:hanging="567"/>
        <w:jc w:val="both"/>
        <w:rPr>
          <w:rFonts w:ascii="Cambria" w:hAnsi="Cambria"/>
          <w:sz w:val="24"/>
          <w:szCs w:val="24"/>
        </w:rPr>
      </w:pPr>
      <w:r>
        <w:rPr>
          <w:rFonts w:ascii="Segoe UI" w:hAnsi="Segoe UI" w:cs="Segoe UI"/>
        </w:rPr>
        <w:t xml:space="preserve">Morrongiello, C., N'Goala, G. and Kreziak, D. (2017) 'Customer Psychological Empowerment as a Critical Source of Customer Engagement', </w:t>
      </w:r>
      <w:r>
        <w:rPr>
          <w:rFonts w:ascii="Segoe UI" w:hAnsi="Segoe UI" w:cs="Segoe UI"/>
          <w:i/>
          <w:iCs/>
        </w:rPr>
        <w:t>International Studies of Management &amp; Organization</w:t>
      </w:r>
      <w:r>
        <w:rPr>
          <w:rFonts w:ascii="Segoe UI" w:hAnsi="Segoe UI" w:cs="Segoe UI"/>
        </w:rPr>
        <w:t>, 47(1), pp. 61-87.</w:t>
      </w:r>
    </w:p>
    <w:p w14:paraId="0844194A" w14:textId="300D1362"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msci.com (2021) MSCI ANNOUNCES THE RESULTS OF ITS ANNUAL MARKET CLASSIFICATION REVIEW. </w:t>
      </w:r>
      <w:hyperlink r:id="rId159" w:history="1">
        <w:r w:rsidRPr="00530906">
          <w:rPr>
            <w:rStyle w:val="Hyperlink"/>
            <w:rFonts w:ascii="Cambria" w:hAnsi="Cambria"/>
            <w:color w:val="auto"/>
            <w:sz w:val="24"/>
            <w:szCs w:val="24"/>
          </w:rPr>
          <w:t>https://www.msci.com/market–classification</w:t>
        </w:r>
      </w:hyperlink>
      <w:r w:rsidRPr="00530906">
        <w:rPr>
          <w:rFonts w:ascii="Cambria" w:hAnsi="Cambria"/>
          <w:sz w:val="24"/>
          <w:szCs w:val="24"/>
        </w:rPr>
        <w:t xml:space="preserve"> (accessed on 4th May 2021)</w:t>
      </w:r>
    </w:p>
    <w:p w14:paraId="68148228" w14:textId="7B81BB7B"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Muñiz, A.</w:t>
      </w:r>
      <w:r w:rsidR="003B1272" w:rsidRPr="00530906">
        <w:rPr>
          <w:rFonts w:ascii="Cambria" w:hAnsi="Cambria"/>
          <w:sz w:val="24"/>
          <w:szCs w:val="24"/>
        </w:rPr>
        <w:t xml:space="preserve"> </w:t>
      </w:r>
      <w:r w:rsidRPr="00530906">
        <w:rPr>
          <w:rFonts w:ascii="Cambria" w:hAnsi="Cambria"/>
          <w:sz w:val="24"/>
          <w:szCs w:val="24"/>
        </w:rPr>
        <w:t>M. &amp; Schau, H.</w:t>
      </w:r>
      <w:r w:rsidR="003B1272" w:rsidRPr="00530906">
        <w:rPr>
          <w:rFonts w:ascii="Cambria" w:hAnsi="Cambria"/>
          <w:sz w:val="24"/>
          <w:szCs w:val="24"/>
        </w:rPr>
        <w:t xml:space="preserve"> </w:t>
      </w:r>
      <w:r w:rsidRPr="00530906">
        <w:rPr>
          <w:rFonts w:ascii="Cambria" w:hAnsi="Cambria"/>
          <w:sz w:val="24"/>
          <w:szCs w:val="24"/>
        </w:rPr>
        <w:t xml:space="preserve">J. (2007) ‘Vigilante marketing and consumer–created communications’, </w:t>
      </w:r>
      <w:r w:rsidRPr="00530906">
        <w:rPr>
          <w:rFonts w:ascii="Cambria" w:hAnsi="Cambria"/>
          <w:i/>
          <w:sz w:val="24"/>
          <w:szCs w:val="24"/>
        </w:rPr>
        <w:t>Journal of Advertising</w:t>
      </w:r>
      <w:r w:rsidRPr="00530906">
        <w:rPr>
          <w:rFonts w:ascii="Cambria" w:hAnsi="Cambria"/>
          <w:sz w:val="24"/>
          <w:szCs w:val="24"/>
        </w:rPr>
        <w:t>, 36(3), pp. 35–50. doi: 10.2753/JOA0091–3367360303</w:t>
      </w:r>
    </w:p>
    <w:p w14:paraId="75D2307D" w14:textId="06023705"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Munzel, A., Galan, J.</w:t>
      </w:r>
      <w:r w:rsidR="003B1272" w:rsidRPr="00530906">
        <w:rPr>
          <w:rFonts w:ascii="Cambria" w:hAnsi="Cambria" w:cs="Segoe UI"/>
          <w:sz w:val="24"/>
          <w:szCs w:val="24"/>
        </w:rPr>
        <w:t xml:space="preserve"> </w:t>
      </w:r>
      <w:r w:rsidRPr="00530906">
        <w:rPr>
          <w:rFonts w:ascii="Cambria" w:hAnsi="Cambria" w:cs="Segoe UI"/>
          <w:sz w:val="24"/>
          <w:szCs w:val="24"/>
        </w:rPr>
        <w:t>P. and Meyer</w:t>
      </w:r>
      <w:r w:rsidR="004179CD" w:rsidRPr="00530906">
        <w:rPr>
          <w:rFonts w:ascii="Cambria" w:hAnsi="Cambria" w:cs="Segoe UI"/>
          <w:sz w:val="24"/>
          <w:szCs w:val="24"/>
        </w:rPr>
        <w:t>–</w:t>
      </w:r>
      <w:r w:rsidRPr="00530906">
        <w:rPr>
          <w:rFonts w:ascii="Cambria" w:hAnsi="Cambria" w:cs="Segoe UI"/>
          <w:sz w:val="24"/>
          <w:szCs w:val="24"/>
        </w:rPr>
        <w:t>Waarden, L. (2018) 'Getting By or Getting Ahead on Social Networking Sites? The Role of Social Capital in Happiness and Well</w:t>
      </w:r>
      <w:r w:rsidR="004179CD" w:rsidRPr="00530906">
        <w:rPr>
          <w:rFonts w:ascii="Cambria" w:hAnsi="Cambria" w:cs="Segoe UI"/>
          <w:sz w:val="24"/>
          <w:szCs w:val="24"/>
        </w:rPr>
        <w:t>–</w:t>
      </w:r>
      <w:r w:rsidRPr="00530906">
        <w:rPr>
          <w:rFonts w:ascii="Cambria" w:hAnsi="Cambria" w:cs="Segoe UI"/>
          <w:sz w:val="24"/>
          <w:szCs w:val="24"/>
        </w:rPr>
        <w:t xml:space="preserve">Being', </w:t>
      </w:r>
      <w:r w:rsidRPr="00530906">
        <w:rPr>
          <w:rFonts w:ascii="Cambria" w:hAnsi="Cambria" w:cs="Segoe UI"/>
          <w:i/>
          <w:iCs/>
          <w:sz w:val="24"/>
          <w:szCs w:val="24"/>
        </w:rPr>
        <w:t>International Journal of Electronic Commerce</w:t>
      </w:r>
      <w:r w:rsidRPr="00530906">
        <w:rPr>
          <w:rFonts w:ascii="Cambria" w:hAnsi="Cambria" w:cs="Segoe UI"/>
          <w:sz w:val="24"/>
          <w:szCs w:val="24"/>
        </w:rPr>
        <w:t>, 22(2), pp. 232</w:t>
      </w:r>
      <w:r w:rsidR="004179CD" w:rsidRPr="00530906">
        <w:rPr>
          <w:rFonts w:ascii="Cambria" w:hAnsi="Cambria" w:cs="Segoe UI"/>
          <w:sz w:val="24"/>
          <w:szCs w:val="24"/>
        </w:rPr>
        <w:t>–</w:t>
      </w:r>
      <w:r w:rsidRPr="00530906">
        <w:rPr>
          <w:rFonts w:ascii="Cambria" w:hAnsi="Cambria" w:cs="Segoe UI"/>
          <w:sz w:val="24"/>
          <w:szCs w:val="24"/>
        </w:rPr>
        <w:t>257. Doi: 10.1080/10864415.2018.1441723</w:t>
      </w:r>
    </w:p>
    <w:p w14:paraId="29C86483" w14:textId="2F2F8D40" w:rsidR="007E4999" w:rsidRPr="00530906" w:rsidRDefault="007E4999">
      <w:pPr>
        <w:spacing w:line="360" w:lineRule="auto"/>
        <w:ind w:left="567" w:hanging="567"/>
        <w:jc w:val="both"/>
        <w:rPr>
          <w:sz w:val="24"/>
          <w:szCs w:val="24"/>
        </w:rPr>
      </w:pPr>
      <w:r w:rsidRPr="00530906">
        <w:rPr>
          <w:rFonts w:ascii="Cambria" w:hAnsi="Cambria"/>
          <w:sz w:val="24"/>
          <w:szCs w:val="24"/>
        </w:rPr>
        <w:t xml:space="preserve">Muntinga, D. G., Moorman, M. and Smit, E. G. (2011) ‘Introducing COBRAs Exploring motivations for brand–related social–media use’, </w:t>
      </w:r>
      <w:r w:rsidRPr="00530906">
        <w:rPr>
          <w:rFonts w:ascii="Cambria" w:hAnsi="Cambria"/>
          <w:i/>
          <w:sz w:val="24"/>
          <w:szCs w:val="24"/>
        </w:rPr>
        <w:t>International Journal of Advertising</w:t>
      </w:r>
      <w:r w:rsidRPr="00530906">
        <w:rPr>
          <w:rFonts w:ascii="Cambria" w:hAnsi="Cambria"/>
          <w:sz w:val="24"/>
          <w:szCs w:val="24"/>
        </w:rPr>
        <w:t>, 30(1), pp. 13–46. doi: 10.2501/IJA–30–1–013–046.</w:t>
      </w:r>
    </w:p>
    <w:p w14:paraId="07C4C0F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Nambisan, S. and Baron, R. (2009), “Virtual customer environments: testing a model of voluntary participation in value co–creation activities”, </w:t>
      </w:r>
      <w:r w:rsidRPr="00530906">
        <w:rPr>
          <w:rFonts w:ascii="Cambria" w:hAnsi="Cambria"/>
          <w:i/>
          <w:sz w:val="24"/>
          <w:szCs w:val="24"/>
        </w:rPr>
        <w:t>Journal of Product Innovation Management,</w:t>
      </w:r>
      <w:r w:rsidRPr="00530906">
        <w:rPr>
          <w:rFonts w:ascii="Cambria" w:hAnsi="Cambria"/>
          <w:sz w:val="24"/>
          <w:szCs w:val="24"/>
        </w:rPr>
        <w:t xml:space="preserve"> Vol. 26No. 4, pp. 388–406. Doi: 10.1111/j.1540–5885.2009.00667.x</w:t>
      </w:r>
    </w:p>
    <w:p w14:paraId="222BB99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Nan, X. and Heo, K. (2007) ‘Consumer responses to Corporate Social Responsibility (CSR) initiatives: Examining the role of brand–cause fit in cause–related marketing’, </w:t>
      </w:r>
      <w:r w:rsidRPr="00530906">
        <w:rPr>
          <w:rFonts w:ascii="Cambria" w:hAnsi="Cambria"/>
          <w:i/>
          <w:sz w:val="24"/>
          <w:szCs w:val="24"/>
        </w:rPr>
        <w:t>Journal of Advertising</w:t>
      </w:r>
      <w:r w:rsidRPr="00530906">
        <w:rPr>
          <w:rFonts w:ascii="Cambria" w:hAnsi="Cambria"/>
          <w:sz w:val="24"/>
          <w:szCs w:val="24"/>
        </w:rPr>
        <w:t xml:space="preserve">, 36(2), pp. 63–74. doi: 10.2753/JOA0091–336736020. </w:t>
      </w:r>
    </w:p>
    <w:p w14:paraId="027BCB59" w14:textId="2BC9BD61"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Näsi, M., Räsänen, P., Hawdon, J., Holkeri, E. and Oksanen, A. (2015) 'Exposure to online hate material and social trust among Finnish youth', </w:t>
      </w:r>
      <w:r w:rsidRPr="00530906">
        <w:rPr>
          <w:rFonts w:ascii="Cambria" w:hAnsi="Cambria" w:cs="Segoe UI"/>
          <w:i/>
          <w:iCs/>
          <w:sz w:val="24"/>
          <w:szCs w:val="24"/>
        </w:rPr>
        <w:t>Information Technology &amp; People</w:t>
      </w:r>
      <w:r w:rsidRPr="00530906">
        <w:rPr>
          <w:rFonts w:ascii="Cambria" w:hAnsi="Cambria" w:cs="Segoe UI"/>
          <w:sz w:val="24"/>
          <w:szCs w:val="24"/>
        </w:rPr>
        <w:t>, 28(3), pp. 607</w:t>
      </w:r>
      <w:r w:rsidR="004179CD" w:rsidRPr="00530906">
        <w:rPr>
          <w:rFonts w:ascii="Cambria" w:hAnsi="Cambria" w:cs="Segoe UI"/>
          <w:sz w:val="24"/>
          <w:szCs w:val="24"/>
        </w:rPr>
        <w:t>–</w:t>
      </w:r>
      <w:r w:rsidRPr="00530906">
        <w:rPr>
          <w:rFonts w:ascii="Cambria" w:hAnsi="Cambria" w:cs="Segoe UI"/>
          <w:sz w:val="24"/>
          <w:szCs w:val="24"/>
        </w:rPr>
        <w:t xml:space="preserve">622.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09</w:t>
      </w:r>
      <w:r w:rsidR="004179CD" w:rsidRPr="00530906">
        <w:rPr>
          <w:rFonts w:ascii="Cambria" w:hAnsi="Cambria" w:cs="Segoe UI"/>
          <w:sz w:val="24"/>
          <w:szCs w:val="24"/>
          <w:u w:val="single"/>
        </w:rPr>
        <w:t>–</w:t>
      </w:r>
      <w:r w:rsidRPr="00530906">
        <w:rPr>
          <w:rFonts w:ascii="Cambria" w:hAnsi="Cambria" w:cs="Segoe UI"/>
          <w:sz w:val="24"/>
          <w:szCs w:val="24"/>
          <w:u w:val="single"/>
        </w:rPr>
        <w:t>2014</w:t>
      </w:r>
      <w:r w:rsidR="004179CD" w:rsidRPr="00530906">
        <w:rPr>
          <w:rFonts w:ascii="Cambria" w:hAnsi="Cambria" w:cs="Segoe UI"/>
          <w:sz w:val="24"/>
          <w:szCs w:val="24"/>
          <w:u w:val="single"/>
        </w:rPr>
        <w:t>–</w:t>
      </w:r>
      <w:r w:rsidRPr="00530906">
        <w:rPr>
          <w:rFonts w:ascii="Cambria" w:hAnsi="Cambria" w:cs="Segoe UI"/>
          <w:sz w:val="24"/>
          <w:szCs w:val="24"/>
          <w:u w:val="single"/>
        </w:rPr>
        <w:t>0198</w:t>
      </w:r>
    </w:p>
    <w:p w14:paraId="6234C19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Nelson, B. (2019) </w:t>
      </w:r>
      <w:hyperlink r:id="rId160" w:history="1">
        <w:r w:rsidRPr="00530906">
          <w:rPr>
            <w:rStyle w:val="Hyperlink"/>
            <w:rFonts w:ascii="Cambria" w:hAnsi="Cambria"/>
            <w:color w:val="auto"/>
            <w:sz w:val="24"/>
            <w:szCs w:val="24"/>
          </w:rPr>
          <w:t>https://www.treehugger.com/the–worst–forms–of–pollution–4869160</w:t>
        </w:r>
      </w:hyperlink>
      <w:r w:rsidRPr="00530906">
        <w:rPr>
          <w:rFonts w:ascii="Cambria" w:hAnsi="Cambria"/>
          <w:sz w:val="24"/>
          <w:szCs w:val="24"/>
        </w:rPr>
        <w:t xml:space="preserve"> (accessed 14th Nov 2020)</w:t>
      </w:r>
    </w:p>
    <w:p w14:paraId="0602DE1F" w14:textId="7C9C7A59" w:rsidR="00661E51" w:rsidRPr="00530906" w:rsidRDefault="00661E51">
      <w:pPr>
        <w:spacing w:line="360" w:lineRule="auto"/>
        <w:ind w:left="567" w:hanging="567"/>
        <w:jc w:val="both"/>
        <w:rPr>
          <w:rFonts w:ascii="Cambria" w:hAnsi="Cambria"/>
          <w:sz w:val="24"/>
          <w:szCs w:val="24"/>
        </w:rPr>
      </w:pPr>
      <w:bookmarkStart w:id="173" w:name="_Hlk72782214"/>
      <w:r w:rsidRPr="00530906">
        <w:rPr>
          <w:rFonts w:ascii="Cambria" w:hAnsi="Cambria"/>
          <w:sz w:val="24"/>
          <w:szCs w:val="24"/>
        </w:rPr>
        <w:t>netlytic.org (2021)</w:t>
      </w:r>
      <w:r w:rsidRPr="00530906">
        <w:rPr>
          <w:sz w:val="24"/>
          <w:szCs w:val="24"/>
        </w:rPr>
        <w:t xml:space="preserve"> </w:t>
      </w:r>
      <w:r w:rsidRPr="00530906">
        <w:rPr>
          <w:rFonts w:ascii="Cambria" w:hAnsi="Cambria"/>
          <w:sz w:val="24"/>
          <w:szCs w:val="24"/>
        </w:rPr>
        <w:t xml:space="preserve">netlytic. Available at </w:t>
      </w:r>
      <w:hyperlink r:id="rId161" w:history="1">
        <w:r w:rsidRPr="00530906">
          <w:rPr>
            <w:rStyle w:val="Hyperlink"/>
            <w:rFonts w:ascii="Cambria" w:hAnsi="Cambria"/>
            <w:sz w:val="24"/>
            <w:szCs w:val="24"/>
          </w:rPr>
          <w:t>https://netlytic.org/index.php</w:t>
        </w:r>
      </w:hyperlink>
      <w:r w:rsidRPr="00530906">
        <w:rPr>
          <w:rFonts w:ascii="Cambria" w:hAnsi="Cambria"/>
          <w:sz w:val="24"/>
          <w:szCs w:val="24"/>
        </w:rPr>
        <w:t xml:space="preserve"> (Accessed on 24th May 2021)</w:t>
      </w:r>
    </w:p>
    <w:bookmarkEnd w:id="173"/>
    <w:p w14:paraId="1CF48B4B" w14:textId="0929071F"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Nielsen, J. H., Escalas, J. E., &amp;Hoeffler, S. (2018). Mental simulation and category knowledge affect really new product evaluation through transportation. </w:t>
      </w:r>
      <w:r w:rsidRPr="00530906">
        <w:rPr>
          <w:rFonts w:ascii="Cambria" w:hAnsi="Cambria" w:cs="Arial"/>
          <w:i/>
          <w:iCs/>
          <w:sz w:val="24"/>
          <w:szCs w:val="24"/>
          <w:shd w:val="clear" w:color="auto" w:fill="FFFFFF"/>
        </w:rPr>
        <w:t>Journal of Experimental Psychology: Applied</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24</w:t>
      </w:r>
      <w:r w:rsidRPr="00530906">
        <w:rPr>
          <w:rFonts w:ascii="Cambria" w:hAnsi="Cambria" w:cs="Arial"/>
          <w:sz w:val="24"/>
          <w:szCs w:val="24"/>
          <w:shd w:val="clear" w:color="auto" w:fill="FFFFFF"/>
        </w:rPr>
        <w:t>(2), 145–158.</w:t>
      </w:r>
      <w:r w:rsidRPr="00530906">
        <w:rPr>
          <w:rFonts w:ascii="Cambria" w:hAnsi="Cambria"/>
          <w:sz w:val="24"/>
          <w:szCs w:val="24"/>
        </w:rPr>
        <w:t xml:space="preserve"> Doi: 10.1037/xap0000169</w:t>
      </w:r>
    </w:p>
    <w:p w14:paraId="6C906BE6" w14:textId="57F6E035"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Nikolinakou, A. and King, K.</w:t>
      </w:r>
      <w:r w:rsidR="0059728F" w:rsidRPr="00530906">
        <w:rPr>
          <w:rFonts w:ascii="Cambria" w:hAnsi="Cambria" w:cs="Segoe UI"/>
          <w:sz w:val="24"/>
          <w:szCs w:val="24"/>
        </w:rPr>
        <w:t xml:space="preserve"> </w:t>
      </w:r>
      <w:r w:rsidRPr="00530906">
        <w:rPr>
          <w:rFonts w:ascii="Cambria" w:hAnsi="Cambria" w:cs="Segoe UI"/>
          <w:sz w:val="24"/>
          <w:szCs w:val="24"/>
        </w:rPr>
        <w:t xml:space="preserve">W. (2018) 'Viral video ads: Emotional triggers and social media virality', </w:t>
      </w:r>
      <w:r w:rsidRPr="00530906">
        <w:rPr>
          <w:rFonts w:ascii="Cambria" w:hAnsi="Cambria" w:cs="Segoe UI"/>
          <w:i/>
          <w:iCs/>
          <w:sz w:val="24"/>
          <w:szCs w:val="24"/>
        </w:rPr>
        <w:t>Psychology &amp; Marketing</w:t>
      </w:r>
      <w:r w:rsidRPr="00530906">
        <w:rPr>
          <w:rFonts w:ascii="Cambria" w:hAnsi="Cambria" w:cs="Segoe UI"/>
          <w:sz w:val="24"/>
          <w:szCs w:val="24"/>
        </w:rPr>
        <w:t>, 35(10), pp. 715</w:t>
      </w:r>
      <w:r w:rsidR="004179CD" w:rsidRPr="00530906">
        <w:rPr>
          <w:rFonts w:ascii="Cambria" w:hAnsi="Cambria" w:cs="Segoe UI"/>
          <w:sz w:val="24"/>
          <w:szCs w:val="24"/>
        </w:rPr>
        <w:t>–</w:t>
      </w:r>
      <w:r w:rsidRPr="00530906">
        <w:rPr>
          <w:rFonts w:ascii="Cambria" w:hAnsi="Cambria" w:cs="Segoe UI"/>
          <w:sz w:val="24"/>
          <w:szCs w:val="24"/>
        </w:rPr>
        <w:t>726. Doi: 10.1002/mar.21129</w:t>
      </w:r>
    </w:p>
    <w:p w14:paraId="7B884479" w14:textId="211D88D6"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Ngobo, P. V. (2011). What drives household choice of organic products in grocery stores? Journal of Retailing, 87(1), 90–100.</w:t>
      </w:r>
    </w:p>
    <w:p w14:paraId="35B7C1C8" w14:textId="3762B124" w:rsidR="007E4999" w:rsidRPr="00530906" w:rsidRDefault="00B5048A">
      <w:pPr>
        <w:spacing w:line="360" w:lineRule="auto"/>
        <w:ind w:left="567" w:hanging="567"/>
        <w:jc w:val="both"/>
        <w:rPr>
          <w:sz w:val="24"/>
          <w:szCs w:val="24"/>
        </w:rPr>
      </w:pPr>
      <w:r w:rsidRPr="00530906">
        <w:rPr>
          <w:sz w:val="24"/>
          <w:szCs w:val="24"/>
        </w:rPr>
        <w:t>nodexl.codeplex.com (</w:t>
      </w:r>
      <w:r w:rsidR="00CF0B8C" w:rsidRPr="00530906">
        <w:rPr>
          <w:sz w:val="24"/>
          <w:szCs w:val="24"/>
        </w:rPr>
        <w:t>2018)</w:t>
      </w:r>
      <w:r w:rsidRPr="00530906">
        <w:rPr>
          <w:sz w:val="24"/>
          <w:szCs w:val="24"/>
        </w:rPr>
        <w:t xml:space="preserve"> NodeXL</w:t>
      </w:r>
      <w:r w:rsidRPr="00530906">
        <w:rPr>
          <w:rFonts w:ascii="Cambria" w:hAnsi="Cambria"/>
          <w:sz w:val="24"/>
          <w:szCs w:val="24"/>
        </w:rPr>
        <w:t>. Available at</w:t>
      </w:r>
      <w:r w:rsidR="00CF0B8C" w:rsidRPr="00530906">
        <w:rPr>
          <w:sz w:val="24"/>
          <w:szCs w:val="24"/>
        </w:rPr>
        <w:t xml:space="preserve">  </w:t>
      </w:r>
      <w:hyperlink r:id="rId162" w:history="1">
        <w:r w:rsidR="00CF0B8C" w:rsidRPr="00530906">
          <w:rPr>
            <w:rStyle w:val="Hyperlink"/>
            <w:sz w:val="24"/>
            <w:szCs w:val="24"/>
          </w:rPr>
          <w:t>http://nodexl.codeplex.com/</w:t>
        </w:r>
      </w:hyperlink>
      <w:r w:rsidR="00CF0B8C" w:rsidRPr="00530906">
        <w:rPr>
          <w:sz w:val="24"/>
          <w:szCs w:val="24"/>
        </w:rPr>
        <w:t xml:space="preserve"> </w:t>
      </w:r>
      <w:r w:rsidR="00CF0B8C" w:rsidRPr="00530906">
        <w:rPr>
          <w:rFonts w:ascii="Cambria" w:hAnsi="Cambria"/>
          <w:sz w:val="24"/>
          <w:szCs w:val="24"/>
        </w:rPr>
        <w:t>(Accessed on 26th May 2021)</w:t>
      </w:r>
    </w:p>
    <w:p w14:paraId="6591D7D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O'Brien, I. M., Jarvis, W. Soutar, G. N. (2015) "Integrating social issues and customer engagement to drive loyalty in a service organisation", </w:t>
      </w:r>
      <w:r w:rsidRPr="00530906">
        <w:rPr>
          <w:rFonts w:ascii="Cambria" w:hAnsi="Cambria"/>
          <w:i/>
          <w:sz w:val="24"/>
          <w:szCs w:val="24"/>
        </w:rPr>
        <w:t>Journal of Services Marketing</w:t>
      </w:r>
      <w:r w:rsidRPr="00530906">
        <w:rPr>
          <w:rFonts w:ascii="Cambria" w:hAnsi="Cambria"/>
          <w:sz w:val="24"/>
          <w:szCs w:val="24"/>
        </w:rPr>
        <w:t xml:space="preserve">, Vol. 29 Issue: 6/7, pp.547–559, </w:t>
      </w:r>
      <w:hyperlink r:id="rId163" w:history="1">
        <w:r w:rsidRPr="00530906">
          <w:rPr>
            <w:rStyle w:val="Hyperlink"/>
            <w:rFonts w:ascii="Cambria" w:hAnsi="Cambria"/>
            <w:color w:val="auto"/>
            <w:sz w:val="24"/>
            <w:szCs w:val="24"/>
          </w:rPr>
          <w:t>https://doi.org/10.1108/</w:t>
        </w:r>
      </w:hyperlink>
      <w:r w:rsidRPr="00530906">
        <w:rPr>
          <w:rFonts w:ascii="Cambria" w:hAnsi="Cambria"/>
          <w:sz w:val="24"/>
          <w:szCs w:val="24"/>
        </w:rPr>
        <w:t xml:space="preserve"> JSM–02–2015–0085</w:t>
      </w:r>
    </w:p>
    <w:p w14:paraId="271155A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Ohanian, R., (1990) ‘Construction and validation of a scale to measure celebrity endorsers' perceived expertise, trustworthiness, and attractiveness’. </w:t>
      </w:r>
      <w:r w:rsidRPr="00530906">
        <w:rPr>
          <w:rFonts w:ascii="Cambria" w:hAnsi="Cambria"/>
          <w:i/>
          <w:sz w:val="24"/>
          <w:szCs w:val="24"/>
        </w:rPr>
        <w:t>Journal of advertising,</w:t>
      </w:r>
      <w:r w:rsidRPr="00530906">
        <w:rPr>
          <w:rFonts w:ascii="Cambria" w:hAnsi="Cambria"/>
          <w:sz w:val="24"/>
          <w:szCs w:val="24"/>
        </w:rPr>
        <w:t xml:space="preserve"> 19(3), pp.39–52.</w:t>
      </w:r>
    </w:p>
    <w:p w14:paraId="5F10A523" w14:textId="7434D641"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Olsen, M.</w:t>
      </w:r>
      <w:r w:rsidR="0059728F" w:rsidRPr="00530906">
        <w:rPr>
          <w:rFonts w:ascii="Cambria" w:hAnsi="Cambria" w:cs="Segoe UI"/>
          <w:sz w:val="24"/>
          <w:szCs w:val="24"/>
        </w:rPr>
        <w:t xml:space="preserve"> </w:t>
      </w:r>
      <w:r w:rsidRPr="00530906">
        <w:rPr>
          <w:rFonts w:ascii="Cambria" w:hAnsi="Cambria" w:cs="Segoe UI"/>
          <w:sz w:val="24"/>
          <w:szCs w:val="24"/>
        </w:rPr>
        <w:t>C., Slotegraaf, R.</w:t>
      </w:r>
      <w:r w:rsidR="0059728F" w:rsidRPr="00530906">
        <w:rPr>
          <w:rFonts w:ascii="Cambria" w:hAnsi="Cambria" w:cs="Segoe UI"/>
          <w:sz w:val="24"/>
          <w:szCs w:val="24"/>
        </w:rPr>
        <w:t xml:space="preserve"> </w:t>
      </w:r>
      <w:r w:rsidRPr="00530906">
        <w:rPr>
          <w:rFonts w:ascii="Cambria" w:hAnsi="Cambria" w:cs="Segoe UI"/>
          <w:sz w:val="24"/>
          <w:szCs w:val="24"/>
        </w:rPr>
        <w:t>J. and Chandukala, S.</w:t>
      </w:r>
      <w:r w:rsidR="0059728F" w:rsidRPr="00530906">
        <w:rPr>
          <w:rFonts w:ascii="Cambria" w:hAnsi="Cambria" w:cs="Segoe UI"/>
          <w:sz w:val="24"/>
          <w:szCs w:val="24"/>
        </w:rPr>
        <w:t xml:space="preserve"> </w:t>
      </w:r>
      <w:r w:rsidRPr="00530906">
        <w:rPr>
          <w:rFonts w:ascii="Cambria" w:hAnsi="Cambria" w:cs="Segoe UI"/>
          <w:sz w:val="24"/>
          <w:szCs w:val="24"/>
        </w:rPr>
        <w:t xml:space="preserve">R. (2014) 'Green claims and message frames: how green new products change brand attitude', </w:t>
      </w:r>
      <w:r w:rsidRPr="00530906">
        <w:rPr>
          <w:rFonts w:ascii="Cambria" w:hAnsi="Cambria" w:cs="Segoe UI"/>
          <w:i/>
          <w:iCs/>
          <w:sz w:val="24"/>
          <w:szCs w:val="24"/>
        </w:rPr>
        <w:t>Journal of Marketing</w:t>
      </w:r>
      <w:r w:rsidRPr="00530906">
        <w:rPr>
          <w:rFonts w:ascii="Cambria" w:hAnsi="Cambria" w:cs="Segoe UI"/>
          <w:sz w:val="24"/>
          <w:szCs w:val="24"/>
        </w:rPr>
        <w:t>, 78(5), pp. 119–137. Doi: 10.1509/jm.13.0387</w:t>
      </w:r>
    </w:p>
    <w:p w14:paraId="2CAB15C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Oppenheimer, D. M., Meyvis, T., &amp; Davidenko, N. (2009). Instructional manipulation checks: Detecting satisficing to increase statistical power. </w:t>
      </w:r>
      <w:r w:rsidRPr="00530906">
        <w:rPr>
          <w:rFonts w:ascii="Cambria" w:hAnsi="Cambria" w:cs="Arial"/>
          <w:i/>
          <w:iCs/>
          <w:sz w:val="24"/>
          <w:szCs w:val="24"/>
          <w:shd w:val="clear" w:color="auto" w:fill="FFFFFF"/>
        </w:rPr>
        <w:t>Journal of experimental social psychology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45</w:t>
      </w:r>
      <w:r w:rsidRPr="00530906">
        <w:rPr>
          <w:rFonts w:ascii="Cambria" w:hAnsi="Cambria" w:cs="Arial"/>
          <w:sz w:val="24"/>
          <w:szCs w:val="24"/>
          <w:shd w:val="clear" w:color="auto" w:fill="FFFFFF"/>
        </w:rPr>
        <w:t xml:space="preserve">(4), 867–872. Doi: </w:t>
      </w:r>
      <w:hyperlink r:id="rId164" w:tgtFrame="_blank" w:tooltip="Persistent link using digital object identifier" w:history="1">
        <w:r w:rsidRPr="00530906">
          <w:rPr>
            <w:rStyle w:val="Hyperlink"/>
            <w:rFonts w:ascii="Cambria" w:hAnsi="Cambria" w:cs="Arial"/>
            <w:color w:val="auto"/>
            <w:sz w:val="24"/>
            <w:szCs w:val="24"/>
          </w:rPr>
          <w:t>10.1016/j.jesp.2009.03.009</w:t>
        </w:r>
      </w:hyperlink>
    </w:p>
    <w:p w14:paraId="0260E330" w14:textId="1035E5EA" w:rsidR="007E4999" w:rsidRPr="00530906" w:rsidRDefault="007E4999">
      <w:pPr>
        <w:spacing w:line="360" w:lineRule="auto"/>
        <w:ind w:left="567" w:hanging="567"/>
        <w:jc w:val="both"/>
        <w:rPr>
          <w:sz w:val="24"/>
          <w:szCs w:val="24"/>
          <w:shd w:val="clear" w:color="auto" w:fill="FFFFFF"/>
        </w:rPr>
      </w:pPr>
      <w:r w:rsidRPr="00530906">
        <w:rPr>
          <w:rFonts w:ascii="Cambria" w:hAnsi="Cambria"/>
          <w:sz w:val="24"/>
          <w:szCs w:val="24"/>
        </w:rPr>
        <w:t>Ottman, J.A. (1993), Green Marketing: Challenges &amp; Opportunities, NTC Business Books, Chicago, IL.</w:t>
      </w:r>
    </w:p>
    <w:p w14:paraId="0FDEFC35" w14:textId="1780A6C6" w:rsidR="00890480" w:rsidRDefault="00890480" w:rsidP="00890480">
      <w:pPr>
        <w:spacing w:line="360" w:lineRule="auto"/>
        <w:ind w:left="567" w:hanging="567"/>
        <w:jc w:val="both"/>
        <w:rPr>
          <w:rFonts w:ascii="Cambria" w:hAnsi="Cambria" w:cs="Helvetica"/>
          <w:sz w:val="24"/>
          <w:szCs w:val="24"/>
          <w:shd w:val="clear" w:color="auto" w:fill="FFFFFF"/>
        </w:rPr>
      </w:pPr>
      <w:r w:rsidRPr="00890480">
        <w:rPr>
          <w:rFonts w:ascii="Cambria" w:hAnsi="Cambria" w:cs="Helvetica"/>
          <w:sz w:val="24"/>
          <w:szCs w:val="24"/>
          <w:shd w:val="clear" w:color="auto" w:fill="FFFFFF"/>
        </w:rPr>
        <w:t>Paço</w:t>
      </w:r>
      <w:r>
        <w:rPr>
          <w:rFonts w:ascii="Cambria" w:hAnsi="Cambria" w:cs="Helvetica"/>
          <w:sz w:val="24"/>
          <w:szCs w:val="24"/>
          <w:shd w:val="clear" w:color="auto" w:fill="FFFFFF"/>
        </w:rPr>
        <w:t>, A. M. F. D</w:t>
      </w:r>
      <w:r w:rsidRPr="00890480">
        <w:rPr>
          <w:rFonts w:ascii="Cambria" w:hAnsi="Cambria" w:cs="Helvetica"/>
          <w:sz w:val="24"/>
          <w:szCs w:val="24"/>
          <w:shd w:val="clear" w:color="auto" w:fill="FFFFFF"/>
        </w:rPr>
        <w:t xml:space="preserve"> </w:t>
      </w:r>
      <w:r w:rsidR="00FC4FEA">
        <w:rPr>
          <w:rFonts w:ascii="Cambria" w:hAnsi="Cambria" w:cs="Helvetica"/>
          <w:sz w:val="24"/>
          <w:szCs w:val="24"/>
          <w:shd w:val="clear" w:color="auto" w:fill="FFFFFF"/>
        </w:rPr>
        <w:t>and</w:t>
      </w:r>
      <w:r w:rsidRPr="00890480">
        <w:rPr>
          <w:rFonts w:ascii="Cambria" w:hAnsi="Cambria" w:cs="Helvetica"/>
          <w:sz w:val="24"/>
          <w:szCs w:val="24"/>
          <w:shd w:val="clear" w:color="auto" w:fill="FFFFFF"/>
        </w:rPr>
        <w:t xml:space="preserve"> Reis</w:t>
      </w:r>
      <w:r w:rsidR="00A028F1">
        <w:rPr>
          <w:rFonts w:ascii="Cambria" w:hAnsi="Cambria" w:cs="Helvetica"/>
          <w:sz w:val="24"/>
          <w:szCs w:val="24"/>
          <w:shd w:val="clear" w:color="auto" w:fill="FFFFFF"/>
        </w:rPr>
        <w:t>, R</w:t>
      </w:r>
      <w:r w:rsidRPr="00890480">
        <w:rPr>
          <w:rFonts w:ascii="Cambria" w:hAnsi="Cambria" w:cs="Helvetica"/>
          <w:sz w:val="24"/>
          <w:szCs w:val="24"/>
          <w:shd w:val="clear" w:color="auto" w:fill="FFFFFF"/>
        </w:rPr>
        <w:t xml:space="preserve"> (2012) Factors</w:t>
      </w:r>
      <w:r>
        <w:rPr>
          <w:rFonts w:ascii="Cambria" w:hAnsi="Cambria" w:cs="Helvetica"/>
          <w:sz w:val="24"/>
          <w:szCs w:val="24"/>
          <w:shd w:val="clear" w:color="auto" w:fill="FFFFFF"/>
        </w:rPr>
        <w:t xml:space="preserve"> </w:t>
      </w:r>
      <w:r w:rsidRPr="00890480">
        <w:rPr>
          <w:rFonts w:ascii="Cambria" w:hAnsi="Cambria" w:cs="Helvetica"/>
          <w:sz w:val="24"/>
          <w:szCs w:val="24"/>
          <w:shd w:val="clear" w:color="auto" w:fill="FFFFFF"/>
        </w:rPr>
        <w:t xml:space="preserve">Affecting Skepticism toward Green Advertising, </w:t>
      </w:r>
      <w:r w:rsidRPr="00890480">
        <w:rPr>
          <w:rFonts w:ascii="Cambria" w:hAnsi="Cambria" w:cs="Helvetica"/>
          <w:i/>
          <w:iCs/>
          <w:sz w:val="24"/>
          <w:szCs w:val="24"/>
          <w:shd w:val="clear" w:color="auto" w:fill="FFFFFF"/>
        </w:rPr>
        <w:t>Journal of Advertising</w:t>
      </w:r>
      <w:r w:rsidRPr="00890480">
        <w:rPr>
          <w:rFonts w:ascii="Cambria" w:hAnsi="Cambria" w:cs="Helvetica"/>
          <w:sz w:val="24"/>
          <w:szCs w:val="24"/>
          <w:shd w:val="clear" w:color="auto" w:fill="FFFFFF"/>
        </w:rPr>
        <w:t>, 41</w:t>
      </w:r>
      <w:r w:rsidR="00810041">
        <w:rPr>
          <w:rFonts w:ascii="Cambria" w:hAnsi="Cambria" w:cs="Helvetica"/>
          <w:sz w:val="24"/>
          <w:szCs w:val="24"/>
          <w:shd w:val="clear" w:color="auto" w:fill="FFFFFF"/>
        </w:rPr>
        <w:t>(</w:t>
      </w:r>
      <w:r w:rsidRPr="00890480">
        <w:rPr>
          <w:rFonts w:ascii="Cambria" w:hAnsi="Cambria" w:cs="Helvetica"/>
          <w:sz w:val="24"/>
          <w:szCs w:val="24"/>
          <w:shd w:val="clear" w:color="auto" w:fill="FFFFFF"/>
        </w:rPr>
        <w:t>4</w:t>
      </w:r>
      <w:r w:rsidR="00810041">
        <w:rPr>
          <w:rFonts w:ascii="Cambria" w:hAnsi="Cambria" w:cs="Helvetica"/>
          <w:sz w:val="24"/>
          <w:szCs w:val="24"/>
          <w:shd w:val="clear" w:color="auto" w:fill="FFFFFF"/>
        </w:rPr>
        <w:t>)</w:t>
      </w:r>
      <w:r w:rsidRPr="00890480">
        <w:rPr>
          <w:rFonts w:ascii="Cambria" w:hAnsi="Cambria" w:cs="Helvetica"/>
          <w:sz w:val="24"/>
          <w:szCs w:val="24"/>
          <w:shd w:val="clear" w:color="auto" w:fill="FFFFFF"/>
        </w:rPr>
        <w:t>, 147-155, DOI:10.1080/00913367.2012.10672463</w:t>
      </w:r>
    </w:p>
    <w:p w14:paraId="59F84775" w14:textId="1AB79515" w:rsidR="007E4999" w:rsidRPr="00530906" w:rsidRDefault="007E4999" w:rsidP="00890480">
      <w:pPr>
        <w:spacing w:line="360" w:lineRule="auto"/>
        <w:ind w:left="567" w:hanging="567"/>
        <w:jc w:val="both"/>
        <w:rPr>
          <w:rFonts w:ascii="Cambria" w:hAnsi="Cambria" w:cs="Helvetica"/>
          <w:sz w:val="24"/>
          <w:szCs w:val="24"/>
          <w:shd w:val="clear" w:color="auto" w:fill="FFFFFF"/>
        </w:rPr>
      </w:pPr>
      <w:r w:rsidRPr="00530906">
        <w:rPr>
          <w:rFonts w:ascii="Cambria" w:hAnsi="Cambria" w:cs="Helvetica"/>
          <w:sz w:val="24"/>
          <w:szCs w:val="24"/>
          <w:shd w:val="clear" w:color="auto" w:fill="FFFFFF"/>
        </w:rPr>
        <w:t xml:space="preserve">Pallant, J. (2010) </w:t>
      </w:r>
      <w:r w:rsidRPr="00530906">
        <w:rPr>
          <w:rFonts w:ascii="Cambria" w:hAnsi="Cambria" w:cs="Helvetica"/>
          <w:i/>
          <w:iCs/>
          <w:sz w:val="24"/>
          <w:szCs w:val="24"/>
        </w:rPr>
        <w:t>SPSS Survival Manual : A Step by Step Guide to Data Analysis Using SPSS</w:t>
      </w:r>
      <w:r w:rsidRPr="00530906">
        <w:rPr>
          <w:rFonts w:ascii="Cambria" w:hAnsi="Cambria" w:cs="Helvetica"/>
          <w:sz w:val="24"/>
          <w:szCs w:val="24"/>
          <w:shd w:val="clear" w:color="auto" w:fill="FFFFFF"/>
        </w:rPr>
        <w:t xml:space="preserve">, McGraw–Hill Education, 2003. ProQuest Ebook Central, </w:t>
      </w:r>
      <w:hyperlink r:id="rId165" w:history="1">
        <w:r w:rsidRPr="00530906">
          <w:rPr>
            <w:rStyle w:val="Hyperlink"/>
            <w:rFonts w:ascii="Cambria" w:hAnsi="Cambria" w:cs="Helvetica"/>
            <w:color w:val="auto"/>
            <w:sz w:val="24"/>
            <w:szCs w:val="24"/>
            <w:shd w:val="clear" w:color="auto" w:fill="FFFFFF"/>
          </w:rPr>
          <w:t>http://ebookcentral.proquest.com/lib/ncl/detail.action?docID=744152</w:t>
        </w:r>
      </w:hyperlink>
      <w:r w:rsidRPr="00530906">
        <w:rPr>
          <w:rFonts w:ascii="Cambria" w:hAnsi="Cambria" w:cs="Helvetica"/>
          <w:sz w:val="24"/>
          <w:szCs w:val="24"/>
          <w:shd w:val="clear" w:color="auto" w:fill="FFFFFF"/>
        </w:rPr>
        <w:t>. Created from ncl on 2020–06–14 12:52:31.</w:t>
      </w:r>
    </w:p>
    <w:p w14:paraId="24DA34FD" w14:textId="41A75E4D" w:rsidR="007E4999" w:rsidRPr="00530906" w:rsidRDefault="007E4999">
      <w:pPr>
        <w:spacing w:line="360" w:lineRule="auto"/>
        <w:ind w:left="567" w:hanging="567"/>
        <w:jc w:val="both"/>
        <w:rPr>
          <w:rFonts w:ascii="Cambria" w:hAnsi="Cambria" w:cs="Helvetica"/>
          <w:sz w:val="24"/>
          <w:szCs w:val="24"/>
          <w:shd w:val="clear" w:color="auto" w:fill="FFFFFF"/>
        </w:rPr>
      </w:pPr>
      <w:r w:rsidRPr="00530906">
        <w:rPr>
          <w:rFonts w:ascii="Cambria" w:hAnsi="Cambria" w:cs="Segoe UI"/>
          <w:sz w:val="24"/>
          <w:szCs w:val="24"/>
        </w:rPr>
        <w:t>Pagani, M. and Mirabello, A. (2011) 'The Influence of Personal and Social</w:t>
      </w:r>
      <w:r w:rsidR="004179CD" w:rsidRPr="00530906">
        <w:rPr>
          <w:rFonts w:ascii="Cambria" w:hAnsi="Cambria" w:cs="Segoe UI"/>
          <w:sz w:val="24"/>
          <w:szCs w:val="24"/>
        </w:rPr>
        <w:t>–</w:t>
      </w:r>
      <w:r w:rsidRPr="00530906">
        <w:rPr>
          <w:rFonts w:ascii="Cambria" w:hAnsi="Cambria" w:cs="Segoe UI"/>
          <w:sz w:val="24"/>
          <w:szCs w:val="24"/>
        </w:rPr>
        <w:t xml:space="preserve">Interactive Engagement in Social TV Web Sites', </w:t>
      </w:r>
      <w:r w:rsidRPr="00530906">
        <w:rPr>
          <w:rFonts w:ascii="Cambria" w:hAnsi="Cambria" w:cs="Segoe UI"/>
          <w:i/>
          <w:iCs/>
          <w:sz w:val="24"/>
          <w:szCs w:val="24"/>
        </w:rPr>
        <w:t>International Journal of Electronic Commerce</w:t>
      </w:r>
      <w:r w:rsidRPr="00530906">
        <w:rPr>
          <w:rFonts w:ascii="Cambria" w:hAnsi="Cambria" w:cs="Segoe UI"/>
          <w:sz w:val="24"/>
          <w:szCs w:val="24"/>
        </w:rPr>
        <w:t>, 16(2), pp. 41</w:t>
      </w:r>
      <w:r w:rsidR="004179CD" w:rsidRPr="00530906">
        <w:rPr>
          <w:rFonts w:ascii="Cambria" w:hAnsi="Cambria" w:cs="Segoe UI"/>
          <w:sz w:val="24"/>
          <w:szCs w:val="24"/>
        </w:rPr>
        <w:t>–</w:t>
      </w:r>
      <w:r w:rsidRPr="00530906">
        <w:rPr>
          <w:rFonts w:ascii="Cambria" w:hAnsi="Cambria" w:cs="Segoe UI"/>
          <w:sz w:val="24"/>
          <w:szCs w:val="24"/>
        </w:rPr>
        <w:t>68. Doi: 10.2753/JEC1086</w:t>
      </w:r>
      <w:r w:rsidR="004179CD" w:rsidRPr="00530906">
        <w:rPr>
          <w:rFonts w:ascii="Cambria" w:hAnsi="Cambria" w:cs="Segoe UI"/>
          <w:sz w:val="24"/>
          <w:szCs w:val="24"/>
        </w:rPr>
        <w:t>–</w:t>
      </w:r>
      <w:r w:rsidRPr="00530906">
        <w:rPr>
          <w:rFonts w:ascii="Cambria" w:hAnsi="Cambria" w:cs="Segoe UI"/>
          <w:sz w:val="24"/>
          <w:szCs w:val="24"/>
        </w:rPr>
        <w:t>4415160203</w:t>
      </w:r>
    </w:p>
    <w:p w14:paraId="622FA473"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Pagiaslis, A., &amp; Krontalis, A. K. (2014). Green consumption behavior antecedents: Environmental concern, knowledge, and beliefs.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31</w:t>
      </w:r>
      <w:r w:rsidRPr="00530906">
        <w:rPr>
          <w:rFonts w:ascii="Cambria" w:hAnsi="Cambria" w:cs="Arial"/>
          <w:sz w:val="24"/>
          <w:szCs w:val="24"/>
          <w:shd w:val="clear" w:color="auto" w:fill="FFFFFF"/>
        </w:rPr>
        <w:t>(5), 335–348. Doi:</w:t>
      </w:r>
      <w:r w:rsidRPr="00530906">
        <w:rPr>
          <w:rFonts w:ascii="Cambria" w:hAnsi="Cambria"/>
          <w:sz w:val="24"/>
          <w:szCs w:val="24"/>
        </w:rPr>
        <w:t xml:space="preserve"> </w:t>
      </w:r>
      <w:r w:rsidRPr="00530906">
        <w:rPr>
          <w:rFonts w:ascii="Cambria" w:hAnsi="Cambria" w:cs="Arial"/>
          <w:sz w:val="24"/>
          <w:szCs w:val="24"/>
          <w:shd w:val="clear" w:color="auto" w:fill="FFFFFF"/>
        </w:rPr>
        <w:t>10.1002/mar.20698</w:t>
      </w:r>
    </w:p>
    <w:p w14:paraId="58C4C81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Panzone, L., Hilton, D., Sale, L., &amp; Cohen, D. (2016). Socio–demographics, implicit attitudes, explicit attitudes, and sustainable consumption in supermarket shopping. Journal of Economic Psychology, 55, 77–95. doi:10.1016/j.joep.2016.02.004</w:t>
      </w:r>
    </w:p>
    <w:p w14:paraId="103DCF70" w14:textId="77777777" w:rsidR="007E4999" w:rsidRPr="00530906" w:rsidRDefault="007E4999">
      <w:pPr>
        <w:spacing w:line="360" w:lineRule="auto"/>
        <w:ind w:left="567" w:hanging="567"/>
        <w:jc w:val="both"/>
        <w:rPr>
          <w:rFonts w:ascii="Cambria" w:hAnsi="Cambria" w:cs="Segoe UI"/>
          <w:b/>
          <w:bCs/>
          <w:sz w:val="24"/>
          <w:szCs w:val="24"/>
        </w:rPr>
      </w:pPr>
      <w:r w:rsidRPr="00530906">
        <w:rPr>
          <w:rFonts w:ascii="Cambria" w:hAnsi="Cambria" w:cs="Arial"/>
          <w:sz w:val="24"/>
          <w:szCs w:val="24"/>
          <w:shd w:val="clear" w:color="auto" w:fill="FFFFFF"/>
        </w:rPr>
        <w:t>Papista, E., &amp; Krystallis, A. (2013). Investigating the types of value and cost of green brands: Proposition of a conceptual framework.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115</w:t>
      </w:r>
      <w:r w:rsidRPr="00530906">
        <w:rPr>
          <w:rFonts w:ascii="Cambria" w:hAnsi="Cambria" w:cs="Arial"/>
          <w:sz w:val="24"/>
          <w:szCs w:val="24"/>
          <w:shd w:val="clear" w:color="auto" w:fill="FFFFFF"/>
        </w:rPr>
        <w:t xml:space="preserve">(1), 75–92. Doi: </w:t>
      </w:r>
      <w:r w:rsidRPr="00530906">
        <w:rPr>
          <w:rFonts w:ascii="Cambria" w:hAnsi="Cambria" w:cs="AdvPTimes"/>
          <w:sz w:val="24"/>
          <w:szCs w:val="24"/>
        </w:rPr>
        <w:t>10.1007/s10551–012–1367–6</w:t>
      </w:r>
    </w:p>
    <w:p w14:paraId="2E4BB96E" w14:textId="2A0C7500"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Parasuraman, A., Zeithaml, V.</w:t>
      </w:r>
      <w:r w:rsidR="0059728F" w:rsidRPr="00530906">
        <w:rPr>
          <w:rFonts w:ascii="Cambria" w:hAnsi="Cambria" w:cs="Segoe UI"/>
          <w:sz w:val="24"/>
          <w:szCs w:val="24"/>
        </w:rPr>
        <w:t xml:space="preserve"> </w:t>
      </w:r>
      <w:r w:rsidRPr="00530906">
        <w:rPr>
          <w:rFonts w:ascii="Cambria" w:hAnsi="Cambria" w:cs="Segoe UI"/>
          <w:sz w:val="24"/>
          <w:szCs w:val="24"/>
        </w:rPr>
        <w:t xml:space="preserve">A. and Malhotra, A. (2005) 'ES–QUAL: A multiple–item scale for assessing electronic service quality', </w:t>
      </w:r>
      <w:r w:rsidRPr="00530906">
        <w:rPr>
          <w:rFonts w:ascii="Cambria" w:hAnsi="Cambria" w:cs="Segoe UI"/>
          <w:i/>
          <w:iCs/>
          <w:sz w:val="24"/>
          <w:szCs w:val="24"/>
        </w:rPr>
        <w:t>Journal of service research</w:t>
      </w:r>
      <w:r w:rsidRPr="00530906">
        <w:rPr>
          <w:rFonts w:ascii="Cambria" w:hAnsi="Cambria" w:cs="Segoe UI"/>
          <w:sz w:val="24"/>
          <w:szCs w:val="24"/>
        </w:rPr>
        <w:t>, 7(3), pp. 213–233.</w:t>
      </w:r>
    </w:p>
    <w:p w14:paraId="2A157E3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Park, D. H., &amp; Kim, S. (2008). The effects of consumer knowledge on message processing of electronic word–of–mouth via online consumer reviews. </w:t>
      </w:r>
      <w:r w:rsidRPr="00530906">
        <w:rPr>
          <w:rFonts w:ascii="Cambria" w:hAnsi="Cambria" w:cs="Arial"/>
          <w:i/>
          <w:iCs/>
          <w:sz w:val="24"/>
          <w:szCs w:val="24"/>
          <w:shd w:val="clear" w:color="auto" w:fill="FFFFFF"/>
        </w:rPr>
        <w:t>Electronic commerce research and applications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7</w:t>
      </w:r>
      <w:r w:rsidRPr="00530906">
        <w:rPr>
          <w:rFonts w:ascii="Cambria" w:hAnsi="Cambria" w:cs="Arial"/>
          <w:sz w:val="24"/>
          <w:szCs w:val="24"/>
          <w:shd w:val="clear" w:color="auto" w:fill="FFFFFF"/>
        </w:rPr>
        <w:t>(4), 399–410. Doi:</w:t>
      </w:r>
      <w:hyperlink r:id="rId166" w:tgtFrame="_blank" w:tooltip="Persistent link using digital object identifier" w:history="1">
        <w:r w:rsidRPr="00530906">
          <w:rPr>
            <w:rStyle w:val="Hyperlink"/>
            <w:rFonts w:ascii="Cambria" w:hAnsi="Cambria" w:cs="Arial"/>
            <w:color w:val="auto"/>
            <w:sz w:val="24"/>
            <w:szCs w:val="24"/>
          </w:rPr>
          <w:t>10.1016/j.elerap.2007.12.001</w:t>
        </w:r>
      </w:hyperlink>
    </w:p>
    <w:p w14:paraId="7D23ED4A" w14:textId="28F971D8" w:rsidR="0047636F" w:rsidRPr="00530906" w:rsidRDefault="0047636F">
      <w:pPr>
        <w:spacing w:line="360" w:lineRule="auto"/>
        <w:ind w:left="567" w:hanging="567"/>
        <w:jc w:val="both"/>
        <w:rPr>
          <w:rFonts w:ascii="Cambria" w:hAnsi="Cambria"/>
          <w:sz w:val="24"/>
          <w:szCs w:val="24"/>
        </w:rPr>
      </w:pPr>
      <w:bookmarkStart w:id="174" w:name="_Hlk73104902"/>
      <w:r w:rsidRPr="00530906">
        <w:rPr>
          <w:rFonts w:ascii="Cambria" w:hAnsi="Cambria"/>
          <w:sz w:val="24"/>
          <w:szCs w:val="24"/>
        </w:rPr>
        <w:t>Patel, N. (2021) 38 Content Marketing Stats That Every Marketer Needs to Know. Available at: trk.blmte.com (accessed on 28</w:t>
      </w:r>
      <w:r w:rsidRPr="00530906">
        <w:rPr>
          <w:rFonts w:ascii="Cambria" w:hAnsi="Cambria"/>
          <w:sz w:val="24"/>
          <w:szCs w:val="24"/>
          <w:vertAlign w:val="superscript"/>
        </w:rPr>
        <w:t>th</w:t>
      </w:r>
      <w:r w:rsidRPr="00530906">
        <w:rPr>
          <w:rFonts w:ascii="Cambria" w:hAnsi="Cambria"/>
          <w:sz w:val="24"/>
          <w:szCs w:val="24"/>
        </w:rPr>
        <w:t xml:space="preserve"> </w:t>
      </w:r>
      <w:r w:rsidR="00997F47" w:rsidRPr="00530906">
        <w:rPr>
          <w:rFonts w:ascii="Cambria" w:hAnsi="Cambria"/>
          <w:sz w:val="24"/>
          <w:szCs w:val="24"/>
        </w:rPr>
        <w:t xml:space="preserve">May </w:t>
      </w:r>
      <w:r w:rsidRPr="00530906">
        <w:rPr>
          <w:rFonts w:ascii="Cambria" w:hAnsi="Cambria"/>
          <w:sz w:val="24"/>
          <w:szCs w:val="24"/>
        </w:rPr>
        <w:t xml:space="preserve">2021). </w:t>
      </w:r>
    </w:p>
    <w:bookmarkEnd w:id="174"/>
    <w:p w14:paraId="1597C1E0" w14:textId="78555828"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Peattie, K. and Crane, A. (2005) ‘Green marketing: legend, myth, farce or prophesy?’, </w:t>
      </w:r>
      <w:r w:rsidRPr="00530906">
        <w:rPr>
          <w:rFonts w:ascii="Cambria" w:hAnsi="Cambria"/>
          <w:i/>
          <w:sz w:val="24"/>
          <w:szCs w:val="24"/>
        </w:rPr>
        <w:t>Qualitative Market Research</w:t>
      </w:r>
      <w:r w:rsidRPr="00530906">
        <w:rPr>
          <w:rFonts w:ascii="Cambria" w:hAnsi="Cambria"/>
          <w:sz w:val="24"/>
          <w:szCs w:val="24"/>
        </w:rPr>
        <w:t xml:space="preserve">, 8(4), pp. 357–370. doi: 10.1108/13522750510619733. </w:t>
      </w:r>
    </w:p>
    <w:p w14:paraId="79F56332"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Peattie, K., &amp; Peattie, S. (2009). Social marketing: A pathway to consumption reduction?. </w:t>
      </w:r>
      <w:r w:rsidRPr="00530906">
        <w:rPr>
          <w:rFonts w:ascii="Cambria" w:hAnsi="Cambria" w:cs="Arial"/>
          <w:i/>
          <w:iCs/>
          <w:sz w:val="24"/>
          <w:szCs w:val="24"/>
          <w:shd w:val="clear" w:color="auto" w:fill="FFFFFF"/>
        </w:rPr>
        <w:t>Journal of Business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62</w:t>
      </w:r>
      <w:r w:rsidRPr="00530906">
        <w:rPr>
          <w:rFonts w:ascii="Cambria" w:hAnsi="Cambria" w:cs="Arial"/>
          <w:sz w:val="24"/>
          <w:szCs w:val="24"/>
          <w:shd w:val="clear" w:color="auto" w:fill="FFFFFF"/>
        </w:rPr>
        <w:t>(2), 260–268. Doi: doi.org/10.1016/j.jbusres.2008.01.033</w:t>
      </w:r>
    </w:p>
    <w:p w14:paraId="55EB778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Peloza, J., &amp; Shang, J. (2011). How can corporate social responsibility activities create value for stakeholders? A systematic review. Journal of the Academy of Marketing Science, 39(1), 117–135. doi:10.1007/s11747–010–0213–6</w:t>
      </w:r>
    </w:p>
    <w:p w14:paraId="4555C51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Pepper, M., Jackson, T., &amp; Uzzell, D. (2009). An examination of the values that motivate socially conscious and frugal consumer behaviours. International Journal of Consumer Studies, 33(2), 126–136. doi:10.1111/j.1470–6431.2009.00753.x</w:t>
      </w:r>
    </w:p>
    <w:p w14:paraId="06761883" w14:textId="51159BE6"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Pera, R. and Viglia, G. (2016) 'Exploring How Video Digital Storytelling Builds Relationship Experiences', </w:t>
      </w:r>
      <w:r w:rsidRPr="00530906">
        <w:rPr>
          <w:rFonts w:ascii="Cambria" w:hAnsi="Cambria" w:cs="Segoe UI"/>
          <w:i/>
          <w:iCs/>
          <w:sz w:val="24"/>
          <w:szCs w:val="24"/>
        </w:rPr>
        <w:t>Psychology &amp; Marketing</w:t>
      </w:r>
      <w:r w:rsidRPr="00530906">
        <w:rPr>
          <w:rFonts w:ascii="Cambria" w:hAnsi="Cambria" w:cs="Segoe UI"/>
          <w:sz w:val="24"/>
          <w:szCs w:val="24"/>
        </w:rPr>
        <w:t>, 33(12), pp. 1142</w:t>
      </w:r>
      <w:r w:rsidR="004179CD" w:rsidRPr="00530906">
        <w:rPr>
          <w:rFonts w:ascii="Cambria" w:hAnsi="Cambria" w:cs="Segoe UI"/>
          <w:sz w:val="24"/>
          <w:szCs w:val="24"/>
        </w:rPr>
        <w:t>–</w:t>
      </w:r>
      <w:r w:rsidRPr="00530906">
        <w:rPr>
          <w:rFonts w:ascii="Cambria" w:hAnsi="Cambria" w:cs="Segoe UI"/>
          <w:sz w:val="24"/>
          <w:szCs w:val="24"/>
        </w:rPr>
        <w:t>1150. Doi: 10.1002/mar.20951</w:t>
      </w:r>
    </w:p>
    <w:p w14:paraId="7B970C50" w14:textId="77777777" w:rsidR="007E4999" w:rsidRPr="00530906" w:rsidRDefault="007E4999">
      <w:pPr>
        <w:spacing w:line="360" w:lineRule="auto"/>
        <w:ind w:left="567" w:hanging="567"/>
        <w:jc w:val="both"/>
        <w:rPr>
          <w:rFonts w:ascii="Cambria" w:hAnsi="Cambria" w:cs="AdvPTimes"/>
          <w:sz w:val="24"/>
          <w:szCs w:val="24"/>
        </w:rPr>
      </w:pPr>
      <w:r w:rsidRPr="00530906">
        <w:rPr>
          <w:rFonts w:ascii="Cambria" w:hAnsi="Cambria" w:cs="Arial"/>
          <w:sz w:val="24"/>
          <w:szCs w:val="24"/>
          <w:shd w:val="clear" w:color="auto" w:fill="FFFFFF"/>
        </w:rPr>
        <w:t>Perera, C., Auger, P., &amp; Klein, J. (2018). Green consumption practices among young environmentalists: a practice theory perspective.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152</w:t>
      </w:r>
      <w:r w:rsidRPr="00530906">
        <w:rPr>
          <w:rFonts w:ascii="Cambria" w:hAnsi="Cambria" w:cs="Arial"/>
          <w:sz w:val="24"/>
          <w:szCs w:val="24"/>
          <w:shd w:val="clear" w:color="auto" w:fill="FFFFFF"/>
        </w:rPr>
        <w:t xml:space="preserve">(3), 843–864. </w:t>
      </w:r>
      <w:r w:rsidRPr="00530906">
        <w:rPr>
          <w:rFonts w:ascii="Cambria" w:hAnsi="Cambria" w:cs="AdvPTimes"/>
          <w:sz w:val="24"/>
          <w:szCs w:val="24"/>
        </w:rPr>
        <w:t>Doi: 10.1007/s10551–016–3376–3.</w:t>
      </w:r>
    </w:p>
    <w:p w14:paraId="23CCA4F9" w14:textId="77777777" w:rsidR="00594DBB" w:rsidRDefault="00594DBB">
      <w:pPr>
        <w:spacing w:line="360" w:lineRule="auto"/>
        <w:ind w:left="567" w:hanging="567"/>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Petrova, P. K., &amp; Cialdini, R. B. (2005). Fluency of consumption imagery and the backfire effects of imagery appeals. </w:t>
      </w:r>
      <w:r>
        <w:rPr>
          <w:rFonts w:ascii="Arial" w:hAnsi="Arial" w:cs="Arial"/>
          <w:i/>
          <w:iCs/>
          <w:color w:val="222222"/>
          <w:sz w:val="20"/>
          <w:szCs w:val="20"/>
          <w:shd w:val="clear" w:color="auto" w:fill="FFFFFF"/>
        </w:rPr>
        <w:t>Journal of Consumer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(3), 442-452.</w:t>
      </w:r>
    </w:p>
    <w:p w14:paraId="6CC05823" w14:textId="5DA1D09B" w:rsidR="007E4999"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Petty, R.</w:t>
      </w:r>
      <w:r w:rsidR="00475E7E" w:rsidRPr="00530906">
        <w:rPr>
          <w:rFonts w:ascii="Cambria" w:hAnsi="Cambria" w:cs="Segoe UI"/>
          <w:sz w:val="24"/>
          <w:szCs w:val="24"/>
        </w:rPr>
        <w:t xml:space="preserve"> </w:t>
      </w:r>
      <w:r w:rsidRPr="00530906">
        <w:rPr>
          <w:rFonts w:ascii="Cambria" w:hAnsi="Cambria" w:cs="Segoe UI"/>
          <w:sz w:val="24"/>
          <w:szCs w:val="24"/>
        </w:rPr>
        <w:t>E. and Cacioppo, J.</w:t>
      </w:r>
      <w:r w:rsidR="00475E7E" w:rsidRPr="00530906">
        <w:rPr>
          <w:rFonts w:ascii="Cambria" w:hAnsi="Cambria" w:cs="Segoe UI"/>
          <w:sz w:val="24"/>
          <w:szCs w:val="24"/>
        </w:rPr>
        <w:t xml:space="preserve"> </w:t>
      </w:r>
      <w:r w:rsidRPr="00530906">
        <w:rPr>
          <w:rFonts w:ascii="Cambria" w:hAnsi="Cambria" w:cs="Segoe UI"/>
          <w:sz w:val="24"/>
          <w:szCs w:val="24"/>
        </w:rPr>
        <w:t xml:space="preserve">T. (2018) </w:t>
      </w:r>
      <w:r w:rsidRPr="00530906">
        <w:rPr>
          <w:rFonts w:ascii="Cambria" w:hAnsi="Cambria" w:cs="Segoe UI"/>
          <w:i/>
          <w:iCs/>
          <w:sz w:val="24"/>
          <w:szCs w:val="24"/>
        </w:rPr>
        <w:t>Attitude and persuation: Classic and contemporary approaches</w:t>
      </w:r>
      <w:r w:rsidRPr="00530906">
        <w:rPr>
          <w:rFonts w:ascii="Cambria" w:hAnsi="Cambria" w:cs="Segoe UI"/>
          <w:sz w:val="24"/>
          <w:szCs w:val="24"/>
        </w:rPr>
        <w:t>. New York: Routledge.</w:t>
      </w:r>
    </w:p>
    <w:p w14:paraId="2A023951" w14:textId="77777777" w:rsidR="007E4999" w:rsidRPr="00530906" w:rsidRDefault="007E4999">
      <w:pPr>
        <w:spacing w:line="360" w:lineRule="auto"/>
        <w:ind w:left="567" w:hanging="567"/>
        <w:jc w:val="both"/>
        <w:rPr>
          <w:rFonts w:ascii="Cambria" w:hAnsi="Cambria"/>
          <w:i/>
          <w:sz w:val="24"/>
          <w:szCs w:val="24"/>
        </w:rPr>
      </w:pPr>
      <w:r w:rsidRPr="00530906">
        <w:rPr>
          <w:rFonts w:ascii="Cambria" w:hAnsi="Cambria"/>
          <w:sz w:val="24"/>
          <w:szCs w:val="24"/>
        </w:rPr>
        <w:t xml:space="preserve">Pickett–Baker, J. And Ozaki, R. (2008) ‘Pro–environmental products: marketing influence on consumer purchase decision.” </w:t>
      </w:r>
      <w:r w:rsidRPr="00530906">
        <w:rPr>
          <w:rFonts w:ascii="Cambria" w:hAnsi="Cambria"/>
          <w:i/>
          <w:sz w:val="24"/>
          <w:szCs w:val="24"/>
        </w:rPr>
        <w:t xml:space="preserve">Journal of consumer marketing, </w:t>
      </w:r>
      <w:r w:rsidRPr="00530906">
        <w:rPr>
          <w:rFonts w:ascii="Cambria" w:hAnsi="Cambria"/>
          <w:sz w:val="24"/>
          <w:szCs w:val="24"/>
        </w:rPr>
        <w:t>25 (5): 281 –293</w:t>
      </w:r>
    </w:p>
    <w:p w14:paraId="325DA2F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Pinto, C. D., Herter, M. M., Rossi, P., &amp; Borges, A. (2014). Going green for self or for others? Gender and identity salience effects on sustainable consumption. International Journal of Consumer Studies, 38(5), 540–549. doi:10.1111/ijcs.12114</w:t>
      </w:r>
    </w:p>
    <w:p w14:paraId="02A1569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’Phillips, B. J. and McQuarrie, E. F. (2010) ‘Narrative and persuasion in fashion advertising’, </w:t>
      </w:r>
      <w:r w:rsidRPr="00530906">
        <w:rPr>
          <w:rFonts w:ascii="Cambria" w:hAnsi="Cambria"/>
          <w:i/>
          <w:sz w:val="24"/>
          <w:szCs w:val="24"/>
        </w:rPr>
        <w:t>Journal of Consume Research,</w:t>
      </w:r>
      <w:r w:rsidRPr="00530906">
        <w:rPr>
          <w:rFonts w:ascii="Cambria" w:hAnsi="Cambria"/>
          <w:sz w:val="24"/>
          <w:szCs w:val="24"/>
        </w:rPr>
        <w:t xml:space="preserve"> 37(3), pp. 368 – 392. doi: 10.1086/653087. </w:t>
      </w:r>
    </w:p>
    <w:p w14:paraId="0282ED9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Phillips, D. M. (1996). Anticipating the Future: The Role of Consumption Visions in Consumer Behavior. </w:t>
      </w:r>
      <w:r w:rsidRPr="00530906">
        <w:rPr>
          <w:rFonts w:ascii="Cambria" w:hAnsi="Cambria" w:cs="Arial"/>
          <w:i/>
          <w:iCs/>
          <w:sz w:val="24"/>
          <w:szCs w:val="24"/>
          <w:shd w:val="clear" w:color="auto" w:fill="FFFFFF"/>
        </w:rPr>
        <w:t>Advances in consumer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23</w:t>
      </w:r>
      <w:r w:rsidRPr="00530906">
        <w:rPr>
          <w:rFonts w:ascii="Cambria" w:hAnsi="Cambria" w:cs="Arial"/>
          <w:sz w:val="24"/>
          <w:szCs w:val="24"/>
          <w:shd w:val="clear" w:color="auto" w:fill="FFFFFF"/>
        </w:rPr>
        <w:t>(1).</w:t>
      </w:r>
    </w:p>
    <w:p w14:paraId="32AC5EDA" w14:textId="77777777" w:rsidR="00475E7E" w:rsidRPr="00530906" w:rsidRDefault="00475E7E">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Phillips, D. M., Olson, J. C., &amp; Baumgartner, H. (1995). Consumption visions in consumer decision making. </w:t>
      </w:r>
      <w:r w:rsidRPr="00530906">
        <w:rPr>
          <w:rFonts w:ascii="Cambria" w:hAnsi="Cambria" w:cs="Arial"/>
          <w:i/>
          <w:iCs/>
          <w:sz w:val="24"/>
          <w:szCs w:val="24"/>
          <w:shd w:val="clear" w:color="auto" w:fill="FFFFFF"/>
        </w:rPr>
        <w:t>ACR North American Advances</w:t>
      </w:r>
      <w:r w:rsidRPr="00530906">
        <w:rPr>
          <w:rFonts w:ascii="Cambria" w:hAnsi="Cambria" w:cs="Arial"/>
          <w:sz w:val="24"/>
          <w:szCs w:val="24"/>
          <w:shd w:val="clear" w:color="auto" w:fill="FFFFFF"/>
        </w:rPr>
        <w:t>.22, 280–284</w:t>
      </w:r>
    </w:p>
    <w:p w14:paraId="73E094F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Phipps, M. and Brace–Govan, J. (2011) ‘From Right to Responsibility: Sustainable Change in Water Consumption’, </w:t>
      </w:r>
      <w:r w:rsidRPr="00530906">
        <w:rPr>
          <w:rFonts w:ascii="Cambria" w:hAnsi="Cambria"/>
          <w:i/>
          <w:sz w:val="24"/>
          <w:szCs w:val="24"/>
        </w:rPr>
        <w:t>Journal of Public Policy and Marketing</w:t>
      </w:r>
      <w:r w:rsidRPr="00530906">
        <w:rPr>
          <w:rFonts w:ascii="Cambria" w:hAnsi="Cambria"/>
          <w:sz w:val="24"/>
          <w:szCs w:val="24"/>
        </w:rPr>
        <w:t>, 30 (2) pp. 203–219. Doi: 10.1509/jppm.30.2.203.</w:t>
      </w:r>
    </w:p>
    <w:p w14:paraId="740DDBBD" w14:textId="6F2781D5"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Phipps, M., Ozanne, L.K., Luchs, M.</w:t>
      </w:r>
      <w:r w:rsidR="00474DD0" w:rsidRPr="00530906">
        <w:rPr>
          <w:rFonts w:ascii="Cambria" w:hAnsi="Cambria"/>
          <w:sz w:val="24"/>
          <w:szCs w:val="24"/>
        </w:rPr>
        <w:t xml:space="preserve"> </w:t>
      </w:r>
      <w:r w:rsidRPr="00530906">
        <w:rPr>
          <w:rFonts w:ascii="Cambria" w:hAnsi="Cambria"/>
          <w:sz w:val="24"/>
          <w:szCs w:val="24"/>
        </w:rPr>
        <w:t>G., Subrahmanyan, S., Kapitan, S., Catlin, J.R., Gau, R., Naylor, R.W., Rose, R</w:t>
      </w:r>
      <w:r w:rsidR="0059728F" w:rsidRPr="00530906">
        <w:rPr>
          <w:rFonts w:ascii="Cambria" w:hAnsi="Cambria"/>
          <w:sz w:val="24"/>
          <w:szCs w:val="24"/>
        </w:rPr>
        <w:t xml:space="preserve"> </w:t>
      </w:r>
      <w:r w:rsidRPr="00530906">
        <w:rPr>
          <w:rFonts w:ascii="Cambria" w:hAnsi="Cambria"/>
          <w:sz w:val="24"/>
          <w:szCs w:val="24"/>
        </w:rPr>
        <w:t>.L., Simpson, B. and Weaver, T. (2013) 'Understanding the inherent complexity of sustainable consumption:A social cognitive framework', Journal of Business Research 66(8), pp. 1227–1234.</w:t>
      </w:r>
    </w:p>
    <w:p w14:paraId="5AE6C1DB" w14:textId="77777777" w:rsidR="007E4999" w:rsidRPr="00530906" w:rsidRDefault="007E4999">
      <w:pPr>
        <w:spacing w:line="360" w:lineRule="auto"/>
        <w:ind w:left="567" w:hanging="567"/>
        <w:jc w:val="both"/>
        <w:rPr>
          <w:rFonts w:ascii="Cambria" w:hAnsi="Cambria" w:cs="Helvetica"/>
          <w:sz w:val="24"/>
          <w:szCs w:val="24"/>
          <w:shd w:val="clear" w:color="auto" w:fill="FFFFFF"/>
        </w:rPr>
      </w:pPr>
      <w:r w:rsidRPr="00530906">
        <w:rPr>
          <w:rFonts w:ascii="Cambria" w:hAnsi="Cambria" w:cs="Arial"/>
          <w:sz w:val="24"/>
          <w:szCs w:val="24"/>
          <w:shd w:val="clear" w:color="auto" w:fill="FFFFFF"/>
        </w:rPr>
        <w:t>Podsakoff, P. M., MacKenzie, S. B., Lee, J. Y., &amp; Podsakoff, N. P. (2003). Common method biases in behavioral research: a critical review of the literature and recommended remedies. </w:t>
      </w:r>
      <w:r w:rsidRPr="00530906">
        <w:rPr>
          <w:rFonts w:ascii="Cambria" w:hAnsi="Cambria" w:cs="Arial"/>
          <w:i/>
          <w:iCs/>
          <w:sz w:val="24"/>
          <w:szCs w:val="24"/>
          <w:shd w:val="clear" w:color="auto" w:fill="FFFFFF"/>
        </w:rPr>
        <w:t>Journal of applied psychology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88</w:t>
      </w:r>
      <w:r w:rsidRPr="00530906">
        <w:rPr>
          <w:rFonts w:ascii="Cambria" w:hAnsi="Cambria" w:cs="Arial"/>
          <w:sz w:val="24"/>
          <w:szCs w:val="24"/>
          <w:shd w:val="clear" w:color="auto" w:fill="FFFFFF"/>
        </w:rPr>
        <w:t xml:space="preserve">(5), 879. Doi: </w:t>
      </w:r>
      <w:r w:rsidRPr="00530906">
        <w:rPr>
          <w:rFonts w:ascii="Cambria" w:hAnsi="Cambria"/>
          <w:sz w:val="24"/>
          <w:szCs w:val="24"/>
        </w:rPr>
        <w:t>10.1037/0021–9010.88.5.879</w:t>
      </w:r>
    </w:p>
    <w:p w14:paraId="61A7C89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Porter, C. E. and Donthu, N. (2008) ‘Cultivating trust and harvesting value in virtual communities’, </w:t>
      </w:r>
      <w:r w:rsidRPr="00530906">
        <w:rPr>
          <w:rFonts w:ascii="Cambria" w:hAnsi="Cambria"/>
          <w:i/>
          <w:sz w:val="24"/>
          <w:szCs w:val="24"/>
        </w:rPr>
        <w:t>Management Science</w:t>
      </w:r>
      <w:r w:rsidRPr="00530906">
        <w:rPr>
          <w:rFonts w:ascii="Cambria" w:hAnsi="Cambria"/>
          <w:sz w:val="24"/>
          <w:szCs w:val="24"/>
        </w:rPr>
        <w:t>, 54(1), pp. 113–128. doi: 10.1287/mnsc. 1070.0765.</w:t>
      </w:r>
    </w:p>
    <w:p w14:paraId="2E7170A2" w14:textId="53F26CEC"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Prahalad, C.</w:t>
      </w:r>
      <w:r w:rsidR="0059728F" w:rsidRPr="00530906">
        <w:rPr>
          <w:rFonts w:ascii="Cambria" w:hAnsi="Cambria"/>
          <w:sz w:val="24"/>
          <w:szCs w:val="24"/>
        </w:rPr>
        <w:t xml:space="preserve"> </w:t>
      </w:r>
      <w:r w:rsidRPr="00530906">
        <w:rPr>
          <w:rFonts w:ascii="Cambria" w:hAnsi="Cambria"/>
          <w:sz w:val="24"/>
          <w:szCs w:val="24"/>
        </w:rPr>
        <w:t xml:space="preserve">K. and Ramaswamy, V. (2004) "Co‐creating unique value with customers", </w:t>
      </w:r>
      <w:r w:rsidRPr="00530906">
        <w:rPr>
          <w:rFonts w:ascii="Cambria" w:hAnsi="Cambria"/>
          <w:i/>
          <w:sz w:val="24"/>
          <w:szCs w:val="24"/>
        </w:rPr>
        <w:t>Strategy &amp; Leadership</w:t>
      </w:r>
      <w:r w:rsidRPr="00530906">
        <w:rPr>
          <w:rFonts w:ascii="Cambria" w:hAnsi="Cambria"/>
          <w:sz w:val="24"/>
          <w:szCs w:val="24"/>
        </w:rPr>
        <w:t>, 32 (3), pp: 4–9, doi: 10.1108/10878570410699249.</w:t>
      </w:r>
    </w:p>
    <w:p w14:paraId="50FAC633" w14:textId="77EA3606"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Perdue, B.</w:t>
      </w:r>
      <w:r w:rsidR="0059728F" w:rsidRPr="00530906">
        <w:rPr>
          <w:rFonts w:ascii="Cambria" w:hAnsi="Cambria" w:cs="Segoe UI"/>
          <w:sz w:val="24"/>
          <w:szCs w:val="24"/>
        </w:rPr>
        <w:t xml:space="preserve"> </w:t>
      </w:r>
      <w:r w:rsidRPr="00530906">
        <w:rPr>
          <w:rFonts w:ascii="Cambria" w:hAnsi="Cambria" w:cs="Segoe UI"/>
          <w:sz w:val="24"/>
          <w:szCs w:val="24"/>
        </w:rPr>
        <w:t>C. and Summers, J.</w:t>
      </w:r>
      <w:r w:rsidR="0059728F" w:rsidRPr="00530906">
        <w:rPr>
          <w:rFonts w:ascii="Cambria" w:hAnsi="Cambria" w:cs="Segoe UI"/>
          <w:sz w:val="24"/>
          <w:szCs w:val="24"/>
        </w:rPr>
        <w:t xml:space="preserve"> </w:t>
      </w:r>
      <w:r w:rsidRPr="00530906">
        <w:rPr>
          <w:rFonts w:ascii="Cambria" w:hAnsi="Cambria" w:cs="Segoe UI"/>
          <w:sz w:val="24"/>
          <w:szCs w:val="24"/>
        </w:rPr>
        <w:t>O., (1986) 'Checking the success of manipulations in marketing experiments',</w:t>
      </w:r>
      <w:r w:rsidRPr="00530906">
        <w:rPr>
          <w:rFonts w:ascii="Cambria" w:hAnsi="Cambria" w:cs="Segoe UI"/>
          <w:i/>
          <w:iCs/>
          <w:sz w:val="24"/>
          <w:szCs w:val="24"/>
        </w:rPr>
        <w:t xml:space="preserve"> Journal of marketing research</w:t>
      </w:r>
      <w:r w:rsidRPr="00530906">
        <w:rPr>
          <w:rFonts w:ascii="Cambria" w:hAnsi="Cambria" w:cs="Segoe UI"/>
          <w:sz w:val="24"/>
          <w:szCs w:val="24"/>
        </w:rPr>
        <w:t>, 23(4), pp. 317–326. Doi: 10.1177/002224378602300401</w:t>
      </w:r>
    </w:p>
    <w:p w14:paraId="3F927A14" w14:textId="728C4901"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Prendergast, G., Ko, D. and Siu Yin, V.</w:t>
      </w:r>
      <w:r w:rsidR="0059728F" w:rsidRPr="00530906">
        <w:rPr>
          <w:rFonts w:ascii="Cambria" w:hAnsi="Cambria" w:cs="Segoe UI"/>
          <w:sz w:val="24"/>
          <w:szCs w:val="24"/>
        </w:rPr>
        <w:t xml:space="preserve"> </w:t>
      </w:r>
      <w:r w:rsidRPr="00530906">
        <w:rPr>
          <w:rFonts w:ascii="Cambria" w:hAnsi="Cambria" w:cs="Segoe UI"/>
          <w:sz w:val="24"/>
          <w:szCs w:val="24"/>
        </w:rPr>
        <w:t>Y. (2010) 'Online word of mouth and consumer purchase intentions',</w:t>
      </w:r>
      <w:r w:rsidRPr="00530906">
        <w:rPr>
          <w:rFonts w:ascii="Cambria" w:hAnsi="Cambria" w:cs="Segoe UI"/>
          <w:i/>
          <w:iCs/>
          <w:sz w:val="24"/>
          <w:szCs w:val="24"/>
        </w:rPr>
        <w:t xml:space="preserve"> International journal of advertising</w:t>
      </w:r>
      <w:r w:rsidRPr="00530906">
        <w:rPr>
          <w:rFonts w:ascii="Cambria" w:hAnsi="Cambria" w:cs="Segoe UI"/>
          <w:sz w:val="24"/>
          <w:szCs w:val="24"/>
        </w:rPr>
        <w:t>, 29(5), pp. 687–708. Doi: 10.2501/S0265048710201427</w:t>
      </w:r>
    </w:p>
    <w:p w14:paraId="71622C27" w14:textId="5A195CB2"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Priester, J.</w:t>
      </w:r>
      <w:r w:rsidR="0059728F" w:rsidRPr="00530906">
        <w:rPr>
          <w:rFonts w:ascii="Cambria" w:hAnsi="Cambria"/>
          <w:sz w:val="24"/>
          <w:szCs w:val="24"/>
        </w:rPr>
        <w:t xml:space="preserve"> </w:t>
      </w:r>
      <w:r w:rsidRPr="00530906">
        <w:rPr>
          <w:rFonts w:ascii="Cambria" w:hAnsi="Cambria"/>
          <w:sz w:val="24"/>
          <w:szCs w:val="24"/>
        </w:rPr>
        <w:t>R. and Petty, R.</w:t>
      </w:r>
      <w:r w:rsidR="0059728F" w:rsidRPr="00530906">
        <w:rPr>
          <w:rFonts w:ascii="Cambria" w:hAnsi="Cambria"/>
          <w:sz w:val="24"/>
          <w:szCs w:val="24"/>
        </w:rPr>
        <w:t xml:space="preserve"> </w:t>
      </w:r>
      <w:r w:rsidRPr="00530906">
        <w:rPr>
          <w:rFonts w:ascii="Cambria" w:hAnsi="Cambria"/>
          <w:sz w:val="24"/>
          <w:szCs w:val="24"/>
        </w:rPr>
        <w:t xml:space="preserve">E. (2008) 'The Influence of Spokesperson Trustworthiness on Message Elaboration, Attitude Strength, and Advertising Effectiveness', </w:t>
      </w:r>
      <w:r w:rsidRPr="00530906">
        <w:rPr>
          <w:rFonts w:ascii="Cambria" w:hAnsi="Cambria"/>
          <w:i/>
          <w:sz w:val="24"/>
          <w:szCs w:val="24"/>
        </w:rPr>
        <w:t>Journal of Consumer Psychology</w:t>
      </w:r>
      <w:r w:rsidRPr="00530906">
        <w:rPr>
          <w:rFonts w:ascii="Cambria" w:hAnsi="Cambria"/>
          <w:sz w:val="24"/>
          <w:szCs w:val="24"/>
        </w:rPr>
        <w:t>, 13(4). Doi: 10.1207/S15327663JCP1304_08</w:t>
      </w:r>
    </w:p>
    <w:p w14:paraId="5E44BAA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Prothero, A. (1990), “Green consumerism and the societal marketing concept: marketing strategies for the 1990s”, Journal of Marketing Management, Vol. 6 No. 2, pp. 87–103. Doi: 10.1080/0267257X.1990.9964119</w:t>
      </w:r>
    </w:p>
    <w:p w14:paraId="0DBA1E8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Prothero, A. and McDonagh, P. (1992), “Producing environmentally acceptable cosmetics? The impact of environmentalism on the United Kingdom cosmetics and toiletries industry”, </w:t>
      </w:r>
      <w:r w:rsidRPr="00530906">
        <w:rPr>
          <w:rFonts w:ascii="Cambria" w:hAnsi="Cambria"/>
          <w:i/>
          <w:sz w:val="24"/>
          <w:szCs w:val="24"/>
        </w:rPr>
        <w:t>Journal of Marketing Management,</w:t>
      </w:r>
      <w:r w:rsidRPr="00530906">
        <w:rPr>
          <w:rFonts w:ascii="Cambria" w:hAnsi="Cambria"/>
          <w:sz w:val="24"/>
          <w:szCs w:val="24"/>
        </w:rPr>
        <w:t xml:space="preserve"> 8(2), pp. 147–66. Doi: </w:t>
      </w:r>
      <w:hyperlink r:id="rId167" w:history="1">
        <w:r w:rsidRPr="00530906">
          <w:rPr>
            <w:rStyle w:val="Hyperlink"/>
            <w:rFonts w:ascii="Cambria" w:hAnsi="Cambria"/>
            <w:color w:val="auto"/>
            <w:sz w:val="24"/>
            <w:szCs w:val="24"/>
          </w:rPr>
          <w:t>10.1080/0267257X.1992.9964186</w:t>
        </w:r>
      </w:hyperlink>
    </w:p>
    <w:p w14:paraId="067D23E9" w14:textId="0F141621" w:rsidR="007E4999" w:rsidRPr="00530906" w:rsidRDefault="007E4999">
      <w:pPr>
        <w:spacing w:line="360" w:lineRule="auto"/>
        <w:ind w:left="567" w:hanging="567"/>
        <w:jc w:val="both"/>
        <w:rPr>
          <w:sz w:val="24"/>
          <w:szCs w:val="24"/>
        </w:rPr>
      </w:pPr>
      <w:r w:rsidRPr="00530906">
        <w:rPr>
          <w:rFonts w:ascii="Cambria" w:hAnsi="Cambria"/>
          <w:sz w:val="24"/>
          <w:szCs w:val="24"/>
        </w:rPr>
        <w:t xml:space="preserve">Prothero, A., McDonagh, P., and Dobscha, S. (2010). Is green the new black? Reflections on a green commodity discourse. </w:t>
      </w:r>
      <w:r w:rsidRPr="00530906">
        <w:rPr>
          <w:rFonts w:ascii="Cambria" w:hAnsi="Cambria"/>
          <w:i/>
          <w:sz w:val="24"/>
          <w:szCs w:val="24"/>
        </w:rPr>
        <w:t>Journal of Macromarketing</w:t>
      </w:r>
      <w:r w:rsidRPr="00530906">
        <w:rPr>
          <w:rFonts w:ascii="Cambria" w:hAnsi="Cambria"/>
          <w:sz w:val="24"/>
          <w:szCs w:val="24"/>
        </w:rPr>
        <w:t>, 30(2), 147–159. Doi: 10.1177/0276146710361922.</w:t>
      </w:r>
    </w:p>
    <w:p w14:paraId="09D759B2" w14:textId="4222C699"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Raghunathan, R. and Corfman, K.</w:t>
      </w:r>
      <w:r w:rsidR="0059728F" w:rsidRPr="00530906">
        <w:rPr>
          <w:rFonts w:ascii="Cambria" w:hAnsi="Cambria" w:cs="Segoe UI"/>
          <w:sz w:val="24"/>
          <w:szCs w:val="24"/>
        </w:rPr>
        <w:t xml:space="preserve"> </w:t>
      </w:r>
      <w:r w:rsidRPr="00530906">
        <w:rPr>
          <w:rFonts w:ascii="Cambria" w:hAnsi="Cambria" w:cs="Segoe UI"/>
          <w:sz w:val="24"/>
          <w:szCs w:val="24"/>
        </w:rPr>
        <w:t>I.</w:t>
      </w:r>
      <w:r w:rsidR="0059728F" w:rsidRPr="00530906">
        <w:rPr>
          <w:rFonts w:ascii="Cambria" w:hAnsi="Cambria" w:cs="Segoe UI"/>
          <w:sz w:val="24"/>
          <w:szCs w:val="24"/>
        </w:rPr>
        <w:t xml:space="preserve"> </w:t>
      </w:r>
      <w:r w:rsidRPr="00530906">
        <w:rPr>
          <w:rFonts w:ascii="Cambria" w:hAnsi="Cambria" w:cs="Segoe UI"/>
          <w:sz w:val="24"/>
          <w:szCs w:val="24"/>
        </w:rPr>
        <w:t xml:space="preserve">M. (2006) 'Is Happiness Shared Doubled and Sadness Shared Halved? Social Influence on Enjoyment of Hedonic Experiences', </w:t>
      </w:r>
      <w:r w:rsidRPr="00530906">
        <w:rPr>
          <w:rFonts w:ascii="Cambria" w:hAnsi="Cambria" w:cs="Segoe UI"/>
          <w:i/>
          <w:iCs/>
          <w:sz w:val="24"/>
          <w:szCs w:val="24"/>
        </w:rPr>
        <w:t>Journal of Marketing Research (JMR)</w:t>
      </w:r>
      <w:r w:rsidRPr="00530906">
        <w:rPr>
          <w:rFonts w:ascii="Cambria" w:hAnsi="Cambria" w:cs="Segoe UI"/>
          <w:sz w:val="24"/>
          <w:szCs w:val="24"/>
        </w:rPr>
        <w:t>, 43(3), pp. 386</w:t>
      </w:r>
      <w:r w:rsidR="004179CD" w:rsidRPr="00530906">
        <w:rPr>
          <w:rFonts w:ascii="Cambria" w:hAnsi="Cambria" w:cs="Segoe UI"/>
          <w:sz w:val="24"/>
          <w:szCs w:val="24"/>
        </w:rPr>
        <w:t>–</w:t>
      </w:r>
      <w:r w:rsidRPr="00530906">
        <w:rPr>
          <w:rFonts w:ascii="Cambria" w:hAnsi="Cambria" w:cs="Segoe UI"/>
          <w:sz w:val="24"/>
          <w:szCs w:val="24"/>
        </w:rPr>
        <w:t xml:space="preserve">394. Doi: </w:t>
      </w:r>
      <w:hyperlink r:id="rId168" w:history="1">
        <w:r w:rsidRPr="00530906">
          <w:rPr>
            <w:rStyle w:val="Hyperlink"/>
            <w:rFonts w:ascii="Cambria" w:hAnsi="Cambria" w:cs="Arial"/>
            <w:color w:val="006ACC"/>
            <w:sz w:val="24"/>
            <w:szCs w:val="24"/>
            <w:shd w:val="clear" w:color="auto" w:fill="FFFFFF"/>
          </w:rPr>
          <w:t>10.1509/jmkr.43.3.386</w:t>
        </w:r>
      </w:hyperlink>
    </w:p>
    <w:p w14:paraId="2598B00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Ratchford, B. T. (1987). New insights about the FCB grid. </w:t>
      </w:r>
      <w:r w:rsidRPr="00530906">
        <w:rPr>
          <w:rFonts w:ascii="Cambria" w:hAnsi="Cambria"/>
          <w:i/>
          <w:sz w:val="24"/>
          <w:szCs w:val="24"/>
        </w:rPr>
        <w:t>Journal of advertising research</w:t>
      </w:r>
      <w:r w:rsidRPr="00530906">
        <w:rPr>
          <w:rFonts w:ascii="Cambria" w:hAnsi="Cambria"/>
          <w:sz w:val="24"/>
          <w:szCs w:val="24"/>
        </w:rPr>
        <w:t>. 27(4), 24–38.</w:t>
      </w:r>
    </w:p>
    <w:p w14:paraId="6DA6808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Rettie, R., Burchell, K. and Riley, D. (2012) ‘Normalising green behaviours: A new approach to sustainability marketing’, </w:t>
      </w:r>
      <w:r w:rsidRPr="00530906">
        <w:rPr>
          <w:rFonts w:ascii="Cambria" w:hAnsi="Cambria"/>
          <w:i/>
          <w:sz w:val="24"/>
          <w:szCs w:val="24"/>
        </w:rPr>
        <w:t>Journal of Marketing Management</w:t>
      </w:r>
      <w:r w:rsidRPr="00530906">
        <w:rPr>
          <w:rFonts w:ascii="Cambria" w:hAnsi="Cambria"/>
          <w:sz w:val="24"/>
          <w:szCs w:val="24"/>
        </w:rPr>
        <w:t>, 28 (3–4), pp.  420–444. doi: 10.1080/0267257X.2012.658840.</w:t>
      </w:r>
    </w:p>
    <w:p w14:paraId="7C139796" w14:textId="63D44AC0"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Richard, M.</w:t>
      </w:r>
      <w:r w:rsidR="0059728F" w:rsidRPr="00530906">
        <w:rPr>
          <w:rFonts w:ascii="Cambria" w:hAnsi="Cambria"/>
          <w:sz w:val="24"/>
          <w:szCs w:val="24"/>
        </w:rPr>
        <w:t xml:space="preserve"> </w:t>
      </w:r>
      <w:r w:rsidRPr="00530906">
        <w:rPr>
          <w:rFonts w:ascii="Cambria" w:hAnsi="Cambria"/>
          <w:sz w:val="24"/>
          <w:szCs w:val="24"/>
        </w:rPr>
        <w:t>O. and Chebat, J.</w:t>
      </w:r>
      <w:r w:rsidR="0059728F" w:rsidRPr="00530906">
        <w:rPr>
          <w:rFonts w:ascii="Cambria" w:hAnsi="Cambria"/>
          <w:sz w:val="24"/>
          <w:szCs w:val="24"/>
        </w:rPr>
        <w:t xml:space="preserve"> </w:t>
      </w:r>
      <w:r w:rsidRPr="00530906">
        <w:rPr>
          <w:rFonts w:ascii="Cambria" w:hAnsi="Cambria"/>
          <w:sz w:val="24"/>
          <w:szCs w:val="24"/>
        </w:rPr>
        <w:t xml:space="preserve">C., (2016). ‘Modeling online consumer behavior: Preeminence of emotions and moderating influences of need for cognition and optimal stimulation level’. </w:t>
      </w:r>
      <w:r w:rsidRPr="00530906">
        <w:rPr>
          <w:rFonts w:ascii="Cambria" w:hAnsi="Cambria"/>
          <w:i/>
          <w:sz w:val="24"/>
          <w:szCs w:val="24"/>
        </w:rPr>
        <w:t>Journal of Business Research</w:t>
      </w:r>
      <w:r w:rsidRPr="00530906">
        <w:rPr>
          <w:rFonts w:ascii="Cambria" w:hAnsi="Cambria"/>
          <w:sz w:val="24"/>
          <w:szCs w:val="24"/>
        </w:rPr>
        <w:t>, 69(2), pp.541–553. Doi:10.1016/j.jbusres.2015.05.010.</w:t>
      </w:r>
    </w:p>
    <w:p w14:paraId="4656BB96" w14:textId="1AE818FC"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Rishika, R., Kumar, A., Janakiraman, R. and Bezawada, R. (2013) 'The Effect of Customers' Social Media Participation on Customer Visit Frequency and Profitability: An Empirical Investigation', </w:t>
      </w:r>
      <w:r w:rsidRPr="00530906">
        <w:rPr>
          <w:rFonts w:ascii="Cambria" w:hAnsi="Cambria" w:cs="Segoe UI"/>
          <w:i/>
          <w:iCs/>
          <w:sz w:val="24"/>
          <w:szCs w:val="24"/>
        </w:rPr>
        <w:t>Information Systems Research</w:t>
      </w:r>
      <w:r w:rsidRPr="00530906">
        <w:rPr>
          <w:rFonts w:ascii="Cambria" w:hAnsi="Cambria" w:cs="Segoe UI"/>
          <w:sz w:val="24"/>
          <w:szCs w:val="24"/>
        </w:rPr>
        <w:t>, 24(1), pp. 108</w:t>
      </w:r>
      <w:r w:rsidR="004179CD" w:rsidRPr="00530906">
        <w:rPr>
          <w:rFonts w:ascii="Cambria" w:hAnsi="Cambria" w:cs="Segoe UI"/>
          <w:sz w:val="24"/>
          <w:szCs w:val="24"/>
        </w:rPr>
        <w:t>–</w:t>
      </w:r>
      <w:r w:rsidRPr="00530906">
        <w:rPr>
          <w:rFonts w:ascii="Cambria" w:hAnsi="Cambria" w:cs="Segoe UI"/>
          <w:sz w:val="24"/>
          <w:szCs w:val="24"/>
        </w:rPr>
        <w:t>127. Doi: 10.1287/isre.1120.0460</w:t>
      </w:r>
    </w:p>
    <w:p w14:paraId="3ED635A4" w14:textId="2A48640E" w:rsidR="00D7121F" w:rsidRPr="00530906" w:rsidRDefault="00D7121F">
      <w:pPr>
        <w:spacing w:line="360" w:lineRule="auto"/>
        <w:ind w:left="567" w:hanging="567"/>
        <w:jc w:val="both"/>
        <w:rPr>
          <w:rFonts w:ascii="Cambria" w:hAnsi="Cambria"/>
          <w:sz w:val="24"/>
          <w:szCs w:val="24"/>
        </w:rPr>
      </w:pPr>
      <w:bookmarkStart w:id="175" w:name="_Hlk56274488"/>
      <w:r w:rsidRPr="00530906">
        <w:rPr>
          <w:rFonts w:ascii="Cambria" w:hAnsi="Cambria"/>
          <w:sz w:val="24"/>
          <w:szCs w:val="24"/>
        </w:rPr>
        <w:t>Ritchie, H. and Roser, M. (2018</w:t>
      </w:r>
      <w:bookmarkEnd w:id="175"/>
      <w:r w:rsidRPr="00530906">
        <w:rPr>
          <w:rFonts w:ascii="Cambria" w:hAnsi="Cambria"/>
          <w:sz w:val="24"/>
          <w:szCs w:val="24"/>
        </w:rPr>
        <w:t xml:space="preserve">) Plastic pollution. Available at: </w:t>
      </w:r>
      <w:hyperlink r:id="rId169" w:history="1">
        <w:r w:rsidRPr="00530906">
          <w:rPr>
            <w:rStyle w:val="Hyperlink"/>
            <w:rFonts w:ascii="Cambria" w:hAnsi="Cambria"/>
            <w:color w:val="auto"/>
            <w:sz w:val="24"/>
            <w:szCs w:val="24"/>
          </w:rPr>
          <w:t>https://ourworldindata.org/plastic–pollution</w:t>
        </w:r>
      </w:hyperlink>
      <w:r w:rsidRPr="00530906">
        <w:rPr>
          <w:rStyle w:val="Hyperlink"/>
          <w:rFonts w:ascii="Cambria" w:hAnsi="Cambria"/>
          <w:color w:val="auto"/>
          <w:sz w:val="24"/>
          <w:szCs w:val="24"/>
          <w:u w:val="none"/>
        </w:rPr>
        <w:t xml:space="preserve"> (Accessed on 5th September 2018)</w:t>
      </w:r>
      <w:r w:rsidRPr="00530906">
        <w:rPr>
          <w:rFonts w:ascii="Cambria" w:hAnsi="Cambria"/>
          <w:sz w:val="24"/>
          <w:szCs w:val="24"/>
        </w:rPr>
        <w:t xml:space="preserve"> </w:t>
      </w:r>
    </w:p>
    <w:p w14:paraId="112848B9" w14:textId="5F4FC4B3"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Rivera</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Arrubla, Y. A., &amp; Zorio</w:t>
      </w:r>
      <w:r w:rsidRPr="00530906">
        <w:rPr>
          <w:rFonts w:ascii="Cambria" w:hAnsi="Cambria" w:cs="Cambria Math"/>
          <w:sz w:val="24"/>
          <w:szCs w:val="24"/>
          <w:shd w:val="clear" w:color="auto" w:fill="FFFFFF"/>
        </w:rPr>
        <w:t>‐</w:t>
      </w:r>
      <w:r w:rsidRPr="00530906">
        <w:rPr>
          <w:rFonts w:ascii="Cambria" w:hAnsi="Cambria" w:cs="Arial"/>
          <w:sz w:val="24"/>
          <w:szCs w:val="24"/>
          <w:shd w:val="clear" w:color="auto" w:fill="FFFFFF"/>
        </w:rPr>
        <w:t>Grima, A. (2016). Integrated reporting, connectivity, and social media.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33</w:t>
      </w:r>
      <w:r w:rsidRPr="00530906">
        <w:rPr>
          <w:rFonts w:ascii="Cambria" w:hAnsi="Cambria" w:cs="Arial"/>
          <w:sz w:val="24"/>
          <w:szCs w:val="24"/>
          <w:shd w:val="clear" w:color="auto" w:fill="FFFFFF"/>
        </w:rPr>
        <w:t>(12), 1159</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1165. </w:t>
      </w:r>
      <w:hyperlink r:id="rId170" w:history="1">
        <w:r w:rsidRPr="00530906">
          <w:rPr>
            <w:rStyle w:val="Hyperlink"/>
            <w:rFonts w:ascii="Cambria" w:hAnsi="Cambria" w:cs="Arial"/>
            <w:b/>
            <w:bCs/>
            <w:color w:val="auto"/>
            <w:sz w:val="24"/>
            <w:szCs w:val="24"/>
            <w:shd w:val="clear" w:color="auto" w:fill="FFFFFF"/>
          </w:rPr>
          <w:t>doi: 10.1002/mar.20953</w:t>
        </w:r>
      </w:hyperlink>
    </w:p>
    <w:p w14:paraId="517A971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Roberts, J. A. (1996) ‘Green consumers in the 1990s: Profile and implications for advertising’, </w:t>
      </w:r>
      <w:r w:rsidRPr="00530906">
        <w:rPr>
          <w:rFonts w:ascii="Cambria" w:hAnsi="Cambria"/>
          <w:i/>
          <w:sz w:val="24"/>
          <w:szCs w:val="24"/>
        </w:rPr>
        <w:t>Journal of Business Research</w:t>
      </w:r>
      <w:r w:rsidRPr="00530906">
        <w:rPr>
          <w:rFonts w:ascii="Cambria" w:hAnsi="Cambria"/>
          <w:sz w:val="24"/>
          <w:szCs w:val="24"/>
        </w:rPr>
        <w:t>, 36(3) pp. 217–231. doi: 10.1016/0148–2963(95)00150–6.</w:t>
      </w:r>
    </w:p>
    <w:p w14:paraId="6702CB1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Rodgers, S. and Thorson, E. (2018) ‘Special Issue Introduction: Digital Engagement with Advertising’, </w:t>
      </w:r>
      <w:r w:rsidRPr="00530906">
        <w:rPr>
          <w:rFonts w:ascii="Cambria" w:hAnsi="Cambria"/>
          <w:i/>
          <w:sz w:val="24"/>
          <w:szCs w:val="24"/>
        </w:rPr>
        <w:t>Journal of Advertising</w:t>
      </w:r>
      <w:r w:rsidRPr="00530906">
        <w:rPr>
          <w:rFonts w:ascii="Cambria" w:hAnsi="Cambria"/>
          <w:sz w:val="24"/>
          <w:szCs w:val="24"/>
        </w:rPr>
        <w:t>, 47(1) pp. 1–3. doi:10.1080/00913367.2017.1414003.</w:t>
      </w:r>
    </w:p>
    <w:p w14:paraId="5B81E18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Rosario, A. B., Sotgiu, F., de Valck, K. and Bijmolt T. H. A. (2016) ‘The effect of electronic word of mouth on sales: A meta–analytic review of platform, product, and metric Factors’, </w:t>
      </w:r>
      <w:r w:rsidRPr="00530906">
        <w:rPr>
          <w:rFonts w:ascii="Cambria" w:hAnsi="Cambria"/>
          <w:i/>
          <w:sz w:val="24"/>
          <w:szCs w:val="24"/>
        </w:rPr>
        <w:t xml:space="preserve">Journal of Marketing Research, </w:t>
      </w:r>
      <w:r w:rsidRPr="00530906">
        <w:rPr>
          <w:rFonts w:ascii="Cambria" w:hAnsi="Cambria"/>
          <w:sz w:val="24"/>
          <w:szCs w:val="24"/>
        </w:rPr>
        <w:t>53(3), pp. 297–318. doi: 10.1509/jmr.14.0380.</w:t>
      </w:r>
    </w:p>
    <w:p w14:paraId="20B5066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Rosenberg, A. (1995) </w:t>
      </w:r>
      <w:r w:rsidRPr="00530906">
        <w:rPr>
          <w:rFonts w:ascii="Cambria" w:hAnsi="Cambria"/>
          <w:i/>
          <w:sz w:val="24"/>
          <w:szCs w:val="24"/>
        </w:rPr>
        <w:t>Philosophy of social science</w:t>
      </w:r>
      <w:r w:rsidRPr="00530906">
        <w:rPr>
          <w:rFonts w:ascii="Cambria" w:hAnsi="Cambria"/>
          <w:sz w:val="24"/>
          <w:szCs w:val="24"/>
        </w:rPr>
        <w:t>. 2</w:t>
      </w:r>
      <w:r w:rsidRPr="00530906">
        <w:rPr>
          <w:rFonts w:ascii="Cambria" w:hAnsi="Cambria"/>
          <w:sz w:val="24"/>
          <w:szCs w:val="24"/>
          <w:vertAlign w:val="superscript"/>
        </w:rPr>
        <w:t>nd</w:t>
      </w:r>
      <w:r w:rsidRPr="00530906">
        <w:rPr>
          <w:rFonts w:ascii="Cambria" w:hAnsi="Cambria"/>
          <w:sz w:val="24"/>
          <w:szCs w:val="24"/>
        </w:rPr>
        <w:t xml:space="preserve"> edition. United States of America: Westview Press.</w:t>
      </w:r>
    </w:p>
    <w:p w14:paraId="5BC27C05" w14:textId="624488B5" w:rsidR="007E4999" w:rsidRPr="00530906" w:rsidRDefault="007E4999">
      <w:pPr>
        <w:spacing w:line="360" w:lineRule="auto"/>
        <w:ind w:left="567" w:hanging="567"/>
        <w:jc w:val="both"/>
        <w:rPr>
          <w:rFonts w:ascii="Cambria" w:hAnsi="Cambria" w:cs="AdvOT21de4310"/>
          <w:sz w:val="24"/>
          <w:szCs w:val="24"/>
        </w:rPr>
      </w:pPr>
      <w:r w:rsidRPr="00530906">
        <w:rPr>
          <w:rFonts w:ascii="Cambria" w:hAnsi="Cambria" w:cs="Arial"/>
          <w:sz w:val="24"/>
          <w:szCs w:val="24"/>
          <w:shd w:val="clear" w:color="auto" w:fill="FFFFFF"/>
        </w:rPr>
        <w:t>Rowe, Z. O., Wilson, H. N., Dimitriu, R., Charnley, F. J., &amp;</w:t>
      </w:r>
      <w:r w:rsidR="0059728F" w:rsidRPr="00530906">
        <w:rPr>
          <w:rFonts w:ascii="Cambria" w:hAnsi="Cambria" w:cs="Arial"/>
          <w:sz w:val="24"/>
          <w:szCs w:val="24"/>
          <w:shd w:val="clear" w:color="auto" w:fill="FFFFFF"/>
        </w:rPr>
        <w:t xml:space="preserve"> </w:t>
      </w:r>
      <w:r w:rsidRPr="00530906">
        <w:rPr>
          <w:rFonts w:ascii="Cambria" w:hAnsi="Cambria" w:cs="Arial"/>
          <w:sz w:val="24"/>
          <w:szCs w:val="24"/>
          <w:shd w:val="clear" w:color="auto" w:fill="FFFFFF"/>
        </w:rPr>
        <w:t>Lastrucci, G. (2019). Pride in my past: Influencing sustainable choices through behavioral recall.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36</w:t>
      </w:r>
      <w:r w:rsidRPr="00530906">
        <w:rPr>
          <w:rFonts w:ascii="Cambria" w:hAnsi="Cambria" w:cs="Arial"/>
          <w:sz w:val="24"/>
          <w:szCs w:val="24"/>
          <w:shd w:val="clear" w:color="auto" w:fill="FFFFFF"/>
        </w:rPr>
        <w:t xml:space="preserve">(4), 276–286. </w:t>
      </w:r>
      <w:r w:rsidRPr="00530906">
        <w:rPr>
          <w:rFonts w:ascii="Cambria" w:hAnsi="Cambria" w:cs="AdvOT21de4310"/>
          <w:sz w:val="24"/>
          <w:szCs w:val="24"/>
        </w:rPr>
        <w:t>DOI: 10.1002/mar.21178</w:t>
      </w:r>
    </w:p>
    <w:p w14:paraId="187F6557" w14:textId="48371482" w:rsidR="007E4999" w:rsidRPr="00530906" w:rsidRDefault="007E4999">
      <w:pPr>
        <w:spacing w:line="360" w:lineRule="auto"/>
        <w:ind w:left="567" w:hanging="567"/>
        <w:jc w:val="both"/>
        <w:rPr>
          <w:sz w:val="24"/>
          <w:szCs w:val="24"/>
        </w:rPr>
      </w:pPr>
      <w:r w:rsidRPr="00530906">
        <w:rPr>
          <w:rFonts w:ascii="Cambria" w:hAnsi="Cambria"/>
          <w:sz w:val="24"/>
          <w:szCs w:val="24"/>
        </w:rPr>
        <w:t xml:space="preserve">Ryoo, Y., Hyun, N. K. and Sung, Y. (2017) The Effect of Descriptive Norms and Construal Level on Consumers' Sustainable Behaviors, </w:t>
      </w:r>
      <w:r w:rsidRPr="00530906">
        <w:rPr>
          <w:rFonts w:ascii="Cambria" w:hAnsi="Cambria"/>
          <w:i/>
          <w:sz w:val="24"/>
          <w:szCs w:val="24"/>
        </w:rPr>
        <w:t>Journal of Advertising</w:t>
      </w:r>
      <w:r w:rsidRPr="00530906">
        <w:rPr>
          <w:rFonts w:ascii="Cambria" w:hAnsi="Cambria"/>
          <w:sz w:val="24"/>
          <w:szCs w:val="24"/>
        </w:rPr>
        <w:t>, 46(4), pp. 536–549, DOI: 10.1080/00913367.2017.1396514</w:t>
      </w:r>
    </w:p>
    <w:p w14:paraId="6A5F83CF" w14:textId="7A3D633D"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Salkind, N.</w:t>
      </w:r>
      <w:r w:rsidR="0059728F" w:rsidRPr="00530906">
        <w:rPr>
          <w:rFonts w:ascii="Cambria" w:hAnsi="Cambria" w:cs="Segoe UI"/>
          <w:sz w:val="24"/>
          <w:szCs w:val="24"/>
        </w:rPr>
        <w:t xml:space="preserve"> </w:t>
      </w:r>
      <w:r w:rsidRPr="00530906">
        <w:rPr>
          <w:rFonts w:ascii="Cambria" w:hAnsi="Cambria" w:cs="Segoe UI"/>
          <w:sz w:val="24"/>
          <w:szCs w:val="24"/>
        </w:rPr>
        <w:t xml:space="preserve">J. (2007) </w:t>
      </w:r>
      <w:r w:rsidRPr="00530906">
        <w:rPr>
          <w:rFonts w:ascii="Cambria" w:hAnsi="Cambria" w:cs="Segoe UI"/>
          <w:i/>
          <w:iCs/>
          <w:sz w:val="24"/>
          <w:szCs w:val="24"/>
        </w:rPr>
        <w:t>ENCYCLOPEDIA OF MEASUREMENT AND STATISTICS</w:t>
      </w:r>
      <w:r w:rsidRPr="00530906">
        <w:rPr>
          <w:rFonts w:ascii="Cambria" w:hAnsi="Cambria" w:cs="Segoe UI"/>
          <w:sz w:val="24"/>
          <w:szCs w:val="24"/>
        </w:rPr>
        <w:t>. Thousand oaks: Sage, publication.</w:t>
      </w:r>
    </w:p>
    <w:p w14:paraId="6D5087CB" w14:textId="05788ABF"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Salkind, N.</w:t>
      </w:r>
      <w:r w:rsidR="0059728F" w:rsidRPr="00530906">
        <w:rPr>
          <w:rFonts w:ascii="Cambria" w:hAnsi="Cambria" w:cs="Segoe UI"/>
          <w:sz w:val="24"/>
          <w:szCs w:val="24"/>
        </w:rPr>
        <w:t xml:space="preserve"> </w:t>
      </w:r>
      <w:r w:rsidRPr="00530906">
        <w:rPr>
          <w:rFonts w:ascii="Cambria" w:hAnsi="Cambria" w:cs="Segoe UI"/>
          <w:sz w:val="24"/>
          <w:szCs w:val="24"/>
        </w:rPr>
        <w:t xml:space="preserve">J. (2010) </w:t>
      </w:r>
      <w:r w:rsidRPr="00530906">
        <w:rPr>
          <w:rFonts w:ascii="Cambria" w:hAnsi="Cambria" w:cs="Segoe UI"/>
          <w:i/>
          <w:iCs/>
          <w:sz w:val="24"/>
          <w:szCs w:val="24"/>
        </w:rPr>
        <w:t>Encyclopaedia of research design</w:t>
      </w:r>
      <w:r w:rsidRPr="00530906">
        <w:rPr>
          <w:rFonts w:ascii="Cambria" w:hAnsi="Cambria" w:cs="Segoe UI"/>
          <w:sz w:val="24"/>
          <w:szCs w:val="24"/>
        </w:rPr>
        <w:t>. Sage.</w:t>
      </w:r>
    </w:p>
    <w:p w14:paraId="7C6F6580" w14:textId="770AF518" w:rsidR="00F76DC3" w:rsidRPr="00530906" w:rsidRDefault="00F76DC3">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Sander, F., Föhl, U., Walter, N., &amp; Demmer, V. (2021). </w:t>
      </w:r>
      <w:r w:rsidRPr="00530906">
        <w:rPr>
          <w:rFonts w:ascii="Cambria" w:hAnsi="Cambria" w:cs="Segoe UI"/>
          <w:i/>
          <w:iCs/>
          <w:sz w:val="24"/>
          <w:szCs w:val="24"/>
        </w:rPr>
        <w:t>Green or social? An analysis of environmental and social sustainability advertising and its impact on brand personality, credibility and attitude.</w:t>
      </w:r>
      <w:r w:rsidRPr="00530906">
        <w:rPr>
          <w:rFonts w:ascii="Cambria" w:hAnsi="Cambria" w:cs="Segoe UI"/>
          <w:sz w:val="24"/>
          <w:szCs w:val="24"/>
        </w:rPr>
        <w:t xml:space="preserve"> Journal of Brand Management, 28 (</w:t>
      </w:r>
      <w:r w:rsidRPr="00530906">
        <w:rPr>
          <w:rFonts w:ascii="Segoe UI" w:hAnsi="Segoe UI" w:cs="Segoe UI"/>
        </w:rPr>
        <w:t>429–445</w:t>
      </w:r>
      <w:r w:rsidRPr="00530906">
        <w:rPr>
          <w:rFonts w:ascii="Cambria" w:hAnsi="Cambria" w:cs="Segoe UI"/>
          <w:sz w:val="24"/>
          <w:szCs w:val="24"/>
        </w:rPr>
        <w:t>). Doi: 10.1057/s41262-021-00236-8</w:t>
      </w:r>
    </w:p>
    <w:p w14:paraId="457670A8"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Sass, E. (2010) </w:t>
      </w:r>
      <w:r w:rsidRPr="00530906">
        <w:rPr>
          <w:rFonts w:ascii="Cambria" w:hAnsi="Cambria" w:cs="Segoe UI"/>
          <w:i/>
          <w:iCs/>
          <w:sz w:val="24"/>
          <w:szCs w:val="24"/>
        </w:rPr>
        <w:t xml:space="preserve">BP Fumbles Social–media Response to Spill, What Should It Do? </w:t>
      </w:r>
      <w:r w:rsidRPr="00530906">
        <w:rPr>
          <w:rFonts w:ascii="Cambria" w:hAnsi="Cambria" w:cs="Segoe UI"/>
          <w:sz w:val="24"/>
          <w:szCs w:val="24"/>
        </w:rPr>
        <w:t>Available at:</w:t>
      </w:r>
      <w:hyperlink r:id="rId171" w:history="1">
        <w:r w:rsidRPr="00530906">
          <w:rPr>
            <w:rStyle w:val="Hyperlink"/>
            <w:rFonts w:ascii="Cambria" w:hAnsi="Cambria" w:cs="Segoe UI"/>
            <w:color w:val="auto"/>
            <w:sz w:val="24"/>
            <w:szCs w:val="24"/>
          </w:rPr>
          <w:t>https://www.mediapost.com/publications/article/127368/bp–fumbles–social–media–response–to–spill–what–sh.html</w:t>
        </w:r>
      </w:hyperlink>
      <w:r w:rsidRPr="00530906">
        <w:rPr>
          <w:rFonts w:ascii="Cambria" w:hAnsi="Cambria" w:cs="Segoe UI"/>
          <w:sz w:val="24"/>
          <w:szCs w:val="24"/>
        </w:rPr>
        <w:t xml:space="preserve"> (Accessed date 04.03.2020)</w:t>
      </w:r>
    </w:p>
    <w:p w14:paraId="6BCCA4E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Salazar, H. A., Oerlemans, L., &amp; van Stroe–Biezen, S. (2013). Social influence on sustainable consumption: evidence from a behavioural experiment. International Journal of Consumer Studies, 37(2), 172–180. doi:10.1111/j.1470–6431.2012.01110.x</w:t>
      </w:r>
    </w:p>
    <w:p w14:paraId="24DE79B9"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Saunders, M., Lewis, P. and Thornhill, A. (2016) </w:t>
      </w:r>
      <w:r w:rsidRPr="00530906">
        <w:rPr>
          <w:rFonts w:ascii="Cambria" w:hAnsi="Cambria" w:cs="Segoe UI"/>
          <w:i/>
          <w:iCs/>
          <w:sz w:val="24"/>
          <w:szCs w:val="24"/>
        </w:rPr>
        <w:t xml:space="preserve">Research Methods for Business Students </w:t>
      </w:r>
      <w:r w:rsidRPr="00530906">
        <w:rPr>
          <w:rFonts w:ascii="Cambria" w:hAnsi="Cambria" w:cs="Segoe UI"/>
          <w:sz w:val="24"/>
          <w:szCs w:val="24"/>
        </w:rPr>
        <w:t>7edn. Harlow: Pearson.</w:t>
      </w:r>
    </w:p>
    <w:p w14:paraId="05F07F5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Sayer, A. (2004) </w:t>
      </w:r>
      <w:r w:rsidRPr="00530906">
        <w:rPr>
          <w:rFonts w:ascii="Cambria" w:hAnsi="Cambria"/>
          <w:i/>
          <w:sz w:val="24"/>
          <w:szCs w:val="24"/>
        </w:rPr>
        <w:t>Realism and social science</w:t>
      </w:r>
      <w:r w:rsidRPr="00530906">
        <w:rPr>
          <w:rFonts w:ascii="Cambria" w:hAnsi="Cambria"/>
          <w:sz w:val="24"/>
          <w:szCs w:val="24"/>
        </w:rPr>
        <w:t>. London: Sage publications ltd.</w:t>
      </w:r>
    </w:p>
    <w:p w14:paraId="76529508" w14:textId="0E727ADB"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Saxton, G. D., Gómez, L., Ngoh, Z., Lin, Y. P., &amp; Dietrich, S. (2019). Do CSR messages resonate?</w:t>
      </w:r>
      <w:r w:rsidR="00BE7F01" w:rsidRPr="00530906">
        <w:rPr>
          <w:rFonts w:ascii="Cambria" w:hAnsi="Cambria" w:cs="Arial"/>
          <w:sz w:val="24"/>
          <w:szCs w:val="24"/>
          <w:shd w:val="clear" w:color="auto" w:fill="FFFFFF"/>
        </w:rPr>
        <w:t xml:space="preserve"> </w:t>
      </w:r>
      <w:r w:rsidRPr="00530906">
        <w:rPr>
          <w:rFonts w:ascii="Cambria" w:hAnsi="Cambria" w:cs="Arial"/>
          <w:sz w:val="24"/>
          <w:szCs w:val="24"/>
          <w:shd w:val="clear" w:color="auto" w:fill="FFFFFF"/>
        </w:rPr>
        <w:t>Examining public reactions to firms’ CSR efforts on social media.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155</w:t>
      </w:r>
      <w:r w:rsidRPr="00530906">
        <w:rPr>
          <w:rFonts w:ascii="Cambria" w:hAnsi="Cambria" w:cs="Arial"/>
          <w:sz w:val="24"/>
          <w:szCs w:val="24"/>
          <w:shd w:val="clear" w:color="auto" w:fill="FFFFFF"/>
        </w:rPr>
        <w:t>(2), 359</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 xml:space="preserve">377. </w:t>
      </w:r>
      <w:r w:rsidRPr="00530906">
        <w:rPr>
          <w:rFonts w:ascii="Cambria" w:hAnsi="Cambria" w:cs="AdvPTimes"/>
          <w:sz w:val="24"/>
          <w:szCs w:val="24"/>
        </w:rPr>
        <w:t>DOI: 10.1007/s10551</w:t>
      </w:r>
      <w:r w:rsidR="004179CD" w:rsidRPr="00530906">
        <w:rPr>
          <w:rFonts w:ascii="Cambria" w:hAnsi="Cambria" w:cs="AdvPTimes"/>
          <w:sz w:val="24"/>
          <w:szCs w:val="24"/>
        </w:rPr>
        <w:t>–</w:t>
      </w:r>
      <w:r w:rsidRPr="00530906">
        <w:rPr>
          <w:rFonts w:ascii="Cambria" w:hAnsi="Cambria" w:cs="AdvPTimes"/>
          <w:sz w:val="24"/>
          <w:szCs w:val="24"/>
        </w:rPr>
        <w:t>017</w:t>
      </w:r>
      <w:r w:rsidR="004179CD" w:rsidRPr="00530906">
        <w:rPr>
          <w:rFonts w:ascii="Cambria" w:hAnsi="Cambria" w:cs="AdvPTimes"/>
          <w:sz w:val="24"/>
          <w:szCs w:val="24"/>
        </w:rPr>
        <w:t>–</w:t>
      </w:r>
      <w:r w:rsidRPr="00530906">
        <w:rPr>
          <w:rFonts w:ascii="Cambria" w:hAnsi="Cambria" w:cs="AdvPTimes"/>
          <w:sz w:val="24"/>
          <w:szCs w:val="24"/>
        </w:rPr>
        <w:t>3464</w:t>
      </w:r>
      <w:r w:rsidR="004179CD" w:rsidRPr="00530906">
        <w:rPr>
          <w:rFonts w:ascii="Cambria" w:hAnsi="Cambria" w:cs="AdvPTimes"/>
          <w:sz w:val="24"/>
          <w:szCs w:val="24"/>
        </w:rPr>
        <w:t>–</w:t>
      </w:r>
      <w:r w:rsidRPr="00530906">
        <w:rPr>
          <w:rFonts w:ascii="Cambria" w:hAnsi="Cambria" w:cs="AdvPTimes"/>
          <w:sz w:val="24"/>
          <w:szCs w:val="24"/>
        </w:rPr>
        <w:t>z</w:t>
      </w:r>
    </w:p>
    <w:p w14:paraId="592C3EF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Schaltegger, S. and Wagner, M. (2011) “Sustainable Entrepreneurship and Sustainability Innovation: Categories and Interactions”, </w:t>
      </w:r>
      <w:r w:rsidRPr="00530906">
        <w:rPr>
          <w:rFonts w:ascii="Cambria" w:hAnsi="Cambria"/>
          <w:i/>
          <w:sz w:val="24"/>
          <w:szCs w:val="24"/>
        </w:rPr>
        <w:t>Business Strategy and the Environment</w:t>
      </w:r>
      <w:r w:rsidRPr="00530906">
        <w:rPr>
          <w:rFonts w:ascii="Cambria" w:hAnsi="Cambria"/>
          <w:sz w:val="24"/>
          <w:szCs w:val="24"/>
        </w:rPr>
        <w:t>, 20  (4), pp. 222–237. DOI: 10.1002/bse.682</w:t>
      </w:r>
    </w:p>
    <w:p w14:paraId="1178EC6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Schau, H. J., Muñiz Jr., A. M. and Arnould, E. J. (2009) ‘How brand community practices create value’, </w:t>
      </w:r>
      <w:r w:rsidRPr="00530906">
        <w:rPr>
          <w:rFonts w:ascii="Cambria" w:hAnsi="Cambria"/>
          <w:i/>
          <w:sz w:val="24"/>
          <w:szCs w:val="24"/>
        </w:rPr>
        <w:t>Journal of Marketing</w:t>
      </w:r>
      <w:r w:rsidRPr="00530906">
        <w:rPr>
          <w:rFonts w:ascii="Cambria" w:hAnsi="Cambria"/>
          <w:sz w:val="24"/>
          <w:szCs w:val="24"/>
        </w:rPr>
        <w:t>, 73(5), pp. 30–51. doi: 10.1509/jmkg.73.5.30.</w:t>
      </w:r>
    </w:p>
    <w:p w14:paraId="67117D8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Schrader, U., &amp; Thøgersen, J. (2011). Putting Sustainable–consumption into practice. </w:t>
      </w:r>
      <w:r w:rsidRPr="00530906">
        <w:rPr>
          <w:rFonts w:ascii="Cambria" w:hAnsi="Cambria" w:cs="Arial"/>
          <w:i/>
          <w:iCs/>
          <w:sz w:val="24"/>
          <w:szCs w:val="24"/>
          <w:shd w:val="clear" w:color="auto" w:fill="FFFFFF"/>
        </w:rPr>
        <w:t>Journal of consumer policy</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34</w:t>
      </w:r>
      <w:r w:rsidRPr="00530906">
        <w:rPr>
          <w:rFonts w:ascii="Cambria" w:hAnsi="Cambria" w:cs="Arial"/>
          <w:sz w:val="24"/>
          <w:szCs w:val="24"/>
          <w:shd w:val="clear" w:color="auto" w:fill="FFFFFF"/>
        </w:rPr>
        <w:t xml:space="preserve">(1), 3–8. Doi: </w:t>
      </w:r>
      <w:r w:rsidRPr="00530906">
        <w:rPr>
          <w:rFonts w:ascii="Cambria" w:hAnsi="Cambria"/>
          <w:sz w:val="24"/>
          <w:szCs w:val="24"/>
        </w:rPr>
        <w:t>10.1007/s10603–011–9154–9</w:t>
      </w:r>
    </w:p>
    <w:p w14:paraId="250AD0D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Scheinbaum, A. C. (2016) ‘Digital Engagement: Opportunities and Risks for Sponsors Consumer–Viewpoint and Practical Considerations For Marketing via Mobile and Digital Platforms’, </w:t>
      </w:r>
      <w:r w:rsidRPr="00530906">
        <w:rPr>
          <w:rFonts w:ascii="Cambria" w:hAnsi="Cambria"/>
          <w:i/>
          <w:sz w:val="24"/>
          <w:szCs w:val="24"/>
        </w:rPr>
        <w:t>Journal of Advertising Research</w:t>
      </w:r>
      <w:r w:rsidRPr="00530906">
        <w:rPr>
          <w:rFonts w:ascii="Cambria" w:hAnsi="Cambria"/>
          <w:sz w:val="24"/>
          <w:szCs w:val="24"/>
        </w:rPr>
        <w:t>, 56(4), pp. 341–345. doi: 10.2501/JAR–2016–040.</w:t>
      </w:r>
    </w:p>
    <w:p w14:paraId="2AFB4FB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Schivinski, B., Christodoulides, G. and Dabrowski, D. (2016) ‘Measuring consumers’ engagement with brand–related social–media content development and validation of a scale that identifies levels of social–media engagement with brands’, </w:t>
      </w:r>
      <w:r w:rsidRPr="00530906">
        <w:rPr>
          <w:rFonts w:ascii="Cambria" w:hAnsi="Cambria"/>
          <w:i/>
          <w:sz w:val="24"/>
          <w:szCs w:val="24"/>
        </w:rPr>
        <w:t>Journal of Advertising Research</w:t>
      </w:r>
      <w:r w:rsidRPr="00530906">
        <w:rPr>
          <w:rFonts w:ascii="Cambria" w:hAnsi="Cambria"/>
          <w:sz w:val="24"/>
          <w:szCs w:val="24"/>
        </w:rPr>
        <w:t>, 56(1), pp. 64 – 80. doi: 10.2501/JAR–2016–004.</w:t>
      </w:r>
    </w:p>
    <w:p w14:paraId="062D86AF" w14:textId="247F0F8B"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Schlegelmilch, B.</w:t>
      </w:r>
      <w:r w:rsidR="0059728F" w:rsidRPr="00530906">
        <w:rPr>
          <w:rFonts w:ascii="Cambria" w:hAnsi="Cambria"/>
          <w:sz w:val="24"/>
          <w:szCs w:val="24"/>
        </w:rPr>
        <w:t xml:space="preserve"> </w:t>
      </w:r>
      <w:r w:rsidRPr="00530906">
        <w:rPr>
          <w:rFonts w:ascii="Cambria" w:hAnsi="Cambria"/>
          <w:sz w:val="24"/>
          <w:szCs w:val="24"/>
        </w:rPr>
        <w:t>B., Bohlen, G.</w:t>
      </w:r>
      <w:r w:rsidR="0059728F" w:rsidRPr="00530906">
        <w:rPr>
          <w:rFonts w:ascii="Cambria" w:hAnsi="Cambria"/>
          <w:sz w:val="24"/>
          <w:szCs w:val="24"/>
        </w:rPr>
        <w:t xml:space="preserve"> </w:t>
      </w:r>
      <w:r w:rsidRPr="00530906">
        <w:rPr>
          <w:rFonts w:ascii="Cambria" w:hAnsi="Cambria"/>
          <w:sz w:val="24"/>
          <w:szCs w:val="24"/>
        </w:rPr>
        <w:t>M., &amp; Diamantopoulos, A. (1996). The link between green</w:t>
      </w:r>
      <w:r w:rsidR="00474DD0" w:rsidRPr="00530906">
        <w:rPr>
          <w:rFonts w:ascii="Cambria" w:hAnsi="Cambria"/>
          <w:sz w:val="24"/>
          <w:szCs w:val="24"/>
        </w:rPr>
        <w:t xml:space="preserve"> </w:t>
      </w:r>
      <w:r w:rsidRPr="00530906">
        <w:rPr>
          <w:rFonts w:ascii="Cambria" w:hAnsi="Cambria"/>
          <w:sz w:val="24"/>
          <w:szCs w:val="24"/>
        </w:rPr>
        <w:t xml:space="preserve">purchasing decisions and measures of environmental consciousness. </w:t>
      </w:r>
      <w:r w:rsidRPr="00530906">
        <w:rPr>
          <w:rFonts w:ascii="Cambria" w:hAnsi="Cambria"/>
          <w:i/>
          <w:sz w:val="24"/>
          <w:szCs w:val="24"/>
        </w:rPr>
        <w:t>European Journal of Marketing</w:t>
      </w:r>
      <w:r w:rsidRPr="00530906">
        <w:rPr>
          <w:rFonts w:ascii="Cambria" w:hAnsi="Cambria"/>
          <w:sz w:val="24"/>
          <w:szCs w:val="24"/>
        </w:rPr>
        <w:t>, 30 (5), 35–55. Doi: 10.1108/03090569610118740</w:t>
      </w:r>
    </w:p>
    <w:p w14:paraId="1B949655" w14:textId="20ACCD84"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Schlosser, A.</w:t>
      </w:r>
      <w:r w:rsidR="006F06D1" w:rsidRPr="00530906">
        <w:rPr>
          <w:rFonts w:ascii="Cambria" w:hAnsi="Cambria"/>
          <w:sz w:val="24"/>
          <w:szCs w:val="24"/>
        </w:rPr>
        <w:t xml:space="preserve"> </w:t>
      </w:r>
      <w:r w:rsidRPr="00530906">
        <w:rPr>
          <w:rFonts w:ascii="Cambria" w:hAnsi="Cambria"/>
          <w:sz w:val="24"/>
          <w:szCs w:val="24"/>
        </w:rPr>
        <w:t xml:space="preserve">E., (2003). Experiencing products in the virtual world: the role of goal and imagery in influencing attitudes versus purchase intentions. </w:t>
      </w:r>
      <w:r w:rsidRPr="00530906">
        <w:rPr>
          <w:rFonts w:ascii="Cambria" w:hAnsi="Cambria"/>
          <w:i/>
          <w:sz w:val="24"/>
          <w:szCs w:val="24"/>
        </w:rPr>
        <w:t>Journal of consumer research</w:t>
      </w:r>
      <w:r w:rsidRPr="00530906">
        <w:rPr>
          <w:rFonts w:ascii="Cambria" w:hAnsi="Cambria"/>
          <w:sz w:val="24"/>
          <w:szCs w:val="24"/>
        </w:rPr>
        <w:t>, 30(2), pp.184–198. Doi: 10.1086/376807</w:t>
      </w:r>
    </w:p>
    <w:p w14:paraId="205501C5" w14:textId="22054DC8" w:rsidR="00D951A0" w:rsidRPr="00530906" w:rsidRDefault="00D951A0">
      <w:pPr>
        <w:spacing w:line="360" w:lineRule="auto"/>
        <w:ind w:left="567" w:hanging="567"/>
        <w:jc w:val="both"/>
        <w:rPr>
          <w:rFonts w:ascii="Cambria" w:hAnsi="Cambria"/>
          <w:sz w:val="24"/>
          <w:szCs w:val="24"/>
        </w:rPr>
      </w:pPr>
      <w:r>
        <w:rPr>
          <w:rFonts w:ascii="Segoe UI" w:hAnsi="Segoe UI" w:cs="Segoe UI"/>
        </w:rPr>
        <w:t xml:space="preserve">Schouten, A.P., Janssen, L. and Verspaget, M. (2020) 'Celebrity vs. Influencer endorsements in advertising: the role of identification, credibility, and Product-Endorser fit', </w:t>
      </w:r>
      <w:r>
        <w:rPr>
          <w:rFonts w:ascii="Segoe UI" w:hAnsi="Segoe UI" w:cs="Segoe UI"/>
          <w:i/>
          <w:iCs/>
        </w:rPr>
        <w:t>International journal of advertising</w:t>
      </w:r>
      <w:r>
        <w:rPr>
          <w:rFonts w:ascii="Segoe UI" w:hAnsi="Segoe UI" w:cs="Segoe UI"/>
        </w:rPr>
        <w:t>, 39(2), pp. 258-281.</w:t>
      </w:r>
    </w:p>
    <w:p w14:paraId="2E57FB8B" w14:textId="3C1D4051" w:rsidR="007E4999" w:rsidRPr="00530906" w:rsidRDefault="007E4999">
      <w:pPr>
        <w:spacing w:line="360" w:lineRule="auto"/>
        <w:ind w:left="567" w:hanging="567"/>
        <w:jc w:val="both"/>
        <w:rPr>
          <w:rStyle w:val="Hyperlink"/>
          <w:rFonts w:ascii="Cambria" w:hAnsi="Cambria" w:cs="Arial"/>
          <w:color w:val="auto"/>
          <w:sz w:val="24"/>
          <w:szCs w:val="24"/>
          <w:shd w:val="clear" w:color="auto" w:fill="FFFFFF"/>
        </w:rPr>
      </w:pPr>
      <w:r w:rsidRPr="00530906">
        <w:rPr>
          <w:rFonts w:ascii="Cambria" w:hAnsi="Cambria" w:cs="Arial"/>
          <w:sz w:val="24"/>
          <w:szCs w:val="24"/>
          <w:shd w:val="clear" w:color="auto" w:fill="FFFFFF"/>
        </w:rPr>
        <w:t>Schuhwerk, M. E., &amp; Lefkoff–Hagius, R. (1995). Green or non–green? Does type of appeal matter when advertising a green product?</w:t>
      </w:r>
      <w:r w:rsidR="006F06D1" w:rsidRPr="00530906">
        <w:rPr>
          <w:rFonts w:ascii="Cambria" w:hAnsi="Cambria" w:cs="Arial"/>
          <w:sz w:val="24"/>
          <w:szCs w:val="24"/>
          <w:shd w:val="clear" w:color="auto" w:fill="FFFFFF"/>
        </w:rPr>
        <w:t xml:space="preserve"> </w:t>
      </w:r>
      <w:r w:rsidRPr="00530906">
        <w:rPr>
          <w:rFonts w:ascii="Cambria" w:hAnsi="Cambria" w:cs="Arial"/>
          <w:i/>
          <w:iCs/>
          <w:sz w:val="24"/>
          <w:szCs w:val="24"/>
          <w:shd w:val="clear" w:color="auto" w:fill="FFFFFF"/>
        </w:rPr>
        <w:t>Journal of advertising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24</w:t>
      </w:r>
      <w:r w:rsidRPr="00530906">
        <w:rPr>
          <w:rFonts w:ascii="Cambria" w:hAnsi="Cambria" w:cs="Arial"/>
          <w:sz w:val="24"/>
          <w:szCs w:val="24"/>
          <w:shd w:val="clear" w:color="auto" w:fill="FFFFFF"/>
        </w:rPr>
        <w:t xml:space="preserve">(2), 45–54. Doi: </w:t>
      </w:r>
      <w:hyperlink r:id="rId172" w:history="1">
        <w:r w:rsidRPr="00530906">
          <w:rPr>
            <w:rStyle w:val="Hyperlink"/>
            <w:rFonts w:ascii="Cambria" w:hAnsi="Cambria" w:cs="Arial"/>
            <w:color w:val="auto"/>
            <w:sz w:val="24"/>
            <w:szCs w:val="24"/>
            <w:shd w:val="clear" w:color="auto" w:fill="FFFFFF"/>
          </w:rPr>
          <w:t>10.1080/00913367.1995.10673475</w:t>
        </w:r>
      </w:hyperlink>
    </w:p>
    <w:p w14:paraId="0059D3F9" w14:textId="221A1163" w:rsidR="007E4999" w:rsidRPr="00530906" w:rsidRDefault="007E4999">
      <w:pPr>
        <w:spacing w:line="360" w:lineRule="auto"/>
        <w:ind w:left="567" w:hanging="567"/>
        <w:jc w:val="both"/>
        <w:rPr>
          <w:rStyle w:val="Hyperlink"/>
          <w:rFonts w:ascii="Cambria" w:hAnsi="Cambria" w:cs="Arial"/>
          <w:color w:val="auto"/>
          <w:sz w:val="24"/>
          <w:szCs w:val="24"/>
        </w:rPr>
      </w:pPr>
      <w:r w:rsidRPr="00530906">
        <w:rPr>
          <w:rFonts w:ascii="Cambria" w:hAnsi="Cambria" w:cs="Arial"/>
          <w:sz w:val="24"/>
          <w:szCs w:val="24"/>
          <w:shd w:val="clear" w:color="auto" w:fill="FFFFFF"/>
        </w:rPr>
        <w:t>Sedlacko, M., Martinuzzi, A., Røpke, I., Videira, N., &amp; Antunes, P. (2014). Participatory systems mapping for sustainable consumption: Discussion of a method promoting systemic insights. </w:t>
      </w:r>
      <w:r w:rsidRPr="00530906">
        <w:rPr>
          <w:rFonts w:ascii="Cambria" w:hAnsi="Cambria" w:cs="Arial"/>
          <w:i/>
          <w:iCs/>
          <w:sz w:val="24"/>
          <w:szCs w:val="24"/>
          <w:shd w:val="clear" w:color="auto" w:fill="FFFFFF"/>
        </w:rPr>
        <w:t>Ecological Economics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106</w:t>
      </w:r>
      <w:r w:rsidRPr="00530906">
        <w:rPr>
          <w:rFonts w:ascii="Cambria" w:hAnsi="Cambria" w:cs="Arial"/>
          <w:sz w:val="24"/>
          <w:szCs w:val="24"/>
          <w:shd w:val="clear" w:color="auto" w:fill="FFFFFF"/>
        </w:rPr>
        <w:t xml:space="preserve">, 33–43. Doi: </w:t>
      </w:r>
      <w:hyperlink r:id="rId173" w:tgtFrame="_blank" w:tooltip="Persistent link using digital object identifier" w:history="1">
        <w:r w:rsidRPr="00530906">
          <w:rPr>
            <w:rStyle w:val="Hyperlink"/>
            <w:rFonts w:ascii="Cambria" w:hAnsi="Cambria" w:cs="Arial"/>
            <w:color w:val="auto"/>
            <w:sz w:val="24"/>
            <w:szCs w:val="24"/>
          </w:rPr>
          <w:t>10.1016/j.ecolecon.2014.07.002</w:t>
        </w:r>
      </w:hyperlink>
    </w:p>
    <w:p w14:paraId="5D19CE91" w14:textId="1E4C25D0" w:rsidR="008117B5" w:rsidRPr="00530906" w:rsidRDefault="008117B5">
      <w:pPr>
        <w:spacing w:line="360" w:lineRule="auto"/>
        <w:ind w:left="567" w:hanging="567"/>
        <w:jc w:val="both"/>
        <w:rPr>
          <w:rFonts w:ascii="Cambria" w:hAnsi="Cambria"/>
          <w:sz w:val="24"/>
          <w:szCs w:val="24"/>
        </w:rPr>
      </w:pPr>
      <w:r w:rsidRPr="00530906">
        <w:rPr>
          <w:rFonts w:ascii="Cambria" w:hAnsi="Cambria"/>
          <w:sz w:val="24"/>
          <w:szCs w:val="24"/>
        </w:rPr>
        <w:t xml:space="preserve">Segev, S., Fernandes, J. &amp; Hong, C. (2016) Is Your Product Really Green? A Content Analysis to Reassess Green Advertising, </w:t>
      </w:r>
      <w:r w:rsidRPr="00530906">
        <w:rPr>
          <w:rFonts w:ascii="Cambria" w:hAnsi="Cambria"/>
          <w:i/>
          <w:iCs/>
          <w:sz w:val="24"/>
          <w:szCs w:val="24"/>
        </w:rPr>
        <w:t>Journal of Advertising</w:t>
      </w:r>
      <w:r w:rsidRPr="00530906">
        <w:rPr>
          <w:rFonts w:ascii="Cambria" w:hAnsi="Cambria"/>
          <w:sz w:val="24"/>
          <w:szCs w:val="24"/>
        </w:rPr>
        <w:t>, 45:1, 85</w:t>
      </w:r>
      <w:r w:rsidR="004179CD" w:rsidRPr="00530906">
        <w:rPr>
          <w:rFonts w:ascii="Cambria" w:hAnsi="Cambria"/>
          <w:sz w:val="24"/>
          <w:szCs w:val="24"/>
        </w:rPr>
        <w:t>–</w:t>
      </w:r>
      <w:r w:rsidRPr="00530906">
        <w:rPr>
          <w:rFonts w:ascii="Cambria" w:hAnsi="Cambria"/>
          <w:sz w:val="24"/>
          <w:szCs w:val="24"/>
        </w:rPr>
        <w:t>93, DOI: 10.1080/00913367.2015.1083918</w:t>
      </w:r>
    </w:p>
    <w:p w14:paraId="1125AE1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Sen, S. and Bhattacharya, C. B. (2001) ‘Does Doing Good Always Lead to Doing Better? Consumer Reactions to Corporate Social Responsibility’, </w:t>
      </w:r>
      <w:r w:rsidRPr="00530906">
        <w:rPr>
          <w:rFonts w:ascii="Cambria" w:hAnsi="Cambria"/>
          <w:i/>
          <w:sz w:val="24"/>
          <w:szCs w:val="24"/>
        </w:rPr>
        <w:t>Journal of Marketing Research</w:t>
      </w:r>
      <w:r w:rsidRPr="00530906">
        <w:rPr>
          <w:rFonts w:ascii="Cambria" w:hAnsi="Cambria"/>
          <w:sz w:val="24"/>
          <w:szCs w:val="24"/>
        </w:rPr>
        <w:t>, 38 (2), pp. 225–243. Available at : http://www.jstor.org/stable/1558626 [Accessed on 28</w:t>
      </w:r>
      <w:r w:rsidRPr="00530906">
        <w:rPr>
          <w:rFonts w:ascii="Cambria" w:hAnsi="Cambria"/>
          <w:sz w:val="24"/>
          <w:szCs w:val="24"/>
          <w:vertAlign w:val="superscript"/>
        </w:rPr>
        <w:t>th</w:t>
      </w:r>
      <w:r w:rsidRPr="00530906">
        <w:rPr>
          <w:rFonts w:ascii="Cambria" w:hAnsi="Cambria"/>
          <w:sz w:val="24"/>
          <w:szCs w:val="24"/>
        </w:rPr>
        <w:t xml:space="preserve"> Feb 2018]. </w:t>
      </w:r>
    </w:p>
    <w:p w14:paraId="6D941F1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Seo, Y., Li, X., Choi, Y. K. and Yoon, S. (2018) ‘Narrative Transportation and Paratextual Features of Social–media in Viral Advertising’, </w:t>
      </w:r>
      <w:r w:rsidRPr="00530906">
        <w:rPr>
          <w:rFonts w:ascii="Cambria" w:hAnsi="Cambria"/>
          <w:i/>
          <w:sz w:val="24"/>
          <w:szCs w:val="24"/>
        </w:rPr>
        <w:t>Journal of Advertising</w:t>
      </w:r>
      <w:r w:rsidRPr="00530906">
        <w:rPr>
          <w:rFonts w:ascii="Cambria" w:hAnsi="Cambria"/>
          <w:sz w:val="24"/>
          <w:szCs w:val="24"/>
        </w:rPr>
        <w:t>, 47(1), pp. 83–95, doi: 10.1080/00913367.2017.1405752.</w:t>
      </w:r>
    </w:p>
    <w:p w14:paraId="6678A34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Shan, Y.  and King, K. W. (2015) ‘The Effects of Interpersonal Tie Strength and Subjective Norms on Consumers' Brand–Related eWOM Referral Intentions.’, </w:t>
      </w:r>
      <w:r w:rsidRPr="00530906">
        <w:rPr>
          <w:rFonts w:ascii="Cambria" w:hAnsi="Cambria"/>
          <w:i/>
          <w:sz w:val="24"/>
          <w:szCs w:val="24"/>
        </w:rPr>
        <w:t>Journal of Interactive Advertising</w:t>
      </w:r>
      <w:r w:rsidRPr="00530906">
        <w:rPr>
          <w:rFonts w:ascii="Cambria" w:hAnsi="Cambria"/>
          <w:sz w:val="24"/>
          <w:szCs w:val="24"/>
        </w:rPr>
        <w:t xml:space="preserve">, 15(1), pp. 16–27, doi: 10.1080/15252019.2015.1016636. </w:t>
      </w:r>
    </w:p>
    <w:p w14:paraId="47C91DC4" w14:textId="6287750D" w:rsidR="001F0B5F" w:rsidRPr="00530906" w:rsidRDefault="001F0B5F">
      <w:pPr>
        <w:spacing w:line="360" w:lineRule="auto"/>
        <w:ind w:left="567" w:hanging="567"/>
        <w:jc w:val="both"/>
        <w:rPr>
          <w:rFonts w:ascii="Cambria" w:hAnsi="Cambria"/>
          <w:sz w:val="24"/>
          <w:szCs w:val="24"/>
        </w:rPr>
      </w:pPr>
      <w:r w:rsidRPr="00530906">
        <w:rPr>
          <w:rFonts w:ascii="Cambria" w:hAnsi="Cambria" w:cs="Segoe UI"/>
          <w:sz w:val="24"/>
          <w:szCs w:val="24"/>
        </w:rPr>
        <w:t xml:space="preserve">Shang, J. and Peloza, J. (2016) 'Can 'Real' Men Consume Ethically? How Ethical Consumption Leads to Unintended Observer Inference', </w:t>
      </w:r>
      <w:r w:rsidRPr="00530906">
        <w:rPr>
          <w:rFonts w:ascii="Cambria" w:hAnsi="Cambria" w:cs="Segoe UI"/>
          <w:i/>
          <w:iCs/>
          <w:sz w:val="24"/>
          <w:szCs w:val="24"/>
        </w:rPr>
        <w:t>Journal of Business Ethics</w:t>
      </w:r>
      <w:r w:rsidRPr="00530906">
        <w:rPr>
          <w:rFonts w:ascii="Cambria" w:hAnsi="Cambria" w:cs="Segoe UI"/>
          <w:sz w:val="24"/>
          <w:szCs w:val="24"/>
        </w:rPr>
        <w:t>, 139(1), pp. 129</w:t>
      </w:r>
      <w:r w:rsidR="004179CD" w:rsidRPr="00530906">
        <w:rPr>
          <w:rFonts w:ascii="Cambria" w:hAnsi="Cambria" w:cs="Segoe UI"/>
          <w:sz w:val="24"/>
          <w:szCs w:val="24"/>
        </w:rPr>
        <w:t>–</w:t>
      </w:r>
      <w:r w:rsidRPr="00530906">
        <w:rPr>
          <w:rFonts w:ascii="Cambria" w:hAnsi="Cambria" w:cs="Segoe UI"/>
          <w:sz w:val="24"/>
          <w:szCs w:val="24"/>
        </w:rPr>
        <w:t>145. Doi: 10.1007/s10551</w:t>
      </w:r>
      <w:r w:rsidR="004179CD" w:rsidRPr="00530906">
        <w:rPr>
          <w:rFonts w:ascii="Cambria" w:hAnsi="Cambria" w:cs="Segoe UI"/>
          <w:sz w:val="24"/>
          <w:szCs w:val="24"/>
        </w:rPr>
        <w:t>–</w:t>
      </w:r>
      <w:r w:rsidRPr="00530906">
        <w:rPr>
          <w:rFonts w:ascii="Cambria" w:hAnsi="Cambria" w:cs="Segoe UI"/>
          <w:sz w:val="24"/>
          <w:szCs w:val="24"/>
        </w:rPr>
        <w:t>015</w:t>
      </w:r>
      <w:r w:rsidR="004179CD" w:rsidRPr="00530906">
        <w:rPr>
          <w:rFonts w:ascii="Cambria" w:hAnsi="Cambria" w:cs="Segoe UI"/>
          <w:sz w:val="24"/>
          <w:szCs w:val="24"/>
        </w:rPr>
        <w:t>–</w:t>
      </w:r>
      <w:r w:rsidRPr="00530906">
        <w:rPr>
          <w:rFonts w:ascii="Cambria" w:hAnsi="Cambria" w:cs="Segoe UI"/>
          <w:sz w:val="24"/>
          <w:szCs w:val="24"/>
        </w:rPr>
        <w:t>2627</w:t>
      </w:r>
      <w:r w:rsidR="004179CD" w:rsidRPr="00530906">
        <w:rPr>
          <w:rFonts w:ascii="Cambria" w:hAnsi="Cambria" w:cs="Segoe UI"/>
          <w:sz w:val="24"/>
          <w:szCs w:val="24"/>
        </w:rPr>
        <w:t>–</w:t>
      </w:r>
      <w:r w:rsidRPr="00530906">
        <w:rPr>
          <w:rFonts w:ascii="Cambria" w:hAnsi="Cambria" w:cs="Segoe UI"/>
          <w:sz w:val="24"/>
          <w:szCs w:val="24"/>
        </w:rPr>
        <w:t>z</w:t>
      </w:r>
    </w:p>
    <w:p w14:paraId="3D1DA20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Shao, G. (2009) "Understanding the appeal of user‐generated media: a uses and gratification perspective", </w:t>
      </w:r>
      <w:r w:rsidRPr="00530906">
        <w:rPr>
          <w:rFonts w:ascii="Cambria" w:hAnsi="Cambria"/>
          <w:i/>
          <w:sz w:val="24"/>
          <w:szCs w:val="24"/>
        </w:rPr>
        <w:t>Internet Research</w:t>
      </w:r>
      <w:r w:rsidRPr="00530906">
        <w:rPr>
          <w:rFonts w:ascii="Cambria" w:hAnsi="Cambria"/>
          <w:sz w:val="24"/>
          <w:szCs w:val="24"/>
        </w:rPr>
        <w:t>, 19(1), pp.7–25. doi: 10.1108/10662240910927795</w:t>
      </w:r>
    </w:p>
    <w:p w14:paraId="3EC1D521"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Sharma, A. and Foropon, C. (2019) "Green product attributes and green purchase behavior: A theory of planned behavior perspective with implications for circular economy", </w:t>
      </w:r>
      <w:r w:rsidRPr="00530906">
        <w:rPr>
          <w:rFonts w:ascii="Cambria" w:hAnsi="Cambria"/>
          <w:i/>
          <w:sz w:val="24"/>
          <w:szCs w:val="24"/>
        </w:rPr>
        <w:t>Management Decision</w:t>
      </w:r>
      <w:r w:rsidRPr="00530906">
        <w:rPr>
          <w:rFonts w:ascii="Cambria" w:hAnsi="Cambria"/>
          <w:sz w:val="24"/>
          <w:szCs w:val="24"/>
        </w:rPr>
        <w:t>, 57 (4), pp.1018–1042. Doi: 10.1108/MD–10–2018–1092</w:t>
      </w:r>
    </w:p>
    <w:p w14:paraId="2D1A25EF" w14:textId="68F22D24"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Shen, Y.</w:t>
      </w:r>
      <w:r w:rsidR="006F06D1" w:rsidRPr="00530906">
        <w:rPr>
          <w:rFonts w:ascii="Cambria" w:hAnsi="Cambria"/>
          <w:sz w:val="24"/>
          <w:szCs w:val="24"/>
        </w:rPr>
        <w:t xml:space="preserve"> </w:t>
      </w:r>
      <w:r w:rsidRPr="00530906">
        <w:rPr>
          <w:rFonts w:ascii="Cambria" w:hAnsi="Cambria"/>
          <w:sz w:val="24"/>
          <w:szCs w:val="24"/>
        </w:rPr>
        <w:t>C., Huang, C.</w:t>
      </w:r>
      <w:r w:rsidR="006F06D1" w:rsidRPr="00530906">
        <w:rPr>
          <w:rFonts w:ascii="Cambria" w:hAnsi="Cambria"/>
          <w:sz w:val="24"/>
          <w:szCs w:val="24"/>
        </w:rPr>
        <w:t xml:space="preserve"> </w:t>
      </w:r>
      <w:r w:rsidRPr="00530906">
        <w:rPr>
          <w:rFonts w:ascii="Cambria" w:hAnsi="Cambria"/>
          <w:sz w:val="24"/>
          <w:szCs w:val="24"/>
        </w:rPr>
        <w:t>Y., Chu, C.</w:t>
      </w:r>
      <w:r w:rsidR="006F06D1" w:rsidRPr="00530906">
        <w:rPr>
          <w:rFonts w:ascii="Cambria" w:hAnsi="Cambria"/>
          <w:sz w:val="24"/>
          <w:szCs w:val="24"/>
        </w:rPr>
        <w:t xml:space="preserve"> </w:t>
      </w:r>
      <w:r w:rsidRPr="00530906">
        <w:rPr>
          <w:rFonts w:ascii="Cambria" w:hAnsi="Cambria"/>
          <w:sz w:val="24"/>
          <w:szCs w:val="24"/>
        </w:rPr>
        <w:t>H. and Liao, H.</w:t>
      </w:r>
      <w:r w:rsidR="006F06D1" w:rsidRPr="00530906">
        <w:rPr>
          <w:rFonts w:ascii="Cambria" w:hAnsi="Cambria"/>
          <w:sz w:val="24"/>
          <w:szCs w:val="24"/>
        </w:rPr>
        <w:t xml:space="preserve"> </w:t>
      </w:r>
      <w:r w:rsidRPr="00530906">
        <w:rPr>
          <w:rFonts w:ascii="Cambria" w:hAnsi="Cambria"/>
          <w:sz w:val="24"/>
          <w:szCs w:val="24"/>
        </w:rPr>
        <w:t>C. (2010), “Virtual community loyalty: an interpersonal–interaction perspective”, International Journal of Electronic Commerce, Vol. 15 No. 1, pp. 49–73.</w:t>
      </w:r>
    </w:p>
    <w:p w14:paraId="07583564" w14:textId="7E29CBDE"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Shiv, B. and Huber, J (2000), “The Impact of Anticipating Satisfaction on</w:t>
      </w:r>
      <w:r w:rsidR="00474DD0" w:rsidRPr="00530906">
        <w:rPr>
          <w:rFonts w:ascii="Cambria" w:hAnsi="Cambria"/>
          <w:sz w:val="24"/>
          <w:szCs w:val="24"/>
        </w:rPr>
        <w:t xml:space="preserve"> </w:t>
      </w:r>
      <w:r w:rsidRPr="00530906">
        <w:rPr>
          <w:rFonts w:ascii="Cambria" w:hAnsi="Cambria"/>
          <w:sz w:val="24"/>
          <w:szCs w:val="24"/>
        </w:rPr>
        <w:t xml:space="preserve">Consumer Choice,” </w:t>
      </w:r>
      <w:r w:rsidRPr="00530906">
        <w:rPr>
          <w:rFonts w:ascii="Cambria" w:hAnsi="Cambria"/>
          <w:i/>
          <w:sz w:val="24"/>
          <w:szCs w:val="24"/>
        </w:rPr>
        <w:t>Journal of Consumer Research</w:t>
      </w:r>
      <w:r w:rsidRPr="00530906">
        <w:rPr>
          <w:rFonts w:ascii="Cambria" w:hAnsi="Cambria"/>
          <w:sz w:val="24"/>
          <w:szCs w:val="24"/>
        </w:rPr>
        <w:t>, 27, 2, 202–16.</w:t>
      </w:r>
    </w:p>
    <w:p w14:paraId="567C9AE3" w14:textId="2DBAA93A" w:rsidR="007E4999" w:rsidRPr="00530906" w:rsidRDefault="007E4999">
      <w:pPr>
        <w:spacing w:line="360" w:lineRule="auto"/>
        <w:ind w:left="567" w:hanging="567"/>
        <w:jc w:val="both"/>
        <w:rPr>
          <w:rStyle w:val="Hyperlink"/>
          <w:rFonts w:ascii="Cambria" w:hAnsi="Cambria"/>
          <w:color w:val="auto"/>
          <w:sz w:val="24"/>
          <w:szCs w:val="24"/>
        </w:rPr>
      </w:pPr>
      <w:r w:rsidRPr="00530906">
        <w:rPr>
          <w:rFonts w:ascii="Cambria" w:hAnsi="Cambria" w:cs="Segoe UI"/>
          <w:sz w:val="24"/>
          <w:szCs w:val="24"/>
        </w:rPr>
        <w:t>Siliquini–Cinelli, L.</w:t>
      </w:r>
      <w:r w:rsidR="006F06D1" w:rsidRPr="00530906">
        <w:rPr>
          <w:rFonts w:ascii="Cambria" w:hAnsi="Cambria" w:cs="Segoe UI"/>
          <w:sz w:val="24"/>
          <w:szCs w:val="24"/>
        </w:rPr>
        <w:t xml:space="preserve"> </w:t>
      </w:r>
      <w:r w:rsidRPr="00530906">
        <w:rPr>
          <w:rFonts w:ascii="Cambria" w:hAnsi="Cambria" w:cs="Segoe UI"/>
          <w:sz w:val="24"/>
          <w:szCs w:val="24"/>
        </w:rPr>
        <w:t>E. (2019)</w:t>
      </w:r>
      <w:r w:rsidRPr="00530906">
        <w:rPr>
          <w:rFonts w:ascii="Cambria" w:hAnsi="Cambria" w:cs="Segoe UI"/>
          <w:i/>
          <w:iCs/>
          <w:sz w:val="24"/>
          <w:szCs w:val="24"/>
        </w:rPr>
        <w:t xml:space="preserve"> Legal Positivism in a Global and Transnational Age</w:t>
      </w:r>
      <w:r w:rsidRPr="00530906">
        <w:rPr>
          <w:rFonts w:ascii="Cambria" w:hAnsi="Cambria" w:cs="Segoe UI"/>
          <w:sz w:val="24"/>
          <w:szCs w:val="24"/>
        </w:rPr>
        <w:t>. Springer.</w:t>
      </w:r>
    </w:p>
    <w:p w14:paraId="054EE19E" w14:textId="77777777" w:rsidR="007E4999" w:rsidRPr="00530906" w:rsidRDefault="007E4999">
      <w:pPr>
        <w:spacing w:line="360" w:lineRule="auto"/>
        <w:ind w:left="567" w:hanging="567"/>
        <w:jc w:val="both"/>
        <w:rPr>
          <w:rStyle w:val="Hyperlink"/>
          <w:rFonts w:ascii="Cambria" w:hAnsi="Cambria"/>
          <w:color w:val="auto"/>
          <w:sz w:val="24"/>
          <w:szCs w:val="24"/>
        </w:rPr>
      </w:pPr>
      <w:r w:rsidRPr="00530906">
        <w:rPr>
          <w:rFonts w:ascii="Cambria" w:hAnsi="Cambria"/>
          <w:sz w:val="24"/>
          <w:szCs w:val="24"/>
          <w:shd w:val="clear" w:color="auto" w:fill="FFFFFF"/>
        </w:rPr>
        <w:t>Simmons, J. P. and Nelson, Leif D. and Simonsohn, Uri, Life after P–Hacking (2013). Meeting of the Society for Personality and Social Psychology, New Orleans, LA, 17–19 January 2013. Available at SSRN: </w:t>
      </w:r>
      <w:hyperlink r:id="rId174" w:tgtFrame="_blank" w:history="1">
        <w:r w:rsidRPr="00530906">
          <w:rPr>
            <w:rStyle w:val="Hyperlink"/>
            <w:rFonts w:ascii="Cambria" w:hAnsi="Cambria"/>
            <w:color w:val="auto"/>
            <w:sz w:val="24"/>
            <w:szCs w:val="24"/>
            <w:shd w:val="clear" w:color="auto" w:fill="FFFFFF"/>
          </w:rPr>
          <w:t>https://ssrn.com/abstract=2205186</w:t>
        </w:r>
      </w:hyperlink>
      <w:r w:rsidRPr="00530906">
        <w:rPr>
          <w:rFonts w:ascii="Cambria" w:hAnsi="Cambria"/>
          <w:sz w:val="24"/>
          <w:szCs w:val="24"/>
          <w:shd w:val="clear" w:color="auto" w:fill="FFFFFF"/>
        </w:rPr>
        <w:t> or </w:t>
      </w:r>
      <w:hyperlink r:id="rId175" w:tgtFrame="_blank" w:history="1">
        <w:r w:rsidRPr="00530906">
          <w:rPr>
            <w:rStyle w:val="Hyperlink"/>
            <w:rFonts w:ascii="Cambria" w:hAnsi="Cambria"/>
            <w:color w:val="auto"/>
            <w:sz w:val="24"/>
            <w:szCs w:val="24"/>
            <w:shd w:val="clear" w:color="auto" w:fill="FFFFFF"/>
          </w:rPr>
          <w:t>http://dx.doi.org/10.2139/ssrn.2205186</w:t>
        </w:r>
      </w:hyperlink>
    </w:p>
    <w:p w14:paraId="3E321422"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Smith, T. (1998), The Green Marketing Myth: Tending our Goats at the Edge of Apocalypse, University of Toronto Press, Toronto.</w:t>
      </w:r>
    </w:p>
    <w:p w14:paraId="32E88409" w14:textId="492D09C3" w:rsidR="00613952" w:rsidRPr="00530906" w:rsidRDefault="00613952">
      <w:pPr>
        <w:spacing w:line="360" w:lineRule="auto"/>
        <w:ind w:left="567" w:hanging="567"/>
        <w:jc w:val="both"/>
        <w:rPr>
          <w:rFonts w:ascii="Cambria" w:hAnsi="Cambria"/>
          <w:sz w:val="24"/>
          <w:szCs w:val="24"/>
        </w:rPr>
      </w:pPr>
      <w:r w:rsidRPr="00530906">
        <w:rPr>
          <w:rFonts w:ascii="Cambria" w:hAnsi="Cambria" w:cs="Arial"/>
          <w:color w:val="222222"/>
          <w:sz w:val="24"/>
          <w:szCs w:val="24"/>
          <w:shd w:val="clear" w:color="auto" w:fill="FFFFFF"/>
        </w:rPr>
        <w:t>Song, S. Y., &amp; Kim, Y. K. (2018). Theory of virtue ethics: do consumers’ good traits predict their socially responsible consumption?. </w:t>
      </w:r>
      <w:r w:rsidRPr="00530906">
        <w:rPr>
          <w:rFonts w:ascii="Cambria" w:hAnsi="Cambria" w:cs="Arial"/>
          <w:i/>
          <w:iCs/>
          <w:color w:val="222222"/>
          <w:sz w:val="24"/>
          <w:szCs w:val="24"/>
          <w:shd w:val="clear" w:color="auto" w:fill="FFFFFF"/>
        </w:rPr>
        <w:t>Journal of Business Ethics</w:t>
      </w:r>
      <w:r w:rsidRPr="00530906">
        <w:rPr>
          <w:rFonts w:ascii="Cambria" w:hAnsi="Cambria" w:cs="Arial"/>
          <w:color w:val="222222"/>
          <w:sz w:val="24"/>
          <w:szCs w:val="24"/>
          <w:shd w:val="clear" w:color="auto" w:fill="FFFFFF"/>
        </w:rPr>
        <w:t>, </w:t>
      </w:r>
      <w:r w:rsidRPr="00530906">
        <w:rPr>
          <w:rFonts w:ascii="Cambria" w:hAnsi="Cambria" w:cs="Arial"/>
          <w:i/>
          <w:iCs/>
          <w:color w:val="222222"/>
          <w:sz w:val="24"/>
          <w:szCs w:val="24"/>
          <w:shd w:val="clear" w:color="auto" w:fill="FFFFFF"/>
        </w:rPr>
        <w:t>152</w:t>
      </w:r>
      <w:r w:rsidRPr="00530906">
        <w:rPr>
          <w:rFonts w:ascii="Cambria" w:hAnsi="Cambria" w:cs="Arial"/>
          <w:color w:val="222222"/>
          <w:sz w:val="24"/>
          <w:szCs w:val="24"/>
          <w:shd w:val="clear" w:color="auto" w:fill="FFFFFF"/>
        </w:rPr>
        <w:t>(4), 1159</w:t>
      </w:r>
      <w:r w:rsidR="004179CD" w:rsidRPr="00530906">
        <w:rPr>
          <w:rFonts w:ascii="Cambria" w:hAnsi="Cambria" w:cs="Arial"/>
          <w:color w:val="222222"/>
          <w:sz w:val="24"/>
          <w:szCs w:val="24"/>
          <w:shd w:val="clear" w:color="auto" w:fill="FFFFFF"/>
        </w:rPr>
        <w:t>–</w:t>
      </w:r>
      <w:r w:rsidRPr="00530906">
        <w:rPr>
          <w:rFonts w:ascii="Cambria" w:hAnsi="Cambria" w:cs="Arial"/>
          <w:color w:val="222222"/>
          <w:sz w:val="24"/>
          <w:szCs w:val="24"/>
          <w:shd w:val="clear" w:color="auto" w:fill="FFFFFF"/>
        </w:rPr>
        <w:t xml:space="preserve">1175. Doi: </w:t>
      </w:r>
      <w:r w:rsidRPr="00530906">
        <w:rPr>
          <w:rFonts w:ascii="Cambria" w:hAnsi="Cambria" w:cs="AdvPTimes"/>
          <w:sz w:val="24"/>
          <w:szCs w:val="24"/>
        </w:rPr>
        <w:t>10.1007/s10551</w:t>
      </w:r>
      <w:r w:rsidR="004179CD" w:rsidRPr="00530906">
        <w:rPr>
          <w:rFonts w:ascii="Cambria" w:hAnsi="Cambria" w:cs="AdvPTimes"/>
          <w:sz w:val="24"/>
          <w:szCs w:val="24"/>
        </w:rPr>
        <w:t>–</w:t>
      </w:r>
      <w:r w:rsidRPr="00530906">
        <w:rPr>
          <w:rFonts w:ascii="Cambria" w:hAnsi="Cambria" w:cs="AdvPTimes"/>
          <w:sz w:val="24"/>
          <w:szCs w:val="24"/>
        </w:rPr>
        <w:t>016</w:t>
      </w:r>
      <w:r w:rsidR="004179CD" w:rsidRPr="00530906">
        <w:rPr>
          <w:rFonts w:ascii="Cambria" w:hAnsi="Cambria" w:cs="AdvPTimes"/>
          <w:sz w:val="24"/>
          <w:szCs w:val="24"/>
        </w:rPr>
        <w:t>–</w:t>
      </w:r>
      <w:r w:rsidRPr="00530906">
        <w:rPr>
          <w:rFonts w:ascii="Cambria" w:hAnsi="Cambria" w:cs="AdvPTimes"/>
          <w:sz w:val="24"/>
          <w:szCs w:val="24"/>
        </w:rPr>
        <w:t>3331</w:t>
      </w:r>
      <w:r w:rsidR="004179CD" w:rsidRPr="00530906">
        <w:rPr>
          <w:rFonts w:ascii="Cambria" w:hAnsi="Cambria" w:cs="AdvPTimes"/>
          <w:sz w:val="24"/>
          <w:szCs w:val="24"/>
        </w:rPr>
        <w:t>–</w:t>
      </w:r>
      <w:r w:rsidRPr="00530906">
        <w:rPr>
          <w:rFonts w:ascii="Cambria" w:hAnsi="Cambria" w:cs="AdvPTimes"/>
          <w:sz w:val="24"/>
          <w:szCs w:val="24"/>
        </w:rPr>
        <w:t>3</w:t>
      </w:r>
    </w:p>
    <w:p w14:paraId="223B3CDD" w14:textId="09FA3BA6"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Song, Z.; Daryanto, A; Soopramanien, D. (2019) Place attachment, trust and mobility: Three–way interaction effect on urban residents' environmental citizenship behaviour.  Journal of Business Research, Vol. 105, p168–177. 10p. DOI: 10.1016/j.jbusres.2019.08.001.</w:t>
      </w:r>
    </w:p>
    <w:p w14:paraId="559A9BF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Soyez, K. (2012) "How national cultural values affect pro‐environmental consumer  behavior", </w:t>
      </w:r>
      <w:r w:rsidRPr="00530906">
        <w:rPr>
          <w:rFonts w:ascii="Cambria" w:hAnsi="Cambria"/>
          <w:i/>
          <w:sz w:val="24"/>
          <w:szCs w:val="24"/>
        </w:rPr>
        <w:t>International Marketing Review</w:t>
      </w:r>
      <w:r w:rsidRPr="00530906">
        <w:rPr>
          <w:rFonts w:ascii="Cambria" w:hAnsi="Cambria"/>
          <w:sz w:val="24"/>
          <w:szCs w:val="24"/>
        </w:rPr>
        <w:t xml:space="preserve">, Vol. 29 (6), pp. 623–646, </w:t>
      </w:r>
      <w:hyperlink r:id="rId176" w:history="1">
        <w:r w:rsidRPr="00530906">
          <w:rPr>
            <w:rFonts w:ascii="Cambria" w:hAnsi="Cambria"/>
            <w:sz w:val="24"/>
            <w:szCs w:val="24"/>
          </w:rPr>
          <w:t>doi: 10.1108/02651331211277973</w:t>
        </w:r>
      </w:hyperlink>
      <w:r w:rsidRPr="00530906">
        <w:rPr>
          <w:rFonts w:ascii="Cambria" w:hAnsi="Cambria"/>
          <w:sz w:val="24"/>
          <w:szCs w:val="24"/>
        </w:rPr>
        <w:t>.</w:t>
      </w:r>
    </w:p>
    <w:p w14:paraId="275E169E" w14:textId="1FB945FC"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Spotts, H.</w:t>
      </w:r>
      <w:r w:rsidR="006F06D1" w:rsidRPr="00530906">
        <w:rPr>
          <w:rFonts w:ascii="Cambria" w:hAnsi="Cambria" w:cs="Segoe UI"/>
          <w:sz w:val="24"/>
          <w:szCs w:val="24"/>
        </w:rPr>
        <w:t xml:space="preserve"> </w:t>
      </w:r>
      <w:r w:rsidRPr="00530906">
        <w:rPr>
          <w:rFonts w:ascii="Cambria" w:hAnsi="Cambria" w:cs="Segoe UI"/>
          <w:sz w:val="24"/>
          <w:szCs w:val="24"/>
        </w:rPr>
        <w:t>E., Purvis, S.</w:t>
      </w:r>
      <w:r w:rsidR="006F06D1" w:rsidRPr="00530906">
        <w:rPr>
          <w:rFonts w:ascii="Cambria" w:hAnsi="Cambria" w:cs="Segoe UI"/>
          <w:sz w:val="24"/>
          <w:szCs w:val="24"/>
        </w:rPr>
        <w:t xml:space="preserve"> </w:t>
      </w:r>
      <w:r w:rsidRPr="00530906">
        <w:rPr>
          <w:rFonts w:ascii="Cambria" w:hAnsi="Cambria" w:cs="Segoe UI"/>
          <w:sz w:val="24"/>
          <w:szCs w:val="24"/>
        </w:rPr>
        <w:t xml:space="preserve">C. and Patnaik, S. (2014) 'How Digital Conversations Reinforce Super Bowl Advertising', </w:t>
      </w:r>
      <w:r w:rsidRPr="00530906">
        <w:rPr>
          <w:rFonts w:ascii="Cambria" w:hAnsi="Cambria" w:cs="Segoe UI"/>
          <w:i/>
          <w:iCs/>
          <w:sz w:val="24"/>
          <w:szCs w:val="24"/>
        </w:rPr>
        <w:t>Journal of Advertising Research</w:t>
      </w:r>
      <w:r w:rsidRPr="00530906">
        <w:rPr>
          <w:rFonts w:ascii="Cambria" w:hAnsi="Cambria" w:cs="Segoe UI"/>
          <w:sz w:val="24"/>
          <w:szCs w:val="24"/>
        </w:rPr>
        <w:t>, 54(4), pp. 454</w:t>
      </w:r>
      <w:r w:rsidR="004179CD" w:rsidRPr="00530906">
        <w:rPr>
          <w:rFonts w:ascii="Cambria" w:hAnsi="Cambria" w:cs="Segoe UI"/>
          <w:sz w:val="24"/>
          <w:szCs w:val="24"/>
        </w:rPr>
        <w:t>–</w:t>
      </w:r>
      <w:r w:rsidRPr="00530906">
        <w:rPr>
          <w:rFonts w:ascii="Cambria" w:hAnsi="Cambria" w:cs="Segoe UI"/>
          <w:sz w:val="24"/>
          <w:szCs w:val="24"/>
        </w:rPr>
        <w:t>468. Doi: 10.2501/JAR</w:t>
      </w:r>
      <w:r w:rsidR="004179CD" w:rsidRPr="00530906">
        <w:rPr>
          <w:rFonts w:ascii="Cambria" w:hAnsi="Cambria" w:cs="Segoe UI"/>
          <w:sz w:val="24"/>
          <w:szCs w:val="24"/>
        </w:rPr>
        <w:t>–</w:t>
      </w:r>
      <w:r w:rsidRPr="00530906">
        <w:rPr>
          <w:rFonts w:ascii="Cambria" w:hAnsi="Cambria" w:cs="Segoe UI"/>
          <w:sz w:val="24"/>
          <w:szCs w:val="24"/>
        </w:rPr>
        <w:t>54</w:t>
      </w:r>
      <w:r w:rsidR="004179CD" w:rsidRPr="00530906">
        <w:rPr>
          <w:rFonts w:ascii="Cambria" w:hAnsi="Cambria" w:cs="Segoe UI"/>
          <w:sz w:val="24"/>
          <w:szCs w:val="24"/>
        </w:rPr>
        <w:t>–</w:t>
      </w:r>
      <w:r w:rsidRPr="00530906">
        <w:rPr>
          <w:rFonts w:ascii="Cambria" w:hAnsi="Cambria" w:cs="Segoe UI"/>
          <w:sz w:val="24"/>
          <w:szCs w:val="24"/>
        </w:rPr>
        <w:t>4</w:t>
      </w:r>
      <w:r w:rsidR="004179CD" w:rsidRPr="00530906">
        <w:rPr>
          <w:rFonts w:ascii="Cambria" w:hAnsi="Cambria" w:cs="Segoe UI"/>
          <w:sz w:val="24"/>
          <w:szCs w:val="24"/>
        </w:rPr>
        <w:t>–</w:t>
      </w:r>
      <w:r w:rsidRPr="00530906">
        <w:rPr>
          <w:rFonts w:ascii="Cambria" w:hAnsi="Cambria" w:cs="Segoe UI"/>
          <w:sz w:val="24"/>
          <w:szCs w:val="24"/>
        </w:rPr>
        <w:t>454</w:t>
      </w:r>
      <w:r w:rsidR="004179CD" w:rsidRPr="00530906">
        <w:rPr>
          <w:rFonts w:ascii="Cambria" w:hAnsi="Cambria" w:cs="Segoe UI"/>
          <w:sz w:val="24"/>
          <w:szCs w:val="24"/>
        </w:rPr>
        <w:t>–</w:t>
      </w:r>
      <w:r w:rsidRPr="00530906">
        <w:rPr>
          <w:rFonts w:ascii="Cambria" w:hAnsi="Cambria" w:cs="Segoe UI"/>
          <w:sz w:val="24"/>
          <w:szCs w:val="24"/>
        </w:rPr>
        <w:t>468</w:t>
      </w:r>
    </w:p>
    <w:p w14:paraId="5F96749A"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Staats, A. W. and Lohr, J. M. (1979), “Images, Language, Emotions and Personality: Social Behaviorism's Theory,” </w:t>
      </w:r>
      <w:r w:rsidRPr="00530906">
        <w:rPr>
          <w:rFonts w:ascii="Cambria" w:hAnsi="Cambria" w:cs="Segoe UI"/>
          <w:i/>
          <w:iCs/>
          <w:sz w:val="24"/>
          <w:szCs w:val="24"/>
        </w:rPr>
        <w:t>Journal of Mental Imagery</w:t>
      </w:r>
      <w:r w:rsidRPr="00530906">
        <w:rPr>
          <w:rFonts w:ascii="Cambria" w:hAnsi="Cambria" w:cs="Segoe UI"/>
          <w:sz w:val="24"/>
          <w:szCs w:val="24"/>
        </w:rPr>
        <w:t xml:space="preserve"> (3), 85–106.</w:t>
      </w:r>
    </w:p>
    <w:p w14:paraId="2A04238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Stathopoulou, A., Borel, L., Christodoulides, G. and West, D. (2017) 'Consumer Branded #Hashtag Engagement: Can Creativity in TV Advertising Influence Hashtag Engagement?', </w:t>
      </w:r>
      <w:r w:rsidRPr="00530906">
        <w:rPr>
          <w:rFonts w:ascii="Cambria" w:hAnsi="Cambria" w:cs="Segoe UI"/>
          <w:i/>
          <w:iCs/>
          <w:sz w:val="24"/>
          <w:szCs w:val="24"/>
        </w:rPr>
        <w:t>Psychology &amp; Marketing</w:t>
      </w:r>
      <w:r w:rsidRPr="00530906">
        <w:rPr>
          <w:rFonts w:ascii="Cambria" w:hAnsi="Cambria" w:cs="Segoe UI"/>
          <w:sz w:val="24"/>
          <w:szCs w:val="24"/>
        </w:rPr>
        <w:t>, 34(4), pp. 448</w:t>
      </w:r>
      <w:r w:rsidR="004179CD" w:rsidRPr="00530906">
        <w:rPr>
          <w:rFonts w:ascii="Cambria" w:hAnsi="Cambria" w:cs="Segoe UI"/>
          <w:sz w:val="24"/>
          <w:szCs w:val="24"/>
        </w:rPr>
        <w:t>–</w:t>
      </w:r>
      <w:r w:rsidRPr="00530906">
        <w:rPr>
          <w:rFonts w:ascii="Cambria" w:hAnsi="Cambria" w:cs="Segoe UI"/>
          <w:sz w:val="24"/>
          <w:szCs w:val="24"/>
        </w:rPr>
        <w:t>462. Doi: 10.1002/mar.20999</w:t>
      </w:r>
    </w:p>
    <w:p w14:paraId="7877DCBA" w14:textId="752E5F5C"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Statista (2016) Global environmentally conscious consumers' demand for products 2016, by region </w:t>
      </w:r>
      <w:r w:rsidRPr="00530906">
        <w:rPr>
          <w:rFonts w:ascii="Cambria" w:hAnsi="Cambria" w:cs="Adobe Devanagari"/>
          <w:sz w:val="24"/>
          <w:szCs w:val="24"/>
        </w:rPr>
        <w:t>(</w:t>
      </w:r>
      <w:hyperlink r:id="rId177" w:history="1">
        <w:r w:rsidRPr="00530906">
          <w:rPr>
            <w:rStyle w:val="Hyperlink"/>
            <w:rFonts w:ascii="Cambria" w:hAnsi="Cambria"/>
            <w:color w:val="auto"/>
            <w:sz w:val="24"/>
            <w:szCs w:val="24"/>
          </w:rPr>
          <w:t>https://www.statista.com/statistics/590912/care–for–environment–increases–consumer–demand–for–sustainable–products–by–region/</w:t>
        </w:r>
      </w:hyperlink>
      <w:r w:rsidRPr="00530906">
        <w:rPr>
          <w:rFonts w:ascii="Cambria" w:hAnsi="Cambria"/>
          <w:sz w:val="24"/>
          <w:szCs w:val="24"/>
        </w:rPr>
        <w:t xml:space="preserve"> ) (Accessed </w:t>
      </w:r>
      <w:r w:rsidR="00CC5AF9" w:rsidRPr="00530906">
        <w:rPr>
          <w:rFonts w:ascii="Cambria" w:hAnsi="Cambria"/>
          <w:sz w:val="24"/>
          <w:szCs w:val="24"/>
        </w:rPr>
        <w:t>8</w:t>
      </w:r>
      <w:r w:rsidR="00CC5AF9" w:rsidRPr="00530906">
        <w:rPr>
          <w:rFonts w:ascii="Cambria" w:hAnsi="Cambria"/>
          <w:sz w:val="24"/>
          <w:szCs w:val="24"/>
          <w:vertAlign w:val="superscript"/>
        </w:rPr>
        <w:t>th</w:t>
      </w:r>
      <w:r w:rsidRPr="00530906">
        <w:rPr>
          <w:rFonts w:ascii="Cambria" w:hAnsi="Cambria"/>
          <w:sz w:val="24"/>
          <w:szCs w:val="24"/>
        </w:rPr>
        <w:t xml:space="preserve"> May 202</w:t>
      </w:r>
      <w:r w:rsidR="00CC5AF9" w:rsidRPr="00530906">
        <w:rPr>
          <w:rFonts w:ascii="Cambria" w:hAnsi="Cambria"/>
          <w:sz w:val="24"/>
          <w:szCs w:val="24"/>
        </w:rPr>
        <w:t>1</w:t>
      </w:r>
      <w:r w:rsidRPr="00530906">
        <w:rPr>
          <w:rFonts w:ascii="Cambria" w:hAnsi="Cambria"/>
          <w:sz w:val="24"/>
          <w:szCs w:val="24"/>
        </w:rPr>
        <w:t>)</w:t>
      </w:r>
    </w:p>
    <w:p w14:paraId="76ED59A0" w14:textId="002ED2D0"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Statista (2017) Social–media &amp; user–generated content: Statistics and market data on social–media &amp; user–generated content. Available from:  </w:t>
      </w:r>
      <w:hyperlink r:id="rId178" w:history="1">
        <w:r w:rsidRPr="00530906">
          <w:rPr>
            <w:rStyle w:val="Hyperlink"/>
            <w:rFonts w:ascii="Cambria" w:hAnsi="Cambria"/>
            <w:color w:val="auto"/>
            <w:sz w:val="24"/>
            <w:szCs w:val="24"/>
          </w:rPr>
          <w:t>https://www.statista.com/markets/424/topic/540/social–media–user–generated–content/</w:t>
        </w:r>
      </w:hyperlink>
      <w:r w:rsidRPr="00530906">
        <w:rPr>
          <w:rFonts w:ascii="Cambria" w:hAnsi="Cambria"/>
          <w:sz w:val="24"/>
          <w:szCs w:val="24"/>
        </w:rPr>
        <w:t>(Accessed 23</w:t>
      </w:r>
      <w:r w:rsidRPr="00530906">
        <w:rPr>
          <w:rFonts w:ascii="Cambria" w:hAnsi="Cambria"/>
          <w:sz w:val="24"/>
          <w:szCs w:val="24"/>
          <w:vertAlign w:val="superscript"/>
        </w:rPr>
        <w:t>rd</w:t>
      </w:r>
      <w:r w:rsidRPr="00530906">
        <w:rPr>
          <w:rFonts w:ascii="Cambria" w:hAnsi="Cambria"/>
          <w:sz w:val="24"/>
          <w:szCs w:val="24"/>
        </w:rPr>
        <w:t xml:space="preserve"> November 2017)</w:t>
      </w:r>
    </w:p>
    <w:p w14:paraId="21BD67DC" w14:textId="232E26F0" w:rsidR="00BA5EC7" w:rsidRPr="00530906" w:rsidRDefault="00BA5EC7">
      <w:pPr>
        <w:spacing w:line="360" w:lineRule="auto"/>
        <w:ind w:left="567" w:hanging="567"/>
        <w:jc w:val="both"/>
        <w:rPr>
          <w:rFonts w:ascii="Cambria" w:hAnsi="Cambria"/>
          <w:sz w:val="24"/>
          <w:szCs w:val="24"/>
        </w:rPr>
      </w:pPr>
      <w:r w:rsidRPr="00530906">
        <w:rPr>
          <w:rFonts w:ascii="Cambria" w:hAnsi="Cambria"/>
          <w:sz w:val="24"/>
          <w:szCs w:val="24"/>
        </w:rPr>
        <w:t>Statista (2020)</w:t>
      </w:r>
      <w:r w:rsidRPr="00530906">
        <w:rPr>
          <w:rFonts w:ascii="Cambria" w:hAnsi="Cambria"/>
          <w:sz w:val="24"/>
          <w:szCs w:val="24"/>
          <w:vertAlign w:val="superscript"/>
        </w:rPr>
        <w:t xml:space="preserve"> </w:t>
      </w:r>
      <w:r w:rsidRPr="00530906">
        <w:rPr>
          <w:rFonts w:ascii="Cambria" w:hAnsi="Cambria"/>
          <w:sz w:val="24"/>
          <w:szCs w:val="24"/>
        </w:rPr>
        <w:t>Distribution of worldwide social media users in 2020, by region</w:t>
      </w:r>
      <w:r w:rsidRPr="00530906">
        <w:rPr>
          <w:rFonts w:ascii="Cambria" w:hAnsi="Cambria"/>
          <w:sz w:val="24"/>
          <w:szCs w:val="24"/>
          <w:vertAlign w:val="superscript"/>
        </w:rPr>
        <w:t xml:space="preserve"> </w:t>
      </w:r>
      <w:hyperlink r:id="rId179" w:history="1">
        <w:r w:rsidRPr="00530906">
          <w:rPr>
            <w:rStyle w:val="Hyperlink"/>
            <w:rFonts w:ascii="Cambria" w:hAnsi="Cambria"/>
            <w:sz w:val="24"/>
            <w:szCs w:val="24"/>
          </w:rPr>
          <w:t>https://www.statista.com/statistics/295619/regional</w:t>
        </w:r>
        <w:r w:rsidR="004179CD" w:rsidRPr="00530906">
          <w:rPr>
            <w:rStyle w:val="Hyperlink"/>
            <w:rFonts w:ascii="Cambria" w:hAnsi="Cambria"/>
            <w:sz w:val="24"/>
            <w:szCs w:val="24"/>
          </w:rPr>
          <w:t>–</w:t>
        </w:r>
        <w:r w:rsidRPr="00530906">
          <w:rPr>
            <w:rStyle w:val="Hyperlink"/>
            <w:rFonts w:ascii="Cambria" w:hAnsi="Cambria"/>
            <w:sz w:val="24"/>
            <w:szCs w:val="24"/>
          </w:rPr>
          <w:t>distribution</w:t>
        </w:r>
        <w:r w:rsidR="004179CD" w:rsidRPr="00530906">
          <w:rPr>
            <w:rStyle w:val="Hyperlink"/>
            <w:rFonts w:ascii="Cambria" w:hAnsi="Cambria"/>
            <w:sz w:val="24"/>
            <w:szCs w:val="24"/>
          </w:rPr>
          <w:t>–</w:t>
        </w:r>
        <w:r w:rsidRPr="00530906">
          <w:rPr>
            <w:rStyle w:val="Hyperlink"/>
            <w:rFonts w:ascii="Cambria" w:hAnsi="Cambria"/>
            <w:sz w:val="24"/>
            <w:szCs w:val="24"/>
          </w:rPr>
          <w:t>of</w:t>
        </w:r>
        <w:r w:rsidR="004179CD" w:rsidRPr="00530906">
          <w:rPr>
            <w:rStyle w:val="Hyperlink"/>
            <w:rFonts w:ascii="Cambria" w:hAnsi="Cambria"/>
            <w:sz w:val="24"/>
            <w:szCs w:val="24"/>
          </w:rPr>
          <w:t>–</w:t>
        </w:r>
        <w:r w:rsidRPr="00530906">
          <w:rPr>
            <w:rStyle w:val="Hyperlink"/>
            <w:rFonts w:ascii="Cambria" w:hAnsi="Cambria"/>
            <w:sz w:val="24"/>
            <w:szCs w:val="24"/>
          </w:rPr>
          <w:t>social</w:t>
        </w:r>
        <w:r w:rsidR="004179CD" w:rsidRPr="00530906">
          <w:rPr>
            <w:rStyle w:val="Hyperlink"/>
            <w:rFonts w:ascii="Cambria" w:hAnsi="Cambria"/>
            <w:sz w:val="24"/>
            <w:szCs w:val="24"/>
          </w:rPr>
          <w:t>–</w:t>
        </w:r>
        <w:r w:rsidRPr="00530906">
          <w:rPr>
            <w:rStyle w:val="Hyperlink"/>
            <w:rFonts w:ascii="Cambria" w:hAnsi="Cambria"/>
            <w:sz w:val="24"/>
            <w:szCs w:val="24"/>
          </w:rPr>
          <w:t>media</w:t>
        </w:r>
        <w:r w:rsidR="004179CD" w:rsidRPr="00530906">
          <w:rPr>
            <w:rStyle w:val="Hyperlink"/>
            <w:rFonts w:ascii="Cambria" w:hAnsi="Cambria"/>
            <w:sz w:val="24"/>
            <w:szCs w:val="24"/>
          </w:rPr>
          <w:t>–</w:t>
        </w:r>
        <w:r w:rsidRPr="00530906">
          <w:rPr>
            <w:rStyle w:val="Hyperlink"/>
            <w:rFonts w:ascii="Cambria" w:hAnsi="Cambria"/>
            <w:sz w:val="24"/>
            <w:szCs w:val="24"/>
          </w:rPr>
          <w:t>users</w:t>
        </w:r>
        <w:r w:rsidR="004179CD" w:rsidRPr="00530906">
          <w:rPr>
            <w:rStyle w:val="Hyperlink"/>
            <w:rFonts w:ascii="Cambria" w:hAnsi="Cambria"/>
            <w:sz w:val="24"/>
            <w:szCs w:val="24"/>
          </w:rPr>
          <w:t>–</w:t>
        </w:r>
        <w:r w:rsidRPr="00530906">
          <w:rPr>
            <w:rStyle w:val="Hyperlink"/>
            <w:rFonts w:ascii="Cambria" w:hAnsi="Cambria"/>
            <w:sz w:val="24"/>
            <w:szCs w:val="24"/>
          </w:rPr>
          <w:t>worldwide/</w:t>
        </w:r>
      </w:hyperlink>
      <w:r w:rsidRPr="00530906">
        <w:rPr>
          <w:rFonts w:ascii="Cambria" w:hAnsi="Cambria"/>
          <w:sz w:val="24"/>
          <w:szCs w:val="24"/>
        </w:rPr>
        <w:t xml:space="preserve"> (Accessed 8</w:t>
      </w:r>
      <w:r w:rsidRPr="00530906">
        <w:rPr>
          <w:rFonts w:ascii="Cambria" w:hAnsi="Cambria"/>
          <w:sz w:val="24"/>
          <w:szCs w:val="24"/>
          <w:vertAlign w:val="superscript"/>
        </w:rPr>
        <w:t>th</w:t>
      </w:r>
      <w:r w:rsidRPr="00530906">
        <w:rPr>
          <w:rFonts w:ascii="Cambria" w:hAnsi="Cambria"/>
          <w:sz w:val="24"/>
          <w:szCs w:val="24"/>
        </w:rPr>
        <w:t xml:space="preserve"> May 2021)</w:t>
      </w:r>
    </w:p>
    <w:p w14:paraId="0E48A676" w14:textId="6140CEE3" w:rsidR="00B86544" w:rsidRPr="00530906" w:rsidRDefault="00B86544">
      <w:pPr>
        <w:spacing w:line="360" w:lineRule="auto"/>
        <w:ind w:left="567" w:hanging="567"/>
        <w:jc w:val="both"/>
        <w:rPr>
          <w:rFonts w:ascii="Cambria" w:hAnsi="Cambria"/>
          <w:sz w:val="24"/>
          <w:szCs w:val="24"/>
        </w:rPr>
      </w:pPr>
      <w:r w:rsidRPr="00530906">
        <w:rPr>
          <w:rFonts w:ascii="Cambria" w:hAnsi="Cambria"/>
          <w:sz w:val="24"/>
          <w:szCs w:val="24"/>
        </w:rPr>
        <w:t>Statista (2021)</w:t>
      </w:r>
      <w:r w:rsidRPr="00530906">
        <w:rPr>
          <w:rFonts w:ascii="Cambria" w:hAnsi="Cambria"/>
          <w:sz w:val="24"/>
          <w:szCs w:val="24"/>
          <w:vertAlign w:val="superscript"/>
        </w:rPr>
        <w:t>1</w:t>
      </w:r>
      <w:r w:rsidRPr="00530906">
        <w:rPr>
          <w:rFonts w:ascii="Cambria" w:hAnsi="Cambria"/>
          <w:sz w:val="24"/>
          <w:szCs w:val="24"/>
        </w:rPr>
        <w:t xml:space="preserve"> Daily time spent on social networking by internet users worldwide from 2012 to 2017 (in minutes). Available from:  https: https://www.statista.com/statistics/433871/daily</w:t>
      </w:r>
      <w:r w:rsidR="004179CD" w:rsidRPr="00530906">
        <w:rPr>
          <w:rFonts w:ascii="Cambria" w:hAnsi="Cambria"/>
          <w:sz w:val="24"/>
          <w:szCs w:val="24"/>
        </w:rPr>
        <w:t>–</w:t>
      </w:r>
      <w:r w:rsidRPr="00530906">
        <w:rPr>
          <w:rFonts w:ascii="Cambria" w:hAnsi="Cambria"/>
          <w:sz w:val="24"/>
          <w:szCs w:val="24"/>
        </w:rPr>
        <w:t>social</w:t>
      </w:r>
      <w:r w:rsidR="004179CD" w:rsidRPr="00530906">
        <w:rPr>
          <w:rFonts w:ascii="Cambria" w:hAnsi="Cambria"/>
          <w:sz w:val="24"/>
          <w:szCs w:val="24"/>
        </w:rPr>
        <w:t>–</w:t>
      </w:r>
      <w:r w:rsidRPr="00530906">
        <w:rPr>
          <w:rFonts w:ascii="Cambria" w:hAnsi="Cambria"/>
          <w:sz w:val="24"/>
          <w:szCs w:val="24"/>
        </w:rPr>
        <w:t>media</w:t>
      </w:r>
      <w:r w:rsidR="004179CD" w:rsidRPr="00530906">
        <w:rPr>
          <w:rFonts w:ascii="Cambria" w:hAnsi="Cambria"/>
          <w:sz w:val="24"/>
          <w:szCs w:val="24"/>
        </w:rPr>
        <w:t>–</w:t>
      </w:r>
      <w:r w:rsidRPr="00530906">
        <w:rPr>
          <w:rFonts w:ascii="Cambria" w:hAnsi="Cambria"/>
          <w:sz w:val="24"/>
          <w:szCs w:val="24"/>
        </w:rPr>
        <w:t>usage</w:t>
      </w:r>
      <w:r w:rsidR="004179CD" w:rsidRPr="00530906">
        <w:rPr>
          <w:rFonts w:ascii="Cambria" w:hAnsi="Cambria"/>
          <w:sz w:val="24"/>
          <w:szCs w:val="24"/>
        </w:rPr>
        <w:t>–</w:t>
      </w:r>
      <w:r w:rsidRPr="00530906">
        <w:rPr>
          <w:rFonts w:ascii="Cambria" w:hAnsi="Cambria"/>
          <w:sz w:val="24"/>
          <w:szCs w:val="24"/>
        </w:rPr>
        <w:t>worldwide/   (Accessed 30</w:t>
      </w:r>
      <w:r w:rsidRPr="00530906">
        <w:rPr>
          <w:rFonts w:ascii="Cambria" w:hAnsi="Cambria"/>
          <w:sz w:val="24"/>
          <w:szCs w:val="24"/>
          <w:vertAlign w:val="superscript"/>
        </w:rPr>
        <w:t>th</w:t>
      </w:r>
      <w:r w:rsidRPr="00530906">
        <w:rPr>
          <w:rFonts w:ascii="Cambria" w:hAnsi="Cambria"/>
          <w:sz w:val="24"/>
          <w:szCs w:val="24"/>
        </w:rPr>
        <w:t xml:space="preserve"> April 2021)</w:t>
      </w:r>
    </w:p>
    <w:p w14:paraId="1426A3E8" w14:textId="5BBB6B30" w:rsidR="00B86544" w:rsidRPr="00530906" w:rsidRDefault="00B86544">
      <w:pPr>
        <w:spacing w:line="360" w:lineRule="auto"/>
        <w:ind w:left="567" w:hanging="567"/>
        <w:jc w:val="both"/>
        <w:rPr>
          <w:rFonts w:ascii="Cambria" w:hAnsi="Cambria"/>
          <w:sz w:val="24"/>
          <w:szCs w:val="24"/>
        </w:rPr>
      </w:pPr>
      <w:r w:rsidRPr="00530906">
        <w:rPr>
          <w:rFonts w:ascii="Cambria" w:hAnsi="Cambria"/>
          <w:sz w:val="24"/>
          <w:szCs w:val="24"/>
        </w:rPr>
        <w:t>Statista (2021)</w:t>
      </w:r>
      <w:r w:rsidRPr="00530906">
        <w:rPr>
          <w:rFonts w:ascii="Cambria" w:hAnsi="Cambria"/>
          <w:sz w:val="24"/>
          <w:szCs w:val="24"/>
          <w:vertAlign w:val="superscript"/>
        </w:rPr>
        <w:t>2</w:t>
      </w:r>
      <w:r w:rsidRPr="00530906">
        <w:rPr>
          <w:rFonts w:ascii="Cambria" w:hAnsi="Cambria"/>
          <w:sz w:val="24"/>
          <w:szCs w:val="24"/>
        </w:rPr>
        <w:t xml:space="preserve"> Daily time spent watching TV worldwide from 2011 to 2021(in minutes). Available from:  </w:t>
      </w:r>
      <w:hyperlink r:id="rId180" w:anchor=":~:text=According%20to%20ZenithOptimedia%2C%20TV%20viewers,from%20170%20minutes%20in%202017" w:history="1">
        <w:r w:rsidRPr="00530906">
          <w:rPr>
            <w:rStyle w:val="Hyperlink"/>
            <w:rFonts w:ascii="Cambria" w:hAnsi="Cambria"/>
            <w:sz w:val="24"/>
            <w:szCs w:val="24"/>
          </w:rPr>
          <w:t>https://www.statista.com/statistics/730428/tv</w:t>
        </w:r>
        <w:r w:rsidR="004179CD" w:rsidRPr="00530906">
          <w:rPr>
            <w:rStyle w:val="Hyperlink"/>
            <w:rFonts w:ascii="Cambria" w:hAnsi="Cambria"/>
            <w:sz w:val="24"/>
            <w:szCs w:val="24"/>
          </w:rPr>
          <w:t>–</w:t>
        </w:r>
        <w:r w:rsidRPr="00530906">
          <w:rPr>
            <w:rStyle w:val="Hyperlink"/>
            <w:rFonts w:ascii="Cambria" w:hAnsi="Cambria"/>
            <w:sz w:val="24"/>
            <w:szCs w:val="24"/>
          </w:rPr>
          <w:t>time</w:t>
        </w:r>
        <w:r w:rsidR="004179CD" w:rsidRPr="00530906">
          <w:rPr>
            <w:rStyle w:val="Hyperlink"/>
            <w:rFonts w:ascii="Cambria" w:hAnsi="Cambria"/>
            <w:sz w:val="24"/>
            <w:szCs w:val="24"/>
          </w:rPr>
          <w:t>–</w:t>
        </w:r>
        <w:r w:rsidRPr="00530906">
          <w:rPr>
            <w:rStyle w:val="Hyperlink"/>
            <w:rFonts w:ascii="Cambria" w:hAnsi="Cambria"/>
            <w:sz w:val="24"/>
            <w:szCs w:val="24"/>
          </w:rPr>
          <w:t>spent</w:t>
        </w:r>
        <w:r w:rsidR="004179CD" w:rsidRPr="00530906">
          <w:rPr>
            <w:rStyle w:val="Hyperlink"/>
            <w:rFonts w:ascii="Cambria" w:hAnsi="Cambria"/>
            <w:sz w:val="24"/>
            <w:szCs w:val="24"/>
          </w:rPr>
          <w:t>–</w:t>
        </w:r>
        <w:r w:rsidRPr="00530906">
          <w:rPr>
            <w:rStyle w:val="Hyperlink"/>
            <w:rFonts w:ascii="Cambria" w:hAnsi="Cambria"/>
            <w:sz w:val="24"/>
            <w:szCs w:val="24"/>
          </w:rPr>
          <w:t>worldwide/#:~:text=According%20to%20ZenithOptimedia%2C%20TV%20viewers,from%20170%20minutes%20in%202017</w:t>
        </w:r>
      </w:hyperlink>
      <w:r w:rsidRPr="00530906">
        <w:rPr>
          <w:rFonts w:ascii="Cambria" w:hAnsi="Cambria"/>
          <w:sz w:val="24"/>
          <w:szCs w:val="24"/>
        </w:rPr>
        <w:t>. (Accessed 30</w:t>
      </w:r>
      <w:r w:rsidRPr="00530906">
        <w:rPr>
          <w:rFonts w:ascii="Cambria" w:hAnsi="Cambria"/>
          <w:sz w:val="24"/>
          <w:szCs w:val="24"/>
          <w:vertAlign w:val="superscript"/>
        </w:rPr>
        <w:t>th</w:t>
      </w:r>
      <w:r w:rsidRPr="00530906">
        <w:rPr>
          <w:rFonts w:ascii="Cambria" w:hAnsi="Cambria"/>
          <w:sz w:val="24"/>
          <w:szCs w:val="24"/>
        </w:rPr>
        <w:t xml:space="preserve"> April 2021).</w:t>
      </w:r>
    </w:p>
    <w:p w14:paraId="11371B89" w14:textId="32B22393" w:rsidR="00E86DBB" w:rsidRPr="00530906" w:rsidRDefault="00E86DBB">
      <w:pPr>
        <w:spacing w:line="360" w:lineRule="auto"/>
        <w:ind w:left="567" w:hanging="567"/>
        <w:jc w:val="both"/>
        <w:rPr>
          <w:rFonts w:ascii="Cambria" w:hAnsi="Cambria"/>
          <w:sz w:val="24"/>
          <w:szCs w:val="24"/>
        </w:rPr>
      </w:pPr>
      <w:r w:rsidRPr="00530906">
        <w:rPr>
          <w:rFonts w:ascii="Cambria" w:hAnsi="Cambria"/>
          <w:sz w:val="24"/>
          <w:szCs w:val="24"/>
        </w:rPr>
        <w:t>Statista (2021)</w:t>
      </w:r>
      <w:r w:rsidRPr="00530906">
        <w:rPr>
          <w:rFonts w:ascii="Cambria" w:hAnsi="Cambria"/>
          <w:sz w:val="24"/>
          <w:szCs w:val="24"/>
          <w:vertAlign w:val="superscript"/>
        </w:rPr>
        <w:t>3</w:t>
      </w:r>
      <w:r w:rsidRPr="00530906">
        <w:rPr>
          <w:rFonts w:ascii="Cambria" w:hAnsi="Cambria"/>
          <w:bCs/>
          <w:sz w:val="24"/>
          <w:szCs w:val="24"/>
        </w:rPr>
        <w:t xml:space="preserve">Most popular social networks worldwide as of April 2020, ranked by number of active users </w:t>
      </w:r>
      <w:r w:rsidRPr="00530906">
        <w:rPr>
          <w:rFonts w:ascii="Cambria" w:hAnsi="Cambria"/>
          <w:i/>
          <w:iCs/>
          <w:sz w:val="24"/>
          <w:szCs w:val="24"/>
        </w:rPr>
        <w:t>(in millions)</w:t>
      </w:r>
      <w:r w:rsidRPr="00530906">
        <w:rPr>
          <w:rFonts w:ascii="Cambria" w:hAnsi="Cambria"/>
          <w:sz w:val="24"/>
          <w:szCs w:val="24"/>
        </w:rPr>
        <w:t xml:space="preserve"> Available from:  </w:t>
      </w:r>
      <w:hyperlink r:id="rId181" w:history="1">
        <w:r w:rsidRPr="00530906">
          <w:rPr>
            <w:rStyle w:val="Hyperlink"/>
            <w:rFonts w:ascii="Cambria" w:hAnsi="Cambria"/>
            <w:sz w:val="24"/>
            <w:szCs w:val="24"/>
          </w:rPr>
          <w:t>https://www.statista.com/statistics/272014/global</w:t>
        </w:r>
        <w:r w:rsidR="004179CD" w:rsidRPr="00530906">
          <w:rPr>
            <w:rStyle w:val="Hyperlink"/>
            <w:rFonts w:ascii="Cambria" w:hAnsi="Cambria"/>
            <w:sz w:val="24"/>
            <w:szCs w:val="24"/>
          </w:rPr>
          <w:t>–</w:t>
        </w:r>
        <w:r w:rsidRPr="00530906">
          <w:rPr>
            <w:rStyle w:val="Hyperlink"/>
            <w:rFonts w:ascii="Cambria" w:hAnsi="Cambria"/>
            <w:sz w:val="24"/>
            <w:szCs w:val="24"/>
          </w:rPr>
          <w:t>social</w:t>
        </w:r>
        <w:r w:rsidR="004179CD" w:rsidRPr="00530906">
          <w:rPr>
            <w:rStyle w:val="Hyperlink"/>
            <w:rFonts w:ascii="Cambria" w:hAnsi="Cambria"/>
            <w:sz w:val="24"/>
            <w:szCs w:val="24"/>
          </w:rPr>
          <w:t>–</w:t>
        </w:r>
        <w:r w:rsidRPr="00530906">
          <w:rPr>
            <w:rStyle w:val="Hyperlink"/>
            <w:rFonts w:ascii="Cambria" w:hAnsi="Cambria"/>
            <w:sz w:val="24"/>
            <w:szCs w:val="24"/>
          </w:rPr>
          <w:t>networks</w:t>
        </w:r>
        <w:r w:rsidR="004179CD" w:rsidRPr="00530906">
          <w:rPr>
            <w:rStyle w:val="Hyperlink"/>
            <w:rFonts w:ascii="Cambria" w:hAnsi="Cambria"/>
            <w:sz w:val="24"/>
            <w:szCs w:val="24"/>
          </w:rPr>
          <w:t>–</w:t>
        </w:r>
        <w:r w:rsidRPr="00530906">
          <w:rPr>
            <w:rStyle w:val="Hyperlink"/>
            <w:rFonts w:ascii="Cambria" w:hAnsi="Cambria"/>
            <w:sz w:val="24"/>
            <w:szCs w:val="24"/>
          </w:rPr>
          <w:t>ranked</w:t>
        </w:r>
        <w:r w:rsidR="004179CD" w:rsidRPr="00530906">
          <w:rPr>
            <w:rStyle w:val="Hyperlink"/>
            <w:rFonts w:ascii="Cambria" w:hAnsi="Cambria"/>
            <w:sz w:val="24"/>
            <w:szCs w:val="24"/>
          </w:rPr>
          <w:t>–</w:t>
        </w:r>
        <w:r w:rsidRPr="00530906">
          <w:rPr>
            <w:rStyle w:val="Hyperlink"/>
            <w:rFonts w:ascii="Cambria" w:hAnsi="Cambria"/>
            <w:sz w:val="24"/>
            <w:szCs w:val="24"/>
          </w:rPr>
          <w:t>by</w:t>
        </w:r>
        <w:r w:rsidR="004179CD" w:rsidRPr="00530906">
          <w:rPr>
            <w:rStyle w:val="Hyperlink"/>
            <w:rFonts w:ascii="Cambria" w:hAnsi="Cambria"/>
            <w:sz w:val="24"/>
            <w:szCs w:val="24"/>
          </w:rPr>
          <w:t>–</w:t>
        </w:r>
        <w:r w:rsidRPr="00530906">
          <w:rPr>
            <w:rStyle w:val="Hyperlink"/>
            <w:rFonts w:ascii="Cambria" w:hAnsi="Cambria"/>
            <w:sz w:val="24"/>
            <w:szCs w:val="24"/>
          </w:rPr>
          <w:t>number</w:t>
        </w:r>
        <w:r w:rsidR="004179CD" w:rsidRPr="00530906">
          <w:rPr>
            <w:rStyle w:val="Hyperlink"/>
            <w:rFonts w:ascii="Cambria" w:hAnsi="Cambria"/>
            <w:sz w:val="24"/>
            <w:szCs w:val="24"/>
          </w:rPr>
          <w:t>–</w:t>
        </w:r>
        <w:r w:rsidRPr="00530906">
          <w:rPr>
            <w:rStyle w:val="Hyperlink"/>
            <w:rFonts w:ascii="Cambria" w:hAnsi="Cambria"/>
            <w:sz w:val="24"/>
            <w:szCs w:val="24"/>
          </w:rPr>
          <w:t>of</w:t>
        </w:r>
        <w:r w:rsidR="004179CD" w:rsidRPr="00530906">
          <w:rPr>
            <w:rStyle w:val="Hyperlink"/>
            <w:rFonts w:ascii="Cambria" w:hAnsi="Cambria"/>
            <w:sz w:val="24"/>
            <w:szCs w:val="24"/>
          </w:rPr>
          <w:t>–</w:t>
        </w:r>
        <w:r w:rsidRPr="00530906">
          <w:rPr>
            <w:rStyle w:val="Hyperlink"/>
            <w:rFonts w:ascii="Cambria" w:hAnsi="Cambria"/>
            <w:sz w:val="24"/>
            <w:szCs w:val="24"/>
          </w:rPr>
          <w:t>users/</w:t>
        </w:r>
      </w:hyperlink>
      <w:r w:rsidRPr="00530906">
        <w:rPr>
          <w:rFonts w:ascii="Cambria" w:hAnsi="Cambria"/>
          <w:sz w:val="24"/>
          <w:szCs w:val="24"/>
        </w:rPr>
        <w:t xml:space="preserve">  (Accessed 8</w:t>
      </w:r>
      <w:r w:rsidRPr="00530906">
        <w:rPr>
          <w:rFonts w:ascii="Cambria" w:hAnsi="Cambria"/>
          <w:sz w:val="24"/>
          <w:szCs w:val="24"/>
          <w:vertAlign w:val="superscript"/>
        </w:rPr>
        <w:t>th</w:t>
      </w:r>
      <w:r w:rsidRPr="00530906">
        <w:rPr>
          <w:rFonts w:ascii="Cambria" w:hAnsi="Cambria"/>
          <w:sz w:val="24"/>
          <w:szCs w:val="24"/>
        </w:rPr>
        <w:t xml:space="preserve"> May 2021)</w:t>
      </w:r>
    </w:p>
    <w:p w14:paraId="29BD7681" w14:textId="04361562" w:rsidR="00FA4DC4" w:rsidRPr="00530906" w:rsidRDefault="00FA4DC4">
      <w:pPr>
        <w:spacing w:line="360" w:lineRule="auto"/>
        <w:ind w:left="567" w:hanging="567"/>
        <w:jc w:val="both"/>
        <w:rPr>
          <w:rFonts w:ascii="Cambria" w:hAnsi="Cambria"/>
          <w:sz w:val="24"/>
          <w:szCs w:val="24"/>
        </w:rPr>
      </w:pPr>
      <w:bookmarkStart w:id="176" w:name="_Hlk56275240"/>
      <w:r w:rsidRPr="00530906">
        <w:rPr>
          <w:rFonts w:ascii="Cambria" w:hAnsi="Cambria"/>
          <w:sz w:val="24"/>
          <w:szCs w:val="24"/>
        </w:rPr>
        <w:t>Statista (2021)</w:t>
      </w:r>
      <w:bookmarkEnd w:id="176"/>
      <w:r w:rsidRPr="00530906">
        <w:rPr>
          <w:rFonts w:ascii="Cambria" w:hAnsi="Cambria"/>
          <w:sz w:val="24"/>
          <w:szCs w:val="24"/>
          <w:vertAlign w:val="superscript"/>
        </w:rPr>
        <w:t xml:space="preserve">4 </w:t>
      </w:r>
      <w:r w:rsidRPr="00530906">
        <w:rPr>
          <w:rFonts w:ascii="Cambria" w:hAnsi="Cambria"/>
          <w:bCs/>
          <w:sz w:val="24"/>
          <w:szCs w:val="24"/>
        </w:rPr>
        <w:t xml:space="preserve">Distribution of Facebook users worldwide as of April 2020, by age and gender </w:t>
      </w:r>
      <w:r w:rsidRPr="00530906">
        <w:rPr>
          <w:rFonts w:ascii="Cambria" w:hAnsi="Cambria"/>
          <w:b/>
          <w:bCs/>
          <w:sz w:val="24"/>
          <w:szCs w:val="24"/>
        </w:rPr>
        <w:t xml:space="preserve">. </w:t>
      </w:r>
      <w:r w:rsidRPr="00530906">
        <w:rPr>
          <w:rFonts w:ascii="Cambria" w:hAnsi="Cambria"/>
          <w:sz w:val="24"/>
          <w:szCs w:val="24"/>
        </w:rPr>
        <w:t>Available from:  https://www.statista.com/statistics/376128/facebook</w:t>
      </w:r>
      <w:r w:rsidR="004179CD" w:rsidRPr="00530906">
        <w:rPr>
          <w:rFonts w:ascii="Cambria" w:hAnsi="Cambria"/>
          <w:sz w:val="24"/>
          <w:szCs w:val="24"/>
        </w:rPr>
        <w:t>–</w:t>
      </w:r>
      <w:r w:rsidRPr="00530906">
        <w:rPr>
          <w:rFonts w:ascii="Cambria" w:hAnsi="Cambria"/>
          <w:sz w:val="24"/>
          <w:szCs w:val="24"/>
        </w:rPr>
        <w:t>global</w:t>
      </w:r>
      <w:r w:rsidR="004179CD" w:rsidRPr="00530906">
        <w:rPr>
          <w:rFonts w:ascii="Cambria" w:hAnsi="Cambria"/>
          <w:sz w:val="24"/>
          <w:szCs w:val="24"/>
        </w:rPr>
        <w:t>–</w:t>
      </w:r>
      <w:r w:rsidRPr="00530906">
        <w:rPr>
          <w:rFonts w:ascii="Cambria" w:hAnsi="Cambria"/>
          <w:sz w:val="24"/>
          <w:szCs w:val="24"/>
        </w:rPr>
        <w:t>user</w:t>
      </w:r>
      <w:r w:rsidR="004179CD" w:rsidRPr="00530906">
        <w:rPr>
          <w:rFonts w:ascii="Cambria" w:hAnsi="Cambria"/>
          <w:sz w:val="24"/>
          <w:szCs w:val="24"/>
        </w:rPr>
        <w:t>–</w:t>
      </w:r>
      <w:r w:rsidRPr="00530906">
        <w:rPr>
          <w:rFonts w:ascii="Cambria" w:hAnsi="Cambria"/>
          <w:sz w:val="24"/>
          <w:szCs w:val="24"/>
        </w:rPr>
        <w:t>age</w:t>
      </w:r>
      <w:r w:rsidR="004179CD" w:rsidRPr="00530906">
        <w:rPr>
          <w:rFonts w:ascii="Cambria" w:hAnsi="Cambria"/>
          <w:sz w:val="24"/>
          <w:szCs w:val="24"/>
        </w:rPr>
        <w:t>–</w:t>
      </w:r>
      <w:r w:rsidRPr="00530906">
        <w:rPr>
          <w:rFonts w:ascii="Cambria" w:hAnsi="Cambria"/>
          <w:sz w:val="24"/>
          <w:szCs w:val="24"/>
        </w:rPr>
        <w:t>distribution/ (Accessed 28</w:t>
      </w:r>
      <w:r w:rsidRPr="00530906">
        <w:rPr>
          <w:rFonts w:ascii="Cambria" w:hAnsi="Cambria"/>
          <w:sz w:val="24"/>
          <w:szCs w:val="24"/>
          <w:vertAlign w:val="superscript"/>
        </w:rPr>
        <w:t>rd</w:t>
      </w:r>
      <w:r w:rsidRPr="00530906">
        <w:rPr>
          <w:rFonts w:ascii="Cambria" w:hAnsi="Cambria"/>
          <w:sz w:val="24"/>
          <w:szCs w:val="24"/>
        </w:rPr>
        <w:t xml:space="preserve"> Ma</w:t>
      </w:r>
      <w:r w:rsidR="00D0600D" w:rsidRPr="00530906">
        <w:rPr>
          <w:rFonts w:ascii="Cambria" w:hAnsi="Cambria"/>
          <w:sz w:val="24"/>
          <w:szCs w:val="24"/>
        </w:rPr>
        <w:t>y</w:t>
      </w:r>
      <w:r w:rsidRPr="00530906">
        <w:rPr>
          <w:rFonts w:ascii="Cambria" w:hAnsi="Cambria"/>
          <w:sz w:val="24"/>
          <w:szCs w:val="24"/>
        </w:rPr>
        <w:t xml:space="preserve"> 202</w:t>
      </w:r>
      <w:r w:rsidR="00D0600D" w:rsidRPr="00530906">
        <w:rPr>
          <w:rFonts w:ascii="Cambria" w:hAnsi="Cambria"/>
          <w:sz w:val="24"/>
          <w:szCs w:val="24"/>
        </w:rPr>
        <w:t>1</w:t>
      </w:r>
      <w:r w:rsidRPr="00530906">
        <w:rPr>
          <w:rFonts w:ascii="Cambria" w:hAnsi="Cambria"/>
          <w:sz w:val="24"/>
          <w:szCs w:val="24"/>
        </w:rPr>
        <w:t>)</w:t>
      </w:r>
    </w:p>
    <w:p w14:paraId="19878336" w14:textId="62E2C7AE" w:rsidR="00D0600D" w:rsidRPr="00530906" w:rsidRDefault="00644785">
      <w:pPr>
        <w:spacing w:line="360" w:lineRule="auto"/>
        <w:ind w:left="567" w:hanging="567"/>
        <w:jc w:val="both"/>
        <w:rPr>
          <w:rFonts w:ascii="Cambria" w:hAnsi="Cambria"/>
          <w:sz w:val="24"/>
          <w:szCs w:val="24"/>
        </w:rPr>
      </w:pPr>
      <w:r w:rsidRPr="00530906">
        <w:rPr>
          <w:rFonts w:ascii="Cambria" w:hAnsi="Cambria"/>
          <w:sz w:val="24"/>
          <w:szCs w:val="24"/>
        </w:rPr>
        <w:t>Statista (2021)</w:t>
      </w:r>
      <w:r w:rsidRPr="00530906">
        <w:rPr>
          <w:rFonts w:ascii="Cambria" w:hAnsi="Cambria"/>
          <w:sz w:val="24"/>
          <w:szCs w:val="24"/>
          <w:vertAlign w:val="superscript"/>
        </w:rPr>
        <w:t xml:space="preserve">5 </w:t>
      </w:r>
      <w:r w:rsidRPr="00530906">
        <w:rPr>
          <w:rFonts w:ascii="Cambria" w:hAnsi="Cambria"/>
          <w:sz w:val="24"/>
          <w:szCs w:val="24"/>
        </w:rPr>
        <w:t xml:space="preserve">Worldwide sales of organic food from 1999 to 2019. Available from:  </w:t>
      </w:r>
      <w:hyperlink r:id="rId182" w:history="1">
        <w:r w:rsidR="00D0600D" w:rsidRPr="00530906">
          <w:rPr>
            <w:rStyle w:val="Hyperlink"/>
            <w:rFonts w:ascii="Cambria" w:hAnsi="Cambria"/>
            <w:sz w:val="24"/>
            <w:szCs w:val="24"/>
          </w:rPr>
          <w:t>https://www.statista.com/statistics/273090/worldwide-sales-of-organic-foods-since-1999/</w:t>
        </w:r>
      </w:hyperlink>
      <w:r w:rsidR="00D0600D" w:rsidRPr="00530906">
        <w:rPr>
          <w:rFonts w:ascii="Cambria" w:hAnsi="Cambria"/>
          <w:sz w:val="24"/>
          <w:szCs w:val="24"/>
        </w:rPr>
        <w:t xml:space="preserve"> (Accessed 29</w:t>
      </w:r>
      <w:r w:rsidR="00D0600D" w:rsidRPr="00530906">
        <w:rPr>
          <w:rFonts w:ascii="Cambria" w:hAnsi="Cambria"/>
          <w:sz w:val="24"/>
          <w:szCs w:val="24"/>
          <w:vertAlign w:val="superscript"/>
        </w:rPr>
        <w:t>th</w:t>
      </w:r>
      <w:r w:rsidR="00D0600D" w:rsidRPr="00530906">
        <w:rPr>
          <w:rFonts w:ascii="Cambria" w:hAnsi="Cambria"/>
          <w:sz w:val="24"/>
          <w:szCs w:val="24"/>
        </w:rPr>
        <w:t xml:space="preserve"> May 2021)</w:t>
      </w:r>
    </w:p>
    <w:p w14:paraId="311350A1" w14:textId="06FCE438" w:rsidR="00492641" w:rsidRPr="00530906" w:rsidRDefault="00492641">
      <w:pPr>
        <w:spacing w:line="360" w:lineRule="auto"/>
        <w:ind w:left="567" w:hanging="567"/>
        <w:jc w:val="both"/>
        <w:rPr>
          <w:rFonts w:ascii="Cambria" w:hAnsi="Cambria"/>
          <w:sz w:val="24"/>
          <w:szCs w:val="24"/>
        </w:rPr>
      </w:pPr>
      <w:r w:rsidRPr="00530906">
        <w:rPr>
          <w:rFonts w:ascii="Cambria" w:hAnsi="Cambria"/>
          <w:sz w:val="24"/>
          <w:szCs w:val="24"/>
        </w:rPr>
        <w:t>Statista (2021)</w:t>
      </w:r>
      <w:r w:rsidRPr="00530906">
        <w:rPr>
          <w:rFonts w:ascii="Cambria" w:hAnsi="Cambria"/>
          <w:sz w:val="24"/>
          <w:szCs w:val="24"/>
          <w:vertAlign w:val="superscript"/>
        </w:rPr>
        <w:t xml:space="preserve">6 </w:t>
      </w:r>
      <w:r w:rsidRPr="00530906">
        <w:rPr>
          <w:rFonts w:ascii="Cambria" w:hAnsi="Cambria"/>
          <w:sz w:val="24"/>
          <w:szCs w:val="24"/>
        </w:rPr>
        <w:t xml:space="preserve">Environmentally friendly brand attributes that are important to consumers worldwide in 2020. Available from:  </w:t>
      </w:r>
      <w:hyperlink r:id="rId183" w:history="1">
        <w:r w:rsidRPr="00530906">
          <w:rPr>
            <w:rStyle w:val="Hyperlink"/>
            <w:rFonts w:ascii="Cambria" w:hAnsi="Cambria"/>
            <w:sz w:val="24"/>
            <w:szCs w:val="24"/>
          </w:rPr>
          <w:t>https://www.statista.com/statistics/1234119/consumer-interest-in-sustainable-environmental-brands/</w:t>
        </w:r>
      </w:hyperlink>
      <w:r w:rsidRPr="00530906">
        <w:rPr>
          <w:rFonts w:ascii="Cambria" w:hAnsi="Cambria"/>
          <w:sz w:val="24"/>
          <w:szCs w:val="24"/>
        </w:rPr>
        <w:t xml:space="preserve"> (Accessed 4</w:t>
      </w:r>
      <w:r w:rsidRPr="00530906">
        <w:rPr>
          <w:rFonts w:ascii="Cambria" w:hAnsi="Cambria"/>
          <w:sz w:val="24"/>
          <w:szCs w:val="24"/>
          <w:vertAlign w:val="superscript"/>
        </w:rPr>
        <w:t>th</w:t>
      </w:r>
      <w:r w:rsidRPr="00530906">
        <w:rPr>
          <w:rFonts w:ascii="Cambria" w:hAnsi="Cambria"/>
          <w:sz w:val="24"/>
          <w:szCs w:val="24"/>
        </w:rPr>
        <w:t xml:space="preserve"> June 2021)</w:t>
      </w:r>
    </w:p>
    <w:p w14:paraId="74E2703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Steenhaut, S., &amp; Van Kenhove, P. (2006). The mediating role of anticipated guilt in consumers’ ethical decision–making. </w:t>
      </w:r>
      <w:r w:rsidRPr="00530906">
        <w:rPr>
          <w:rFonts w:ascii="Cambria" w:hAnsi="Cambria" w:cs="Arial"/>
          <w:i/>
          <w:iCs/>
          <w:sz w:val="24"/>
          <w:szCs w:val="24"/>
          <w:shd w:val="clear" w:color="auto" w:fill="FFFFFF"/>
        </w:rPr>
        <w:t>Journal of business ethics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69</w:t>
      </w:r>
      <w:r w:rsidRPr="00530906">
        <w:rPr>
          <w:rFonts w:ascii="Cambria" w:hAnsi="Cambria" w:cs="Arial"/>
          <w:sz w:val="24"/>
          <w:szCs w:val="24"/>
          <w:shd w:val="clear" w:color="auto" w:fill="FFFFFF"/>
        </w:rPr>
        <w:t xml:space="preserve">(3), 269–288. Doi: </w:t>
      </w:r>
      <w:hyperlink r:id="rId184" w:history="1">
        <w:r w:rsidRPr="00530906">
          <w:rPr>
            <w:rStyle w:val="Hyperlink"/>
            <w:rFonts w:ascii="Cambria" w:hAnsi="Cambria" w:cs="Segoe UI"/>
            <w:color w:val="auto"/>
            <w:sz w:val="24"/>
            <w:szCs w:val="24"/>
            <w:shd w:val="clear" w:color="auto" w:fill="FCFCFC"/>
          </w:rPr>
          <w:t>10.1007/s10551–006–9090–9</w:t>
        </w:r>
      </w:hyperlink>
    </w:p>
    <w:p w14:paraId="2DF7B76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Stern, P. C. (2000) “Toward a Coherent Theory of Environmentally Significant Behavior”, Journal of Social Issues, 56 (3), pp. 407–424. doi:10.1111/0022–4537.00175</w:t>
      </w:r>
    </w:p>
    <w:p w14:paraId="13441149" w14:textId="77777777" w:rsidR="007E4999" w:rsidRPr="00530906" w:rsidRDefault="007E4999">
      <w:pPr>
        <w:spacing w:line="360" w:lineRule="auto"/>
        <w:ind w:left="567" w:hanging="567"/>
        <w:jc w:val="both"/>
        <w:rPr>
          <w:rStyle w:val="Hyperlink"/>
          <w:rFonts w:ascii="Cambria" w:hAnsi="Cambria" w:cs="Arial"/>
          <w:color w:val="auto"/>
          <w:sz w:val="24"/>
          <w:szCs w:val="24"/>
          <w:bdr w:val="none" w:sz="0" w:space="0" w:color="auto" w:frame="1"/>
          <w:shd w:val="clear" w:color="auto" w:fill="FFFFFF"/>
        </w:rPr>
      </w:pPr>
      <w:r w:rsidRPr="00530906">
        <w:rPr>
          <w:rFonts w:ascii="Cambria" w:hAnsi="Cambria" w:cs="Arial"/>
          <w:sz w:val="24"/>
          <w:szCs w:val="24"/>
          <w:shd w:val="clear" w:color="auto" w:fill="FFFFFF"/>
        </w:rPr>
        <w:t>Sternthal, B., Dholakia, R., &amp; Leavitt, C. (1978). The persuasive effect of source credibility: Tests of cognitive response. </w:t>
      </w:r>
      <w:r w:rsidRPr="00530906">
        <w:rPr>
          <w:rFonts w:ascii="Cambria" w:hAnsi="Cambria" w:cs="Arial"/>
          <w:i/>
          <w:iCs/>
          <w:sz w:val="24"/>
          <w:szCs w:val="24"/>
          <w:shd w:val="clear" w:color="auto" w:fill="FFFFFF"/>
        </w:rPr>
        <w:t>Journal of Consumer research</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4</w:t>
      </w:r>
      <w:r w:rsidRPr="00530906">
        <w:rPr>
          <w:rFonts w:ascii="Cambria" w:hAnsi="Cambria" w:cs="Arial"/>
          <w:sz w:val="24"/>
          <w:szCs w:val="24"/>
          <w:shd w:val="clear" w:color="auto" w:fill="FFFFFF"/>
        </w:rPr>
        <w:t xml:space="preserve">(4), 252–260.  Doi: </w:t>
      </w:r>
      <w:hyperlink r:id="rId185" w:history="1">
        <w:r w:rsidRPr="00530906">
          <w:rPr>
            <w:rStyle w:val="Hyperlink"/>
            <w:rFonts w:ascii="Cambria" w:hAnsi="Cambria" w:cs="Arial"/>
            <w:color w:val="auto"/>
            <w:sz w:val="24"/>
            <w:szCs w:val="24"/>
            <w:bdr w:val="none" w:sz="0" w:space="0" w:color="auto" w:frame="1"/>
            <w:shd w:val="clear" w:color="auto" w:fill="FFFFFF"/>
          </w:rPr>
          <w:t>doi.org/10.1086/208704</w:t>
        </w:r>
      </w:hyperlink>
    </w:p>
    <w:p w14:paraId="3557E4B4" w14:textId="40564C9D"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Susarla, A., Oh, J.</w:t>
      </w:r>
      <w:r w:rsidR="006F06D1" w:rsidRPr="00530906">
        <w:rPr>
          <w:rFonts w:ascii="Cambria" w:hAnsi="Cambria" w:cs="Segoe UI"/>
          <w:sz w:val="24"/>
          <w:szCs w:val="24"/>
        </w:rPr>
        <w:t xml:space="preserve"> </w:t>
      </w:r>
      <w:r w:rsidRPr="00530906">
        <w:rPr>
          <w:rFonts w:ascii="Cambria" w:hAnsi="Cambria" w:cs="Segoe UI"/>
          <w:sz w:val="24"/>
          <w:szCs w:val="24"/>
        </w:rPr>
        <w:t>H. and Tan, Y. (2016) 'Influentials, Imitables, or Susceptibles? Virality and Word</w:t>
      </w:r>
      <w:r w:rsidR="004179CD" w:rsidRPr="00530906">
        <w:rPr>
          <w:rFonts w:ascii="Cambria" w:hAnsi="Cambria" w:cs="Segoe UI"/>
          <w:sz w:val="24"/>
          <w:szCs w:val="24"/>
        </w:rPr>
        <w:t>–</w:t>
      </w:r>
      <w:r w:rsidRPr="00530906">
        <w:rPr>
          <w:rFonts w:ascii="Cambria" w:hAnsi="Cambria" w:cs="Segoe UI"/>
          <w:sz w:val="24"/>
          <w:szCs w:val="24"/>
        </w:rPr>
        <w:t>of</w:t>
      </w:r>
      <w:r w:rsidR="004179CD" w:rsidRPr="00530906">
        <w:rPr>
          <w:rFonts w:ascii="Cambria" w:hAnsi="Cambria" w:cs="Segoe UI"/>
          <w:sz w:val="24"/>
          <w:szCs w:val="24"/>
        </w:rPr>
        <w:t>–</w:t>
      </w:r>
      <w:r w:rsidRPr="00530906">
        <w:rPr>
          <w:rFonts w:ascii="Cambria" w:hAnsi="Cambria" w:cs="Segoe UI"/>
          <w:sz w:val="24"/>
          <w:szCs w:val="24"/>
        </w:rPr>
        <w:t xml:space="preserve">Mouth Conversations in Online Social Networks', </w:t>
      </w:r>
      <w:r w:rsidRPr="00530906">
        <w:rPr>
          <w:rFonts w:ascii="Cambria" w:hAnsi="Cambria" w:cs="Segoe UI"/>
          <w:i/>
          <w:iCs/>
          <w:sz w:val="24"/>
          <w:szCs w:val="24"/>
        </w:rPr>
        <w:t>Journal of Management Information Systems</w:t>
      </w:r>
      <w:r w:rsidRPr="00530906">
        <w:rPr>
          <w:rFonts w:ascii="Cambria" w:hAnsi="Cambria" w:cs="Segoe UI"/>
          <w:sz w:val="24"/>
          <w:szCs w:val="24"/>
        </w:rPr>
        <w:t>, 33(1), pp. 139</w:t>
      </w:r>
      <w:r w:rsidR="004179CD" w:rsidRPr="00530906">
        <w:rPr>
          <w:rFonts w:ascii="Cambria" w:hAnsi="Cambria" w:cs="Segoe UI"/>
          <w:sz w:val="24"/>
          <w:szCs w:val="24"/>
        </w:rPr>
        <w:t>–</w:t>
      </w:r>
      <w:r w:rsidRPr="00530906">
        <w:rPr>
          <w:rFonts w:ascii="Cambria" w:hAnsi="Cambria" w:cs="Segoe UI"/>
          <w:sz w:val="24"/>
          <w:szCs w:val="24"/>
        </w:rPr>
        <w:t>170. Doi: 10.1080/07421222.2016.1172454</w:t>
      </w:r>
      <w:r w:rsidR="00FD4C59" w:rsidRPr="00530906">
        <w:rPr>
          <w:rFonts w:ascii="Cambria" w:hAnsi="Cambria" w:cs="Segoe UI"/>
          <w:sz w:val="24"/>
          <w:szCs w:val="24"/>
        </w:rPr>
        <w:t xml:space="preserve">. </w:t>
      </w:r>
    </w:p>
    <w:p w14:paraId="49C6044B" w14:textId="06BAFCAC" w:rsidR="00FD4C59" w:rsidRPr="00530906" w:rsidRDefault="00FD4C59">
      <w:pPr>
        <w:spacing w:line="360" w:lineRule="auto"/>
        <w:ind w:left="567" w:hanging="567"/>
        <w:jc w:val="both"/>
        <w:rPr>
          <w:rFonts w:ascii="Cambria" w:hAnsi="Cambria"/>
          <w:sz w:val="24"/>
          <w:szCs w:val="24"/>
        </w:rPr>
      </w:pPr>
      <w:r w:rsidRPr="00530906">
        <w:rPr>
          <w:rFonts w:ascii="Cambria" w:hAnsi="Cambria"/>
          <w:sz w:val="24"/>
          <w:szCs w:val="24"/>
        </w:rPr>
        <w:t xml:space="preserve">Sussman, S. W., </w:t>
      </w:r>
      <w:r w:rsidR="00CA4859" w:rsidRPr="00530906">
        <w:rPr>
          <w:rFonts w:ascii="Cambria" w:hAnsi="Cambria"/>
          <w:sz w:val="24"/>
          <w:szCs w:val="24"/>
        </w:rPr>
        <w:t xml:space="preserve">and </w:t>
      </w:r>
      <w:r w:rsidRPr="00530906">
        <w:rPr>
          <w:rFonts w:ascii="Cambria" w:hAnsi="Cambria"/>
          <w:sz w:val="24"/>
          <w:szCs w:val="24"/>
        </w:rPr>
        <w:t xml:space="preserve">Siegal, W. S. (2003). Informational influence in organizations: an integrated approach to knowledge adoption. Information Systems Research, 14(1), 47–65. </w:t>
      </w:r>
      <w:hyperlink r:id="rId186" w:history="1">
        <w:r w:rsidRPr="00530906">
          <w:rPr>
            <w:rStyle w:val="Hyperlink"/>
            <w:rFonts w:ascii="Cambria" w:hAnsi="Cambria"/>
            <w:sz w:val="24"/>
            <w:szCs w:val="24"/>
          </w:rPr>
          <w:t>doi</w:t>
        </w:r>
      </w:hyperlink>
      <w:r w:rsidRPr="00530906">
        <w:rPr>
          <w:rFonts w:ascii="Cambria" w:hAnsi="Cambria"/>
          <w:sz w:val="24"/>
          <w:szCs w:val="24"/>
        </w:rPr>
        <w:t>: 10.1287/isre.14.1.47.14767.</w:t>
      </w:r>
    </w:p>
    <w:p w14:paraId="40ABB155" w14:textId="6A0E630E" w:rsidR="007E4999" w:rsidRPr="00530906" w:rsidRDefault="00000000">
      <w:pPr>
        <w:spacing w:line="360" w:lineRule="auto"/>
        <w:ind w:left="567" w:hanging="567"/>
        <w:jc w:val="both"/>
        <w:rPr>
          <w:sz w:val="24"/>
          <w:szCs w:val="24"/>
          <w:shd w:val="clear" w:color="auto" w:fill="FFFFFF"/>
        </w:rPr>
      </w:pPr>
      <w:hyperlink r:id="rId187" w:history="1">
        <w:r w:rsidR="007E4999" w:rsidRPr="00530906">
          <w:rPr>
            <w:rStyle w:val="Hyperlink"/>
            <w:rFonts w:ascii="Cambria" w:hAnsi="Cambria"/>
            <w:color w:val="auto"/>
            <w:sz w:val="24"/>
            <w:szCs w:val="24"/>
          </w:rPr>
          <w:t>Sustaincoffee.org</w:t>
        </w:r>
      </w:hyperlink>
      <w:r w:rsidR="007E4999" w:rsidRPr="00530906">
        <w:rPr>
          <w:rFonts w:ascii="Cambria" w:hAnsi="Cambria"/>
          <w:sz w:val="24"/>
          <w:szCs w:val="24"/>
        </w:rPr>
        <w:t xml:space="preserve"> (2019) Sustainable coffee challenge. Available from: </w:t>
      </w:r>
      <w:hyperlink r:id="rId188" w:history="1">
        <w:r w:rsidR="007E4999" w:rsidRPr="00530906">
          <w:rPr>
            <w:rStyle w:val="Hyperlink"/>
            <w:rFonts w:ascii="Cambria" w:hAnsi="Cambria"/>
            <w:color w:val="auto"/>
            <w:sz w:val="24"/>
            <w:szCs w:val="24"/>
          </w:rPr>
          <w:t>https://www.sustaincoffee.org/about/</w:t>
        </w:r>
      </w:hyperlink>
    </w:p>
    <w:p w14:paraId="15BEEDE9" w14:textId="77777777"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Arial"/>
          <w:sz w:val="24"/>
          <w:szCs w:val="24"/>
          <w:shd w:val="clear" w:color="auto" w:fill="FFFFFF"/>
        </w:rPr>
        <w:t>Tabachnick, B. G.,and  Fidell, L. S. (2014). </w:t>
      </w:r>
      <w:r w:rsidRPr="00530906">
        <w:rPr>
          <w:rFonts w:ascii="Cambria" w:hAnsi="Cambria" w:cs="Arial"/>
          <w:i/>
          <w:iCs/>
          <w:sz w:val="24"/>
          <w:szCs w:val="24"/>
          <w:shd w:val="clear" w:color="auto" w:fill="FFFFFF"/>
        </w:rPr>
        <w:t>Using multivariate statistics</w:t>
      </w:r>
      <w:r w:rsidRPr="00530906">
        <w:rPr>
          <w:rFonts w:ascii="Cambria" w:hAnsi="Cambria" w:cs="Arial"/>
          <w:sz w:val="24"/>
          <w:szCs w:val="24"/>
          <w:shd w:val="clear" w:color="auto" w:fill="FFFFFF"/>
        </w:rPr>
        <w:t> . 6</w:t>
      </w:r>
      <w:r w:rsidRPr="00530906">
        <w:rPr>
          <w:rFonts w:ascii="Cambria" w:hAnsi="Cambria" w:cs="Arial"/>
          <w:sz w:val="24"/>
          <w:szCs w:val="24"/>
          <w:shd w:val="clear" w:color="auto" w:fill="FFFFFF"/>
          <w:vertAlign w:val="superscript"/>
        </w:rPr>
        <w:t>th</w:t>
      </w:r>
      <w:r w:rsidRPr="00530906">
        <w:rPr>
          <w:rFonts w:ascii="Cambria" w:hAnsi="Cambria" w:cs="Arial"/>
          <w:sz w:val="24"/>
          <w:szCs w:val="24"/>
          <w:shd w:val="clear" w:color="auto" w:fill="FFFFFF"/>
        </w:rPr>
        <w:t xml:space="preserve"> edition. Boston, MA: Pearson.</w:t>
      </w:r>
    </w:p>
    <w:p w14:paraId="33AD6837" w14:textId="5080ED29" w:rsidR="00D63238" w:rsidRPr="00530906" w:rsidRDefault="00D63238">
      <w:pPr>
        <w:spacing w:line="360" w:lineRule="auto"/>
        <w:ind w:left="567" w:hanging="567"/>
        <w:jc w:val="both"/>
        <w:rPr>
          <w:rFonts w:ascii="Cambria" w:hAnsi="Cambria"/>
          <w:sz w:val="24"/>
          <w:szCs w:val="24"/>
        </w:rPr>
      </w:pPr>
      <w:bookmarkStart w:id="177" w:name="_Hlk72781530"/>
      <w:r w:rsidRPr="00530906">
        <w:rPr>
          <w:rFonts w:ascii="Cambria" w:hAnsi="Cambria"/>
          <w:sz w:val="24"/>
          <w:szCs w:val="24"/>
        </w:rPr>
        <w:t xml:space="preserve">Tags.hawksey.info (2021) TAGS – Twitter Archiving Google Sheet. Available at </w:t>
      </w:r>
      <w:hyperlink r:id="rId189" w:history="1">
        <w:r w:rsidRPr="00530906">
          <w:rPr>
            <w:rStyle w:val="Hyperlink"/>
            <w:rFonts w:ascii="Cambria" w:hAnsi="Cambria"/>
            <w:sz w:val="24"/>
            <w:szCs w:val="24"/>
          </w:rPr>
          <w:t>https://tags.hawksey.info/</w:t>
        </w:r>
      </w:hyperlink>
      <w:r w:rsidRPr="00530906">
        <w:rPr>
          <w:rFonts w:ascii="Cambria" w:hAnsi="Cambria"/>
          <w:sz w:val="24"/>
          <w:szCs w:val="24"/>
        </w:rPr>
        <w:t xml:space="preserve"> (accessed 24</w:t>
      </w:r>
      <w:r w:rsidRPr="00530906">
        <w:rPr>
          <w:rFonts w:ascii="Cambria" w:hAnsi="Cambria"/>
          <w:sz w:val="24"/>
          <w:szCs w:val="24"/>
          <w:vertAlign w:val="superscript"/>
        </w:rPr>
        <w:t>th</w:t>
      </w:r>
      <w:r w:rsidRPr="00530906">
        <w:rPr>
          <w:rFonts w:ascii="Cambria" w:hAnsi="Cambria"/>
          <w:sz w:val="24"/>
          <w:szCs w:val="24"/>
        </w:rPr>
        <w:t xml:space="preserve"> May 2021)</w:t>
      </w:r>
    </w:p>
    <w:bookmarkEnd w:id="177"/>
    <w:p w14:paraId="58B9C9ED" w14:textId="585799A0" w:rsidR="007E4999" w:rsidRPr="00530906" w:rsidRDefault="007E4999">
      <w:pPr>
        <w:spacing w:line="360" w:lineRule="auto"/>
        <w:ind w:left="567" w:hanging="567"/>
        <w:jc w:val="both"/>
        <w:rPr>
          <w:rFonts w:ascii="Cambria" w:hAnsi="Cambria" w:cs="Arial"/>
          <w:sz w:val="24"/>
          <w:szCs w:val="24"/>
          <w:shd w:val="clear" w:color="auto" w:fill="FFFFFF"/>
        </w:rPr>
      </w:pPr>
      <w:r w:rsidRPr="00530906">
        <w:rPr>
          <w:rFonts w:ascii="Cambria" w:hAnsi="Cambria" w:cs="Segoe UI"/>
          <w:sz w:val="24"/>
          <w:szCs w:val="24"/>
        </w:rPr>
        <w:t>Tang, Z., Chen, L. and Gillenson, M.L. (2018) 'How to keep brand fan page followers? The lens of person</w:t>
      </w:r>
      <w:r w:rsidR="004179CD" w:rsidRPr="00530906">
        <w:rPr>
          <w:rFonts w:ascii="Cambria" w:hAnsi="Cambria" w:cs="Segoe UI"/>
          <w:sz w:val="24"/>
          <w:szCs w:val="24"/>
        </w:rPr>
        <w:t>–</w:t>
      </w:r>
      <w:r w:rsidRPr="00530906">
        <w:rPr>
          <w:rFonts w:ascii="Cambria" w:hAnsi="Cambria" w:cs="Segoe UI"/>
          <w:sz w:val="24"/>
          <w:szCs w:val="24"/>
        </w:rPr>
        <w:t xml:space="preserve">environment fit theory', </w:t>
      </w:r>
      <w:r w:rsidRPr="00530906">
        <w:rPr>
          <w:rFonts w:ascii="Cambria" w:hAnsi="Cambria" w:cs="Segoe UI"/>
          <w:i/>
          <w:iCs/>
          <w:sz w:val="24"/>
          <w:szCs w:val="24"/>
        </w:rPr>
        <w:t>Information Technology &amp; People</w:t>
      </w:r>
      <w:r w:rsidRPr="00530906">
        <w:rPr>
          <w:rFonts w:ascii="Cambria" w:hAnsi="Cambria" w:cs="Segoe UI"/>
          <w:sz w:val="24"/>
          <w:szCs w:val="24"/>
        </w:rPr>
        <w:t>, 31(4), pp. 927</w:t>
      </w:r>
      <w:r w:rsidR="004179CD" w:rsidRPr="00530906">
        <w:rPr>
          <w:rFonts w:ascii="Cambria" w:hAnsi="Cambria" w:cs="Segoe UI"/>
          <w:sz w:val="24"/>
          <w:szCs w:val="24"/>
        </w:rPr>
        <w:t>–</w:t>
      </w:r>
      <w:r w:rsidRPr="00530906">
        <w:rPr>
          <w:rFonts w:ascii="Cambria" w:hAnsi="Cambria" w:cs="Segoe UI"/>
          <w:sz w:val="24"/>
          <w:szCs w:val="24"/>
        </w:rPr>
        <w:t xml:space="preserve">947.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04</w:t>
      </w:r>
      <w:r w:rsidR="004179CD" w:rsidRPr="00530906">
        <w:rPr>
          <w:rFonts w:ascii="Cambria" w:hAnsi="Cambria" w:cs="Segoe UI"/>
          <w:sz w:val="24"/>
          <w:szCs w:val="24"/>
          <w:u w:val="single"/>
        </w:rPr>
        <w:t>–</w:t>
      </w:r>
      <w:r w:rsidRPr="00530906">
        <w:rPr>
          <w:rFonts w:ascii="Cambria" w:hAnsi="Cambria" w:cs="Segoe UI"/>
          <w:sz w:val="24"/>
          <w:szCs w:val="24"/>
          <w:u w:val="single"/>
        </w:rPr>
        <w:t>2016</w:t>
      </w:r>
      <w:r w:rsidR="004179CD" w:rsidRPr="00530906">
        <w:rPr>
          <w:rFonts w:ascii="Cambria" w:hAnsi="Cambria" w:cs="Segoe UI"/>
          <w:sz w:val="24"/>
          <w:szCs w:val="24"/>
          <w:u w:val="single"/>
        </w:rPr>
        <w:t>–</w:t>
      </w:r>
      <w:r w:rsidRPr="00530906">
        <w:rPr>
          <w:rFonts w:ascii="Cambria" w:hAnsi="Cambria" w:cs="Segoe UI"/>
          <w:sz w:val="24"/>
          <w:szCs w:val="24"/>
          <w:u w:val="single"/>
        </w:rPr>
        <w:t>0076</w:t>
      </w:r>
    </w:p>
    <w:p w14:paraId="6A84717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Tehseen, S., Ramayah, T., and Sajilan, S. (2017). Testing and controlling for common method variance: A review of available methods. </w:t>
      </w:r>
      <w:r w:rsidRPr="00530906">
        <w:rPr>
          <w:rFonts w:ascii="Cambria" w:hAnsi="Cambria" w:cs="Arial"/>
          <w:i/>
          <w:iCs/>
          <w:sz w:val="24"/>
          <w:szCs w:val="24"/>
          <w:shd w:val="clear" w:color="auto" w:fill="FFFFFF"/>
        </w:rPr>
        <w:t>Journal of Management Sciences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4</w:t>
      </w:r>
      <w:r w:rsidRPr="00530906">
        <w:rPr>
          <w:rFonts w:ascii="Cambria" w:hAnsi="Cambria" w:cs="Arial"/>
          <w:sz w:val="24"/>
          <w:szCs w:val="24"/>
          <w:shd w:val="clear" w:color="auto" w:fill="FFFFFF"/>
        </w:rPr>
        <w:t xml:space="preserve">(2), 142–168. Doi: </w:t>
      </w:r>
      <w:r w:rsidRPr="00530906">
        <w:rPr>
          <w:rFonts w:ascii="Cambria" w:hAnsi="Cambria"/>
          <w:sz w:val="24"/>
          <w:szCs w:val="24"/>
        </w:rPr>
        <w:t>10.20547/jms.2014.1704202</w:t>
      </w:r>
    </w:p>
    <w:p w14:paraId="760209C4" w14:textId="6C64F8BC" w:rsidR="007E4999" w:rsidRPr="00530906" w:rsidRDefault="006F06D1">
      <w:pPr>
        <w:spacing w:line="360" w:lineRule="auto"/>
        <w:ind w:left="567" w:hanging="567"/>
        <w:jc w:val="both"/>
        <w:rPr>
          <w:rFonts w:ascii="Cambria" w:hAnsi="Cambria"/>
          <w:sz w:val="24"/>
          <w:szCs w:val="24"/>
        </w:rPr>
      </w:pPr>
      <w:r w:rsidRPr="00530906">
        <w:rPr>
          <w:rFonts w:ascii="Cambria" w:hAnsi="Cambria"/>
          <w:sz w:val="24"/>
          <w:szCs w:val="24"/>
        </w:rPr>
        <w:t xml:space="preserve">Tanner, C. and Kast, S. W. </w:t>
      </w:r>
      <w:r w:rsidR="007E4999" w:rsidRPr="00530906">
        <w:rPr>
          <w:rFonts w:ascii="Cambria" w:hAnsi="Cambria"/>
          <w:sz w:val="24"/>
          <w:szCs w:val="24"/>
        </w:rPr>
        <w:t xml:space="preserve">(2003) ‘Promoting Sustainable Consumption: Determinants of Green Purchases by Swiss Consumers’, </w:t>
      </w:r>
      <w:r w:rsidR="007E4999" w:rsidRPr="00530906">
        <w:rPr>
          <w:rFonts w:ascii="Cambria" w:hAnsi="Cambria"/>
          <w:i/>
          <w:sz w:val="24"/>
          <w:szCs w:val="24"/>
        </w:rPr>
        <w:t>Psychology and Marketing</w:t>
      </w:r>
      <w:r w:rsidR="007E4999" w:rsidRPr="00530906">
        <w:rPr>
          <w:rFonts w:ascii="Cambria" w:hAnsi="Cambria"/>
          <w:sz w:val="24"/>
          <w:szCs w:val="24"/>
        </w:rPr>
        <w:t xml:space="preserve">, 20(10), pp. 883–902. doi: 10.1002/mar. 10101. </w:t>
      </w:r>
    </w:p>
    <w:p w14:paraId="23B371B4" w14:textId="78A73AAE"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Teng, S., Khong, K.</w:t>
      </w:r>
      <w:r w:rsidR="006F06D1" w:rsidRPr="00530906">
        <w:rPr>
          <w:rFonts w:ascii="Cambria" w:hAnsi="Cambria"/>
          <w:sz w:val="24"/>
          <w:szCs w:val="24"/>
        </w:rPr>
        <w:t xml:space="preserve"> </w:t>
      </w:r>
      <w:r w:rsidRPr="00530906">
        <w:rPr>
          <w:rFonts w:ascii="Cambria" w:hAnsi="Cambria"/>
          <w:sz w:val="24"/>
          <w:szCs w:val="24"/>
        </w:rPr>
        <w:t xml:space="preserve">W. and Goh, W.W. (2014) 'Conceptualizing Persuasive Messages Using ELM in Social Media', Journal of Internet Commerce, 13(1), pp. 65–87. Doi: 10.1080/15332861.2014.910729. </w:t>
      </w:r>
    </w:p>
    <w:p w14:paraId="361DBA18" w14:textId="3F9C4294"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Terry, G., Hayfield, N., Clarke, V., &amp; Braun, V. (2017). Thematic analysis. </w:t>
      </w:r>
      <w:r w:rsidRPr="00530906">
        <w:rPr>
          <w:rFonts w:ascii="Cambria" w:hAnsi="Cambria" w:cs="Arial"/>
          <w:i/>
          <w:iCs/>
          <w:sz w:val="24"/>
          <w:szCs w:val="24"/>
          <w:shd w:val="clear" w:color="auto" w:fill="FFFFFF"/>
        </w:rPr>
        <w:t>The Sage handbook of qualitative research in psychology</w:t>
      </w:r>
      <w:r w:rsidRPr="00530906">
        <w:rPr>
          <w:rFonts w:ascii="Cambria" w:hAnsi="Cambria" w:cs="Arial"/>
          <w:sz w:val="24"/>
          <w:szCs w:val="24"/>
          <w:shd w:val="clear" w:color="auto" w:fill="FFFFFF"/>
        </w:rPr>
        <w:t>, 17</w:t>
      </w:r>
      <w:r w:rsidR="004179CD" w:rsidRPr="00530906">
        <w:rPr>
          <w:rFonts w:ascii="Cambria" w:hAnsi="Cambria" w:cs="Arial"/>
          <w:sz w:val="24"/>
          <w:szCs w:val="24"/>
          <w:shd w:val="clear" w:color="auto" w:fill="FFFFFF"/>
        </w:rPr>
        <w:t>–</w:t>
      </w:r>
      <w:r w:rsidRPr="00530906">
        <w:rPr>
          <w:rFonts w:ascii="Cambria" w:hAnsi="Cambria" w:cs="Arial"/>
          <w:sz w:val="24"/>
          <w:szCs w:val="24"/>
          <w:shd w:val="clear" w:color="auto" w:fill="FFFFFF"/>
        </w:rPr>
        <w:t>37.</w:t>
      </w:r>
    </w:p>
    <w:p w14:paraId="2D78EAE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Thøgersen, J. and Schrader, U. (2012) “From Knowledge to Action—New Paths Towards Sustainable Consumption”, </w:t>
      </w:r>
      <w:r w:rsidRPr="00530906">
        <w:rPr>
          <w:rFonts w:ascii="Cambria" w:hAnsi="Cambria"/>
          <w:i/>
          <w:sz w:val="24"/>
          <w:szCs w:val="24"/>
        </w:rPr>
        <w:t>Journal of Consumer Policy</w:t>
      </w:r>
      <w:r w:rsidRPr="00530906">
        <w:rPr>
          <w:rFonts w:ascii="Cambria" w:hAnsi="Cambria"/>
          <w:sz w:val="24"/>
          <w:szCs w:val="24"/>
        </w:rPr>
        <w:t>, 35 (1), pp. 1–5. Doi: 10.1007/s10603–012–9188–7.</w:t>
      </w:r>
    </w:p>
    <w:p w14:paraId="12D99FD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Thøgersen, J., Jørgensen, A. K., &amp; Sandager, S. (2012). Consumer decision making regarding a “green” everyday product.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29</w:t>
      </w:r>
      <w:r w:rsidRPr="00530906">
        <w:rPr>
          <w:rFonts w:ascii="Cambria" w:hAnsi="Cambria" w:cs="Arial"/>
          <w:sz w:val="24"/>
          <w:szCs w:val="24"/>
          <w:shd w:val="clear" w:color="auto" w:fill="FFFFFF"/>
        </w:rPr>
        <w:t>(4), 187–197. Doi:</w:t>
      </w:r>
      <w:r w:rsidRPr="00530906">
        <w:rPr>
          <w:rFonts w:ascii="Cambria" w:hAnsi="Cambria"/>
          <w:sz w:val="24"/>
          <w:szCs w:val="24"/>
        </w:rPr>
        <w:t>10.1002/mar.20514</w:t>
      </w:r>
    </w:p>
    <w:p w14:paraId="41D63D8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Tranfield, D., Denyer, D., &amp; Smart, P. (2003). Towards a Methodology for Developing Evidence–Informed Management Knowledge by Means of Systematic Review. British Journal of Management, 14(3), 207–222. doi:10.1111/1467–8551.00375</w:t>
      </w:r>
    </w:p>
    <w:p w14:paraId="5303E50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Triantafillidou, A., &amp; Siomkos, G. (2018). The impact of Facebook experience on consumers' behavioral Brand engagement. Journal of Research in Interactive Marketing, 12(2), 164–192. doi:10.1108/jrim–03–2017–0016</w:t>
      </w:r>
    </w:p>
    <w:p w14:paraId="5776D83F" w14:textId="2A1BEF29"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Tsai, H. T., Huang, H. C., &amp; Chiu, Y. L. (2012). Brand community participation in Taiwan: Examining the roles of individual–, group–, and relationship–level antecedents. Journal of Business Research, 65(5), 676–684. doi:10.1016/j.jbusres.2011.03.011</w:t>
      </w:r>
    </w:p>
    <w:p w14:paraId="0CB2AF92" w14:textId="64CE8C94" w:rsidR="00B51951" w:rsidRPr="00530906" w:rsidRDefault="00B51951">
      <w:pPr>
        <w:spacing w:line="360" w:lineRule="auto"/>
        <w:ind w:left="567" w:hanging="567"/>
        <w:jc w:val="both"/>
        <w:rPr>
          <w:rFonts w:ascii="Cambria" w:hAnsi="Cambria"/>
          <w:sz w:val="24"/>
          <w:szCs w:val="24"/>
        </w:rPr>
      </w:pPr>
      <w:r w:rsidRPr="00530906">
        <w:rPr>
          <w:rFonts w:ascii="Cambria" w:hAnsi="Cambria"/>
          <w:sz w:val="24"/>
          <w:szCs w:val="24"/>
        </w:rPr>
        <w:t xml:space="preserve">TrackMaven (2016), “The content marketing paradox revisited: time for a reboot?”, available at: </w:t>
      </w:r>
      <w:hyperlink r:id="rId190" w:history="1">
        <w:r w:rsidRPr="00530906">
          <w:rPr>
            <w:rStyle w:val="Hyperlink"/>
            <w:rFonts w:ascii="Cambria" w:hAnsi="Cambria"/>
            <w:sz w:val="24"/>
            <w:szCs w:val="24"/>
          </w:rPr>
          <w:t>http://pages.trackmaven.com/rs/251-LXF-778/images/Content-Paradox-Revisited.pdf</w:t>
        </w:r>
      </w:hyperlink>
      <w:r w:rsidRPr="00530906">
        <w:rPr>
          <w:rFonts w:ascii="Cambria" w:hAnsi="Cambria"/>
          <w:sz w:val="24"/>
          <w:szCs w:val="24"/>
        </w:rPr>
        <w:t xml:space="preserve">   (accessed 28</w:t>
      </w:r>
      <w:r w:rsidRPr="00530906">
        <w:rPr>
          <w:rFonts w:ascii="Cambria" w:hAnsi="Cambria"/>
          <w:sz w:val="24"/>
          <w:szCs w:val="24"/>
          <w:vertAlign w:val="superscript"/>
        </w:rPr>
        <w:t>th</w:t>
      </w:r>
      <w:r w:rsidRPr="00530906">
        <w:rPr>
          <w:rFonts w:ascii="Cambria" w:hAnsi="Cambria"/>
          <w:sz w:val="24"/>
          <w:szCs w:val="24"/>
        </w:rPr>
        <w:t xml:space="preserve"> May 2021).</w:t>
      </w:r>
    </w:p>
    <w:p w14:paraId="0552CF6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Trusov, M., Bucklin, R.E. and Pauwels, K. (2009) 'Effects of word–of–mouth versus traditional marketing: findings from an internet social networking site. ', </w:t>
      </w:r>
      <w:r w:rsidRPr="00530906">
        <w:rPr>
          <w:rFonts w:ascii="Cambria" w:hAnsi="Cambria" w:cs="Segoe UI"/>
          <w:i/>
          <w:iCs/>
          <w:sz w:val="24"/>
          <w:szCs w:val="24"/>
        </w:rPr>
        <w:t xml:space="preserve">Journal of marketing, </w:t>
      </w:r>
      <w:r w:rsidRPr="00530906">
        <w:rPr>
          <w:rFonts w:ascii="Cambria" w:hAnsi="Cambria" w:cs="Segoe UI"/>
          <w:sz w:val="24"/>
          <w:szCs w:val="24"/>
        </w:rPr>
        <w:t>, 73(5), pp. 90–102. Doi: 10.1509/jmkg.73.5.90</w:t>
      </w:r>
    </w:p>
    <w:p w14:paraId="54D4AA6F" w14:textId="01C5CFFB" w:rsidR="007E4999" w:rsidRPr="00530906" w:rsidRDefault="007E4999">
      <w:pPr>
        <w:spacing w:line="360" w:lineRule="auto"/>
        <w:ind w:left="567" w:hanging="567"/>
        <w:jc w:val="both"/>
        <w:rPr>
          <w:sz w:val="24"/>
          <w:szCs w:val="24"/>
        </w:rPr>
      </w:pPr>
      <w:r w:rsidRPr="00530906">
        <w:rPr>
          <w:rFonts w:ascii="Cambria" w:hAnsi="Cambria"/>
          <w:sz w:val="24"/>
          <w:szCs w:val="24"/>
        </w:rPr>
        <w:t xml:space="preserve">Tucker, E. M., Rifon, N. J., Lee, E. M. and Reece, B. B. (2012) ‘Consumer Receptivity to Green Ads’, </w:t>
      </w:r>
      <w:r w:rsidRPr="00530906">
        <w:rPr>
          <w:rFonts w:ascii="Cambria" w:hAnsi="Cambria"/>
          <w:i/>
          <w:sz w:val="24"/>
          <w:szCs w:val="24"/>
        </w:rPr>
        <w:t>Journal of Advertising</w:t>
      </w:r>
      <w:r w:rsidRPr="00530906">
        <w:rPr>
          <w:rFonts w:ascii="Cambria" w:hAnsi="Cambria"/>
          <w:sz w:val="24"/>
          <w:szCs w:val="24"/>
        </w:rPr>
        <w:t xml:space="preserve">, 41(4), pp. 9–23, DOI: 10.1080/00913367.2012.10672454. </w:t>
      </w:r>
    </w:p>
    <w:p w14:paraId="01D0DB46" w14:textId="77777777" w:rsidR="00112367" w:rsidRPr="00530906" w:rsidRDefault="00112367">
      <w:pPr>
        <w:spacing w:line="360" w:lineRule="auto"/>
        <w:ind w:left="567" w:hanging="567"/>
        <w:jc w:val="both"/>
        <w:rPr>
          <w:rFonts w:ascii="Cambria" w:hAnsi="Cambria"/>
          <w:sz w:val="24"/>
          <w:szCs w:val="24"/>
        </w:rPr>
      </w:pPr>
      <w:r w:rsidRPr="00530906">
        <w:rPr>
          <w:rFonts w:ascii="Cambria" w:hAnsi="Cambria" w:cs="Arial"/>
          <w:sz w:val="24"/>
          <w:szCs w:val="24"/>
        </w:rPr>
        <w:t>UNEP (</w:t>
      </w:r>
      <w:hyperlink r:id="rId191" w:tooltip="United Nations Environment Programme" w:history="1">
        <w:r w:rsidRPr="00530906">
          <w:rPr>
            <w:rStyle w:val="Hyperlink"/>
            <w:rFonts w:ascii="Cambria" w:hAnsi="Cambria" w:cs="Arial"/>
            <w:color w:val="auto"/>
            <w:sz w:val="24"/>
            <w:szCs w:val="24"/>
          </w:rPr>
          <w:t>United Nations Environment Programme</w:t>
        </w:r>
      </w:hyperlink>
      <w:r w:rsidRPr="00530906">
        <w:rPr>
          <w:rFonts w:ascii="Cambria" w:hAnsi="Cambria" w:cs="Arial"/>
          <w:sz w:val="24"/>
          <w:szCs w:val="24"/>
        </w:rPr>
        <w:t>) (2002). Industry as a partner for sustainabledevelopment: Advertising, United Nations Environment Programme.</w:t>
      </w:r>
      <w:hyperlink r:id="rId192" w:history="1">
        <w:r w:rsidRPr="00530906">
          <w:rPr>
            <w:rStyle w:val="Hyperlink"/>
            <w:rFonts w:ascii="Cambria" w:hAnsi="Cambria"/>
            <w:color w:val="auto"/>
            <w:sz w:val="24"/>
            <w:szCs w:val="24"/>
          </w:rPr>
          <w:t>https://wedocs.unep.org/handle/20.500.11822/8277</w:t>
        </w:r>
      </w:hyperlink>
    </w:p>
    <w:p w14:paraId="49AC4BE9" w14:textId="3C33A5C6"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Unilad</w:t>
      </w:r>
      <w:r w:rsidR="006F06D1" w:rsidRPr="00530906">
        <w:rPr>
          <w:rFonts w:ascii="Cambria" w:hAnsi="Cambria"/>
          <w:sz w:val="24"/>
          <w:szCs w:val="24"/>
        </w:rPr>
        <w:t>.</w:t>
      </w:r>
      <w:r w:rsidRPr="00530906">
        <w:rPr>
          <w:rFonts w:ascii="Cambria" w:hAnsi="Cambria"/>
          <w:sz w:val="24"/>
          <w:szCs w:val="24"/>
        </w:rPr>
        <w:t xml:space="preserve">co.uk (2018) Iceland selling 5 cuddly rang tans to help orphans after banned ad. </w:t>
      </w:r>
      <w:hyperlink r:id="rId193" w:history="1">
        <w:r w:rsidRPr="00530906">
          <w:rPr>
            <w:rStyle w:val="Hyperlink"/>
            <w:rFonts w:ascii="Cambria" w:hAnsi="Cambria"/>
            <w:color w:val="auto"/>
            <w:sz w:val="24"/>
            <w:szCs w:val="24"/>
          </w:rPr>
          <w:t>https://www.unilad.co.uk/animals/iceland–selling–5–cuddly–rang–tans–to–help–orphans–after–banned–ad/</w:t>
        </w:r>
      </w:hyperlink>
      <w:r w:rsidRPr="00530906">
        <w:rPr>
          <w:rFonts w:ascii="Cambria" w:hAnsi="Cambria"/>
          <w:sz w:val="24"/>
          <w:szCs w:val="24"/>
        </w:rPr>
        <w:t xml:space="preserve"> (Accessed 10</w:t>
      </w:r>
      <w:r w:rsidRPr="00530906">
        <w:rPr>
          <w:rFonts w:ascii="Cambria" w:hAnsi="Cambria"/>
          <w:sz w:val="24"/>
          <w:szCs w:val="24"/>
          <w:vertAlign w:val="superscript"/>
        </w:rPr>
        <w:t>th</w:t>
      </w:r>
      <w:r w:rsidRPr="00530906">
        <w:rPr>
          <w:rFonts w:ascii="Cambria" w:hAnsi="Cambria"/>
          <w:sz w:val="24"/>
          <w:szCs w:val="24"/>
        </w:rPr>
        <w:t xml:space="preserve"> March 2020)</w:t>
      </w:r>
    </w:p>
    <w:p w14:paraId="082AB4D2" w14:textId="4F3DCFE0" w:rsidR="007E4999" w:rsidRPr="00530906" w:rsidRDefault="007E4999">
      <w:pPr>
        <w:spacing w:line="360" w:lineRule="auto"/>
        <w:ind w:left="567" w:hanging="567"/>
        <w:jc w:val="both"/>
        <w:rPr>
          <w:sz w:val="24"/>
          <w:szCs w:val="24"/>
          <w:shd w:val="clear" w:color="auto" w:fill="FFFFFF"/>
        </w:rPr>
      </w:pPr>
      <w:r w:rsidRPr="00530906">
        <w:rPr>
          <w:rFonts w:ascii="Cambria" w:hAnsi="Cambria"/>
          <w:sz w:val="24"/>
          <w:szCs w:val="24"/>
        </w:rPr>
        <w:t>Urien, B. and Kilbourne, W. (2011) ‘Generativity and Self– Enhancement Values in Eco–Friendly Behavioral Intentions and Environmentally Responsible Consumption Behavior’ Psychology &amp; Marketing, Vol. 28(1), pp. 69–90. DOI: 10.1002/mar.20381</w:t>
      </w:r>
    </w:p>
    <w:p w14:paraId="474AA99F"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Valor, C. and Carrero, I. (2014) 'Viewing responsible consumption as a personal project', </w:t>
      </w:r>
      <w:r w:rsidRPr="00530906">
        <w:rPr>
          <w:rFonts w:ascii="Cambria" w:hAnsi="Cambria" w:cs="Segoe UI"/>
          <w:i/>
          <w:iCs/>
          <w:sz w:val="24"/>
          <w:szCs w:val="24"/>
        </w:rPr>
        <w:t>Psychology &amp; Marketing</w:t>
      </w:r>
      <w:r w:rsidRPr="00530906">
        <w:rPr>
          <w:rFonts w:ascii="Cambria" w:hAnsi="Cambria" w:cs="Segoe UI"/>
          <w:sz w:val="24"/>
          <w:szCs w:val="24"/>
        </w:rPr>
        <w:t>, 31(12), pp. 1110–1121. Doi: 10.1002/mar.20758</w:t>
      </w:r>
    </w:p>
    <w:p w14:paraId="1993C398"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Van Doorn, J., Lemon, K. N., Mittal, V., Nass, S., Pick, D., Pirner, P., and Verhoef, P. C. (2010) ‘Customer engagement behavior: theoretical foundations and research directions’, </w:t>
      </w:r>
      <w:r w:rsidRPr="00530906">
        <w:rPr>
          <w:rFonts w:ascii="Cambria" w:hAnsi="Cambria"/>
          <w:i/>
          <w:sz w:val="24"/>
          <w:szCs w:val="24"/>
        </w:rPr>
        <w:t>Journal of Service Research</w:t>
      </w:r>
      <w:r w:rsidRPr="00530906">
        <w:rPr>
          <w:rFonts w:ascii="Cambria" w:hAnsi="Cambria"/>
          <w:sz w:val="24"/>
          <w:szCs w:val="24"/>
        </w:rPr>
        <w:t>, 13(3), pp. 253–266. doi: 10.1177/1094670510375599.</w:t>
      </w:r>
    </w:p>
    <w:p w14:paraId="54C3519E"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Van Doorn, J., and Verhoef, P. C. (2015). Drivers of and barriers to organic purchase behavior. Journal of Retailing, 91(3), 436–450.</w:t>
      </w:r>
    </w:p>
    <w:p w14:paraId="641F0B77" w14:textId="37C64DA1"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Varul, M. Z. (2009) ‘Ethical selving in cultural contexts: fairtrade consumption as an everyday ethical practice in the UK and Germany’, </w:t>
      </w:r>
      <w:r w:rsidRPr="00530906">
        <w:rPr>
          <w:rFonts w:ascii="Cambria" w:hAnsi="Cambria"/>
          <w:i/>
          <w:sz w:val="24"/>
          <w:szCs w:val="24"/>
        </w:rPr>
        <w:t>International Journal of Consumer Studies</w:t>
      </w:r>
      <w:r w:rsidRPr="00530906">
        <w:rPr>
          <w:rFonts w:ascii="Cambria" w:hAnsi="Cambria"/>
          <w:sz w:val="24"/>
          <w:szCs w:val="24"/>
        </w:rPr>
        <w:t>, 33 (2), pp. 183–189. doi: 10.1111/j.1470–6431.2009.00762.x.</w:t>
      </w:r>
    </w:p>
    <w:p w14:paraId="403A93E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Valley, L. (2019) </w:t>
      </w:r>
      <w:r w:rsidRPr="00530906">
        <w:rPr>
          <w:rFonts w:ascii="Cambria" w:hAnsi="Cambria"/>
          <w:i/>
          <w:iCs/>
          <w:sz w:val="24"/>
          <w:szCs w:val="24"/>
        </w:rPr>
        <w:t xml:space="preserve">Unpacked: a closer look at Waitrose’s plastic–free trial. </w:t>
      </w:r>
      <w:r w:rsidRPr="00530906">
        <w:rPr>
          <w:rFonts w:ascii="Cambria" w:hAnsi="Cambria"/>
          <w:sz w:val="24"/>
          <w:szCs w:val="24"/>
        </w:rPr>
        <w:t>Available at:</w:t>
      </w:r>
      <w:hyperlink r:id="rId194" w:history="1">
        <w:r w:rsidRPr="00530906">
          <w:rPr>
            <w:rStyle w:val="Hyperlink"/>
            <w:rFonts w:ascii="Cambria" w:hAnsi="Cambria"/>
            <w:color w:val="auto"/>
            <w:sz w:val="24"/>
            <w:szCs w:val="24"/>
          </w:rPr>
          <w:t>https://www.thegrocer.co.uk/store–design/unpacked–a–closer–look–at–waitroses–plastic–free–trial/594188.article</w:t>
        </w:r>
      </w:hyperlink>
      <w:r w:rsidRPr="00530906">
        <w:rPr>
          <w:rFonts w:ascii="Cambria" w:hAnsi="Cambria"/>
          <w:sz w:val="24"/>
          <w:szCs w:val="24"/>
        </w:rPr>
        <w:t xml:space="preserve"> (Accessed date 04.03.2020)</w:t>
      </w:r>
    </w:p>
    <w:p w14:paraId="2247C7A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Vaughn, R. (1980) 'How advertising works: A planning model', </w:t>
      </w:r>
      <w:r w:rsidRPr="00530906">
        <w:rPr>
          <w:rFonts w:ascii="Cambria" w:hAnsi="Cambria" w:cs="Segoe UI"/>
          <w:i/>
          <w:iCs/>
          <w:sz w:val="24"/>
          <w:szCs w:val="24"/>
        </w:rPr>
        <w:t>Journal of advertising research.</w:t>
      </w:r>
      <w:r w:rsidRPr="00530906">
        <w:rPr>
          <w:rFonts w:ascii="Cambria" w:hAnsi="Cambria" w:cs="Segoe UI"/>
          <w:sz w:val="24"/>
          <w:szCs w:val="24"/>
        </w:rPr>
        <w:t>, 20(5).27–33.</w:t>
      </w:r>
    </w:p>
    <w:p w14:paraId="0900FC84" w14:textId="7C367DDD" w:rsidR="00DD3807" w:rsidRPr="00530906" w:rsidRDefault="00DD3807">
      <w:pPr>
        <w:spacing w:line="360" w:lineRule="auto"/>
        <w:ind w:left="567" w:hanging="567"/>
        <w:jc w:val="both"/>
        <w:rPr>
          <w:rFonts w:ascii="Cambria" w:hAnsi="Cambria"/>
          <w:sz w:val="24"/>
          <w:szCs w:val="24"/>
        </w:rPr>
      </w:pPr>
      <w:r w:rsidRPr="00530906">
        <w:rPr>
          <w:rFonts w:ascii="Cambria" w:hAnsi="Cambria" w:cs="Segoe UI"/>
          <w:sz w:val="24"/>
          <w:szCs w:val="24"/>
        </w:rPr>
        <w:t xml:space="preserve">Veloutsou, C. and Moutinho, L. (2009) 'Brand relationships through brand reputation and brand tribalism ', </w:t>
      </w:r>
      <w:r w:rsidRPr="00530906">
        <w:rPr>
          <w:rFonts w:ascii="Cambria" w:hAnsi="Cambria" w:cs="Segoe UI"/>
          <w:i/>
          <w:iCs/>
          <w:sz w:val="24"/>
          <w:szCs w:val="24"/>
        </w:rPr>
        <w:t xml:space="preserve">Journal of Business Research </w:t>
      </w:r>
      <w:r w:rsidRPr="00530906">
        <w:rPr>
          <w:rFonts w:ascii="Cambria" w:hAnsi="Cambria" w:cs="Segoe UI"/>
          <w:sz w:val="24"/>
          <w:szCs w:val="24"/>
        </w:rPr>
        <w:t>62(3), pp. 314–322. Doi: 10.1016/j.jbusres.2008.05.010</w:t>
      </w:r>
    </w:p>
    <w:p w14:paraId="73ABE27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Venkatesh, V., &amp; Brown, S. A. (2001). A longitudinal investigation of personal computers in homes: Adoption determinants and emerging challenges. MIS Quarterly, 25, 71–102. Doi: 10.2307/3250959</w:t>
      </w:r>
    </w:p>
    <w:p w14:paraId="241C2216" w14:textId="246B6769"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Venkatesh, V. and Davis, F.</w:t>
      </w:r>
      <w:r w:rsidR="006F06D1" w:rsidRPr="00530906">
        <w:rPr>
          <w:rFonts w:ascii="Cambria" w:hAnsi="Cambria" w:cs="Segoe UI"/>
          <w:sz w:val="24"/>
          <w:szCs w:val="24"/>
        </w:rPr>
        <w:t xml:space="preserve"> </w:t>
      </w:r>
      <w:r w:rsidRPr="00530906">
        <w:rPr>
          <w:rFonts w:ascii="Cambria" w:hAnsi="Cambria" w:cs="Segoe UI"/>
          <w:sz w:val="24"/>
          <w:szCs w:val="24"/>
        </w:rPr>
        <w:t xml:space="preserve">D. (2000) ' A theoretical extension of the technology acceptance model: Four longitudinal field studies', </w:t>
      </w:r>
      <w:r w:rsidRPr="00530906">
        <w:rPr>
          <w:rFonts w:ascii="Cambria" w:hAnsi="Cambria" w:cs="Segoe UI"/>
          <w:i/>
          <w:iCs/>
          <w:sz w:val="24"/>
          <w:szCs w:val="24"/>
        </w:rPr>
        <w:t>Management science</w:t>
      </w:r>
      <w:r w:rsidRPr="00530906">
        <w:rPr>
          <w:rFonts w:ascii="Cambria" w:hAnsi="Cambria" w:cs="Segoe UI"/>
          <w:sz w:val="24"/>
          <w:szCs w:val="24"/>
        </w:rPr>
        <w:t>, 46(2), pp. 186–204. Doi: 10.1287/mnsc.46.2.186.11926</w:t>
      </w:r>
    </w:p>
    <w:p w14:paraId="504BFBFC"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Verhoef, P. C., Reinartz, W. J. and Krafft, M. (2010) ‘Customer engagement as a new perspective in customer management’, </w:t>
      </w:r>
      <w:r w:rsidRPr="00530906">
        <w:rPr>
          <w:rFonts w:ascii="Cambria" w:hAnsi="Cambria"/>
          <w:i/>
          <w:sz w:val="24"/>
          <w:szCs w:val="24"/>
        </w:rPr>
        <w:t>Journal of Service Research,</w:t>
      </w:r>
      <w:r w:rsidRPr="00530906">
        <w:rPr>
          <w:rFonts w:ascii="Cambria" w:hAnsi="Cambria"/>
          <w:sz w:val="24"/>
          <w:szCs w:val="24"/>
        </w:rPr>
        <w:t xml:space="preserve"> 13(3), pp. 247–252. doi: 10.1177/1094670510375461.</w:t>
      </w:r>
    </w:p>
    <w:p w14:paraId="69DD76F6" w14:textId="1C4EE17C"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Vermeir, I., &amp; Verbeke, W. (2008). Sustainable food consumption among young adults in Belgium: Theory of planned behaviour and the role of confidence and values. </w:t>
      </w:r>
      <w:r w:rsidRPr="00530906">
        <w:rPr>
          <w:rFonts w:ascii="Cambria" w:hAnsi="Cambria" w:cs="Arial"/>
          <w:i/>
          <w:iCs/>
          <w:sz w:val="24"/>
          <w:szCs w:val="24"/>
          <w:shd w:val="clear" w:color="auto" w:fill="FFFFFF"/>
        </w:rPr>
        <w:t>Ecological economics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64</w:t>
      </w:r>
      <w:r w:rsidRPr="00530906">
        <w:rPr>
          <w:rFonts w:ascii="Cambria" w:hAnsi="Cambria" w:cs="Arial"/>
          <w:sz w:val="24"/>
          <w:szCs w:val="24"/>
          <w:shd w:val="clear" w:color="auto" w:fill="FFFFFF"/>
        </w:rPr>
        <w:t>(3), 542–553.</w:t>
      </w:r>
      <w:r w:rsidRPr="00530906">
        <w:rPr>
          <w:rFonts w:ascii="Cambria" w:hAnsi="Cambria" w:cs="AdvTTd27635b9"/>
          <w:sz w:val="24"/>
          <w:szCs w:val="24"/>
        </w:rPr>
        <w:t xml:space="preserve"> doi:10.1016/j.ecolecon.2007.03.007</w:t>
      </w:r>
    </w:p>
    <w:p w14:paraId="7029A6E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Vivek, S. D., Beatty, S. E., and Morgan, R. M. (2012) ‘customer engagement: exploring customer relationships beyond purchase’, </w:t>
      </w:r>
      <w:r w:rsidRPr="00530906">
        <w:rPr>
          <w:rFonts w:ascii="Cambria" w:hAnsi="Cambria"/>
          <w:i/>
          <w:sz w:val="24"/>
          <w:szCs w:val="24"/>
        </w:rPr>
        <w:t>Journal of Marketing Theory and Practice,</w:t>
      </w:r>
      <w:r w:rsidRPr="00530906">
        <w:rPr>
          <w:rFonts w:ascii="Cambria" w:hAnsi="Cambria"/>
          <w:sz w:val="24"/>
          <w:szCs w:val="24"/>
        </w:rPr>
        <w:t xml:space="preserve"> 20(2), pp. 127–145. doi: 10.2753/MTP1069–6679200201.</w:t>
      </w:r>
    </w:p>
    <w:p w14:paraId="049D3D3C" w14:textId="63526760" w:rsidR="007E4999" w:rsidRPr="00530906" w:rsidRDefault="007E4999">
      <w:pPr>
        <w:spacing w:line="360" w:lineRule="auto"/>
        <w:ind w:left="567" w:hanging="567"/>
        <w:jc w:val="both"/>
        <w:rPr>
          <w:sz w:val="24"/>
          <w:szCs w:val="24"/>
        </w:rPr>
      </w:pPr>
      <w:r w:rsidRPr="00530906">
        <w:rPr>
          <w:rFonts w:ascii="Cambria" w:hAnsi="Cambria"/>
          <w:sz w:val="24"/>
          <w:szCs w:val="24"/>
        </w:rPr>
        <w:t xml:space="preserve">Voorveld, H. A. M., van Noort, G., Muntinga, D. G.  and Fred Bronner, F. (2018) ‘Engagement with Social–media and Social–media Advertising: The Differentiating Role of Platform Type’, </w:t>
      </w:r>
      <w:r w:rsidRPr="00530906">
        <w:rPr>
          <w:rFonts w:ascii="Cambria" w:hAnsi="Cambria"/>
          <w:i/>
          <w:sz w:val="24"/>
          <w:szCs w:val="24"/>
        </w:rPr>
        <w:t>Journal of Advertising</w:t>
      </w:r>
      <w:r w:rsidRPr="00530906">
        <w:rPr>
          <w:rFonts w:ascii="Cambria" w:hAnsi="Cambria"/>
          <w:sz w:val="24"/>
          <w:szCs w:val="24"/>
        </w:rPr>
        <w:t xml:space="preserve">, 47(1), pp. 38–54, DOI: 10.1080/00913367.2017.1405754. </w:t>
      </w:r>
    </w:p>
    <w:p w14:paraId="1F42D0D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Walker, B. A. and Olson J. C. (1994), The Activated Self in Consumer Behaviour: A Cognitive Structure Perspective. Pennsylvania, PA: Pennsylvania State University.</w:t>
      </w:r>
    </w:p>
    <w:p w14:paraId="61525165"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Walker, B. A. and Olson J. C. (1997), “The Activated Self in Consumer Behavior: A Cognitive Structure Perspective,” Research in Consumer Behavior,8,135–71.</w:t>
      </w:r>
    </w:p>
    <w:p w14:paraId="2E097D9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Walters, G., Sparks, B. and Herington, C. (2007), “The Effectiveness of Print Advertising Stimuli in Evoking Elaborate Consumption Visions for Potential Travelers,” Journal of Travel Research, 46(1) 24–34.</w:t>
      </w:r>
    </w:p>
    <w:p w14:paraId="3D24B56B" w14:textId="4FF3F375"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Wang, J., Bowen, Z., Liu, H. and Yu, L. (2020) 'A two</w:t>
      </w:r>
      <w:r w:rsidR="004179CD" w:rsidRPr="00530906">
        <w:rPr>
          <w:rFonts w:ascii="Cambria" w:hAnsi="Cambria" w:cs="Segoe UI"/>
          <w:sz w:val="24"/>
          <w:szCs w:val="24"/>
        </w:rPr>
        <w:t>–</w:t>
      </w:r>
      <w:r w:rsidRPr="00530906">
        <w:rPr>
          <w:rFonts w:ascii="Cambria" w:hAnsi="Cambria" w:cs="Segoe UI"/>
          <w:sz w:val="24"/>
          <w:szCs w:val="24"/>
        </w:rPr>
        <w:t xml:space="preserve">factor theoretical model of social media discontinuance: role of regret, inertia, and their antecedents', </w:t>
      </w:r>
      <w:r w:rsidRPr="00530906">
        <w:rPr>
          <w:rFonts w:ascii="Cambria" w:hAnsi="Cambria" w:cs="Segoe UI"/>
          <w:i/>
          <w:iCs/>
          <w:sz w:val="24"/>
          <w:szCs w:val="24"/>
        </w:rPr>
        <w:t>Information Technology &amp; People</w:t>
      </w:r>
      <w:r w:rsidRPr="00530906">
        <w:rPr>
          <w:rFonts w:ascii="Cambria" w:hAnsi="Cambria" w:cs="Segoe UI"/>
          <w:sz w:val="24"/>
          <w:szCs w:val="24"/>
        </w:rPr>
        <w:t>, 34(1), pp. 1</w:t>
      </w:r>
      <w:r w:rsidR="004179CD" w:rsidRPr="00530906">
        <w:rPr>
          <w:rFonts w:ascii="Cambria" w:hAnsi="Cambria" w:cs="Segoe UI"/>
          <w:sz w:val="24"/>
          <w:szCs w:val="24"/>
        </w:rPr>
        <w:t>–</w:t>
      </w:r>
      <w:r w:rsidRPr="00530906">
        <w:rPr>
          <w:rFonts w:ascii="Cambria" w:hAnsi="Cambria" w:cs="Segoe UI"/>
          <w:sz w:val="24"/>
          <w:szCs w:val="24"/>
        </w:rPr>
        <w:t xml:space="preserve">24.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10</w:t>
      </w:r>
      <w:r w:rsidR="004179CD" w:rsidRPr="00530906">
        <w:rPr>
          <w:rFonts w:ascii="Cambria" w:hAnsi="Cambria" w:cs="Segoe UI"/>
          <w:sz w:val="24"/>
          <w:szCs w:val="24"/>
          <w:u w:val="single"/>
        </w:rPr>
        <w:t>–</w:t>
      </w:r>
      <w:r w:rsidRPr="00530906">
        <w:rPr>
          <w:rFonts w:ascii="Cambria" w:hAnsi="Cambria" w:cs="Segoe UI"/>
          <w:sz w:val="24"/>
          <w:szCs w:val="24"/>
          <w:u w:val="single"/>
        </w:rPr>
        <w:t>2018</w:t>
      </w:r>
      <w:r w:rsidR="004179CD" w:rsidRPr="00530906">
        <w:rPr>
          <w:rFonts w:ascii="Cambria" w:hAnsi="Cambria" w:cs="Segoe UI"/>
          <w:sz w:val="24"/>
          <w:szCs w:val="24"/>
          <w:u w:val="single"/>
        </w:rPr>
        <w:t>–</w:t>
      </w:r>
      <w:r w:rsidRPr="00530906">
        <w:rPr>
          <w:rFonts w:ascii="Cambria" w:hAnsi="Cambria" w:cs="Segoe UI"/>
          <w:sz w:val="24"/>
          <w:szCs w:val="24"/>
          <w:u w:val="single"/>
        </w:rPr>
        <w:t>0483</w:t>
      </w:r>
    </w:p>
    <w:p w14:paraId="62B8D491" w14:textId="182A2486" w:rsidR="00BE5BB9" w:rsidRPr="00530906" w:rsidRDefault="00BE5BB9">
      <w:pPr>
        <w:spacing w:line="360" w:lineRule="auto"/>
        <w:ind w:left="567" w:hanging="567"/>
        <w:jc w:val="both"/>
        <w:rPr>
          <w:rFonts w:ascii="Cambria" w:hAnsi="Cambria"/>
          <w:sz w:val="24"/>
          <w:szCs w:val="24"/>
        </w:rPr>
      </w:pPr>
      <w:r w:rsidRPr="00530906">
        <w:rPr>
          <w:rFonts w:ascii="Cambria" w:hAnsi="Cambria"/>
          <w:sz w:val="24"/>
          <w:szCs w:val="24"/>
        </w:rPr>
        <w:t xml:space="preserve">Weforum.org (2018) </w:t>
      </w:r>
      <w:r w:rsidRPr="00530906">
        <w:rPr>
          <w:rFonts w:ascii="Cambria" w:hAnsi="Cambria"/>
          <w:bCs/>
          <w:sz w:val="24"/>
          <w:szCs w:val="24"/>
        </w:rPr>
        <w:t>Companies need to be born socially responsible. Here are 10 reasons why Available from</w:t>
      </w:r>
      <w:r w:rsidRPr="00530906">
        <w:rPr>
          <w:rFonts w:ascii="Cambria" w:hAnsi="Cambria"/>
          <w:b/>
          <w:bCs/>
          <w:sz w:val="24"/>
          <w:szCs w:val="24"/>
        </w:rPr>
        <w:t xml:space="preserve">: </w:t>
      </w:r>
      <w:r w:rsidRPr="00530906">
        <w:rPr>
          <w:rFonts w:ascii="Cambria" w:hAnsi="Cambria"/>
          <w:sz w:val="24"/>
          <w:szCs w:val="24"/>
        </w:rPr>
        <w:t xml:space="preserve"> (</w:t>
      </w:r>
      <w:hyperlink r:id="rId195" w:history="1">
        <w:r w:rsidR="005373EE" w:rsidRPr="00530906">
          <w:rPr>
            <w:rStyle w:val="Hyperlink"/>
            <w:rFonts w:ascii="Cambria" w:hAnsi="Cambria"/>
            <w:sz w:val="24"/>
            <w:szCs w:val="24"/>
          </w:rPr>
          <w:t>https://www.weforum.org/agenda/2018/03/companies-need-to-be-born-socially-responsible-here-s-why/</w:t>
        </w:r>
      </w:hyperlink>
      <w:r w:rsidRPr="00530906">
        <w:rPr>
          <w:rFonts w:ascii="Cambria" w:hAnsi="Cambria"/>
          <w:sz w:val="24"/>
          <w:szCs w:val="24"/>
        </w:rPr>
        <w:t xml:space="preserve">)(accessed on </w:t>
      </w:r>
      <w:r w:rsidR="005373EE" w:rsidRPr="00530906">
        <w:rPr>
          <w:rFonts w:ascii="Cambria" w:hAnsi="Cambria"/>
          <w:sz w:val="24"/>
          <w:szCs w:val="24"/>
        </w:rPr>
        <w:t>30</w:t>
      </w:r>
      <w:r w:rsidRPr="00530906">
        <w:rPr>
          <w:rFonts w:ascii="Cambria" w:hAnsi="Cambria"/>
          <w:sz w:val="24"/>
          <w:szCs w:val="24"/>
          <w:vertAlign w:val="superscript"/>
        </w:rPr>
        <w:t>th</w:t>
      </w:r>
      <w:r w:rsidRPr="00530906">
        <w:rPr>
          <w:rFonts w:ascii="Cambria" w:hAnsi="Cambria"/>
          <w:sz w:val="24"/>
          <w:szCs w:val="24"/>
        </w:rPr>
        <w:t xml:space="preserve"> May 202</w:t>
      </w:r>
      <w:r w:rsidR="005373EE" w:rsidRPr="00530906">
        <w:rPr>
          <w:rFonts w:ascii="Cambria" w:hAnsi="Cambria"/>
          <w:sz w:val="24"/>
          <w:szCs w:val="24"/>
        </w:rPr>
        <w:t>1</w:t>
      </w:r>
      <w:r w:rsidRPr="00530906">
        <w:rPr>
          <w:rFonts w:ascii="Cambria" w:hAnsi="Cambria"/>
          <w:sz w:val="24"/>
          <w:szCs w:val="24"/>
        </w:rPr>
        <w:t>)</w:t>
      </w:r>
    </w:p>
    <w:p w14:paraId="24DAA59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Weforum.org (2019) From Greenpeace to Greta, this is how environmentalism became mainstream </w:t>
      </w:r>
      <w:hyperlink r:id="rId196" w:history="1">
        <w:r w:rsidRPr="00530906">
          <w:rPr>
            <w:rStyle w:val="Hyperlink"/>
            <w:rFonts w:ascii="Cambria" w:hAnsi="Cambria"/>
            <w:color w:val="auto"/>
            <w:sz w:val="24"/>
            <w:szCs w:val="24"/>
          </w:rPr>
          <w:t>https://www.weforum.org/agenda/2019/10/this–is–how–climate–science–went–mainstream?fbclid=IwAR3sDdJqY21jRGlSLmoGr2vl6yTOCzZK4csk2UsoXyVcYmQxdx4H3bkyXPI</w:t>
        </w:r>
      </w:hyperlink>
      <w:r w:rsidRPr="00530906">
        <w:rPr>
          <w:rFonts w:ascii="Cambria" w:hAnsi="Cambria"/>
          <w:sz w:val="24"/>
          <w:szCs w:val="24"/>
        </w:rPr>
        <w:t xml:space="preserve"> (Accessed  15</w:t>
      </w:r>
      <w:r w:rsidRPr="00530906">
        <w:rPr>
          <w:rFonts w:ascii="Cambria" w:hAnsi="Cambria"/>
          <w:sz w:val="24"/>
          <w:szCs w:val="24"/>
          <w:vertAlign w:val="superscript"/>
        </w:rPr>
        <w:t>th</w:t>
      </w:r>
      <w:r w:rsidRPr="00530906">
        <w:rPr>
          <w:rFonts w:ascii="Cambria" w:hAnsi="Cambria"/>
          <w:sz w:val="24"/>
          <w:szCs w:val="24"/>
        </w:rPr>
        <w:t xml:space="preserve"> January 2021)</w:t>
      </w:r>
    </w:p>
    <w:p w14:paraId="731092D6"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WBCSD (2018). Sustainable–consumption Facts and Trends From a business perspective, The Business Role Focus Area. Retrieved from http://www.saiplatform.org/uploads/Modules/Library/WBCSD_Sustainable_Consumption_web.pdf</w:t>
      </w:r>
    </w:p>
    <w:p w14:paraId="5DDDFFEB" w14:textId="56BDF4F1" w:rsidR="007E4999" w:rsidRDefault="007E4999">
      <w:pPr>
        <w:spacing w:line="360" w:lineRule="auto"/>
        <w:ind w:left="567" w:hanging="567"/>
        <w:jc w:val="both"/>
        <w:rPr>
          <w:rFonts w:ascii="Cambria" w:hAnsi="Cambria"/>
          <w:sz w:val="24"/>
          <w:szCs w:val="24"/>
        </w:rPr>
      </w:pPr>
      <w:r w:rsidRPr="00530906">
        <w:rPr>
          <w:rFonts w:ascii="Cambria" w:hAnsi="Cambria"/>
          <w:sz w:val="24"/>
          <w:szCs w:val="24"/>
        </w:rPr>
        <w:t>Wei, C.</w:t>
      </w:r>
      <w:r w:rsidR="006F06D1" w:rsidRPr="00530906">
        <w:rPr>
          <w:rFonts w:ascii="Cambria" w:hAnsi="Cambria"/>
          <w:sz w:val="24"/>
          <w:szCs w:val="24"/>
        </w:rPr>
        <w:t xml:space="preserve"> </w:t>
      </w:r>
      <w:r w:rsidRPr="00530906">
        <w:rPr>
          <w:rFonts w:ascii="Cambria" w:hAnsi="Cambria"/>
          <w:sz w:val="24"/>
          <w:szCs w:val="24"/>
        </w:rPr>
        <w:t>F., Chiang, C.</w:t>
      </w:r>
      <w:r w:rsidR="006F06D1" w:rsidRPr="00530906">
        <w:rPr>
          <w:rFonts w:ascii="Cambria" w:hAnsi="Cambria"/>
          <w:sz w:val="24"/>
          <w:szCs w:val="24"/>
        </w:rPr>
        <w:t xml:space="preserve"> </w:t>
      </w:r>
      <w:r w:rsidRPr="00530906">
        <w:rPr>
          <w:rFonts w:ascii="Cambria" w:hAnsi="Cambria"/>
          <w:sz w:val="24"/>
          <w:szCs w:val="24"/>
        </w:rPr>
        <w:t>T., Kou, T.</w:t>
      </w:r>
      <w:r w:rsidR="006F06D1" w:rsidRPr="00530906">
        <w:rPr>
          <w:rFonts w:ascii="Cambria" w:hAnsi="Cambria"/>
          <w:sz w:val="24"/>
          <w:szCs w:val="24"/>
        </w:rPr>
        <w:t xml:space="preserve"> </w:t>
      </w:r>
      <w:r w:rsidRPr="00530906">
        <w:rPr>
          <w:rFonts w:ascii="Cambria" w:hAnsi="Cambria"/>
          <w:sz w:val="24"/>
          <w:szCs w:val="24"/>
        </w:rPr>
        <w:t>C. and Lee, B.</w:t>
      </w:r>
      <w:r w:rsidR="006F06D1" w:rsidRPr="00530906">
        <w:rPr>
          <w:rFonts w:ascii="Cambria" w:hAnsi="Cambria"/>
          <w:sz w:val="24"/>
          <w:szCs w:val="24"/>
        </w:rPr>
        <w:t xml:space="preserve"> </w:t>
      </w:r>
      <w:r w:rsidRPr="00530906">
        <w:rPr>
          <w:rFonts w:ascii="Cambria" w:hAnsi="Cambria"/>
          <w:sz w:val="24"/>
          <w:szCs w:val="24"/>
        </w:rPr>
        <w:t>C.</w:t>
      </w:r>
      <w:r w:rsidR="006F06D1" w:rsidRPr="00530906">
        <w:rPr>
          <w:rFonts w:ascii="Cambria" w:hAnsi="Cambria"/>
          <w:sz w:val="24"/>
          <w:szCs w:val="24"/>
        </w:rPr>
        <w:t xml:space="preserve"> </w:t>
      </w:r>
      <w:r w:rsidRPr="00530906">
        <w:rPr>
          <w:rFonts w:ascii="Cambria" w:hAnsi="Cambria"/>
          <w:sz w:val="24"/>
          <w:szCs w:val="24"/>
        </w:rPr>
        <w:t xml:space="preserve">Y. (2017) 'Toward Sustainable Livelihoods: Investigating the Drivers of Purchase Behavior for Green Products', Business Strategy &amp; the Environment (John Wiley &amp; Sons, Inc), 26(5), pp. 626–639. </w:t>
      </w:r>
    </w:p>
    <w:p w14:paraId="506AA953" w14:textId="3106520E" w:rsidR="00964A12" w:rsidRPr="00530906" w:rsidRDefault="00964A12">
      <w:pPr>
        <w:spacing w:line="360" w:lineRule="auto"/>
        <w:ind w:left="567" w:hanging="567"/>
        <w:jc w:val="both"/>
        <w:rPr>
          <w:rFonts w:ascii="Cambria" w:hAnsi="Cambria"/>
          <w:sz w:val="24"/>
          <w:szCs w:val="24"/>
        </w:rPr>
      </w:pPr>
      <w:r>
        <w:rPr>
          <w:rFonts w:ascii="Segoe UI" w:hAnsi="Segoe UI" w:cs="Segoe UI"/>
        </w:rPr>
        <w:t xml:space="preserve">Wei, L., Yang, G., Shoenberger, H. and Shen, F. (2021) 'Interacting with Social Media Ads: Effects of Carousel Advertising and Message Type on Health Outcomes', </w:t>
      </w:r>
      <w:r>
        <w:rPr>
          <w:rFonts w:ascii="Segoe UI" w:hAnsi="Segoe UI" w:cs="Segoe UI"/>
          <w:i/>
          <w:iCs/>
        </w:rPr>
        <w:t>Journal of Interactive Advertising</w:t>
      </w:r>
      <w:r>
        <w:rPr>
          <w:rFonts w:ascii="Segoe UI" w:hAnsi="Segoe UI" w:cs="Segoe UI"/>
        </w:rPr>
        <w:t>, 21(3), pp. 269-282.</w:t>
      </w:r>
    </w:p>
    <w:p w14:paraId="7C8C54A4"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Whetten, D. A. (1989) ‘What Constitutes a Theoretical Contribution?’, </w:t>
      </w:r>
      <w:r w:rsidRPr="00530906">
        <w:rPr>
          <w:rFonts w:ascii="Cambria" w:hAnsi="Cambria"/>
          <w:i/>
          <w:sz w:val="24"/>
          <w:szCs w:val="24"/>
        </w:rPr>
        <w:t>The Academy of Management Review</w:t>
      </w:r>
      <w:r w:rsidRPr="00530906">
        <w:rPr>
          <w:rFonts w:ascii="Cambria" w:hAnsi="Cambria"/>
          <w:sz w:val="24"/>
          <w:szCs w:val="24"/>
        </w:rPr>
        <w:t xml:space="preserve">, 14(4), pp. 490–495. doi: 10.2307/258554. </w:t>
      </w:r>
    </w:p>
    <w:p w14:paraId="1B79298B" w14:textId="1D233B3B"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White, K., MacDonnell, R. and Dahl, D.</w:t>
      </w:r>
      <w:r w:rsidR="006F06D1" w:rsidRPr="00530906">
        <w:rPr>
          <w:rFonts w:ascii="Cambria" w:hAnsi="Cambria" w:cs="Segoe UI"/>
          <w:sz w:val="24"/>
          <w:szCs w:val="24"/>
        </w:rPr>
        <w:t xml:space="preserve"> </w:t>
      </w:r>
      <w:r w:rsidRPr="00530906">
        <w:rPr>
          <w:rFonts w:ascii="Cambria" w:hAnsi="Cambria" w:cs="Segoe UI"/>
          <w:sz w:val="24"/>
          <w:szCs w:val="24"/>
        </w:rPr>
        <w:t xml:space="preserve">W. (2011) 'It's the mind–set that matters: The role of construal level and message framing in influencing consumer efficacy and conservation behaviors', </w:t>
      </w:r>
      <w:r w:rsidRPr="00530906">
        <w:rPr>
          <w:rFonts w:ascii="Cambria" w:hAnsi="Cambria" w:cs="Segoe UI"/>
          <w:i/>
          <w:iCs/>
          <w:sz w:val="24"/>
          <w:szCs w:val="24"/>
        </w:rPr>
        <w:t>Journal of Marketing Research</w:t>
      </w:r>
      <w:r w:rsidRPr="00530906">
        <w:rPr>
          <w:rFonts w:ascii="Cambria" w:hAnsi="Cambria" w:cs="Segoe UI"/>
          <w:sz w:val="24"/>
          <w:szCs w:val="24"/>
        </w:rPr>
        <w:t>, 48(3), pp. 472–485. Doi: 10.1509/jmkr.48.3.472</w:t>
      </w:r>
    </w:p>
    <w:p w14:paraId="123B8447" w14:textId="77777777"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 xml:space="preserve">White, K. and Simpson, B. (2013) 'When Do (and Don’t) Normative Appeals Influence Sustainable Consumer Behaviors?', </w:t>
      </w:r>
      <w:r w:rsidRPr="00530906">
        <w:rPr>
          <w:rFonts w:ascii="Cambria" w:hAnsi="Cambria" w:cs="Segoe UI"/>
          <w:i/>
          <w:iCs/>
          <w:sz w:val="24"/>
          <w:szCs w:val="24"/>
        </w:rPr>
        <w:t>Journal of Marketing</w:t>
      </w:r>
      <w:r w:rsidRPr="00530906">
        <w:rPr>
          <w:rFonts w:ascii="Cambria" w:hAnsi="Cambria" w:cs="Segoe UI"/>
          <w:sz w:val="24"/>
          <w:szCs w:val="24"/>
        </w:rPr>
        <w:t>, 77, pp. 78–95. Doi: 10.1509/jm.11.0278</w:t>
      </w:r>
    </w:p>
    <w:p w14:paraId="104E55E9"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Wilcox, K. and Stephen, A. T. (2013) ‘Are Close Friends the Enemy? Online Social Networks, Self–Esteem, and Self–Control’, </w:t>
      </w:r>
      <w:r w:rsidRPr="00530906">
        <w:rPr>
          <w:rFonts w:ascii="Cambria" w:hAnsi="Cambria"/>
          <w:i/>
          <w:sz w:val="24"/>
          <w:szCs w:val="24"/>
        </w:rPr>
        <w:t>Journal of Consumer Research</w:t>
      </w:r>
      <w:r w:rsidRPr="00530906">
        <w:rPr>
          <w:rFonts w:ascii="Cambria" w:hAnsi="Cambria"/>
          <w:sz w:val="24"/>
          <w:szCs w:val="24"/>
        </w:rPr>
        <w:t xml:space="preserve">, 40(1), pp. 90–103. Doi: 10.1086/668794. </w:t>
      </w:r>
    </w:p>
    <w:p w14:paraId="1D69538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Wirtz, J., den Ambtman, A., Bloemer, J. Horváth, C., Ramaseshan, B., van deKlundert, J., Canli, Z. G., and Kandampully, J. (2013) ‘Managing brands and customer engagement in online brand communities’, </w:t>
      </w:r>
      <w:r w:rsidRPr="00530906">
        <w:rPr>
          <w:rFonts w:ascii="Cambria" w:hAnsi="Cambria"/>
          <w:i/>
          <w:sz w:val="24"/>
          <w:szCs w:val="24"/>
        </w:rPr>
        <w:t>Journal of Service Management</w:t>
      </w:r>
      <w:r w:rsidRPr="00530906">
        <w:rPr>
          <w:rFonts w:ascii="Cambria" w:hAnsi="Cambria"/>
          <w:sz w:val="24"/>
          <w:szCs w:val="24"/>
        </w:rPr>
        <w:t xml:space="preserve">, 24(3), pp. 223–244. doi:10.1108/09564231311326978. </w:t>
      </w:r>
    </w:p>
    <w:p w14:paraId="6CB618BD"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Wu, P. F. (2013). In search of negativity bias: An empirical study of perceived helpfulness of online reviews. </w:t>
      </w:r>
      <w:r w:rsidRPr="00530906">
        <w:rPr>
          <w:rFonts w:ascii="Cambria" w:hAnsi="Cambria" w:cs="Arial"/>
          <w:i/>
          <w:iCs/>
          <w:sz w:val="24"/>
          <w:szCs w:val="24"/>
          <w:shd w:val="clear" w:color="auto" w:fill="FFFFFF"/>
        </w:rPr>
        <w:t>Psychology &amp; Marketing</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30</w:t>
      </w:r>
      <w:r w:rsidRPr="00530906">
        <w:rPr>
          <w:rFonts w:ascii="Cambria" w:hAnsi="Cambria" w:cs="Arial"/>
          <w:sz w:val="24"/>
          <w:szCs w:val="24"/>
          <w:shd w:val="clear" w:color="auto" w:fill="FFFFFF"/>
        </w:rPr>
        <w:t>(11), 971–984. Doi: 10.1002/mar.20660</w:t>
      </w:r>
    </w:p>
    <w:p w14:paraId="1A0EFA0A" w14:textId="46EB09F8" w:rsidR="007E4999" w:rsidRPr="00530906" w:rsidRDefault="007E4999">
      <w:pPr>
        <w:spacing w:line="360" w:lineRule="auto"/>
        <w:ind w:left="567" w:hanging="567"/>
        <w:jc w:val="both"/>
        <w:rPr>
          <w:sz w:val="24"/>
          <w:szCs w:val="24"/>
        </w:rPr>
      </w:pPr>
      <w:r w:rsidRPr="00530906">
        <w:rPr>
          <w:rFonts w:ascii="Cambria" w:hAnsi="Cambria"/>
          <w:sz w:val="24"/>
          <w:szCs w:val="24"/>
        </w:rPr>
        <w:t>Wu, C.</w:t>
      </w:r>
      <w:r w:rsidR="006E2518" w:rsidRPr="00530906">
        <w:rPr>
          <w:rFonts w:ascii="Cambria" w:hAnsi="Cambria"/>
          <w:sz w:val="24"/>
          <w:szCs w:val="24"/>
        </w:rPr>
        <w:t xml:space="preserve"> </w:t>
      </w:r>
      <w:r w:rsidRPr="00530906">
        <w:rPr>
          <w:rFonts w:ascii="Cambria" w:hAnsi="Cambria"/>
          <w:sz w:val="24"/>
          <w:szCs w:val="24"/>
        </w:rPr>
        <w:t>S., Zhou, X.</w:t>
      </w:r>
      <w:r w:rsidR="006E2518" w:rsidRPr="00530906">
        <w:rPr>
          <w:rFonts w:ascii="Cambria" w:hAnsi="Cambria"/>
          <w:sz w:val="24"/>
          <w:szCs w:val="24"/>
        </w:rPr>
        <w:t xml:space="preserve"> </w:t>
      </w:r>
      <w:r w:rsidRPr="00530906">
        <w:rPr>
          <w:rFonts w:ascii="Cambria" w:hAnsi="Cambria"/>
          <w:sz w:val="24"/>
          <w:szCs w:val="24"/>
        </w:rPr>
        <w:t>X. and Song, M. (2016) 'Sustainable consumer behavior in China: an empirical analysis from the Midwest regions', Journal of Cleaner Production, 134, pp. 147–165. Doi: 10.1016/j.jclepro.2015.06.057</w:t>
      </w:r>
    </w:p>
    <w:p w14:paraId="184D503F" w14:textId="69C10705" w:rsidR="007E4999" w:rsidRPr="00530906" w:rsidRDefault="007E4999" w:rsidP="008756B1">
      <w:pPr>
        <w:spacing w:line="360" w:lineRule="auto"/>
        <w:ind w:left="567" w:hanging="567"/>
        <w:jc w:val="both"/>
        <w:rPr>
          <w:sz w:val="24"/>
          <w:szCs w:val="24"/>
        </w:rPr>
      </w:pPr>
      <w:r w:rsidRPr="00530906">
        <w:rPr>
          <w:rFonts w:ascii="Cambria" w:hAnsi="Cambria" w:cs="Segoe UI"/>
          <w:sz w:val="24"/>
          <w:szCs w:val="24"/>
        </w:rPr>
        <w:t>Xie, K. and Lee, Y.</w:t>
      </w:r>
      <w:r w:rsidR="004179CD" w:rsidRPr="00530906">
        <w:rPr>
          <w:rFonts w:ascii="Cambria" w:hAnsi="Cambria" w:cs="Segoe UI"/>
          <w:sz w:val="24"/>
          <w:szCs w:val="24"/>
        </w:rPr>
        <w:t>–</w:t>
      </w:r>
      <w:r w:rsidRPr="00530906">
        <w:rPr>
          <w:rFonts w:ascii="Cambria" w:hAnsi="Cambria" w:cs="Segoe UI"/>
          <w:sz w:val="24"/>
          <w:szCs w:val="24"/>
        </w:rPr>
        <w:t>J. (2015) 'Social Media and Brand Purchase: Quantifying the Effects of Exposures to Earned and Owned Social Media Activities in a Two</w:t>
      </w:r>
      <w:r w:rsidR="004179CD" w:rsidRPr="00530906">
        <w:rPr>
          <w:rFonts w:ascii="Cambria" w:hAnsi="Cambria" w:cs="Segoe UI"/>
          <w:sz w:val="24"/>
          <w:szCs w:val="24"/>
        </w:rPr>
        <w:t>–</w:t>
      </w:r>
      <w:r w:rsidRPr="00530906">
        <w:rPr>
          <w:rFonts w:ascii="Cambria" w:hAnsi="Cambria" w:cs="Segoe UI"/>
          <w:sz w:val="24"/>
          <w:szCs w:val="24"/>
        </w:rPr>
        <w:t xml:space="preserve">Stage Decision Making Model', </w:t>
      </w:r>
      <w:r w:rsidRPr="00530906">
        <w:rPr>
          <w:rFonts w:ascii="Cambria" w:hAnsi="Cambria" w:cs="Segoe UI"/>
          <w:i/>
          <w:iCs/>
          <w:sz w:val="24"/>
          <w:szCs w:val="24"/>
        </w:rPr>
        <w:t>Journal of Management Information Systems</w:t>
      </w:r>
      <w:r w:rsidRPr="00530906">
        <w:rPr>
          <w:rFonts w:ascii="Cambria" w:hAnsi="Cambria" w:cs="Segoe UI"/>
          <w:sz w:val="24"/>
          <w:szCs w:val="24"/>
        </w:rPr>
        <w:t>, 32(2), pp. 204</w:t>
      </w:r>
      <w:r w:rsidR="004179CD" w:rsidRPr="00530906">
        <w:rPr>
          <w:rFonts w:ascii="Cambria" w:hAnsi="Cambria" w:cs="Segoe UI"/>
          <w:sz w:val="24"/>
          <w:szCs w:val="24"/>
        </w:rPr>
        <w:t>–</w:t>
      </w:r>
      <w:r w:rsidRPr="00530906">
        <w:rPr>
          <w:rFonts w:ascii="Cambria" w:hAnsi="Cambria" w:cs="Segoe UI"/>
          <w:sz w:val="24"/>
          <w:szCs w:val="24"/>
        </w:rPr>
        <w:t>238. Doi: 10.1080/07421222.2015.1063297</w:t>
      </w:r>
    </w:p>
    <w:p w14:paraId="690C4AEA"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Yadav, R. and Pathak, G.S. (2017) 'Determinants of Consumers' Green Purchase Behavior in a Developing Nation: Applying and Extending the Theory of Planned Behavior', Ecological Economics, 134, pp. 114–122. </w:t>
      </w:r>
    </w:p>
    <w:p w14:paraId="68B9134C" w14:textId="5FFCB865" w:rsidR="003B1272" w:rsidRPr="00530906" w:rsidRDefault="003B1272">
      <w:pPr>
        <w:spacing w:line="360" w:lineRule="auto"/>
        <w:ind w:left="567" w:hanging="567"/>
        <w:jc w:val="both"/>
        <w:rPr>
          <w:rFonts w:ascii="Cambria" w:hAnsi="Cambria"/>
          <w:sz w:val="24"/>
          <w:szCs w:val="24"/>
        </w:rPr>
      </w:pPr>
      <w:r w:rsidRPr="00530906">
        <w:rPr>
          <w:rFonts w:ascii="Cambria" w:hAnsi="Cambria" w:cs="Segoe UI"/>
          <w:sz w:val="24"/>
          <w:szCs w:val="24"/>
        </w:rPr>
        <w:t xml:space="preserve">Yannopoulou, N., Liu, M.J., Bian, X. and Heath, T. (2019) 'Exploring social change through social media: The case of the Facebook group Indignant Citizens', </w:t>
      </w:r>
      <w:r w:rsidRPr="00530906">
        <w:rPr>
          <w:rFonts w:ascii="Cambria" w:hAnsi="Cambria" w:cs="Segoe UI"/>
          <w:i/>
          <w:iCs/>
          <w:sz w:val="24"/>
          <w:szCs w:val="24"/>
        </w:rPr>
        <w:t>International Journal of Consumer Studies</w:t>
      </w:r>
      <w:r w:rsidRPr="00530906">
        <w:rPr>
          <w:rFonts w:ascii="Cambria" w:hAnsi="Cambria" w:cs="Segoe UI"/>
          <w:sz w:val="24"/>
          <w:szCs w:val="24"/>
        </w:rPr>
        <w:t>, 43(4), pp. 348</w:t>
      </w:r>
      <w:r w:rsidR="004179CD" w:rsidRPr="00530906">
        <w:rPr>
          <w:rFonts w:ascii="Cambria" w:hAnsi="Cambria" w:cs="Segoe UI"/>
          <w:sz w:val="24"/>
          <w:szCs w:val="24"/>
        </w:rPr>
        <w:t>–</w:t>
      </w:r>
      <w:r w:rsidRPr="00530906">
        <w:rPr>
          <w:rFonts w:ascii="Cambria" w:hAnsi="Cambria" w:cs="Segoe UI"/>
          <w:sz w:val="24"/>
          <w:szCs w:val="24"/>
        </w:rPr>
        <w:t>357. Doi: 10.1111/ijcs.12514</w:t>
      </w:r>
    </w:p>
    <w:p w14:paraId="5E3FD3FB"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Yang, D., Lu, Y. Zhu, W. and Su, C. (2015) ‘Going green: How different advertising appeals impact green consumption behavior’, </w:t>
      </w:r>
      <w:r w:rsidRPr="00530906">
        <w:rPr>
          <w:rFonts w:ascii="Cambria" w:hAnsi="Cambria"/>
          <w:i/>
          <w:sz w:val="24"/>
          <w:szCs w:val="24"/>
        </w:rPr>
        <w:t xml:space="preserve">Journal of Business Research. </w:t>
      </w:r>
      <w:r w:rsidRPr="00530906">
        <w:rPr>
          <w:rFonts w:ascii="Cambria" w:hAnsi="Cambria"/>
          <w:sz w:val="24"/>
          <w:szCs w:val="24"/>
        </w:rPr>
        <w:t>68 (12) pp. 2663–2675. Doi:10.1016/j.jbusres.2015.04.004.</w:t>
      </w:r>
    </w:p>
    <w:p w14:paraId="0999B3B2" w14:textId="4A5FAE39"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Yani‐de‐Soriano, M., Foxall, G.</w:t>
      </w:r>
      <w:r w:rsidR="006E2518" w:rsidRPr="00530906">
        <w:rPr>
          <w:rFonts w:ascii="Cambria" w:hAnsi="Cambria"/>
          <w:sz w:val="24"/>
          <w:szCs w:val="24"/>
        </w:rPr>
        <w:t xml:space="preserve"> </w:t>
      </w:r>
      <w:r w:rsidRPr="00530906">
        <w:rPr>
          <w:rFonts w:ascii="Cambria" w:hAnsi="Cambria"/>
          <w:sz w:val="24"/>
          <w:szCs w:val="24"/>
        </w:rPr>
        <w:t>R. and Newman, A.</w:t>
      </w:r>
      <w:r w:rsidR="006E2518" w:rsidRPr="00530906">
        <w:rPr>
          <w:rFonts w:ascii="Cambria" w:hAnsi="Cambria"/>
          <w:sz w:val="24"/>
          <w:szCs w:val="24"/>
        </w:rPr>
        <w:t xml:space="preserve"> </w:t>
      </w:r>
      <w:r w:rsidRPr="00530906">
        <w:rPr>
          <w:rFonts w:ascii="Cambria" w:hAnsi="Cambria"/>
          <w:sz w:val="24"/>
          <w:szCs w:val="24"/>
        </w:rPr>
        <w:t xml:space="preserve">J., (2013), ‘The impact of the interaction of utilitarian and informational reinforcement and behavior setting scope on consumer response’, </w:t>
      </w:r>
      <w:r w:rsidRPr="00530906">
        <w:rPr>
          <w:rFonts w:ascii="Cambria" w:hAnsi="Cambria"/>
          <w:i/>
          <w:sz w:val="24"/>
          <w:szCs w:val="24"/>
        </w:rPr>
        <w:t>Psychology &amp; Marketing</w:t>
      </w:r>
      <w:r w:rsidRPr="00530906">
        <w:rPr>
          <w:rFonts w:ascii="Cambria" w:hAnsi="Cambria"/>
          <w:sz w:val="24"/>
          <w:szCs w:val="24"/>
        </w:rPr>
        <w:t>, 30(2), pp.148–159. DOI: 10.1002/mar.20594.</w:t>
      </w:r>
    </w:p>
    <w:p w14:paraId="688F65F0"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Yi, M. Y., Yoon, J. J., Davis, J. M., &amp; Lee, T. (2013). Untangling the antecedents of initial trust in Web–based health information: The roles of argument quality, source expertise, and user perceptions of information quality and risk. </w:t>
      </w:r>
      <w:r w:rsidRPr="00530906">
        <w:rPr>
          <w:rFonts w:ascii="Cambria" w:hAnsi="Cambria" w:cs="Arial"/>
          <w:i/>
          <w:iCs/>
          <w:sz w:val="24"/>
          <w:szCs w:val="24"/>
          <w:shd w:val="clear" w:color="auto" w:fill="FFFFFF"/>
        </w:rPr>
        <w:t>Decision support systems</w:t>
      </w:r>
      <w:r w:rsidRPr="00530906">
        <w:rPr>
          <w:rFonts w:ascii="Cambria" w:hAnsi="Cambria" w:cs="Arial"/>
          <w:sz w:val="24"/>
          <w:szCs w:val="24"/>
          <w:shd w:val="clear" w:color="auto" w:fill="FFFFFF"/>
        </w:rPr>
        <w:t>, </w:t>
      </w:r>
      <w:r w:rsidRPr="00530906">
        <w:rPr>
          <w:rFonts w:ascii="Cambria" w:hAnsi="Cambria" w:cs="Arial"/>
          <w:i/>
          <w:iCs/>
          <w:sz w:val="24"/>
          <w:szCs w:val="24"/>
          <w:shd w:val="clear" w:color="auto" w:fill="FFFFFF"/>
        </w:rPr>
        <w:t>55</w:t>
      </w:r>
      <w:r w:rsidRPr="00530906">
        <w:rPr>
          <w:rFonts w:ascii="Cambria" w:hAnsi="Cambria" w:cs="Arial"/>
          <w:sz w:val="24"/>
          <w:szCs w:val="24"/>
          <w:shd w:val="clear" w:color="auto" w:fill="FFFFFF"/>
        </w:rPr>
        <w:t xml:space="preserve">(1), 284–295. Doi: </w:t>
      </w:r>
      <w:hyperlink r:id="rId197" w:tgtFrame="_blank" w:tooltip="Persistent link using digital object identifier" w:history="1">
        <w:r w:rsidRPr="00530906">
          <w:rPr>
            <w:rStyle w:val="Hyperlink"/>
            <w:rFonts w:ascii="Cambria" w:hAnsi="Cambria" w:cs="Arial"/>
            <w:color w:val="auto"/>
            <w:sz w:val="24"/>
            <w:szCs w:val="24"/>
            <w:shd w:val="clear" w:color="auto" w:fill="FFFFFF"/>
          </w:rPr>
          <w:t>10.1016/j.dss.2013.01.029</w:t>
        </w:r>
      </w:hyperlink>
    </w:p>
    <w:p w14:paraId="6046A3D1" w14:textId="2E01FB2D"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Yim, M.</w:t>
      </w:r>
      <w:r w:rsidR="006E2518" w:rsidRPr="00530906">
        <w:rPr>
          <w:rFonts w:ascii="Cambria" w:hAnsi="Cambria" w:cs="Segoe UI"/>
          <w:sz w:val="24"/>
          <w:szCs w:val="24"/>
        </w:rPr>
        <w:t xml:space="preserve"> </w:t>
      </w:r>
      <w:r w:rsidRPr="00530906">
        <w:rPr>
          <w:rFonts w:ascii="Cambria" w:hAnsi="Cambria" w:cs="Segoe UI"/>
          <w:sz w:val="24"/>
          <w:szCs w:val="24"/>
        </w:rPr>
        <w:t>Y.</w:t>
      </w:r>
      <w:r w:rsidR="006E2518" w:rsidRPr="00530906">
        <w:rPr>
          <w:rFonts w:ascii="Cambria" w:hAnsi="Cambria" w:cs="Segoe UI"/>
          <w:sz w:val="24"/>
          <w:szCs w:val="24"/>
        </w:rPr>
        <w:t xml:space="preserve"> </w:t>
      </w:r>
      <w:r w:rsidRPr="00530906">
        <w:rPr>
          <w:rFonts w:ascii="Cambria" w:hAnsi="Cambria" w:cs="Segoe UI"/>
          <w:sz w:val="24"/>
          <w:szCs w:val="24"/>
        </w:rPr>
        <w:t>C., Baek, T.</w:t>
      </w:r>
      <w:r w:rsidR="006E2518" w:rsidRPr="00530906">
        <w:rPr>
          <w:rFonts w:ascii="Cambria" w:hAnsi="Cambria" w:cs="Segoe UI"/>
          <w:sz w:val="24"/>
          <w:szCs w:val="24"/>
        </w:rPr>
        <w:t xml:space="preserve"> </w:t>
      </w:r>
      <w:r w:rsidRPr="00530906">
        <w:rPr>
          <w:rFonts w:ascii="Cambria" w:hAnsi="Cambria" w:cs="Segoe UI"/>
          <w:sz w:val="24"/>
          <w:szCs w:val="24"/>
        </w:rPr>
        <w:t>H. and Sauer, P.</w:t>
      </w:r>
      <w:r w:rsidR="006E2518" w:rsidRPr="00530906">
        <w:rPr>
          <w:rFonts w:ascii="Cambria" w:hAnsi="Cambria" w:cs="Segoe UI"/>
          <w:sz w:val="24"/>
          <w:szCs w:val="24"/>
        </w:rPr>
        <w:t xml:space="preserve"> </w:t>
      </w:r>
      <w:r w:rsidRPr="00530906">
        <w:rPr>
          <w:rFonts w:ascii="Cambria" w:hAnsi="Cambria" w:cs="Segoe UI"/>
          <w:sz w:val="24"/>
          <w:szCs w:val="24"/>
        </w:rPr>
        <w:t xml:space="preserve">L. (2018) 'I See Myself in Service and Product Consumptions: Measuring Self–transformative Consumption Vision (SCV) Evoked by Static and Rich Media', </w:t>
      </w:r>
      <w:r w:rsidRPr="00530906">
        <w:rPr>
          <w:rFonts w:ascii="Cambria" w:hAnsi="Cambria" w:cs="Segoe UI"/>
          <w:i/>
          <w:iCs/>
          <w:sz w:val="24"/>
          <w:szCs w:val="24"/>
        </w:rPr>
        <w:t>Journal of Interactive Marketing</w:t>
      </w:r>
      <w:r w:rsidRPr="00530906">
        <w:rPr>
          <w:rFonts w:ascii="Cambria" w:hAnsi="Cambria" w:cs="Segoe UI"/>
          <w:sz w:val="24"/>
          <w:szCs w:val="24"/>
        </w:rPr>
        <w:t xml:space="preserve">, 44(1), pp. 122–139. Doi: 10.1016/j.intmar.2018.07.001. </w:t>
      </w:r>
    </w:p>
    <w:p w14:paraId="11077DE4" w14:textId="569C8ED5" w:rsidR="007E4999" w:rsidRPr="00530906" w:rsidRDefault="007E4999">
      <w:pPr>
        <w:spacing w:line="360" w:lineRule="auto"/>
        <w:ind w:left="567" w:hanging="567"/>
        <w:jc w:val="both"/>
        <w:rPr>
          <w:rFonts w:ascii="Cambria" w:hAnsi="Cambria" w:cs="Segoe UI"/>
          <w:sz w:val="24"/>
          <w:szCs w:val="24"/>
        </w:rPr>
      </w:pPr>
      <w:r w:rsidRPr="00530906">
        <w:rPr>
          <w:rFonts w:ascii="Cambria" w:hAnsi="Cambria" w:cs="Segoe UI"/>
          <w:sz w:val="24"/>
          <w:szCs w:val="24"/>
        </w:rPr>
        <w:t>Yim, M.</w:t>
      </w:r>
      <w:r w:rsidR="006E2518" w:rsidRPr="00530906">
        <w:rPr>
          <w:rFonts w:ascii="Cambria" w:hAnsi="Cambria" w:cs="Segoe UI"/>
          <w:sz w:val="24"/>
          <w:szCs w:val="24"/>
        </w:rPr>
        <w:t xml:space="preserve"> </w:t>
      </w:r>
      <w:r w:rsidRPr="00530906">
        <w:rPr>
          <w:rFonts w:ascii="Cambria" w:hAnsi="Cambria" w:cs="Segoe UI"/>
          <w:sz w:val="24"/>
          <w:szCs w:val="24"/>
        </w:rPr>
        <w:t>Y.</w:t>
      </w:r>
      <w:r w:rsidR="006E2518" w:rsidRPr="00530906">
        <w:rPr>
          <w:rFonts w:ascii="Cambria" w:hAnsi="Cambria" w:cs="Segoe UI"/>
          <w:sz w:val="24"/>
          <w:szCs w:val="24"/>
        </w:rPr>
        <w:t xml:space="preserve"> </w:t>
      </w:r>
      <w:r w:rsidRPr="00530906">
        <w:rPr>
          <w:rFonts w:ascii="Cambria" w:hAnsi="Cambria" w:cs="Segoe UI"/>
          <w:sz w:val="24"/>
          <w:szCs w:val="24"/>
        </w:rPr>
        <w:t>C. and Yoo, C.</w:t>
      </w:r>
      <w:r w:rsidR="006E2518" w:rsidRPr="00530906">
        <w:rPr>
          <w:rFonts w:ascii="Cambria" w:hAnsi="Cambria" w:cs="Segoe UI"/>
          <w:sz w:val="24"/>
          <w:szCs w:val="24"/>
        </w:rPr>
        <w:t xml:space="preserve"> </w:t>
      </w:r>
      <w:r w:rsidRPr="00530906">
        <w:rPr>
          <w:rFonts w:ascii="Cambria" w:hAnsi="Cambria" w:cs="Segoe UI"/>
          <w:sz w:val="24"/>
          <w:szCs w:val="24"/>
        </w:rPr>
        <w:t xml:space="preserve">Y. (2020) 'Are Digital Menus Really Better than Traditional Menus? The Mediating Role of Consumption Visions and Menu Enjoyment ', </w:t>
      </w:r>
      <w:r w:rsidRPr="00530906">
        <w:rPr>
          <w:rFonts w:ascii="Cambria" w:hAnsi="Cambria" w:cs="Segoe UI"/>
          <w:i/>
          <w:iCs/>
          <w:sz w:val="24"/>
          <w:szCs w:val="24"/>
        </w:rPr>
        <w:t>Journal of Interactive Marketing</w:t>
      </w:r>
      <w:r w:rsidRPr="00530906">
        <w:rPr>
          <w:rFonts w:ascii="Cambria" w:hAnsi="Cambria" w:cs="Segoe UI"/>
          <w:sz w:val="24"/>
          <w:szCs w:val="24"/>
        </w:rPr>
        <w:t>, 50, pp. 65–80. Doi: 10.1016/j.intmar.2020.01.001</w:t>
      </w:r>
    </w:p>
    <w:p w14:paraId="4F2052AD" w14:textId="0D76B51B" w:rsidR="00401EDF" w:rsidRPr="00530906" w:rsidRDefault="00401EDF">
      <w:pPr>
        <w:spacing w:line="360" w:lineRule="auto"/>
        <w:ind w:left="567" w:hanging="567"/>
        <w:jc w:val="both"/>
        <w:rPr>
          <w:rFonts w:ascii="Cambria" w:hAnsi="Cambria" w:cs="Segoe UI"/>
          <w:sz w:val="24"/>
          <w:szCs w:val="24"/>
        </w:rPr>
      </w:pPr>
      <w:bookmarkStart w:id="178" w:name="_Hlk74654822"/>
      <w:r w:rsidRPr="00530906">
        <w:rPr>
          <w:rFonts w:ascii="Cambria" w:hAnsi="Cambria" w:cs="Arial"/>
          <w:color w:val="222222"/>
          <w:sz w:val="24"/>
          <w:szCs w:val="24"/>
          <w:shd w:val="clear" w:color="auto" w:fill="FFFFFF"/>
        </w:rPr>
        <w:t>Yoo, E., Rand, W., Eftekhar, M., and Rabinovich, E. (2016). Evaluating information diffusion speed and its determinants in social media networks during humanitarian crises. </w:t>
      </w:r>
      <w:r w:rsidRPr="00530906">
        <w:rPr>
          <w:rFonts w:ascii="Cambria" w:hAnsi="Cambria" w:cs="Arial"/>
          <w:i/>
          <w:iCs/>
          <w:color w:val="222222"/>
          <w:sz w:val="24"/>
          <w:szCs w:val="24"/>
          <w:shd w:val="clear" w:color="auto" w:fill="FFFFFF"/>
        </w:rPr>
        <w:t>Journal of Operations Management</w:t>
      </w:r>
      <w:r w:rsidRPr="00530906">
        <w:rPr>
          <w:rFonts w:ascii="Cambria" w:hAnsi="Cambria" w:cs="Arial"/>
          <w:color w:val="222222"/>
          <w:sz w:val="24"/>
          <w:szCs w:val="24"/>
          <w:shd w:val="clear" w:color="auto" w:fill="FFFFFF"/>
        </w:rPr>
        <w:t>, </w:t>
      </w:r>
      <w:r w:rsidRPr="00530906">
        <w:rPr>
          <w:rFonts w:ascii="Cambria" w:hAnsi="Cambria" w:cs="Arial"/>
          <w:i/>
          <w:iCs/>
          <w:color w:val="222222"/>
          <w:sz w:val="24"/>
          <w:szCs w:val="24"/>
          <w:shd w:val="clear" w:color="auto" w:fill="FFFFFF"/>
        </w:rPr>
        <w:t>45</w:t>
      </w:r>
      <w:r w:rsidRPr="00530906">
        <w:rPr>
          <w:rFonts w:ascii="Cambria" w:hAnsi="Cambria" w:cs="Arial"/>
          <w:color w:val="222222"/>
          <w:sz w:val="24"/>
          <w:szCs w:val="24"/>
          <w:shd w:val="clear" w:color="auto" w:fill="FFFFFF"/>
        </w:rPr>
        <w:t>, 123-133. Doi: 10.1016/j.jom.2016.05.007</w:t>
      </w:r>
    </w:p>
    <w:bookmarkEnd w:id="178"/>
    <w:p w14:paraId="67755C0F"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Yoon, G., Li, C., Ji, Y., North, M., Hong, C. and Liu, J. (2018) ‘Attracting Comments: Digital Engagement Metrics on Facebook and Financial Performance’, </w:t>
      </w:r>
      <w:r w:rsidRPr="00530906">
        <w:rPr>
          <w:rFonts w:ascii="Cambria" w:hAnsi="Cambria"/>
          <w:i/>
          <w:sz w:val="24"/>
          <w:szCs w:val="24"/>
        </w:rPr>
        <w:t>Journal of Advertising</w:t>
      </w:r>
      <w:r w:rsidRPr="00530906">
        <w:rPr>
          <w:rFonts w:ascii="Cambria" w:hAnsi="Cambria"/>
          <w:sz w:val="24"/>
          <w:szCs w:val="24"/>
        </w:rPr>
        <w:t>, 47(1) pp. 24–37, doi: 10.1080/00913367.2017.1405753.</w:t>
      </w:r>
    </w:p>
    <w:p w14:paraId="7A095849" w14:textId="7EEA9739" w:rsidR="007E4999" w:rsidRPr="00530906" w:rsidRDefault="007E4999">
      <w:pPr>
        <w:spacing w:line="360" w:lineRule="auto"/>
        <w:ind w:left="567" w:hanging="567"/>
        <w:jc w:val="both"/>
        <w:rPr>
          <w:sz w:val="24"/>
          <w:szCs w:val="24"/>
        </w:rPr>
      </w:pPr>
      <w:r w:rsidRPr="00530906">
        <w:rPr>
          <w:rFonts w:ascii="Cambria" w:hAnsi="Cambria"/>
          <w:sz w:val="24"/>
          <w:szCs w:val="24"/>
        </w:rPr>
        <w:t xml:space="preserve">Young, S. (2018) </w:t>
      </w:r>
      <w:r w:rsidRPr="00530906">
        <w:rPr>
          <w:rFonts w:ascii="Cambria" w:hAnsi="Cambria"/>
          <w:i/>
          <w:iCs/>
          <w:sz w:val="24"/>
          <w:szCs w:val="24"/>
        </w:rPr>
        <w:t xml:space="preserve">H&amp;M launches Conscious exclusive 2018 collection. </w:t>
      </w:r>
      <w:r w:rsidRPr="00530906">
        <w:rPr>
          <w:rFonts w:ascii="Cambria" w:hAnsi="Cambria"/>
          <w:sz w:val="24"/>
          <w:szCs w:val="24"/>
        </w:rPr>
        <w:t>Available at:</w:t>
      </w:r>
      <w:hyperlink r:id="rId198" w:history="1">
        <w:r w:rsidRPr="00530906">
          <w:rPr>
            <w:rStyle w:val="Hyperlink"/>
            <w:rFonts w:ascii="Cambria" w:hAnsi="Cambria"/>
            <w:color w:val="auto"/>
            <w:sz w:val="24"/>
            <w:szCs w:val="24"/>
          </w:rPr>
          <w:t>https://www.independent.co.uk/life–style/fashion/hm–conscious–exclusive–2018–collection–sustainable–organic–a8322011.html</w:t>
        </w:r>
      </w:hyperlink>
      <w:r w:rsidRPr="00530906">
        <w:rPr>
          <w:rFonts w:ascii="Cambria" w:hAnsi="Cambria"/>
          <w:sz w:val="24"/>
          <w:szCs w:val="24"/>
        </w:rPr>
        <w:t xml:space="preserve"> (Accessed date 04.03.2020)</w:t>
      </w:r>
    </w:p>
    <w:p w14:paraId="538CF097"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Zaglia, M. E. (2013) ‘Brand communities embedded in social networks’, </w:t>
      </w:r>
      <w:r w:rsidRPr="00530906">
        <w:rPr>
          <w:rFonts w:ascii="Cambria" w:hAnsi="Cambria"/>
          <w:i/>
          <w:sz w:val="24"/>
          <w:szCs w:val="24"/>
        </w:rPr>
        <w:t>Journal of Business Research,</w:t>
      </w:r>
      <w:r w:rsidRPr="00530906">
        <w:rPr>
          <w:rFonts w:ascii="Cambria" w:hAnsi="Cambria"/>
          <w:sz w:val="24"/>
          <w:szCs w:val="24"/>
        </w:rPr>
        <w:t xml:space="preserve"> 66(2), pp.  216–223. doi: 10.1016/j.jbusres.2012.07.015.</w:t>
      </w:r>
    </w:p>
    <w:p w14:paraId="60F6A54C" w14:textId="186B101D"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Zaichkowsky, J.</w:t>
      </w:r>
      <w:r w:rsidR="006E2518" w:rsidRPr="00530906">
        <w:rPr>
          <w:rFonts w:ascii="Cambria" w:hAnsi="Cambria"/>
          <w:sz w:val="24"/>
          <w:szCs w:val="24"/>
        </w:rPr>
        <w:t xml:space="preserve"> </w:t>
      </w:r>
      <w:r w:rsidRPr="00530906">
        <w:rPr>
          <w:rFonts w:ascii="Cambria" w:hAnsi="Cambria"/>
          <w:sz w:val="24"/>
          <w:szCs w:val="24"/>
        </w:rPr>
        <w:t>L., (1985). Measuring the involvement construct. Journal of consumer research, 12(3), pp.341–352. Doi: 10.1086/208520</w:t>
      </w:r>
    </w:p>
    <w:p w14:paraId="713049A5" w14:textId="5E55D6B1" w:rsidR="007E4999" w:rsidRPr="00530906" w:rsidRDefault="007E4999">
      <w:pPr>
        <w:spacing w:line="360" w:lineRule="auto"/>
        <w:ind w:left="567" w:hanging="567"/>
        <w:jc w:val="both"/>
        <w:rPr>
          <w:rFonts w:ascii="Cambria" w:hAnsi="Cambria"/>
          <w:sz w:val="24"/>
          <w:szCs w:val="24"/>
        </w:rPr>
      </w:pPr>
      <w:r w:rsidRPr="00530906">
        <w:rPr>
          <w:rFonts w:ascii="Cambria" w:hAnsi="Cambria" w:cs="Arial"/>
          <w:sz w:val="24"/>
          <w:szCs w:val="24"/>
          <w:shd w:val="clear" w:color="auto" w:fill="FFFFFF"/>
        </w:rPr>
        <w:t>Zaichkowsky, J.</w:t>
      </w:r>
      <w:r w:rsidR="006E2518" w:rsidRPr="00530906">
        <w:rPr>
          <w:rFonts w:ascii="Cambria" w:hAnsi="Cambria" w:cs="Arial"/>
          <w:sz w:val="24"/>
          <w:szCs w:val="24"/>
          <w:shd w:val="clear" w:color="auto" w:fill="FFFFFF"/>
        </w:rPr>
        <w:t xml:space="preserve"> </w:t>
      </w:r>
      <w:r w:rsidRPr="00530906">
        <w:rPr>
          <w:rFonts w:ascii="Cambria" w:hAnsi="Cambria" w:cs="Arial"/>
          <w:sz w:val="24"/>
          <w:szCs w:val="24"/>
          <w:shd w:val="clear" w:color="auto" w:fill="FFFFFF"/>
        </w:rPr>
        <w:t>L., (1987). The emotional affect of product involvement. </w:t>
      </w:r>
      <w:r w:rsidRPr="00530906">
        <w:rPr>
          <w:rFonts w:ascii="Cambria" w:hAnsi="Cambria" w:cs="Arial"/>
          <w:i/>
          <w:iCs/>
          <w:sz w:val="24"/>
          <w:szCs w:val="24"/>
          <w:shd w:val="clear" w:color="auto" w:fill="FFFFFF"/>
        </w:rPr>
        <w:t>ACR North American Advances</w:t>
      </w:r>
      <w:r w:rsidRPr="00530906">
        <w:rPr>
          <w:rFonts w:ascii="Cambria" w:hAnsi="Cambria" w:cs="Arial"/>
          <w:sz w:val="24"/>
          <w:szCs w:val="24"/>
          <w:shd w:val="clear" w:color="auto" w:fill="FFFFFF"/>
        </w:rPr>
        <w:t>.</w:t>
      </w:r>
    </w:p>
    <w:p w14:paraId="64863481" w14:textId="1E1A19F2"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Zaichkowsky, J.</w:t>
      </w:r>
      <w:r w:rsidR="006E2518" w:rsidRPr="00530906">
        <w:rPr>
          <w:rFonts w:ascii="Cambria" w:hAnsi="Cambria"/>
          <w:sz w:val="24"/>
          <w:szCs w:val="24"/>
        </w:rPr>
        <w:t xml:space="preserve"> </w:t>
      </w:r>
      <w:r w:rsidRPr="00530906">
        <w:rPr>
          <w:rFonts w:ascii="Cambria" w:hAnsi="Cambria"/>
          <w:sz w:val="24"/>
          <w:szCs w:val="24"/>
        </w:rPr>
        <w:t xml:space="preserve">L., (1994). The personal involvement inventory: Reduction, revision, and application to advertising. </w:t>
      </w:r>
      <w:r w:rsidRPr="00530906">
        <w:rPr>
          <w:rFonts w:ascii="Cambria" w:hAnsi="Cambria"/>
          <w:i/>
          <w:sz w:val="24"/>
          <w:szCs w:val="24"/>
        </w:rPr>
        <w:t>Journal of advertising</w:t>
      </w:r>
      <w:r w:rsidRPr="00530906">
        <w:rPr>
          <w:rFonts w:ascii="Cambria" w:hAnsi="Cambria"/>
          <w:sz w:val="24"/>
          <w:szCs w:val="24"/>
        </w:rPr>
        <w:t>, 23(4), pp.59–70. Doi: 10.1080/00913367.1943.10673459</w:t>
      </w:r>
    </w:p>
    <w:p w14:paraId="0B99128E" w14:textId="436EF0E0" w:rsidR="007E4999" w:rsidRPr="00530906" w:rsidRDefault="007E4999">
      <w:pPr>
        <w:spacing w:line="360" w:lineRule="auto"/>
        <w:ind w:left="567" w:hanging="567"/>
        <w:jc w:val="both"/>
        <w:rPr>
          <w:rFonts w:ascii="Cambria" w:hAnsi="Cambria"/>
          <w:sz w:val="24"/>
          <w:szCs w:val="24"/>
        </w:rPr>
      </w:pPr>
      <w:r w:rsidRPr="00530906">
        <w:rPr>
          <w:rFonts w:ascii="Cambria" w:hAnsi="Cambria" w:cs="Segoe UI"/>
          <w:sz w:val="24"/>
          <w:szCs w:val="24"/>
        </w:rPr>
        <w:t xml:space="preserve">Zheng, X., Cheung, C.M.K., Matthew, K.O.L. and Liang, L. (2015) 'Building brand loyalty through user engagement in online brand communities in social networking sites', </w:t>
      </w:r>
      <w:r w:rsidRPr="00530906">
        <w:rPr>
          <w:rFonts w:ascii="Cambria" w:hAnsi="Cambria" w:cs="Segoe UI"/>
          <w:i/>
          <w:iCs/>
          <w:sz w:val="24"/>
          <w:szCs w:val="24"/>
        </w:rPr>
        <w:t>Information Technology &amp; People</w:t>
      </w:r>
      <w:r w:rsidRPr="00530906">
        <w:rPr>
          <w:rFonts w:ascii="Cambria" w:hAnsi="Cambria" w:cs="Segoe UI"/>
          <w:sz w:val="24"/>
          <w:szCs w:val="24"/>
        </w:rPr>
        <w:t>, 28(1), pp. 90</w:t>
      </w:r>
      <w:r w:rsidR="004179CD" w:rsidRPr="00530906">
        <w:rPr>
          <w:rFonts w:ascii="Cambria" w:hAnsi="Cambria" w:cs="Segoe UI"/>
          <w:sz w:val="24"/>
          <w:szCs w:val="24"/>
        </w:rPr>
        <w:t>–</w:t>
      </w:r>
      <w:r w:rsidRPr="00530906">
        <w:rPr>
          <w:rFonts w:ascii="Cambria" w:hAnsi="Cambria" w:cs="Segoe UI"/>
          <w:sz w:val="24"/>
          <w:szCs w:val="24"/>
        </w:rPr>
        <w:t xml:space="preserve">106. Doi: </w:t>
      </w:r>
      <w:r w:rsidRPr="00530906">
        <w:rPr>
          <w:rFonts w:ascii="Cambria" w:hAnsi="Cambria" w:cs="Segoe UI"/>
          <w:sz w:val="24"/>
          <w:szCs w:val="24"/>
          <w:u w:val="single"/>
        </w:rPr>
        <w:t>10.1108/ITP</w:t>
      </w:r>
      <w:r w:rsidR="004179CD" w:rsidRPr="00530906">
        <w:rPr>
          <w:rFonts w:ascii="Cambria" w:hAnsi="Cambria" w:cs="Segoe UI"/>
          <w:sz w:val="24"/>
          <w:szCs w:val="24"/>
          <w:u w:val="single"/>
        </w:rPr>
        <w:t>–</w:t>
      </w:r>
      <w:r w:rsidRPr="00530906">
        <w:rPr>
          <w:rFonts w:ascii="Cambria" w:hAnsi="Cambria" w:cs="Segoe UI"/>
          <w:sz w:val="24"/>
          <w:szCs w:val="24"/>
          <w:u w:val="single"/>
        </w:rPr>
        <w:t>08</w:t>
      </w:r>
      <w:r w:rsidR="004179CD" w:rsidRPr="00530906">
        <w:rPr>
          <w:rFonts w:ascii="Cambria" w:hAnsi="Cambria" w:cs="Segoe UI"/>
          <w:sz w:val="24"/>
          <w:szCs w:val="24"/>
          <w:u w:val="single"/>
        </w:rPr>
        <w:t>–</w:t>
      </w:r>
      <w:r w:rsidRPr="00530906">
        <w:rPr>
          <w:rFonts w:ascii="Cambria" w:hAnsi="Cambria" w:cs="Segoe UI"/>
          <w:sz w:val="24"/>
          <w:szCs w:val="24"/>
          <w:u w:val="single"/>
        </w:rPr>
        <w:t>2013</w:t>
      </w:r>
      <w:r w:rsidR="004179CD" w:rsidRPr="00530906">
        <w:rPr>
          <w:rFonts w:ascii="Cambria" w:hAnsi="Cambria" w:cs="Segoe UI"/>
          <w:sz w:val="24"/>
          <w:szCs w:val="24"/>
          <w:u w:val="single"/>
        </w:rPr>
        <w:t>–</w:t>
      </w:r>
      <w:r w:rsidRPr="00530906">
        <w:rPr>
          <w:rFonts w:ascii="Cambria" w:hAnsi="Cambria" w:cs="Segoe UI"/>
          <w:sz w:val="24"/>
          <w:szCs w:val="24"/>
          <w:u w:val="single"/>
        </w:rPr>
        <w:t>0144</w:t>
      </w:r>
    </w:p>
    <w:p w14:paraId="0A699553" w14:textId="77777777" w:rsidR="007E4999" w:rsidRPr="00530906" w:rsidRDefault="007E4999">
      <w:pPr>
        <w:spacing w:line="360" w:lineRule="auto"/>
        <w:ind w:left="567" w:hanging="567"/>
        <w:jc w:val="both"/>
        <w:rPr>
          <w:rFonts w:ascii="Cambria" w:hAnsi="Cambria"/>
          <w:sz w:val="24"/>
          <w:szCs w:val="24"/>
        </w:rPr>
      </w:pPr>
      <w:r w:rsidRPr="00530906">
        <w:rPr>
          <w:rFonts w:ascii="Cambria" w:hAnsi="Cambria"/>
          <w:sz w:val="24"/>
          <w:szCs w:val="24"/>
        </w:rPr>
        <w:t xml:space="preserve">Zhu, F. and Zhang, X. (2010), “Impact of online consumer  reviews on sales: the moderating role of product and  consumer characteristics”, </w:t>
      </w:r>
      <w:r w:rsidRPr="00530906">
        <w:rPr>
          <w:rFonts w:ascii="Cambria" w:hAnsi="Cambria"/>
          <w:i/>
          <w:sz w:val="24"/>
          <w:szCs w:val="24"/>
        </w:rPr>
        <w:t>Journal of Marketing</w:t>
      </w:r>
      <w:r w:rsidRPr="00530906">
        <w:rPr>
          <w:rFonts w:ascii="Cambria" w:hAnsi="Cambria"/>
          <w:sz w:val="24"/>
          <w:szCs w:val="24"/>
        </w:rPr>
        <w:t>, 74 (2), pp. 133–148. doi: 10.1509/jmkg.74.2.133.</w:t>
      </w:r>
    </w:p>
    <w:p w14:paraId="7A8A98B5" w14:textId="6C15EAAB" w:rsidR="007E4999" w:rsidRPr="00EE722D" w:rsidRDefault="007E4999">
      <w:pPr>
        <w:spacing w:line="360" w:lineRule="auto"/>
        <w:ind w:left="567" w:hanging="567"/>
        <w:jc w:val="both"/>
        <w:rPr>
          <w:rFonts w:ascii="Cambria" w:hAnsi="Cambria"/>
          <w:sz w:val="24"/>
          <w:szCs w:val="24"/>
        </w:rPr>
      </w:pPr>
      <w:r w:rsidRPr="00530906">
        <w:rPr>
          <w:rFonts w:ascii="Cambria" w:hAnsi="Cambria"/>
          <w:sz w:val="24"/>
          <w:szCs w:val="24"/>
        </w:rPr>
        <w:t>Zikmund, W. G., Babin, B. J., Carr, J. C., and Griffin, M. (2010) Business Research Methods. 8</w:t>
      </w:r>
      <w:r w:rsidRPr="00530906">
        <w:rPr>
          <w:rFonts w:ascii="Cambria" w:hAnsi="Cambria"/>
          <w:sz w:val="24"/>
          <w:szCs w:val="24"/>
          <w:vertAlign w:val="superscript"/>
        </w:rPr>
        <w:t>th</w:t>
      </w:r>
      <w:r w:rsidRPr="00530906">
        <w:rPr>
          <w:rFonts w:ascii="Cambria" w:hAnsi="Cambria"/>
          <w:sz w:val="24"/>
          <w:szCs w:val="24"/>
        </w:rPr>
        <w:t xml:space="preserve"> edition. South–Western Cengage Learning</w:t>
      </w:r>
    </w:p>
    <w:p w14:paraId="06969E18" w14:textId="77777777" w:rsidR="00C7217E" w:rsidRPr="00EE722D" w:rsidRDefault="00C7217E" w:rsidP="008756B1">
      <w:pPr>
        <w:spacing w:after="0" w:line="360" w:lineRule="auto"/>
        <w:jc w:val="both"/>
        <w:rPr>
          <w:rFonts w:ascii="Cambria" w:eastAsia="Times New Roman" w:hAnsi="Cambria" w:cs="Times New Roman"/>
          <w:color w:val="000000"/>
          <w:sz w:val="24"/>
          <w:szCs w:val="24"/>
          <w:lang w:val="en-US"/>
        </w:rPr>
      </w:pPr>
    </w:p>
    <w:p w14:paraId="5B3BAB86" w14:textId="77777777" w:rsidR="00C7217E" w:rsidRPr="00EE722D" w:rsidRDefault="00C7217E" w:rsidP="008756B1">
      <w:pPr>
        <w:spacing w:after="200" w:line="360" w:lineRule="auto"/>
        <w:jc w:val="both"/>
        <w:rPr>
          <w:rFonts w:ascii="Cambria" w:eastAsia="Times New Roman" w:hAnsi="Cambria" w:cs="Times New Roman"/>
          <w:color w:val="000000"/>
          <w:sz w:val="24"/>
          <w:szCs w:val="24"/>
          <w:lang w:val="en-US"/>
        </w:rPr>
      </w:pPr>
    </w:p>
    <w:p w14:paraId="28914ADE" w14:textId="77777777" w:rsidR="00C7217E" w:rsidRPr="00EE722D" w:rsidRDefault="00C7217E" w:rsidP="008756B1">
      <w:pPr>
        <w:spacing w:line="360" w:lineRule="auto"/>
        <w:jc w:val="both"/>
        <w:rPr>
          <w:rFonts w:ascii="Cambria" w:hAnsi="Cambria"/>
          <w:sz w:val="24"/>
          <w:szCs w:val="24"/>
        </w:rPr>
      </w:pPr>
    </w:p>
    <w:p w14:paraId="16658796" w14:textId="77777777" w:rsidR="00C7217E" w:rsidRPr="00EE722D" w:rsidRDefault="00C7217E">
      <w:pPr>
        <w:spacing w:line="360" w:lineRule="auto"/>
        <w:jc w:val="both"/>
        <w:rPr>
          <w:rFonts w:ascii="Cambria" w:hAnsi="Cambria"/>
          <w:sz w:val="24"/>
          <w:szCs w:val="24"/>
        </w:rPr>
      </w:pPr>
    </w:p>
    <w:p w14:paraId="44216FFC" w14:textId="7C3733F9" w:rsidR="00A9039A" w:rsidRPr="00EE722D" w:rsidRDefault="00A9039A" w:rsidP="008756B1">
      <w:pPr>
        <w:spacing w:line="360" w:lineRule="auto"/>
        <w:jc w:val="both"/>
        <w:rPr>
          <w:rFonts w:ascii="Cambria" w:hAnsi="Cambria"/>
          <w:sz w:val="24"/>
          <w:szCs w:val="24"/>
        </w:rPr>
      </w:pPr>
    </w:p>
    <w:sectPr w:rsidR="00A9039A" w:rsidRPr="00EE722D" w:rsidSect="00F925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3570F" w14:textId="77777777" w:rsidR="000068EF" w:rsidRDefault="000068EF" w:rsidP="00A70E8B">
      <w:pPr>
        <w:spacing w:after="0" w:line="240" w:lineRule="auto"/>
      </w:pPr>
      <w:r>
        <w:separator/>
      </w:r>
    </w:p>
  </w:endnote>
  <w:endnote w:type="continuationSeparator" w:id="0">
    <w:p w14:paraId="2E94DECD" w14:textId="77777777" w:rsidR="000068EF" w:rsidRDefault="000068EF" w:rsidP="00A70E8B">
      <w:pPr>
        <w:spacing w:after="0" w:line="240" w:lineRule="auto"/>
      </w:pPr>
      <w:r>
        <w:continuationSeparator/>
      </w:r>
    </w:p>
  </w:endnote>
  <w:endnote w:type="continuationNotice" w:id="1">
    <w:p w14:paraId="0D69F1DC" w14:textId="77777777" w:rsidR="000068EF" w:rsidRDefault="00006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JansonText-Roman">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dvTT6120e2aa">
    <w:altName w:val="Cambria"/>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Minion-Regular">
    <w:altName w:val="Cambria"/>
    <w:panose1 w:val="00000000000000000000"/>
    <w:charset w:val="00"/>
    <w:family w:val="roman"/>
    <w:notTrueType/>
    <w:pitch w:val="default"/>
    <w:sig w:usb0="00000003" w:usb1="00000000" w:usb2="00000000" w:usb3="00000000" w:csb0="00000001" w:csb1="00000000"/>
  </w:font>
  <w:font w:name="AdvPSBEM">
    <w:altName w:val="Cambria"/>
    <w:panose1 w:val="00000000000000000000"/>
    <w:charset w:val="00"/>
    <w:family w:val="roman"/>
    <w:notTrueType/>
    <w:pitch w:val="default"/>
    <w:sig w:usb0="00000003" w:usb1="00000000" w:usb2="00000000" w:usb3="00000000" w:csb0="00000001" w:csb1="00000000"/>
  </w:font>
  <w:font w:name="AdvTT6a9e2faf.B">
    <w:altName w:val="Cambria"/>
    <w:panose1 w:val="00000000000000000000"/>
    <w:charset w:val="00"/>
    <w:family w:val="roman"/>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AdvOT8cb2ddbd">
    <w:altName w:val="Cambria"/>
    <w:panose1 w:val="00000000000000000000"/>
    <w:charset w:val="00"/>
    <w:family w:val="roman"/>
    <w:notTrueType/>
    <w:pitch w:val="default"/>
    <w:sig w:usb0="00000003" w:usb1="00000000" w:usb2="00000000" w:usb3="00000000" w:csb0="00000001" w:csb1="00000000"/>
  </w:font>
  <w:font w:name="AdvP6F00">
    <w:altName w:val="Cambria"/>
    <w:panose1 w:val="00000000000000000000"/>
    <w:charset w:val="00"/>
    <w:family w:val="roman"/>
    <w:notTrueType/>
    <w:pitch w:val="default"/>
    <w:sig w:usb0="00000003" w:usb1="00000000" w:usb2="00000000" w:usb3="00000000" w:csb0="00000001" w:csb1="00000000"/>
  </w:font>
  <w:font w:name="AdvTT6120e2aa+20">
    <w:altName w:val="Cambria"/>
    <w:panose1 w:val="00000000000000000000"/>
    <w:charset w:val="00"/>
    <w:family w:val="auto"/>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NjxhpvGalliardStd-Roman">
    <w:altName w:val="Cambria"/>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jjwbtAdvPTimes">
    <w:altName w:val="Cambria"/>
    <w:panose1 w:val="00000000000000000000"/>
    <w:charset w:val="00"/>
    <w:family w:val="roman"/>
    <w:notTrueType/>
    <w:pitch w:val="default"/>
    <w:sig w:usb0="00000003" w:usb1="00000000" w:usb2="00000000" w:usb3="00000000" w:csb0="00000001" w:csb1="00000000"/>
  </w:font>
  <w:font w:name="VkqpyqAdvPTimesI">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dvOT21de4310">
    <w:panose1 w:val="00000000000000000000"/>
    <w:charset w:val="00"/>
    <w:family w:val="swiss"/>
    <w:notTrueType/>
    <w:pitch w:val="default"/>
    <w:sig w:usb0="00000003" w:usb1="00000000" w:usb2="00000000" w:usb3="00000000" w:csb0="00000001" w:csb1="00000000"/>
  </w:font>
  <w:font w:name="AdvTTd27635b9">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60414"/>
      <w:docPartObj>
        <w:docPartGallery w:val="Page Numbers (Bottom of Page)"/>
        <w:docPartUnique/>
      </w:docPartObj>
    </w:sdtPr>
    <w:sdtEndPr>
      <w:rPr>
        <w:noProof/>
      </w:rPr>
    </w:sdtEndPr>
    <w:sdtContent>
      <w:p w14:paraId="575C8F11" w14:textId="59EB7EE3" w:rsidR="00D34F1C" w:rsidRDefault="00D34F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2E019" w14:textId="77777777" w:rsidR="00D34F1C" w:rsidRDefault="00D34F1C">
    <w:pPr>
      <w:pStyle w:val="Footer"/>
    </w:pPr>
  </w:p>
  <w:p w14:paraId="6728E1D5" w14:textId="77777777" w:rsidR="00D34F1C" w:rsidRDefault="00D34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59C20" w14:textId="77777777" w:rsidR="000068EF" w:rsidRDefault="000068EF" w:rsidP="00A70E8B">
      <w:pPr>
        <w:spacing w:after="0" w:line="240" w:lineRule="auto"/>
      </w:pPr>
      <w:r>
        <w:separator/>
      </w:r>
    </w:p>
  </w:footnote>
  <w:footnote w:type="continuationSeparator" w:id="0">
    <w:p w14:paraId="3C3A2BDE" w14:textId="77777777" w:rsidR="000068EF" w:rsidRDefault="000068EF" w:rsidP="00A70E8B">
      <w:pPr>
        <w:spacing w:after="0" w:line="240" w:lineRule="auto"/>
      </w:pPr>
      <w:r>
        <w:continuationSeparator/>
      </w:r>
    </w:p>
  </w:footnote>
  <w:footnote w:type="continuationNotice" w:id="1">
    <w:p w14:paraId="24A24BDE" w14:textId="77777777" w:rsidR="000068EF" w:rsidRDefault="000068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DA4"/>
    <w:multiLevelType w:val="hybridMultilevel"/>
    <w:tmpl w:val="8BF0F9FC"/>
    <w:lvl w:ilvl="0" w:tplc="D15C733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914CB9"/>
    <w:multiLevelType w:val="hybridMultilevel"/>
    <w:tmpl w:val="31F8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16C7"/>
    <w:multiLevelType w:val="hybridMultilevel"/>
    <w:tmpl w:val="253C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66BFE"/>
    <w:multiLevelType w:val="hybridMultilevel"/>
    <w:tmpl w:val="5CDCF6E2"/>
    <w:lvl w:ilvl="0" w:tplc="03ECC9DC">
      <w:start w:val="1"/>
      <w:numFmt w:val="bullet"/>
      <w:lvlText w:val="•"/>
      <w:lvlJc w:val="left"/>
      <w:pPr>
        <w:tabs>
          <w:tab w:val="num" w:pos="720"/>
        </w:tabs>
        <w:ind w:left="720" w:hanging="360"/>
      </w:pPr>
      <w:rPr>
        <w:rFonts w:ascii="Arial" w:hAnsi="Arial" w:cs="Times New Roman" w:hint="default"/>
      </w:rPr>
    </w:lvl>
    <w:lvl w:ilvl="1" w:tplc="A808C1CE">
      <w:start w:val="1100"/>
      <w:numFmt w:val="bullet"/>
      <w:lvlText w:val=""/>
      <w:lvlJc w:val="left"/>
      <w:pPr>
        <w:tabs>
          <w:tab w:val="num" w:pos="1440"/>
        </w:tabs>
        <w:ind w:left="1440" w:hanging="360"/>
      </w:pPr>
      <w:rPr>
        <w:rFonts w:ascii="Wingdings" w:hAnsi="Wingdings" w:hint="default"/>
      </w:rPr>
    </w:lvl>
    <w:lvl w:ilvl="2" w:tplc="93FE2366">
      <w:start w:val="1"/>
      <w:numFmt w:val="bullet"/>
      <w:lvlText w:val="•"/>
      <w:lvlJc w:val="left"/>
      <w:pPr>
        <w:tabs>
          <w:tab w:val="num" w:pos="2160"/>
        </w:tabs>
        <w:ind w:left="2160" w:hanging="360"/>
      </w:pPr>
      <w:rPr>
        <w:rFonts w:ascii="Arial" w:hAnsi="Arial" w:cs="Times New Roman" w:hint="default"/>
      </w:rPr>
    </w:lvl>
    <w:lvl w:ilvl="3" w:tplc="5BCAECAC">
      <w:start w:val="1"/>
      <w:numFmt w:val="bullet"/>
      <w:lvlText w:val="•"/>
      <w:lvlJc w:val="left"/>
      <w:pPr>
        <w:tabs>
          <w:tab w:val="num" w:pos="2880"/>
        </w:tabs>
        <w:ind w:left="2880" w:hanging="360"/>
      </w:pPr>
      <w:rPr>
        <w:rFonts w:ascii="Arial" w:hAnsi="Arial" w:cs="Times New Roman" w:hint="default"/>
      </w:rPr>
    </w:lvl>
    <w:lvl w:ilvl="4" w:tplc="2E5011DA">
      <w:start w:val="1"/>
      <w:numFmt w:val="bullet"/>
      <w:lvlText w:val="•"/>
      <w:lvlJc w:val="left"/>
      <w:pPr>
        <w:tabs>
          <w:tab w:val="num" w:pos="3600"/>
        </w:tabs>
        <w:ind w:left="3600" w:hanging="360"/>
      </w:pPr>
      <w:rPr>
        <w:rFonts w:ascii="Arial" w:hAnsi="Arial" w:cs="Times New Roman" w:hint="default"/>
      </w:rPr>
    </w:lvl>
    <w:lvl w:ilvl="5" w:tplc="4208AD10">
      <w:start w:val="1"/>
      <w:numFmt w:val="bullet"/>
      <w:lvlText w:val="•"/>
      <w:lvlJc w:val="left"/>
      <w:pPr>
        <w:tabs>
          <w:tab w:val="num" w:pos="4320"/>
        </w:tabs>
        <w:ind w:left="4320" w:hanging="360"/>
      </w:pPr>
      <w:rPr>
        <w:rFonts w:ascii="Arial" w:hAnsi="Arial" w:cs="Times New Roman" w:hint="default"/>
      </w:rPr>
    </w:lvl>
    <w:lvl w:ilvl="6" w:tplc="EA5A28BE">
      <w:start w:val="1"/>
      <w:numFmt w:val="bullet"/>
      <w:lvlText w:val="•"/>
      <w:lvlJc w:val="left"/>
      <w:pPr>
        <w:tabs>
          <w:tab w:val="num" w:pos="5040"/>
        </w:tabs>
        <w:ind w:left="5040" w:hanging="360"/>
      </w:pPr>
      <w:rPr>
        <w:rFonts w:ascii="Arial" w:hAnsi="Arial" w:cs="Times New Roman" w:hint="default"/>
      </w:rPr>
    </w:lvl>
    <w:lvl w:ilvl="7" w:tplc="6E343A52">
      <w:start w:val="1"/>
      <w:numFmt w:val="bullet"/>
      <w:lvlText w:val="•"/>
      <w:lvlJc w:val="left"/>
      <w:pPr>
        <w:tabs>
          <w:tab w:val="num" w:pos="5760"/>
        </w:tabs>
        <w:ind w:left="5760" w:hanging="360"/>
      </w:pPr>
      <w:rPr>
        <w:rFonts w:ascii="Arial" w:hAnsi="Arial" w:cs="Times New Roman" w:hint="default"/>
      </w:rPr>
    </w:lvl>
    <w:lvl w:ilvl="8" w:tplc="AB4C2EC0">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DB17044"/>
    <w:multiLevelType w:val="hybridMultilevel"/>
    <w:tmpl w:val="72B0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B23E1"/>
    <w:multiLevelType w:val="hybridMultilevel"/>
    <w:tmpl w:val="0A8A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618A5"/>
    <w:multiLevelType w:val="hybridMultilevel"/>
    <w:tmpl w:val="07AA7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E4B14"/>
    <w:multiLevelType w:val="hybridMultilevel"/>
    <w:tmpl w:val="75ACE1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E00FF8"/>
    <w:multiLevelType w:val="hybridMultilevel"/>
    <w:tmpl w:val="876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F53CA"/>
    <w:multiLevelType w:val="hybridMultilevel"/>
    <w:tmpl w:val="8F147724"/>
    <w:lvl w:ilvl="0" w:tplc="4628CA5A">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254E1"/>
    <w:multiLevelType w:val="multilevel"/>
    <w:tmpl w:val="650AB2A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014776"/>
    <w:multiLevelType w:val="multilevel"/>
    <w:tmpl w:val="D004B8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295E86"/>
    <w:multiLevelType w:val="hybridMultilevel"/>
    <w:tmpl w:val="07AA7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9024B"/>
    <w:multiLevelType w:val="hybridMultilevel"/>
    <w:tmpl w:val="FF90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43804"/>
    <w:multiLevelType w:val="hybridMultilevel"/>
    <w:tmpl w:val="70F0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C3B3D"/>
    <w:multiLevelType w:val="hybridMultilevel"/>
    <w:tmpl w:val="54C8D3D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A3781"/>
    <w:multiLevelType w:val="hybridMultilevel"/>
    <w:tmpl w:val="0C88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C1687"/>
    <w:multiLevelType w:val="hybridMultilevel"/>
    <w:tmpl w:val="E3B8AFCA"/>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8" w15:restartNumberingAfterBreak="0">
    <w:nsid w:val="3189176E"/>
    <w:multiLevelType w:val="hybridMultilevel"/>
    <w:tmpl w:val="9A16C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A914B6"/>
    <w:multiLevelType w:val="hybridMultilevel"/>
    <w:tmpl w:val="CBEEF218"/>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15:restartNumberingAfterBreak="0">
    <w:nsid w:val="42BC7712"/>
    <w:multiLevelType w:val="hybridMultilevel"/>
    <w:tmpl w:val="6546C3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2CA0C9E"/>
    <w:multiLevelType w:val="hybridMultilevel"/>
    <w:tmpl w:val="540E03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4C74CF5"/>
    <w:multiLevelType w:val="hybridMultilevel"/>
    <w:tmpl w:val="37122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E212E"/>
    <w:multiLevelType w:val="multilevel"/>
    <w:tmpl w:val="7BF61B9C"/>
    <w:lvl w:ilvl="0">
      <w:start w:val="1"/>
      <w:numFmt w:val="upperRoman"/>
      <w:lvlText w:val="%1."/>
      <w:lvlJc w:val="right"/>
      <w:pPr>
        <w:ind w:left="765" w:hanging="360"/>
      </w:pPr>
    </w:lvl>
    <w:lvl w:ilvl="1">
      <w:start w:val="2"/>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45" w:hanging="144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05" w:hanging="180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24" w15:restartNumberingAfterBreak="0">
    <w:nsid w:val="48CE536D"/>
    <w:multiLevelType w:val="hybridMultilevel"/>
    <w:tmpl w:val="95CE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9710B4"/>
    <w:multiLevelType w:val="hybridMultilevel"/>
    <w:tmpl w:val="139C8D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945607"/>
    <w:multiLevelType w:val="hybridMultilevel"/>
    <w:tmpl w:val="02FE0BF6"/>
    <w:lvl w:ilvl="0" w:tplc="8B40923E">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64875"/>
    <w:multiLevelType w:val="hybridMultilevel"/>
    <w:tmpl w:val="7E5AE068"/>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B576CC8"/>
    <w:multiLevelType w:val="hybridMultilevel"/>
    <w:tmpl w:val="FE26BA76"/>
    <w:lvl w:ilvl="0" w:tplc="0A5E116C">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671082"/>
    <w:multiLevelType w:val="hybridMultilevel"/>
    <w:tmpl w:val="905EFA8E"/>
    <w:lvl w:ilvl="0" w:tplc="04090013">
      <w:start w:val="1"/>
      <w:numFmt w:val="upp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15:restartNumberingAfterBreak="0">
    <w:nsid w:val="647E146D"/>
    <w:multiLevelType w:val="hybridMultilevel"/>
    <w:tmpl w:val="A072C008"/>
    <w:lvl w:ilvl="0" w:tplc="75303A3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86F2A"/>
    <w:multiLevelType w:val="hybridMultilevel"/>
    <w:tmpl w:val="D2D8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3E0BF5"/>
    <w:multiLevelType w:val="hybridMultilevel"/>
    <w:tmpl w:val="FF5632A8"/>
    <w:lvl w:ilvl="0" w:tplc="1526B908">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61003"/>
    <w:multiLevelType w:val="hybridMultilevel"/>
    <w:tmpl w:val="51BE61E6"/>
    <w:lvl w:ilvl="0" w:tplc="4A202AB2">
      <w:numFmt w:val="bullet"/>
      <w:lvlText w:val=""/>
      <w:lvlJc w:val="left"/>
      <w:pPr>
        <w:ind w:left="720" w:hanging="360"/>
      </w:pPr>
      <w:rPr>
        <w:rFonts w:ascii="Symbol" w:eastAsiaTheme="minorHAnsi" w:hAnsi="Symbol"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A0F67"/>
    <w:multiLevelType w:val="hybridMultilevel"/>
    <w:tmpl w:val="49ACBCB0"/>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78383D97"/>
    <w:multiLevelType w:val="hybridMultilevel"/>
    <w:tmpl w:val="9F6A1632"/>
    <w:lvl w:ilvl="0" w:tplc="265037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C28CD"/>
    <w:multiLevelType w:val="hybridMultilevel"/>
    <w:tmpl w:val="EF1E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176981"/>
    <w:multiLevelType w:val="hybridMultilevel"/>
    <w:tmpl w:val="8ED2B59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8" w15:restartNumberingAfterBreak="0">
    <w:nsid w:val="7D410924"/>
    <w:multiLevelType w:val="hybridMultilevel"/>
    <w:tmpl w:val="0972C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5522265">
    <w:abstractNumId w:val="3"/>
  </w:num>
  <w:num w:numId="2" w16cid:durableId="1409577902">
    <w:abstractNumId w:val="21"/>
  </w:num>
  <w:num w:numId="3" w16cid:durableId="2068336458">
    <w:abstractNumId w:val="20"/>
  </w:num>
  <w:num w:numId="4" w16cid:durableId="1977710515">
    <w:abstractNumId w:val="24"/>
  </w:num>
  <w:num w:numId="5" w16cid:durableId="1825929904">
    <w:abstractNumId w:val="37"/>
  </w:num>
  <w:num w:numId="6" w16cid:durableId="1549414354">
    <w:abstractNumId w:val="5"/>
  </w:num>
  <w:num w:numId="7" w16cid:durableId="2070761538">
    <w:abstractNumId w:val="16"/>
  </w:num>
  <w:num w:numId="8" w16cid:durableId="1620799932">
    <w:abstractNumId w:val="29"/>
  </w:num>
  <w:num w:numId="9" w16cid:durableId="1096483692">
    <w:abstractNumId w:val="23"/>
  </w:num>
  <w:num w:numId="10" w16cid:durableId="1723409723">
    <w:abstractNumId w:val="22"/>
  </w:num>
  <w:num w:numId="11" w16cid:durableId="1834182023">
    <w:abstractNumId w:val="11"/>
  </w:num>
  <w:num w:numId="12" w16cid:durableId="1108232969">
    <w:abstractNumId w:val="10"/>
  </w:num>
  <w:num w:numId="13" w16cid:durableId="468670749">
    <w:abstractNumId w:val="18"/>
  </w:num>
  <w:num w:numId="14" w16cid:durableId="389768053">
    <w:abstractNumId w:val="32"/>
  </w:num>
  <w:num w:numId="15" w16cid:durableId="158733962">
    <w:abstractNumId w:val="26"/>
  </w:num>
  <w:num w:numId="16" w16cid:durableId="435491409">
    <w:abstractNumId w:val="9"/>
  </w:num>
  <w:num w:numId="17" w16cid:durableId="482893826">
    <w:abstractNumId w:val="30"/>
  </w:num>
  <w:num w:numId="18" w16cid:durableId="1960448066">
    <w:abstractNumId w:val="25"/>
  </w:num>
  <w:num w:numId="19" w16cid:durableId="504511673">
    <w:abstractNumId w:val="7"/>
  </w:num>
  <w:num w:numId="20" w16cid:durableId="2002731842">
    <w:abstractNumId w:val="28"/>
  </w:num>
  <w:num w:numId="21" w16cid:durableId="1897005637">
    <w:abstractNumId w:val="17"/>
  </w:num>
  <w:num w:numId="22" w16cid:durableId="1760055014">
    <w:abstractNumId w:val="19"/>
  </w:num>
  <w:num w:numId="23" w16cid:durableId="808087889">
    <w:abstractNumId w:val="36"/>
  </w:num>
  <w:num w:numId="24" w16cid:durableId="743071232">
    <w:abstractNumId w:val="1"/>
  </w:num>
  <w:num w:numId="25" w16cid:durableId="1227379388">
    <w:abstractNumId w:val="4"/>
  </w:num>
  <w:num w:numId="26" w16cid:durableId="1186022886">
    <w:abstractNumId w:val="13"/>
  </w:num>
  <w:num w:numId="27" w16cid:durableId="385300993">
    <w:abstractNumId w:val="27"/>
  </w:num>
  <w:num w:numId="28" w16cid:durableId="813185488">
    <w:abstractNumId w:val="34"/>
  </w:num>
  <w:num w:numId="29" w16cid:durableId="2135128913">
    <w:abstractNumId w:val="2"/>
  </w:num>
  <w:num w:numId="30" w16cid:durableId="729035532">
    <w:abstractNumId w:val="8"/>
  </w:num>
  <w:num w:numId="31" w16cid:durableId="153379399">
    <w:abstractNumId w:val="6"/>
  </w:num>
  <w:num w:numId="32" w16cid:durableId="796144165">
    <w:abstractNumId w:val="12"/>
  </w:num>
  <w:num w:numId="33" w16cid:durableId="1182939012">
    <w:abstractNumId w:val="35"/>
  </w:num>
  <w:num w:numId="34" w16cid:durableId="853953896">
    <w:abstractNumId w:val="0"/>
  </w:num>
  <w:num w:numId="35" w16cid:durableId="228154594">
    <w:abstractNumId w:val="33"/>
  </w:num>
  <w:num w:numId="36" w16cid:durableId="656157046">
    <w:abstractNumId w:val="38"/>
  </w:num>
  <w:num w:numId="37" w16cid:durableId="1830438013">
    <w:abstractNumId w:val="15"/>
  </w:num>
  <w:num w:numId="38" w16cid:durableId="1080057244">
    <w:abstractNumId w:val="14"/>
  </w:num>
  <w:num w:numId="39" w16cid:durableId="9488548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d0a9avtp2wtae95sgv0zxffxawx02etse2&quot;&gt;endnote nuzhat-Converted&lt;record-ids&gt;&lt;item&gt;672&lt;/item&gt;&lt;/record-ids&gt;&lt;/item&gt;&lt;/Libraries&gt;"/>
  </w:docVars>
  <w:rsids>
    <w:rsidRoot w:val="00F729C4"/>
    <w:rsid w:val="00000622"/>
    <w:rsid w:val="0000082E"/>
    <w:rsid w:val="00000A23"/>
    <w:rsid w:val="00000A53"/>
    <w:rsid w:val="00000E1A"/>
    <w:rsid w:val="000038D7"/>
    <w:rsid w:val="00003AF3"/>
    <w:rsid w:val="00004035"/>
    <w:rsid w:val="00004C86"/>
    <w:rsid w:val="00005761"/>
    <w:rsid w:val="00005992"/>
    <w:rsid w:val="000059FB"/>
    <w:rsid w:val="000068EF"/>
    <w:rsid w:val="00006D1B"/>
    <w:rsid w:val="00007B1B"/>
    <w:rsid w:val="00007BF6"/>
    <w:rsid w:val="00007F21"/>
    <w:rsid w:val="00010189"/>
    <w:rsid w:val="00010735"/>
    <w:rsid w:val="00010AF2"/>
    <w:rsid w:val="00011DDB"/>
    <w:rsid w:val="00011DEA"/>
    <w:rsid w:val="00012319"/>
    <w:rsid w:val="00012717"/>
    <w:rsid w:val="00013511"/>
    <w:rsid w:val="00013E31"/>
    <w:rsid w:val="000140BB"/>
    <w:rsid w:val="000143D1"/>
    <w:rsid w:val="00014570"/>
    <w:rsid w:val="00014899"/>
    <w:rsid w:val="00014FB2"/>
    <w:rsid w:val="00015405"/>
    <w:rsid w:val="000159DF"/>
    <w:rsid w:val="00015EC9"/>
    <w:rsid w:val="00016350"/>
    <w:rsid w:val="000165CA"/>
    <w:rsid w:val="00016CC9"/>
    <w:rsid w:val="000171AC"/>
    <w:rsid w:val="000173F1"/>
    <w:rsid w:val="00017812"/>
    <w:rsid w:val="00017987"/>
    <w:rsid w:val="00020A62"/>
    <w:rsid w:val="00020CF3"/>
    <w:rsid w:val="00021A30"/>
    <w:rsid w:val="00022FB8"/>
    <w:rsid w:val="00023005"/>
    <w:rsid w:val="00023B21"/>
    <w:rsid w:val="0002431F"/>
    <w:rsid w:val="00024379"/>
    <w:rsid w:val="00024EF1"/>
    <w:rsid w:val="00025578"/>
    <w:rsid w:val="00025843"/>
    <w:rsid w:val="00027DA3"/>
    <w:rsid w:val="000300D9"/>
    <w:rsid w:val="00030157"/>
    <w:rsid w:val="00030271"/>
    <w:rsid w:val="000310C8"/>
    <w:rsid w:val="00031A93"/>
    <w:rsid w:val="0003233F"/>
    <w:rsid w:val="000328DC"/>
    <w:rsid w:val="00032B7B"/>
    <w:rsid w:val="00033361"/>
    <w:rsid w:val="000338C7"/>
    <w:rsid w:val="00033E0F"/>
    <w:rsid w:val="0003420F"/>
    <w:rsid w:val="0003507C"/>
    <w:rsid w:val="000351DA"/>
    <w:rsid w:val="00035368"/>
    <w:rsid w:val="000379DC"/>
    <w:rsid w:val="00037A84"/>
    <w:rsid w:val="00037B02"/>
    <w:rsid w:val="00037D75"/>
    <w:rsid w:val="00037DDB"/>
    <w:rsid w:val="000402C2"/>
    <w:rsid w:val="00040752"/>
    <w:rsid w:val="0004089F"/>
    <w:rsid w:val="00042315"/>
    <w:rsid w:val="00042A16"/>
    <w:rsid w:val="00043548"/>
    <w:rsid w:val="0004365A"/>
    <w:rsid w:val="000438BE"/>
    <w:rsid w:val="000445D1"/>
    <w:rsid w:val="000452D6"/>
    <w:rsid w:val="00045462"/>
    <w:rsid w:val="00046B29"/>
    <w:rsid w:val="00047068"/>
    <w:rsid w:val="00047675"/>
    <w:rsid w:val="00047DDD"/>
    <w:rsid w:val="00050B28"/>
    <w:rsid w:val="00050B55"/>
    <w:rsid w:val="00052004"/>
    <w:rsid w:val="000529C3"/>
    <w:rsid w:val="00052B52"/>
    <w:rsid w:val="00052DCF"/>
    <w:rsid w:val="000530DD"/>
    <w:rsid w:val="00053233"/>
    <w:rsid w:val="00053724"/>
    <w:rsid w:val="00053C2C"/>
    <w:rsid w:val="000540BB"/>
    <w:rsid w:val="00054320"/>
    <w:rsid w:val="000547DD"/>
    <w:rsid w:val="000553B4"/>
    <w:rsid w:val="00055915"/>
    <w:rsid w:val="00056061"/>
    <w:rsid w:val="000567FD"/>
    <w:rsid w:val="00056C06"/>
    <w:rsid w:val="00056E9D"/>
    <w:rsid w:val="00057937"/>
    <w:rsid w:val="00057F9F"/>
    <w:rsid w:val="00060BC9"/>
    <w:rsid w:val="00060C17"/>
    <w:rsid w:val="00060C5D"/>
    <w:rsid w:val="0006168F"/>
    <w:rsid w:val="00061E24"/>
    <w:rsid w:val="0006259C"/>
    <w:rsid w:val="00062BF3"/>
    <w:rsid w:val="00063802"/>
    <w:rsid w:val="000638F4"/>
    <w:rsid w:val="00063966"/>
    <w:rsid w:val="00063E18"/>
    <w:rsid w:val="000640FE"/>
    <w:rsid w:val="00064FCA"/>
    <w:rsid w:val="00065757"/>
    <w:rsid w:val="0006605E"/>
    <w:rsid w:val="00066292"/>
    <w:rsid w:val="00067B64"/>
    <w:rsid w:val="00067BBE"/>
    <w:rsid w:val="0007175A"/>
    <w:rsid w:val="00071A23"/>
    <w:rsid w:val="00071E05"/>
    <w:rsid w:val="00072398"/>
    <w:rsid w:val="0007249A"/>
    <w:rsid w:val="0007321A"/>
    <w:rsid w:val="00073490"/>
    <w:rsid w:val="000739A9"/>
    <w:rsid w:val="00073A69"/>
    <w:rsid w:val="00073B00"/>
    <w:rsid w:val="00073C3A"/>
    <w:rsid w:val="0007408D"/>
    <w:rsid w:val="0007422F"/>
    <w:rsid w:val="0007431F"/>
    <w:rsid w:val="00075146"/>
    <w:rsid w:val="000752C5"/>
    <w:rsid w:val="000754E1"/>
    <w:rsid w:val="00075DAC"/>
    <w:rsid w:val="000770B0"/>
    <w:rsid w:val="0007779A"/>
    <w:rsid w:val="000779DA"/>
    <w:rsid w:val="00080E73"/>
    <w:rsid w:val="000811EF"/>
    <w:rsid w:val="000817EE"/>
    <w:rsid w:val="00081D87"/>
    <w:rsid w:val="000825B9"/>
    <w:rsid w:val="00082AAC"/>
    <w:rsid w:val="000833CB"/>
    <w:rsid w:val="00083C70"/>
    <w:rsid w:val="000852D9"/>
    <w:rsid w:val="00087009"/>
    <w:rsid w:val="00087103"/>
    <w:rsid w:val="000871FA"/>
    <w:rsid w:val="00087553"/>
    <w:rsid w:val="00087B93"/>
    <w:rsid w:val="0009024F"/>
    <w:rsid w:val="00090A5A"/>
    <w:rsid w:val="00090B09"/>
    <w:rsid w:val="00091052"/>
    <w:rsid w:val="0009178E"/>
    <w:rsid w:val="00091AC4"/>
    <w:rsid w:val="00091BD8"/>
    <w:rsid w:val="00092D60"/>
    <w:rsid w:val="00093585"/>
    <w:rsid w:val="000944A8"/>
    <w:rsid w:val="00094527"/>
    <w:rsid w:val="000946DB"/>
    <w:rsid w:val="00094728"/>
    <w:rsid w:val="00094B70"/>
    <w:rsid w:val="00095686"/>
    <w:rsid w:val="00096007"/>
    <w:rsid w:val="00096707"/>
    <w:rsid w:val="000968EA"/>
    <w:rsid w:val="00096CD2"/>
    <w:rsid w:val="000972B9"/>
    <w:rsid w:val="000A0102"/>
    <w:rsid w:val="000A015D"/>
    <w:rsid w:val="000A0947"/>
    <w:rsid w:val="000A1423"/>
    <w:rsid w:val="000A148E"/>
    <w:rsid w:val="000A1E94"/>
    <w:rsid w:val="000A21E3"/>
    <w:rsid w:val="000A28A9"/>
    <w:rsid w:val="000A28F8"/>
    <w:rsid w:val="000A312B"/>
    <w:rsid w:val="000A3527"/>
    <w:rsid w:val="000A3F84"/>
    <w:rsid w:val="000A3FBD"/>
    <w:rsid w:val="000A43F6"/>
    <w:rsid w:val="000A4C62"/>
    <w:rsid w:val="000A4D85"/>
    <w:rsid w:val="000A5CA1"/>
    <w:rsid w:val="000A6810"/>
    <w:rsid w:val="000A6C6D"/>
    <w:rsid w:val="000A774C"/>
    <w:rsid w:val="000A78DB"/>
    <w:rsid w:val="000B04DD"/>
    <w:rsid w:val="000B0FA7"/>
    <w:rsid w:val="000B1044"/>
    <w:rsid w:val="000B1696"/>
    <w:rsid w:val="000B4246"/>
    <w:rsid w:val="000B4B4C"/>
    <w:rsid w:val="000B5375"/>
    <w:rsid w:val="000B53E5"/>
    <w:rsid w:val="000B555A"/>
    <w:rsid w:val="000B5F21"/>
    <w:rsid w:val="000B5FD2"/>
    <w:rsid w:val="000B7E30"/>
    <w:rsid w:val="000B7FDE"/>
    <w:rsid w:val="000C00DF"/>
    <w:rsid w:val="000C0C60"/>
    <w:rsid w:val="000C0D7A"/>
    <w:rsid w:val="000C0EBA"/>
    <w:rsid w:val="000C1267"/>
    <w:rsid w:val="000C1E85"/>
    <w:rsid w:val="000C2083"/>
    <w:rsid w:val="000C20A2"/>
    <w:rsid w:val="000C29EF"/>
    <w:rsid w:val="000C2E21"/>
    <w:rsid w:val="000C30C9"/>
    <w:rsid w:val="000C345D"/>
    <w:rsid w:val="000C3524"/>
    <w:rsid w:val="000C3767"/>
    <w:rsid w:val="000C39E1"/>
    <w:rsid w:val="000C3A91"/>
    <w:rsid w:val="000C4140"/>
    <w:rsid w:val="000C5EB4"/>
    <w:rsid w:val="000C610C"/>
    <w:rsid w:val="000C701E"/>
    <w:rsid w:val="000D066F"/>
    <w:rsid w:val="000D1088"/>
    <w:rsid w:val="000D12DB"/>
    <w:rsid w:val="000D29C0"/>
    <w:rsid w:val="000D2D9D"/>
    <w:rsid w:val="000D3B8A"/>
    <w:rsid w:val="000D4114"/>
    <w:rsid w:val="000D662B"/>
    <w:rsid w:val="000D68FA"/>
    <w:rsid w:val="000D6CDF"/>
    <w:rsid w:val="000D798D"/>
    <w:rsid w:val="000E0467"/>
    <w:rsid w:val="000E0C16"/>
    <w:rsid w:val="000E0E25"/>
    <w:rsid w:val="000E20E0"/>
    <w:rsid w:val="000E26B0"/>
    <w:rsid w:val="000E282A"/>
    <w:rsid w:val="000E2CDC"/>
    <w:rsid w:val="000E3962"/>
    <w:rsid w:val="000E3FB8"/>
    <w:rsid w:val="000E4164"/>
    <w:rsid w:val="000E4A6C"/>
    <w:rsid w:val="000E4BC4"/>
    <w:rsid w:val="000E5336"/>
    <w:rsid w:val="000E5673"/>
    <w:rsid w:val="000E651F"/>
    <w:rsid w:val="000E685C"/>
    <w:rsid w:val="000E7526"/>
    <w:rsid w:val="000E754A"/>
    <w:rsid w:val="000E799C"/>
    <w:rsid w:val="000E7EB6"/>
    <w:rsid w:val="000F0A3E"/>
    <w:rsid w:val="000F0E28"/>
    <w:rsid w:val="000F2396"/>
    <w:rsid w:val="000F2453"/>
    <w:rsid w:val="000F250D"/>
    <w:rsid w:val="000F26AC"/>
    <w:rsid w:val="000F3C36"/>
    <w:rsid w:val="000F4A80"/>
    <w:rsid w:val="000F630A"/>
    <w:rsid w:val="000F66DD"/>
    <w:rsid w:val="000F67DA"/>
    <w:rsid w:val="000F74D5"/>
    <w:rsid w:val="000F7886"/>
    <w:rsid w:val="000F7C34"/>
    <w:rsid w:val="000F7FD9"/>
    <w:rsid w:val="00100624"/>
    <w:rsid w:val="00100D04"/>
    <w:rsid w:val="00100DC7"/>
    <w:rsid w:val="00101202"/>
    <w:rsid w:val="0010147B"/>
    <w:rsid w:val="0010172A"/>
    <w:rsid w:val="00101C39"/>
    <w:rsid w:val="0010283E"/>
    <w:rsid w:val="001029F7"/>
    <w:rsid w:val="00102DD0"/>
    <w:rsid w:val="00102F72"/>
    <w:rsid w:val="00104C46"/>
    <w:rsid w:val="00104C5F"/>
    <w:rsid w:val="00104CCE"/>
    <w:rsid w:val="00105F43"/>
    <w:rsid w:val="00106033"/>
    <w:rsid w:val="0010631C"/>
    <w:rsid w:val="00106D8F"/>
    <w:rsid w:val="001111CD"/>
    <w:rsid w:val="00111982"/>
    <w:rsid w:val="00111C57"/>
    <w:rsid w:val="00112367"/>
    <w:rsid w:val="00112A96"/>
    <w:rsid w:val="001149A9"/>
    <w:rsid w:val="001149AC"/>
    <w:rsid w:val="00114C02"/>
    <w:rsid w:val="00114C4D"/>
    <w:rsid w:val="00115576"/>
    <w:rsid w:val="001159A1"/>
    <w:rsid w:val="00115F7F"/>
    <w:rsid w:val="001162A7"/>
    <w:rsid w:val="00116645"/>
    <w:rsid w:val="001170A2"/>
    <w:rsid w:val="00117858"/>
    <w:rsid w:val="00117FE0"/>
    <w:rsid w:val="00120945"/>
    <w:rsid w:val="00120D1B"/>
    <w:rsid w:val="001211EA"/>
    <w:rsid w:val="00121B9F"/>
    <w:rsid w:val="00121C88"/>
    <w:rsid w:val="00121E69"/>
    <w:rsid w:val="00122041"/>
    <w:rsid w:val="00122641"/>
    <w:rsid w:val="001233B9"/>
    <w:rsid w:val="001236F0"/>
    <w:rsid w:val="00125F6A"/>
    <w:rsid w:val="00127331"/>
    <w:rsid w:val="00130B02"/>
    <w:rsid w:val="001339ED"/>
    <w:rsid w:val="00134181"/>
    <w:rsid w:val="00134435"/>
    <w:rsid w:val="00134B1A"/>
    <w:rsid w:val="00135F1F"/>
    <w:rsid w:val="0013710B"/>
    <w:rsid w:val="00137624"/>
    <w:rsid w:val="00137768"/>
    <w:rsid w:val="0014013B"/>
    <w:rsid w:val="00140A09"/>
    <w:rsid w:val="001412ED"/>
    <w:rsid w:val="0014169B"/>
    <w:rsid w:val="00141BB4"/>
    <w:rsid w:val="00142E7B"/>
    <w:rsid w:val="00142EF0"/>
    <w:rsid w:val="001435A7"/>
    <w:rsid w:val="0014392A"/>
    <w:rsid w:val="00143BEB"/>
    <w:rsid w:val="001443AA"/>
    <w:rsid w:val="001444EF"/>
    <w:rsid w:val="00144673"/>
    <w:rsid w:val="00144796"/>
    <w:rsid w:val="001448DA"/>
    <w:rsid w:val="00145256"/>
    <w:rsid w:val="0014552E"/>
    <w:rsid w:val="00145564"/>
    <w:rsid w:val="00145EE6"/>
    <w:rsid w:val="00146763"/>
    <w:rsid w:val="00146A7A"/>
    <w:rsid w:val="00147357"/>
    <w:rsid w:val="001502E4"/>
    <w:rsid w:val="00150BEC"/>
    <w:rsid w:val="00150C18"/>
    <w:rsid w:val="001512D3"/>
    <w:rsid w:val="00151A52"/>
    <w:rsid w:val="001531AC"/>
    <w:rsid w:val="001531C5"/>
    <w:rsid w:val="00153380"/>
    <w:rsid w:val="001539BE"/>
    <w:rsid w:val="00153DB1"/>
    <w:rsid w:val="001550B5"/>
    <w:rsid w:val="00155922"/>
    <w:rsid w:val="00155D8B"/>
    <w:rsid w:val="0015613A"/>
    <w:rsid w:val="001571F7"/>
    <w:rsid w:val="0015765A"/>
    <w:rsid w:val="0016225E"/>
    <w:rsid w:val="0016233D"/>
    <w:rsid w:val="0016259E"/>
    <w:rsid w:val="00162C4C"/>
    <w:rsid w:val="00162D3F"/>
    <w:rsid w:val="00165DAC"/>
    <w:rsid w:val="00165F24"/>
    <w:rsid w:val="001660DA"/>
    <w:rsid w:val="00166A10"/>
    <w:rsid w:val="00166C34"/>
    <w:rsid w:val="00167605"/>
    <w:rsid w:val="00167714"/>
    <w:rsid w:val="00167C25"/>
    <w:rsid w:val="001700CE"/>
    <w:rsid w:val="00170678"/>
    <w:rsid w:val="00170DF5"/>
    <w:rsid w:val="00171348"/>
    <w:rsid w:val="00172358"/>
    <w:rsid w:val="00172F23"/>
    <w:rsid w:val="001735D3"/>
    <w:rsid w:val="0017363F"/>
    <w:rsid w:val="0017376A"/>
    <w:rsid w:val="001759EB"/>
    <w:rsid w:val="00176A17"/>
    <w:rsid w:val="00176C34"/>
    <w:rsid w:val="00177B8A"/>
    <w:rsid w:val="00177F05"/>
    <w:rsid w:val="00181B86"/>
    <w:rsid w:val="00182477"/>
    <w:rsid w:val="00182750"/>
    <w:rsid w:val="00183076"/>
    <w:rsid w:val="00183320"/>
    <w:rsid w:val="001838AC"/>
    <w:rsid w:val="00184467"/>
    <w:rsid w:val="001862B5"/>
    <w:rsid w:val="00186461"/>
    <w:rsid w:val="00186606"/>
    <w:rsid w:val="00187550"/>
    <w:rsid w:val="00187CA4"/>
    <w:rsid w:val="00187D1A"/>
    <w:rsid w:val="00187FC2"/>
    <w:rsid w:val="001904CF"/>
    <w:rsid w:val="00190F3A"/>
    <w:rsid w:val="0019263A"/>
    <w:rsid w:val="00192DF6"/>
    <w:rsid w:val="001935CF"/>
    <w:rsid w:val="0019365E"/>
    <w:rsid w:val="00194213"/>
    <w:rsid w:val="001943F9"/>
    <w:rsid w:val="001946DD"/>
    <w:rsid w:val="001948A9"/>
    <w:rsid w:val="001949CD"/>
    <w:rsid w:val="00194A51"/>
    <w:rsid w:val="001970B3"/>
    <w:rsid w:val="00197769"/>
    <w:rsid w:val="00197F1C"/>
    <w:rsid w:val="001A010E"/>
    <w:rsid w:val="001A10EB"/>
    <w:rsid w:val="001A15E5"/>
    <w:rsid w:val="001A1982"/>
    <w:rsid w:val="001A2ACE"/>
    <w:rsid w:val="001A2FE3"/>
    <w:rsid w:val="001A3ED6"/>
    <w:rsid w:val="001A5ABE"/>
    <w:rsid w:val="001A6054"/>
    <w:rsid w:val="001A7027"/>
    <w:rsid w:val="001A734A"/>
    <w:rsid w:val="001A7350"/>
    <w:rsid w:val="001A7611"/>
    <w:rsid w:val="001A794C"/>
    <w:rsid w:val="001A7C3B"/>
    <w:rsid w:val="001A7D13"/>
    <w:rsid w:val="001B067B"/>
    <w:rsid w:val="001B089A"/>
    <w:rsid w:val="001B0F93"/>
    <w:rsid w:val="001B12AD"/>
    <w:rsid w:val="001B1C54"/>
    <w:rsid w:val="001B1E46"/>
    <w:rsid w:val="001B1F72"/>
    <w:rsid w:val="001B2A6A"/>
    <w:rsid w:val="001B2F61"/>
    <w:rsid w:val="001B2FC0"/>
    <w:rsid w:val="001B3057"/>
    <w:rsid w:val="001B3128"/>
    <w:rsid w:val="001B36BF"/>
    <w:rsid w:val="001B41F1"/>
    <w:rsid w:val="001B4B8A"/>
    <w:rsid w:val="001B5093"/>
    <w:rsid w:val="001B530F"/>
    <w:rsid w:val="001B6062"/>
    <w:rsid w:val="001B79CF"/>
    <w:rsid w:val="001B7BE0"/>
    <w:rsid w:val="001B7D2D"/>
    <w:rsid w:val="001C0005"/>
    <w:rsid w:val="001C11B3"/>
    <w:rsid w:val="001C1516"/>
    <w:rsid w:val="001C1610"/>
    <w:rsid w:val="001C1962"/>
    <w:rsid w:val="001C23EF"/>
    <w:rsid w:val="001C2653"/>
    <w:rsid w:val="001C3495"/>
    <w:rsid w:val="001C4C7F"/>
    <w:rsid w:val="001C51C4"/>
    <w:rsid w:val="001C5BBA"/>
    <w:rsid w:val="001C72F0"/>
    <w:rsid w:val="001C76DB"/>
    <w:rsid w:val="001C78D3"/>
    <w:rsid w:val="001D0217"/>
    <w:rsid w:val="001D07C3"/>
    <w:rsid w:val="001D0D91"/>
    <w:rsid w:val="001D165C"/>
    <w:rsid w:val="001D22FD"/>
    <w:rsid w:val="001D2ADF"/>
    <w:rsid w:val="001D3777"/>
    <w:rsid w:val="001D3EF7"/>
    <w:rsid w:val="001D40F2"/>
    <w:rsid w:val="001D50B1"/>
    <w:rsid w:val="001D5273"/>
    <w:rsid w:val="001D62AF"/>
    <w:rsid w:val="001D652C"/>
    <w:rsid w:val="001D7AAB"/>
    <w:rsid w:val="001D7E3A"/>
    <w:rsid w:val="001D7FAF"/>
    <w:rsid w:val="001E0023"/>
    <w:rsid w:val="001E0EE3"/>
    <w:rsid w:val="001E1815"/>
    <w:rsid w:val="001E1CFD"/>
    <w:rsid w:val="001E26DB"/>
    <w:rsid w:val="001E295F"/>
    <w:rsid w:val="001E2BF5"/>
    <w:rsid w:val="001E3CFE"/>
    <w:rsid w:val="001E49B4"/>
    <w:rsid w:val="001E4D86"/>
    <w:rsid w:val="001E528D"/>
    <w:rsid w:val="001E5D50"/>
    <w:rsid w:val="001E5D91"/>
    <w:rsid w:val="001E6075"/>
    <w:rsid w:val="001E7A82"/>
    <w:rsid w:val="001E7AB3"/>
    <w:rsid w:val="001F0B5F"/>
    <w:rsid w:val="001F0C52"/>
    <w:rsid w:val="001F0F47"/>
    <w:rsid w:val="001F1A74"/>
    <w:rsid w:val="001F1D48"/>
    <w:rsid w:val="001F2362"/>
    <w:rsid w:val="001F285E"/>
    <w:rsid w:val="001F2E97"/>
    <w:rsid w:val="001F35CB"/>
    <w:rsid w:val="001F3A0C"/>
    <w:rsid w:val="001F3B0D"/>
    <w:rsid w:val="001F3BE1"/>
    <w:rsid w:val="001F480D"/>
    <w:rsid w:val="001F4922"/>
    <w:rsid w:val="001F5856"/>
    <w:rsid w:val="001F662C"/>
    <w:rsid w:val="001F755A"/>
    <w:rsid w:val="001F7B57"/>
    <w:rsid w:val="00200493"/>
    <w:rsid w:val="002004A9"/>
    <w:rsid w:val="00201702"/>
    <w:rsid w:val="00201CBD"/>
    <w:rsid w:val="002027F6"/>
    <w:rsid w:val="00202E3F"/>
    <w:rsid w:val="00203029"/>
    <w:rsid w:val="0020339C"/>
    <w:rsid w:val="00203C90"/>
    <w:rsid w:val="00203D96"/>
    <w:rsid w:val="00204626"/>
    <w:rsid w:val="00204D22"/>
    <w:rsid w:val="00205187"/>
    <w:rsid w:val="002053DB"/>
    <w:rsid w:val="00205A42"/>
    <w:rsid w:val="00205B9F"/>
    <w:rsid w:val="00205BDD"/>
    <w:rsid w:val="00205C37"/>
    <w:rsid w:val="00206A13"/>
    <w:rsid w:val="00206CE8"/>
    <w:rsid w:val="00207A86"/>
    <w:rsid w:val="002102F3"/>
    <w:rsid w:val="00210308"/>
    <w:rsid w:val="00210426"/>
    <w:rsid w:val="0021069A"/>
    <w:rsid w:val="00210ADC"/>
    <w:rsid w:val="00210E24"/>
    <w:rsid w:val="00211602"/>
    <w:rsid w:val="00211AD1"/>
    <w:rsid w:val="00211ECF"/>
    <w:rsid w:val="0021223F"/>
    <w:rsid w:val="00213235"/>
    <w:rsid w:val="00214817"/>
    <w:rsid w:val="00216660"/>
    <w:rsid w:val="00216A5C"/>
    <w:rsid w:val="00216CC8"/>
    <w:rsid w:val="00216FDD"/>
    <w:rsid w:val="002170B7"/>
    <w:rsid w:val="002174AC"/>
    <w:rsid w:val="002217F1"/>
    <w:rsid w:val="00221C76"/>
    <w:rsid w:val="00221CF3"/>
    <w:rsid w:val="00222051"/>
    <w:rsid w:val="00222ABA"/>
    <w:rsid w:val="00223058"/>
    <w:rsid w:val="0022406C"/>
    <w:rsid w:val="00224416"/>
    <w:rsid w:val="00224BE8"/>
    <w:rsid w:val="002256FE"/>
    <w:rsid w:val="00225929"/>
    <w:rsid w:val="002273CD"/>
    <w:rsid w:val="0023057C"/>
    <w:rsid w:val="00230A16"/>
    <w:rsid w:val="002310DE"/>
    <w:rsid w:val="00233B44"/>
    <w:rsid w:val="00234764"/>
    <w:rsid w:val="00235100"/>
    <w:rsid w:val="002360A0"/>
    <w:rsid w:val="00237D8F"/>
    <w:rsid w:val="00240422"/>
    <w:rsid w:val="00240ABC"/>
    <w:rsid w:val="002421F9"/>
    <w:rsid w:val="00242A2A"/>
    <w:rsid w:val="00243151"/>
    <w:rsid w:val="0024376A"/>
    <w:rsid w:val="00244117"/>
    <w:rsid w:val="00244123"/>
    <w:rsid w:val="002443C4"/>
    <w:rsid w:val="00244D93"/>
    <w:rsid w:val="002451BF"/>
    <w:rsid w:val="00245883"/>
    <w:rsid w:val="00245D98"/>
    <w:rsid w:val="002465FF"/>
    <w:rsid w:val="0024679A"/>
    <w:rsid w:val="00246D7E"/>
    <w:rsid w:val="002472D6"/>
    <w:rsid w:val="002475DD"/>
    <w:rsid w:val="002514C6"/>
    <w:rsid w:val="00251AE7"/>
    <w:rsid w:val="00252958"/>
    <w:rsid w:val="00252B40"/>
    <w:rsid w:val="0025304D"/>
    <w:rsid w:val="0025320A"/>
    <w:rsid w:val="002535CD"/>
    <w:rsid w:val="00253A2A"/>
    <w:rsid w:val="00255C65"/>
    <w:rsid w:val="00255F08"/>
    <w:rsid w:val="00256010"/>
    <w:rsid w:val="00257B4E"/>
    <w:rsid w:val="00257DCC"/>
    <w:rsid w:val="00261881"/>
    <w:rsid w:val="00261A03"/>
    <w:rsid w:val="00263647"/>
    <w:rsid w:val="002647F9"/>
    <w:rsid w:val="00264C63"/>
    <w:rsid w:val="002668D2"/>
    <w:rsid w:val="00266FB4"/>
    <w:rsid w:val="0026741D"/>
    <w:rsid w:val="00267A17"/>
    <w:rsid w:val="00270768"/>
    <w:rsid w:val="00270B45"/>
    <w:rsid w:val="00270FCA"/>
    <w:rsid w:val="002711B5"/>
    <w:rsid w:val="00272D45"/>
    <w:rsid w:val="002732D2"/>
    <w:rsid w:val="00274016"/>
    <w:rsid w:val="00274439"/>
    <w:rsid w:val="0027523D"/>
    <w:rsid w:val="0027578B"/>
    <w:rsid w:val="00275879"/>
    <w:rsid w:val="00275955"/>
    <w:rsid w:val="00275988"/>
    <w:rsid w:val="0027669A"/>
    <w:rsid w:val="00276944"/>
    <w:rsid w:val="002801F2"/>
    <w:rsid w:val="00280948"/>
    <w:rsid w:val="0028100C"/>
    <w:rsid w:val="002811EF"/>
    <w:rsid w:val="0028127D"/>
    <w:rsid w:val="00281B17"/>
    <w:rsid w:val="002820D1"/>
    <w:rsid w:val="00282615"/>
    <w:rsid w:val="002839A8"/>
    <w:rsid w:val="00283B01"/>
    <w:rsid w:val="00283CC4"/>
    <w:rsid w:val="00284C39"/>
    <w:rsid w:val="00284EF9"/>
    <w:rsid w:val="00284FF4"/>
    <w:rsid w:val="0028732E"/>
    <w:rsid w:val="00287E28"/>
    <w:rsid w:val="002902BE"/>
    <w:rsid w:val="002902D7"/>
    <w:rsid w:val="00290634"/>
    <w:rsid w:val="00290C52"/>
    <w:rsid w:val="00290C65"/>
    <w:rsid w:val="002915A6"/>
    <w:rsid w:val="0029180A"/>
    <w:rsid w:val="00292754"/>
    <w:rsid w:val="002932AC"/>
    <w:rsid w:val="00294FAC"/>
    <w:rsid w:val="0029524B"/>
    <w:rsid w:val="00295DC2"/>
    <w:rsid w:val="002962C1"/>
    <w:rsid w:val="002966AE"/>
    <w:rsid w:val="00296CFB"/>
    <w:rsid w:val="0029743E"/>
    <w:rsid w:val="002979FE"/>
    <w:rsid w:val="00297F25"/>
    <w:rsid w:val="002A055F"/>
    <w:rsid w:val="002A12B2"/>
    <w:rsid w:val="002A2B6D"/>
    <w:rsid w:val="002A2F49"/>
    <w:rsid w:val="002A2FDD"/>
    <w:rsid w:val="002A3A30"/>
    <w:rsid w:val="002A44EF"/>
    <w:rsid w:val="002A47B1"/>
    <w:rsid w:val="002A5D6F"/>
    <w:rsid w:val="002A5EEE"/>
    <w:rsid w:val="002A61E1"/>
    <w:rsid w:val="002A65EC"/>
    <w:rsid w:val="002A6795"/>
    <w:rsid w:val="002A6BC9"/>
    <w:rsid w:val="002A6C2C"/>
    <w:rsid w:val="002A7072"/>
    <w:rsid w:val="002A7937"/>
    <w:rsid w:val="002A7DB0"/>
    <w:rsid w:val="002B0FC3"/>
    <w:rsid w:val="002B1071"/>
    <w:rsid w:val="002B17DB"/>
    <w:rsid w:val="002B1CF5"/>
    <w:rsid w:val="002B1E92"/>
    <w:rsid w:val="002B23CE"/>
    <w:rsid w:val="002B2497"/>
    <w:rsid w:val="002B3368"/>
    <w:rsid w:val="002B3D13"/>
    <w:rsid w:val="002B4AF2"/>
    <w:rsid w:val="002B4E98"/>
    <w:rsid w:val="002B6FE2"/>
    <w:rsid w:val="002C05A1"/>
    <w:rsid w:val="002C21B5"/>
    <w:rsid w:val="002C250F"/>
    <w:rsid w:val="002C31BF"/>
    <w:rsid w:val="002C3AE4"/>
    <w:rsid w:val="002C3C85"/>
    <w:rsid w:val="002C50BB"/>
    <w:rsid w:val="002C5523"/>
    <w:rsid w:val="002C581F"/>
    <w:rsid w:val="002C5DBD"/>
    <w:rsid w:val="002C685E"/>
    <w:rsid w:val="002C7511"/>
    <w:rsid w:val="002D0247"/>
    <w:rsid w:val="002D0748"/>
    <w:rsid w:val="002D0AF4"/>
    <w:rsid w:val="002D12CC"/>
    <w:rsid w:val="002D1527"/>
    <w:rsid w:val="002D22C1"/>
    <w:rsid w:val="002D2BFB"/>
    <w:rsid w:val="002D2D28"/>
    <w:rsid w:val="002D35C1"/>
    <w:rsid w:val="002D375C"/>
    <w:rsid w:val="002D4669"/>
    <w:rsid w:val="002D474E"/>
    <w:rsid w:val="002D4799"/>
    <w:rsid w:val="002D491C"/>
    <w:rsid w:val="002D4B09"/>
    <w:rsid w:val="002D4BFB"/>
    <w:rsid w:val="002D4FF1"/>
    <w:rsid w:val="002D51E1"/>
    <w:rsid w:val="002D5543"/>
    <w:rsid w:val="002D6D13"/>
    <w:rsid w:val="002E0B61"/>
    <w:rsid w:val="002E0C25"/>
    <w:rsid w:val="002E1261"/>
    <w:rsid w:val="002E1266"/>
    <w:rsid w:val="002E178F"/>
    <w:rsid w:val="002E1D5C"/>
    <w:rsid w:val="002E2D5C"/>
    <w:rsid w:val="002E37C0"/>
    <w:rsid w:val="002E3BFD"/>
    <w:rsid w:val="002E4E9D"/>
    <w:rsid w:val="002E5650"/>
    <w:rsid w:val="002E5B75"/>
    <w:rsid w:val="002E6774"/>
    <w:rsid w:val="002E7E5F"/>
    <w:rsid w:val="002F034B"/>
    <w:rsid w:val="002F1340"/>
    <w:rsid w:val="002F4824"/>
    <w:rsid w:val="002F4C19"/>
    <w:rsid w:val="002F50A5"/>
    <w:rsid w:val="002F6261"/>
    <w:rsid w:val="002F709D"/>
    <w:rsid w:val="002F7252"/>
    <w:rsid w:val="002F72BA"/>
    <w:rsid w:val="002F7526"/>
    <w:rsid w:val="002F75E5"/>
    <w:rsid w:val="002F77EE"/>
    <w:rsid w:val="00300289"/>
    <w:rsid w:val="003004C4"/>
    <w:rsid w:val="0030078F"/>
    <w:rsid w:val="00300DDF"/>
    <w:rsid w:val="00300FD0"/>
    <w:rsid w:val="0030111D"/>
    <w:rsid w:val="0030144D"/>
    <w:rsid w:val="003045BA"/>
    <w:rsid w:val="00304A68"/>
    <w:rsid w:val="0030569D"/>
    <w:rsid w:val="0030601A"/>
    <w:rsid w:val="00306E34"/>
    <w:rsid w:val="003074D9"/>
    <w:rsid w:val="003079C0"/>
    <w:rsid w:val="003100DD"/>
    <w:rsid w:val="00310867"/>
    <w:rsid w:val="00310ABA"/>
    <w:rsid w:val="00310B35"/>
    <w:rsid w:val="00311575"/>
    <w:rsid w:val="00312F02"/>
    <w:rsid w:val="0031381D"/>
    <w:rsid w:val="00313BE1"/>
    <w:rsid w:val="00313CA7"/>
    <w:rsid w:val="00313DB5"/>
    <w:rsid w:val="00313E40"/>
    <w:rsid w:val="00315006"/>
    <w:rsid w:val="00317C3B"/>
    <w:rsid w:val="00320813"/>
    <w:rsid w:val="00320C69"/>
    <w:rsid w:val="00321199"/>
    <w:rsid w:val="003213CD"/>
    <w:rsid w:val="003217C7"/>
    <w:rsid w:val="00321F3C"/>
    <w:rsid w:val="003223A4"/>
    <w:rsid w:val="003225FB"/>
    <w:rsid w:val="00322D59"/>
    <w:rsid w:val="00323938"/>
    <w:rsid w:val="0032466E"/>
    <w:rsid w:val="003246B2"/>
    <w:rsid w:val="00324852"/>
    <w:rsid w:val="00326539"/>
    <w:rsid w:val="003270B9"/>
    <w:rsid w:val="003275B7"/>
    <w:rsid w:val="00327A9C"/>
    <w:rsid w:val="00330293"/>
    <w:rsid w:val="0033061C"/>
    <w:rsid w:val="00330BB9"/>
    <w:rsid w:val="00330EAA"/>
    <w:rsid w:val="003311FC"/>
    <w:rsid w:val="003315B0"/>
    <w:rsid w:val="00331A0D"/>
    <w:rsid w:val="00331A1F"/>
    <w:rsid w:val="00331D05"/>
    <w:rsid w:val="00332B80"/>
    <w:rsid w:val="00333A08"/>
    <w:rsid w:val="003342D0"/>
    <w:rsid w:val="0033547B"/>
    <w:rsid w:val="003367D5"/>
    <w:rsid w:val="00336AD0"/>
    <w:rsid w:val="00336FD1"/>
    <w:rsid w:val="0033721C"/>
    <w:rsid w:val="0034004E"/>
    <w:rsid w:val="00340A34"/>
    <w:rsid w:val="003419E5"/>
    <w:rsid w:val="0034206A"/>
    <w:rsid w:val="003427AE"/>
    <w:rsid w:val="00342C1A"/>
    <w:rsid w:val="00343253"/>
    <w:rsid w:val="0034466D"/>
    <w:rsid w:val="00344D16"/>
    <w:rsid w:val="00344D70"/>
    <w:rsid w:val="00345403"/>
    <w:rsid w:val="003468F9"/>
    <w:rsid w:val="00346D71"/>
    <w:rsid w:val="00347CC3"/>
    <w:rsid w:val="00350234"/>
    <w:rsid w:val="003503E2"/>
    <w:rsid w:val="00350817"/>
    <w:rsid w:val="00351DCD"/>
    <w:rsid w:val="003521BD"/>
    <w:rsid w:val="00353408"/>
    <w:rsid w:val="0035341D"/>
    <w:rsid w:val="00353FC6"/>
    <w:rsid w:val="00354C67"/>
    <w:rsid w:val="003554A8"/>
    <w:rsid w:val="00355E7F"/>
    <w:rsid w:val="00356E18"/>
    <w:rsid w:val="00357292"/>
    <w:rsid w:val="00357463"/>
    <w:rsid w:val="0035794D"/>
    <w:rsid w:val="00361456"/>
    <w:rsid w:val="003617D4"/>
    <w:rsid w:val="00361CC2"/>
    <w:rsid w:val="003620A4"/>
    <w:rsid w:val="00362500"/>
    <w:rsid w:val="003625EA"/>
    <w:rsid w:val="00362999"/>
    <w:rsid w:val="00363A16"/>
    <w:rsid w:val="00363D32"/>
    <w:rsid w:val="003646E2"/>
    <w:rsid w:val="00364EB8"/>
    <w:rsid w:val="00364FA1"/>
    <w:rsid w:val="00365061"/>
    <w:rsid w:val="00365614"/>
    <w:rsid w:val="00365716"/>
    <w:rsid w:val="003662C1"/>
    <w:rsid w:val="0036658E"/>
    <w:rsid w:val="0036664E"/>
    <w:rsid w:val="00366AAA"/>
    <w:rsid w:val="00366C9D"/>
    <w:rsid w:val="00366EF7"/>
    <w:rsid w:val="00367256"/>
    <w:rsid w:val="00367310"/>
    <w:rsid w:val="00367D81"/>
    <w:rsid w:val="00370544"/>
    <w:rsid w:val="00370B1D"/>
    <w:rsid w:val="003711A0"/>
    <w:rsid w:val="00371DE7"/>
    <w:rsid w:val="0037286F"/>
    <w:rsid w:val="00373E04"/>
    <w:rsid w:val="003747A8"/>
    <w:rsid w:val="00374974"/>
    <w:rsid w:val="00374ADF"/>
    <w:rsid w:val="00374BDA"/>
    <w:rsid w:val="00375742"/>
    <w:rsid w:val="003759D8"/>
    <w:rsid w:val="00375EB7"/>
    <w:rsid w:val="00375FCD"/>
    <w:rsid w:val="00376654"/>
    <w:rsid w:val="00377436"/>
    <w:rsid w:val="003776A8"/>
    <w:rsid w:val="00380C9B"/>
    <w:rsid w:val="003812B7"/>
    <w:rsid w:val="003821B5"/>
    <w:rsid w:val="0038319E"/>
    <w:rsid w:val="003841D1"/>
    <w:rsid w:val="0038487F"/>
    <w:rsid w:val="00384D96"/>
    <w:rsid w:val="00384EA0"/>
    <w:rsid w:val="00384F3E"/>
    <w:rsid w:val="0038561E"/>
    <w:rsid w:val="00385CA6"/>
    <w:rsid w:val="00385D33"/>
    <w:rsid w:val="00385F28"/>
    <w:rsid w:val="00386862"/>
    <w:rsid w:val="0038775A"/>
    <w:rsid w:val="0038784B"/>
    <w:rsid w:val="00387D73"/>
    <w:rsid w:val="0039088C"/>
    <w:rsid w:val="00390FBC"/>
    <w:rsid w:val="00391213"/>
    <w:rsid w:val="0039147A"/>
    <w:rsid w:val="003919D0"/>
    <w:rsid w:val="00391B03"/>
    <w:rsid w:val="003920B2"/>
    <w:rsid w:val="00392323"/>
    <w:rsid w:val="003925DE"/>
    <w:rsid w:val="00392920"/>
    <w:rsid w:val="00393465"/>
    <w:rsid w:val="00393F06"/>
    <w:rsid w:val="00394212"/>
    <w:rsid w:val="003945C8"/>
    <w:rsid w:val="003953C6"/>
    <w:rsid w:val="0039693A"/>
    <w:rsid w:val="00397121"/>
    <w:rsid w:val="0039763C"/>
    <w:rsid w:val="00397749"/>
    <w:rsid w:val="00397B29"/>
    <w:rsid w:val="003A075E"/>
    <w:rsid w:val="003A08CD"/>
    <w:rsid w:val="003A09DC"/>
    <w:rsid w:val="003A0A5A"/>
    <w:rsid w:val="003A112A"/>
    <w:rsid w:val="003A1193"/>
    <w:rsid w:val="003A12B4"/>
    <w:rsid w:val="003A144A"/>
    <w:rsid w:val="003A164F"/>
    <w:rsid w:val="003A1FD5"/>
    <w:rsid w:val="003A2C20"/>
    <w:rsid w:val="003A3349"/>
    <w:rsid w:val="003A34F5"/>
    <w:rsid w:val="003A39B6"/>
    <w:rsid w:val="003A441F"/>
    <w:rsid w:val="003A51EE"/>
    <w:rsid w:val="003A5730"/>
    <w:rsid w:val="003A74BD"/>
    <w:rsid w:val="003B0458"/>
    <w:rsid w:val="003B0563"/>
    <w:rsid w:val="003B1272"/>
    <w:rsid w:val="003B1601"/>
    <w:rsid w:val="003B28A6"/>
    <w:rsid w:val="003B2CC2"/>
    <w:rsid w:val="003B35BB"/>
    <w:rsid w:val="003B3BDC"/>
    <w:rsid w:val="003B4C39"/>
    <w:rsid w:val="003C04F3"/>
    <w:rsid w:val="003C0FB6"/>
    <w:rsid w:val="003C219A"/>
    <w:rsid w:val="003C21BF"/>
    <w:rsid w:val="003C275D"/>
    <w:rsid w:val="003C27AA"/>
    <w:rsid w:val="003C2B2F"/>
    <w:rsid w:val="003C2ECF"/>
    <w:rsid w:val="003C30F7"/>
    <w:rsid w:val="003C413C"/>
    <w:rsid w:val="003C4E45"/>
    <w:rsid w:val="003C708B"/>
    <w:rsid w:val="003C79F0"/>
    <w:rsid w:val="003C7BCD"/>
    <w:rsid w:val="003C7E5B"/>
    <w:rsid w:val="003D037F"/>
    <w:rsid w:val="003D05B5"/>
    <w:rsid w:val="003D1739"/>
    <w:rsid w:val="003D277D"/>
    <w:rsid w:val="003D284C"/>
    <w:rsid w:val="003D293F"/>
    <w:rsid w:val="003D2FA4"/>
    <w:rsid w:val="003D36D9"/>
    <w:rsid w:val="003D3F91"/>
    <w:rsid w:val="003D542A"/>
    <w:rsid w:val="003D5974"/>
    <w:rsid w:val="003D610A"/>
    <w:rsid w:val="003D6113"/>
    <w:rsid w:val="003D6229"/>
    <w:rsid w:val="003D6741"/>
    <w:rsid w:val="003D67E5"/>
    <w:rsid w:val="003D6CB4"/>
    <w:rsid w:val="003D7040"/>
    <w:rsid w:val="003D7080"/>
    <w:rsid w:val="003D70E6"/>
    <w:rsid w:val="003E0E70"/>
    <w:rsid w:val="003E0F75"/>
    <w:rsid w:val="003E1BC3"/>
    <w:rsid w:val="003E1D5C"/>
    <w:rsid w:val="003E2A09"/>
    <w:rsid w:val="003E2B49"/>
    <w:rsid w:val="003E30ED"/>
    <w:rsid w:val="003E397C"/>
    <w:rsid w:val="003E41CA"/>
    <w:rsid w:val="003E4B83"/>
    <w:rsid w:val="003E510B"/>
    <w:rsid w:val="003E588D"/>
    <w:rsid w:val="003E5AC8"/>
    <w:rsid w:val="003E5D9A"/>
    <w:rsid w:val="003E6123"/>
    <w:rsid w:val="003E6183"/>
    <w:rsid w:val="003E6367"/>
    <w:rsid w:val="003E6B70"/>
    <w:rsid w:val="003F0920"/>
    <w:rsid w:val="003F0A39"/>
    <w:rsid w:val="003F0EF0"/>
    <w:rsid w:val="003F12BA"/>
    <w:rsid w:val="003F1454"/>
    <w:rsid w:val="003F14CC"/>
    <w:rsid w:val="003F18B0"/>
    <w:rsid w:val="003F2141"/>
    <w:rsid w:val="003F366E"/>
    <w:rsid w:val="003F3934"/>
    <w:rsid w:val="003F4DC6"/>
    <w:rsid w:val="003F582E"/>
    <w:rsid w:val="003F5AEF"/>
    <w:rsid w:val="003F6634"/>
    <w:rsid w:val="003F6D64"/>
    <w:rsid w:val="003F6F59"/>
    <w:rsid w:val="003F7E44"/>
    <w:rsid w:val="0040022B"/>
    <w:rsid w:val="0040051B"/>
    <w:rsid w:val="00400CB7"/>
    <w:rsid w:val="0040124D"/>
    <w:rsid w:val="00401EDF"/>
    <w:rsid w:val="00402508"/>
    <w:rsid w:val="00404EDF"/>
    <w:rsid w:val="00405470"/>
    <w:rsid w:val="0040557E"/>
    <w:rsid w:val="0040591E"/>
    <w:rsid w:val="00405C62"/>
    <w:rsid w:val="00407025"/>
    <w:rsid w:val="0040706A"/>
    <w:rsid w:val="00407385"/>
    <w:rsid w:val="00407B78"/>
    <w:rsid w:val="004102C1"/>
    <w:rsid w:val="00410A2A"/>
    <w:rsid w:val="004118DF"/>
    <w:rsid w:val="00411A86"/>
    <w:rsid w:val="00411E10"/>
    <w:rsid w:val="0041241F"/>
    <w:rsid w:val="00412535"/>
    <w:rsid w:val="00413066"/>
    <w:rsid w:val="00414363"/>
    <w:rsid w:val="00414464"/>
    <w:rsid w:val="00414A0C"/>
    <w:rsid w:val="00414BCE"/>
    <w:rsid w:val="00414C19"/>
    <w:rsid w:val="00415324"/>
    <w:rsid w:val="0041544E"/>
    <w:rsid w:val="004155E7"/>
    <w:rsid w:val="004162B8"/>
    <w:rsid w:val="00416F84"/>
    <w:rsid w:val="00416FAD"/>
    <w:rsid w:val="004175B2"/>
    <w:rsid w:val="004177EC"/>
    <w:rsid w:val="004179CD"/>
    <w:rsid w:val="00420688"/>
    <w:rsid w:val="004209AF"/>
    <w:rsid w:val="0042117C"/>
    <w:rsid w:val="0042127E"/>
    <w:rsid w:val="0042170C"/>
    <w:rsid w:val="00422633"/>
    <w:rsid w:val="00422B2A"/>
    <w:rsid w:val="00423B47"/>
    <w:rsid w:val="004241BA"/>
    <w:rsid w:val="00424F6E"/>
    <w:rsid w:val="004254A1"/>
    <w:rsid w:val="00425BF3"/>
    <w:rsid w:val="00425DAF"/>
    <w:rsid w:val="00425DF0"/>
    <w:rsid w:val="004260FE"/>
    <w:rsid w:val="00426472"/>
    <w:rsid w:val="004268B7"/>
    <w:rsid w:val="00426D6F"/>
    <w:rsid w:val="0042795F"/>
    <w:rsid w:val="00427980"/>
    <w:rsid w:val="00427B92"/>
    <w:rsid w:val="00430904"/>
    <w:rsid w:val="004310FE"/>
    <w:rsid w:val="0043163D"/>
    <w:rsid w:val="0043202E"/>
    <w:rsid w:val="00432CD5"/>
    <w:rsid w:val="00433761"/>
    <w:rsid w:val="00433C5C"/>
    <w:rsid w:val="004346B2"/>
    <w:rsid w:val="004348A3"/>
    <w:rsid w:val="004349BF"/>
    <w:rsid w:val="00434C83"/>
    <w:rsid w:val="00434F8A"/>
    <w:rsid w:val="00435905"/>
    <w:rsid w:val="00436688"/>
    <w:rsid w:val="00437814"/>
    <w:rsid w:val="00437C10"/>
    <w:rsid w:val="0044048F"/>
    <w:rsid w:val="0044122A"/>
    <w:rsid w:val="004413DC"/>
    <w:rsid w:val="00441C3F"/>
    <w:rsid w:val="00441D0B"/>
    <w:rsid w:val="00442599"/>
    <w:rsid w:val="00443647"/>
    <w:rsid w:val="00443758"/>
    <w:rsid w:val="00443F0D"/>
    <w:rsid w:val="00444017"/>
    <w:rsid w:val="004450EA"/>
    <w:rsid w:val="00445BFC"/>
    <w:rsid w:val="00446FD2"/>
    <w:rsid w:val="004477B2"/>
    <w:rsid w:val="004478E7"/>
    <w:rsid w:val="00450110"/>
    <w:rsid w:val="004511E8"/>
    <w:rsid w:val="004512DA"/>
    <w:rsid w:val="00451A65"/>
    <w:rsid w:val="004523D6"/>
    <w:rsid w:val="00452461"/>
    <w:rsid w:val="00452671"/>
    <w:rsid w:val="004527E6"/>
    <w:rsid w:val="00452A66"/>
    <w:rsid w:val="00453474"/>
    <w:rsid w:val="004539DF"/>
    <w:rsid w:val="00453B27"/>
    <w:rsid w:val="00453D9F"/>
    <w:rsid w:val="00453E6E"/>
    <w:rsid w:val="004541B6"/>
    <w:rsid w:val="00454739"/>
    <w:rsid w:val="0045598F"/>
    <w:rsid w:val="00455EC7"/>
    <w:rsid w:val="004568F0"/>
    <w:rsid w:val="004570FC"/>
    <w:rsid w:val="00457179"/>
    <w:rsid w:val="004571D0"/>
    <w:rsid w:val="004573C8"/>
    <w:rsid w:val="00457833"/>
    <w:rsid w:val="00457990"/>
    <w:rsid w:val="0046072D"/>
    <w:rsid w:val="00460CEE"/>
    <w:rsid w:val="00460D97"/>
    <w:rsid w:val="00460EBA"/>
    <w:rsid w:val="00461883"/>
    <w:rsid w:val="00462CF3"/>
    <w:rsid w:val="00463356"/>
    <w:rsid w:val="00463A4D"/>
    <w:rsid w:val="00465BDA"/>
    <w:rsid w:val="00465FF2"/>
    <w:rsid w:val="0046609B"/>
    <w:rsid w:val="00466491"/>
    <w:rsid w:val="004667AF"/>
    <w:rsid w:val="00466B32"/>
    <w:rsid w:val="00467495"/>
    <w:rsid w:val="0046763C"/>
    <w:rsid w:val="0047032D"/>
    <w:rsid w:val="00470616"/>
    <w:rsid w:val="00470658"/>
    <w:rsid w:val="0047100C"/>
    <w:rsid w:val="004714EA"/>
    <w:rsid w:val="00471716"/>
    <w:rsid w:val="00471765"/>
    <w:rsid w:val="004726EE"/>
    <w:rsid w:val="00472A58"/>
    <w:rsid w:val="00474A82"/>
    <w:rsid w:val="00474DD0"/>
    <w:rsid w:val="00475E7E"/>
    <w:rsid w:val="0047610B"/>
    <w:rsid w:val="0047636F"/>
    <w:rsid w:val="00476E14"/>
    <w:rsid w:val="00477130"/>
    <w:rsid w:val="00477735"/>
    <w:rsid w:val="0048020D"/>
    <w:rsid w:val="0048198E"/>
    <w:rsid w:val="00481DBE"/>
    <w:rsid w:val="00482DFD"/>
    <w:rsid w:val="00483646"/>
    <w:rsid w:val="004836D1"/>
    <w:rsid w:val="00483B24"/>
    <w:rsid w:val="004861BE"/>
    <w:rsid w:val="00486A2F"/>
    <w:rsid w:val="00486DCE"/>
    <w:rsid w:val="00487127"/>
    <w:rsid w:val="004875F1"/>
    <w:rsid w:val="0049019E"/>
    <w:rsid w:val="004913F5"/>
    <w:rsid w:val="00492501"/>
    <w:rsid w:val="00492641"/>
    <w:rsid w:val="00493556"/>
    <w:rsid w:val="00493EAF"/>
    <w:rsid w:val="004942E1"/>
    <w:rsid w:val="00494606"/>
    <w:rsid w:val="00494BC2"/>
    <w:rsid w:val="00495753"/>
    <w:rsid w:val="00495A8D"/>
    <w:rsid w:val="0049612D"/>
    <w:rsid w:val="004967B1"/>
    <w:rsid w:val="00497042"/>
    <w:rsid w:val="004975B7"/>
    <w:rsid w:val="00497770"/>
    <w:rsid w:val="00497B6E"/>
    <w:rsid w:val="004A010B"/>
    <w:rsid w:val="004A01F8"/>
    <w:rsid w:val="004A027B"/>
    <w:rsid w:val="004A0356"/>
    <w:rsid w:val="004A08FD"/>
    <w:rsid w:val="004A1F8C"/>
    <w:rsid w:val="004A2D1E"/>
    <w:rsid w:val="004A31CC"/>
    <w:rsid w:val="004A3288"/>
    <w:rsid w:val="004A33DA"/>
    <w:rsid w:val="004A35B9"/>
    <w:rsid w:val="004A38EB"/>
    <w:rsid w:val="004A4267"/>
    <w:rsid w:val="004A493D"/>
    <w:rsid w:val="004A4CCE"/>
    <w:rsid w:val="004A4CF8"/>
    <w:rsid w:val="004A4FEB"/>
    <w:rsid w:val="004A523F"/>
    <w:rsid w:val="004A7CA9"/>
    <w:rsid w:val="004A7FA3"/>
    <w:rsid w:val="004B0431"/>
    <w:rsid w:val="004B0777"/>
    <w:rsid w:val="004B09F0"/>
    <w:rsid w:val="004B1FEB"/>
    <w:rsid w:val="004B25CF"/>
    <w:rsid w:val="004B2F42"/>
    <w:rsid w:val="004B3C6E"/>
    <w:rsid w:val="004B4652"/>
    <w:rsid w:val="004B477A"/>
    <w:rsid w:val="004B7689"/>
    <w:rsid w:val="004C0C9F"/>
    <w:rsid w:val="004C0D89"/>
    <w:rsid w:val="004C100F"/>
    <w:rsid w:val="004C1C8C"/>
    <w:rsid w:val="004C1D2D"/>
    <w:rsid w:val="004C1E08"/>
    <w:rsid w:val="004C24AF"/>
    <w:rsid w:val="004C3016"/>
    <w:rsid w:val="004C38A5"/>
    <w:rsid w:val="004C3ED4"/>
    <w:rsid w:val="004C474E"/>
    <w:rsid w:val="004C4EF7"/>
    <w:rsid w:val="004C54E4"/>
    <w:rsid w:val="004C5892"/>
    <w:rsid w:val="004C6592"/>
    <w:rsid w:val="004C65F4"/>
    <w:rsid w:val="004C6E2B"/>
    <w:rsid w:val="004C77EF"/>
    <w:rsid w:val="004D0350"/>
    <w:rsid w:val="004D1212"/>
    <w:rsid w:val="004D1AE7"/>
    <w:rsid w:val="004D2324"/>
    <w:rsid w:val="004D240C"/>
    <w:rsid w:val="004D2467"/>
    <w:rsid w:val="004D272C"/>
    <w:rsid w:val="004D33CB"/>
    <w:rsid w:val="004D43A9"/>
    <w:rsid w:val="004D4CC1"/>
    <w:rsid w:val="004D6545"/>
    <w:rsid w:val="004D733F"/>
    <w:rsid w:val="004D7802"/>
    <w:rsid w:val="004D7836"/>
    <w:rsid w:val="004E0D8A"/>
    <w:rsid w:val="004E177D"/>
    <w:rsid w:val="004E19B7"/>
    <w:rsid w:val="004E31B0"/>
    <w:rsid w:val="004E3C62"/>
    <w:rsid w:val="004E46C3"/>
    <w:rsid w:val="004E5C35"/>
    <w:rsid w:val="004E6135"/>
    <w:rsid w:val="004E62A6"/>
    <w:rsid w:val="004E672E"/>
    <w:rsid w:val="004E6ADB"/>
    <w:rsid w:val="004E6B57"/>
    <w:rsid w:val="004E6E48"/>
    <w:rsid w:val="004E70D0"/>
    <w:rsid w:val="004E78E2"/>
    <w:rsid w:val="004F06C8"/>
    <w:rsid w:val="004F0DC4"/>
    <w:rsid w:val="004F1119"/>
    <w:rsid w:val="004F1A45"/>
    <w:rsid w:val="004F1FF1"/>
    <w:rsid w:val="004F30F8"/>
    <w:rsid w:val="004F3152"/>
    <w:rsid w:val="004F3A24"/>
    <w:rsid w:val="004F425E"/>
    <w:rsid w:val="004F53B2"/>
    <w:rsid w:val="004F6C7C"/>
    <w:rsid w:val="004F6E51"/>
    <w:rsid w:val="004F6FE8"/>
    <w:rsid w:val="004F7E56"/>
    <w:rsid w:val="005001FF"/>
    <w:rsid w:val="00500552"/>
    <w:rsid w:val="00500C84"/>
    <w:rsid w:val="005010BB"/>
    <w:rsid w:val="0050129C"/>
    <w:rsid w:val="00501413"/>
    <w:rsid w:val="0050186B"/>
    <w:rsid w:val="0050194D"/>
    <w:rsid w:val="005028FC"/>
    <w:rsid w:val="00502ACB"/>
    <w:rsid w:val="0050316B"/>
    <w:rsid w:val="00503BE8"/>
    <w:rsid w:val="0050410F"/>
    <w:rsid w:val="0050486C"/>
    <w:rsid w:val="00506114"/>
    <w:rsid w:val="00506CFA"/>
    <w:rsid w:val="00506E8F"/>
    <w:rsid w:val="00507278"/>
    <w:rsid w:val="00507A13"/>
    <w:rsid w:val="00507F8C"/>
    <w:rsid w:val="00510053"/>
    <w:rsid w:val="00510B5B"/>
    <w:rsid w:val="00510B75"/>
    <w:rsid w:val="00511169"/>
    <w:rsid w:val="005114DA"/>
    <w:rsid w:val="00512AAB"/>
    <w:rsid w:val="00514FF1"/>
    <w:rsid w:val="005152E9"/>
    <w:rsid w:val="005160E2"/>
    <w:rsid w:val="00516B0D"/>
    <w:rsid w:val="00516D13"/>
    <w:rsid w:val="00516DE7"/>
    <w:rsid w:val="00517857"/>
    <w:rsid w:val="00517ABB"/>
    <w:rsid w:val="0052031F"/>
    <w:rsid w:val="0052281D"/>
    <w:rsid w:val="0052428D"/>
    <w:rsid w:val="005242F8"/>
    <w:rsid w:val="00525111"/>
    <w:rsid w:val="00525F7D"/>
    <w:rsid w:val="00526331"/>
    <w:rsid w:val="00526B7D"/>
    <w:rsid w:val="0052760D"/>
    <w:rsid w:val="00530658"/>
    <w:rsid w:val="00530906"/>
    <w:rsid w:val="0053132C"/>
    <w:rsid w:val="00531A61"/>
    <w:rsid w:val="0053218C"/>
    <w:rsid w:val="005322CB"/>
    <w:rsid w:val="005325C4"/>
    <w:rsid w:val="00532C8E"/>
    <w:rsid w:val="0053324A"/>
    <w:rsid w:val="005335FA"/>
    <w:rsid w:val="00533821"/>
    <w:rsid w:val="00533CC9"/>
    <w:rsid w:val="005345D4"/>
    <w:rsid w:val="005349E8"/>
    <w:rsid w:val="0053531C"/>
    <w:rsid w:val="005356A4"/>
    <w:rsid w:val="00535FDA"/>
    <w:rsid w:val="005373EE"/>
    <w:rsid w:val="005400B4"/>
    <w:rsid w:val="005420F5"/>
    <w:rsid w:val="005423BA"/>
    <w:rsid w:val="00542468"/>
    <w:rsid w:val="0054336B"/>
    <w:rsid w:val="0054351A"/>
    <w:rsid w:val="005437B2"/>
    <w:rsid w:val="005437D4"/>
    <w:rsid w:val="0054385E"/>
    <w:rsid w:val="00543CAE"/>
    <w:rsid w:val="0054474F"/>
    <w:rsid w:val="00544960"/>
    <w:rsid w:val="00544AF4"/>
    <w:rsid w:val="005451B1"/>
    <w:rsid w:val="00545220"/>
    <w:rsid w:val="005452E9"/>
    <w:rsid w:val="0054663E"/>
    <w:rsid w:val="00547747"/>
    <w:rsid w:val="00547A53"/>
    <w:rsid w:val="00547EBD"/>
    <w:rsid w:val="005502C6"/>
    <w:rsid w:val="00551DEB"/>
    <w:rsid w:val="00551F75"/>
    <w:rsid w:val="005521EA"/>
    <w:rsid w:val="00552C75"/>
    <w:rsid w:val="00552CE8"/>
    <w:rsid w:val="00553EC1"/>
    <w:rsid w:val="0055438B"/>
    <w:rsid w:val="0055474A"/>
    <w:rsid w:val="00554D4F"/>
    <w:rsid w:val="00555018"/>
    <w:rsid w:val="00555113"/>
    <w:rsid w:val="00556C29"/>
    <w:rsid w:val="005574F8"/>
    <w:rsid w:val="00557DC6"/>
    <w:rsid w:val="005608E4"/>
    <w:rsid w:val="00560C67"/>
    <w:rsid w:val="00560D03"/>
    <w:rsid w:val="0056156D"/>
    <w:rsid w:val="00563A3B"/>
    <w:rsid w:val="005658FC"/>
    <w:rsid w:val="0056615E"/>
    <w:rsid w:val="005667AC"/>
    <w:rsid w:val="005672FD"/>
    <w:rsid w:val="005674C7"/>
    <w:rsid w:val="0056783F"/>
    <w:rsid w:val="0057003C"/>
    <w:rsid w:val="00570CCA"/>
    <w:rsid w:val="0057252E"/>
    <w:rsid w:val="005725B1"/>
    <w:rsid w:val="00572CE0"/>
    <w:rsid w:val="005732D6"/>
    <w:rsid w:val="00573AAD"/>
    <w:rsid w:val="00574189"/>
    <w:rsid w:val="005743A9"/>
    <w:rsid w:val="0057458F"/>
    <w:rsid w:val="00574B13"/>
    <w:rsid w:val="00574DA2"/>
    <w:rsid w:val="005760CB"/>
    <w:rsid w:val="00576251"/>
    <w:rsid w:val="00576AB1"/>
    <w:rsid w:val="00576D1F"/>
    <w:rsid w:val="00577197"/>
    <w:rsid w:val="00577E86"/>
    <w:rsid w:val="00580377"/>
    <w:rsid w:val="005809D8"/>
    <w:rsid w:val="00580B88"/>
    <w:rsid w:val="00580E83"/>
    <w:rsid w:val="00582D01"/>
    <w:rsid w:val="005831BE"/>
    <w:rsid w:val="005835EB"/>
    <w:rsid w:val="00583D4B"/>
    <w:rsid w:val="00583D60"/>
    <w:rsid w:val="0058446F"/>
    <w:rsid w:val="00584F10"/>
    <w:rsid w:val="00585983"/>
    <w:rsid w:val="00586C67"/>
    <w:rsid w:val="005874C0"/>
    <w:rsid w:val="00587A7A"/>
    <w:rsid w:val="00587B22"/>
    <w:rsid w:val="00590593"/>
    <w:rsid w:val="00590AAE"/>
    <w:rsid w:val="00590B38"/>
    <w:rsid w:val="00590F7C"/>
    <w:rsid w:val="00591889"/>
    <w:rsid w:val="005923CE"/>
    <w:rsid w:val="00592854"/>
    <w:rsid w:val="00592EFB"/>
    <w:rsid w:val="0059432A"/>
    <w:rsid w:val="0059441A"/>
    <w:rsid w:val="00594DBB"/>
    <w:rsid w:val="00595C3D"/>
    <w:rsid w:val="0059673E"/>
    <w:rsid w:val="0059728F"/>
    <w:rsid w:val="00597660"/>
    <w:rsid w:val="00597EAF"/>
    <w:rsid w:val="005A0586"/>
    <w:rsid w:val="005A07A8"/>
    <w:rsid w:val="005A1300"/>
    <w:rsid w:val="005A1478"/>
    <w:rsid w:val="005A15B1"/>
    <w:rsid w:val="005A1BD0"/>
    <w:rsid w:val="005A1E3C"/>
    <w:rsid w:val="005A20C0"/>
    <w:rsid w:val="005A254B"/>
    <w:rsid w:val="005A26F9"/>
    <w:rsid w:val="005A3035"/>
    <w:rsid w:val="005A32EC"/>
    <w:rsid w:val="005A3B8B"/>
    <w:rsid w:val="005A4BA3"/>
    <w:rsid w:val="005A551F"/>
    <w:rsid w:val="005A6996"/>
    <w:rsid w:val="005A6B39"/>
    <w:rsid w:val="005A71FD"/>
    <w:rsid w:val="005A72A8"/>
    <w:rsid w:val="005A782F"/>
    <w:rsid w:val="005A7889"/>
    <w:rsid w:val="005A7C32"/>
    <w:rsid w:val="005B05A5"/>
    <w:rsid w:val="005B09E2"/>
    <w:rsid w:val="005B0E9D"/>
    <w:rsid w:val="005B139E"/>
    <w:rsid w:val="005B20AD"/>
    <w:rsid w:val="005B22D9"/>
    <w:rsid w:val="005B3BEB"/>
    <w:rsid w:val="005B3C0E"/>
    <w:rsid w:val="005B3C7F"/>
    <w:rsid w:val="005B3E71"/>
    <w:rsid w:val="005B3FF8"/>
    <w:rsid w:val="005B4119"/>
    <w:rsid w:val="005B4170"/>
    <w:rsid w:val="005B4572"/>
    <w:rsid w:val="005B4D0C"/>
    <w:rsid w:val="005B58BB"/>
    <w:rsid w:val="005B5B76"/>
    <w:rsid w:val="005B648B"/>
    <w:rsid w:val="005B6533"/>
    <w:rsid w:val="005B6BAC"/>
    <w:rsid w:val="005C0ECB"/>
    <w:rsid w:val="005C1B1E"/>
    <w:rsid w:val="005C1EBB"/>
    <w:rsid w:val="005C2322"/>
    <w:rsid w:val="005C23CD"/>
    <w:rsid w:val="005C2854"/>
    <w:rsid w:val="005C2C31"/>
    <w:rsid w:val="005C2CC4"/>
    <w:rsid w:val="005C2F67"/>
    <w:rsid w:val="005C337A"/>
    <w:rsid w:val="005C3716"/>
    <w:rsid w:val="005C4340"/>
    <w:rsid w:val="005C4C5E"/>
    <w:rsid w:val="005C5056"/>
    <w:rsid w:val="005C5697"/>
    <w:rsid w:val="005C5720"/>
    <w:rsid w:val="005C58B7"/>
    <w:rsid w:val="005C5A3D"/>
    <w:rsid w:val="005C5B48"/>
    <w:rsid w:val="005C64AA"/>
    <w:rsid w:val="005C6FC6"/>
    <w:rsid w:val="005C74D5"/>
    <w:rsid w:val="005C777D"/>
    <w:rsid w:val="005C7964"/>
    <w:rsid w:val="005D09DD"/>
    <w:rsid w:val="005D0A84"/>
    <w:rsid w:val="005D103C"/>
    <w:rsid w:val="005D15B8"/>
    <w:rsid w:val="005D1E74"/>
    <w:rsid w:val="005D2019"/>
    <w:rsid w:val="005D20D6"/>
    <w:rsid w:val="005D24BB"/>
    <w:rsid w:val="005D2923"/>
    <w:rsid w:val="005D4EC4"/>
    <w:rsid w:val="005D508B"/>
    <w:rsid w:val="005D557D"/>
    <w:rsid w:val="005D6210"/>
    <w:rsid w:val="005D6A2D"/>
    <w:rsid w:val="005D6F78"/>
    <w:rsid w:val="005D7BBF"/>
    <w:rsid w:val="005E02DA"/>
    <w:rsid w:val="005E03DC"/>
    <w:rsid w:val="005E11E7"/>
    <w:rsid w:val="005E2493"/>
    <w:rsid w:val="005E260F"/>
    <w:rsid w:val="005E3274"/>
    <w:rsid w:val="005E329D"/>
    <w:rsid w:val="005E3E41"/>
    <w:rsid w:val="005E4FAA"/>
    <w:rsid w:val="005E5210"/>
    <w:rsid w:val="005E52AC"/>
    <w:rsid w:val="005E60BC"/>
    <w:rsid w:val="005E60E2"/>
    <w:rsid w:val="005E6581"/>
    <w:rsid w:val="005E65E9"/>
    <w:rsid w:val="005E7D8E"/>
    <w:rsid w:val="005F02D8"/>
    <w:rsid w:val="005F086F"/>
    <w:rsid w:val="005F0BE9"/>
    <w:rsid w:val="005F143B"/>
    <w:rsid w:val="005F193C"/>
    <w:rsid w:val="005F1A59"/>
    <w:rsid w:val="005F2485"/>
    <w:rsid w:val="005F29E6"/>
    <w:rsid w:val="005F2F0D"/>
    <w:rsid w:val="005F3540"/>
    <w:rsid w:val="005F372D"/>
    <w:rsid w:val="005F4276"/>
    <w:rsid w:val="005F4A1C"/>
    <w:rsid w:val="005F4A2C"/>
    <w:rsid w:val="005F58DA"/>
    <w:rsid w:val="005F601A"/>
    <w:rsid w:val="005F6B59"/>
    <w:rsid w:val="005F6D41"/>
    <w:rsid w:val="005F7DC9"/>
    <w:rsid w:val="00600725"/>
    <w:rsid w:val="00600A39"/>
    <w:rsid w:val="006020A6"/>
    <w:rsid w:val="006021A9"/>
    <w:rsid w:val="00602A4A"/>
    <w:rsid w:val="00602D1A"/>
    <w:rsid w:val="0060403E"/>
    <w:rsid w:val="00604737"/>
    <w:rsid w:val="00604A05"/>
    <w:rsid w:val="00604C16"/>
    <w:rsid w:val="00605073"/>
    <w:rsid w:val="00605860"/>
    <w:rsid w:val="00606B85"/>
    <w:rsid w:val="006072CF"/>
    <w:rsid w:val="006073C9"/>
    <w:rsid w:val="0060764A"/>
    <w:rsid w:val="00610070"/>
    <w:rsid w:val="00610378"/>
    <w:rsid w:val="00610911"/>
    <w:rsid w:val="00610A87"/>
    <w:rsid w:val="006116F2"/>
    <w:rsid w:val="006119A8"/>
    <w:rsid w:val="00611C65"/>
    <w:rsid w:val="00613374"/>
    <w:rsid w:val="0061351F"/>
    <w:rsid w:val="00613952"/>
    <w:rsid w:val="00613DF0"/>
    <w:rsid w:val="00613FB3"/>
    <w:rsid w:val="0061457D"/>
    <w:rsid w:val="00614F06"/>
    <w:rsid w:val="00615FE1"/>
    <w:rsid w:val="006162AD"/>
    <w:rsid w:val="00617422"/>
    <w:rsid w:val="0061795C"/>
    <w:rsid w:val="00620093"/>
    <w:rsid w:val="00620C0F"/>
    <w:rsid w:val="00620EFD"/>
    <w:rsid w:val="00621E99"/>
    <w:rsid w:val="00622277"/>
    <w:rsid w:val="00622352"/>
    <w:rsid w:val="006226F9"/>
    <w:rsid w:val="00622E07"/>
    <w:rsid w:val="00623670"/>
    <w:rsid w:val="0062420B"/>
    <w:rsid w:val="00626199"/>
    <w:rsid w:val="006265A5"/>
    <w:rsid w:val="0062691E"/>
    <w:rsid w:val="00626926"/>
    <w:rsid w:val="00626C4F"/>
    <w:rsid w:val="00627560"/>
    <w:rsid w:val="0062756C"/>
    <w:rsid w:val="00627B50"/>
    <w:rsid w:val="00627E50"/>
    <w:rsid w:val="00630151"/>
    <w:rsid w:val="00630462"/>
    <w:rsid w:val="006321ED"/>
    <w:rsid w:val="00632552"/>
    <w:rsid w:val="00632918"/>
    <w:rsid w:val="00632FDC"/>
    <w:rsid w:val="00633618"/>
    <w:rsid w:val="00634FBA"/>
    <w:rsid w:val="00635076"/>
    <w:rsid w:val="006351DC"/>
    <w:rsid w:val="00635D28"/>
    <w:rsid w:val="0063641A"/>
    <w:rsid w:val="0063747C"/>
    <w:rsid w:val="006377DC"/>
    <w:rsid w:val="00637DF9"/>
    <w:rsid w:val="00637E81"/>
    <w:rsid w:val="00640F9D"/>
    <w:rsid w:val="0064128C"/>
    <w:rsid w:val="006416CB"/>
    <w:rsid w:val="00641912"/>
    <w:rsid w:val="00641A77"/>
    <w:rsid w:val="00642CDA"/>
    <w:rsid w:val="006430D5"/>
    <w:rsid w:val="00644785"/>
    <w:rsid w:val="0064517A"/>
    <w:rsid w:val="00645404"/>
    <w:rsid w:val="00646430"/>
    <w:rsid w:val="00646571"/>
    <w:rsid w:val="00646656"/>
    <w:rsid w:val="00647102"/>
    <w:rsid w:val="006476BB"/>
    <w:rsid w:val="0064799D"/>
    <w:rsid w:val="00647FA5"/>
    <w:rsid w:val="00650432"/>
    <w:rsid w:val="00650CCB"/>
    <w:rsid w:val="00650F72"/>
    <w:rsid w:val="00651449"/>
    <w:rsid w:val="00651B41"/>
    <w:rsid w:val="0065255D"/>
    <w:rsid w:val="0065360D"/>
    <w:rsid w:val="00653847"/>
    <w:rsid w:val="00653CA9"/>
    <w:rsid w:val="00654664"/>
    <w:rsid w:val="006553FC"/>
    <w:rsid w:val="006555E8"/>
    <w:rsid w:val="00655F7A"/>
    <w:rsid w:val="00656B63"/>
    <w:rsid w:val="00656BE2"/>
    <w:rsid w:val="00656F8E"/>
    <w:rsid w:val="006575DA"/>
    <w:rsid w:val="0066078A"/>
    <w:rsid w:val="00660D0C"/>
    <w:rsid w:val="00661C31"/>
    <w:rsid w:val="00661E51"/>
    <w:rsid w:val="0066234A"/>
    <w:rsid w:val="006644E5"/>
    <w:rsid w:val="00664D24"/>
    <w:rsid w:val="00665D3A"/>
    <w:rsid w:val="00665EA7"/>
    <w:rsid w:val="006673C4"/>
    <w:rsid w:val="006704BD"/>
    <w:rsid w:val="00671249"/>
    <w:rsid w:val="006721B6"/>
    <w:rsid w:val="00673779"/>
    <w:rsid w:val="00675269"/>
    <w:rsid w:val="00675644"/>
    <w:rsid w:val="0067564A"/>
    <w:rsid w:val="00675FB7"/>
    <w:rsid w:val="006764A8"/>
    <w:rsid w:val="0067690E"/>
    <w:rsid w:val="006770C1"/>
    <w:rsid w:val="00677BCB"/>
    <w:rsid w:val="00677CCD"/>
    <w:rsid w:val="006802D5"/>
    <w:rsid w:val="0068049C"/>
    <w:rsid w:val="006805CD"/>
    <w:rsid w:val="00681F1A"/>
    <w:rsid w:val="006828CC"/>
    <w:rsid w:val="00684272"/>
    <w:rsid w:val="006846B0"/>
    <w:rsid w:val="00684E1F"/>
    <w:rsid w:val="00685F1D"/>
    <w:rsid w:val="006864AC"/>
    <w:rsid w:val="006872B2"/>
    <w:rsid w:val="006874B7"/>
    <w:rsid w:val="006876A6"/>
    <w:rsid w:val="0068771C"/>
    <w:rsid w:val="006877A1"/>
    <w:rsid w:val="00687F37"/>
    <w:rsid w:val="006912DD"/>
    <w:rsid w:val="0069181F"/>
    <w:rsid w:val="006922D0"/>
    <w:rsid w:val="006932F5"/>
    <w:rsid w:val="00693D22"/>
    <w:rsid w:val="00693E0E"/>
    <w:rsid w:val="006944F9"/>
    <w:rsid w:val="00694CD5"/>
    <w:rsid w:val="0069510F"/>
    <w:rsid w:val="0069525E"/>
    <w:rsid w:val="00695F03"/>
    <w:rsid w:val="0069610B"/>
    <w:rsid w:val="006962F6"/>
    <w:rsid w:val="00696CE7"/>
    <w:rsid w:val="00697911"/>
    <w:rsid w:val="006A035C"/>
    <w:rsid w:val="006A03EC"/>
    <w:rsid w:val="006A1182"/>
    <w:rsid w:val="006A131A"/>
    <w:rsid w:val="006A138A"/>
    <w:rsid w:val="006A1CD7"/>
    <w:rsid w:val="006A1E42"/>
    <w:rsid w:val="006A2245"/>
    <w:rsid w:val="006A38A0"/>
    <w:rsid w:val="006A4448"/>
    <w:rsid w:val="006A527E"/>
    <w:rsid w:val="006A5586"/>
    <w:rsid w:val="006A572F"/>
    <w:rsid w:val="006A6800"/>
    <w:rsid w:val="006A714D"/>
    <w:rsid w:val="006A7154"/>
    <w:rsid w:val="006A7270"/>
    <w:rsid w:val="006A7AB8"/>
    <w:rsid w:val="006B0462"/>
    <w:rsid w:val="006B06A3"/>
    <w:rsid w:val="006B08C4"/>
    <w:rsid w:val="006B1116"/>
    <w:rsid w:val="006B1CBC"/>
    <w:rsid w:val="006B2669"/>
    <w:rsid w:val="006B2871"/>
    <w:rsid w:val="006B2E0A"/>
    <w:rsid w:val="006B3417"/>
    <w:rsid w:val="006B689D"/>
    <w:rsid w:val="006B69E2"/>
    <w:rsid w:val="006B733B"/>
    <w:rsid w:val="006B7516"/>
    <w:rsid w:val="006C01C2"/>
    <w:rsid w:val="006C24E4"/>
    <w:rsid w:val="006C313D"/>
    <w:rsid w:val="006C3D8D"/>
    <w:rsid w:val="006C4265"/>
    <w:rsid w:val="006C45C4"/>
    <w:rsid w:val="006C4A3A"/>
    <w:rsid w:val="006C5169"/>
    <w:rsid w:val="006C52F5"/>
    <w:rsid w:val="006C5356"/>
    <w:rsid w:val="006C54D6"/>
    <w:rsid w:val="006C55E8"/>
    <w:rsid w:val="006C78E6"/>
    <w:rsid w:val="006D0BDD"/>
    <w:rsid w:val="006D1108"/>
    <w:rsid w:val="006D14B7"/>
    <w:rsid w:val="006D1F9D"/>
    <w:rsid w:val="006D2C52"/>
    <w:rsid w:val="006D2CB5"/>
    <w:rsid w:val="006D2DF2"/>
    <w:rsid w:val="006D360A"/>
    <w:rsid w:val="006D3979"/>
    <w:rsid w:val="006D53EB"/>
    <w:rsid w:val="006D54C3"/>
    <w:rsid w:val="006D5AC8"/>
    <w:rsid w:val="006D5F08"/>
    <w:rsid w:val="006D5FCD"/>
    <w:rsid w:val="006D62B9"/>
    <w:rsid w:val="006D666A"/>
    <w:rsid w:val="006D66F9"/>
    <w:rsid w:val="006D7263"/>
    <w:rsid w:val="006D7BC1"/>
    <w:rsid w:val="006E11B8"/>
    <w:rsid w:val="006E12DD"/>
    <w:rsid w:val="006E2081"/>
    <w:rsid w:val="006E21C6"/>
    <w:rsid w:val="006E2376"/>
    <w:rsid w:val="006E2518"/>
    <w:rsid w:val="006E25CD"/>
    <w:rsid w:val="006E27B1"/>
    <w:rsid w:val="006E30A1"/>
    <w:rsid w:val="006E4CF2"/>
    <w:rsid w:val="006E563E"/>
    <w:rsid w:val="006E5E17"/>
    <w:rsid w:val="006E6FDF"/>
    <w:rsid w:val="006E77DC"/>
    <w:rsid w:val="006F038F"/>
    <w:rsid w:val="006F06D1"/>
    <w:rsid w:val="006F0A01"/>
    <w:rsid w:val="006F157F"/>
    <w:rsid w:val="006F2DAE"/>
    <w:rsid w:val="006F422B"/>
    <w:rsid w:val="006F47C5"/>
    <w:rsid w:val="006F47FF"/>
    <w:rsid w:val="006F4BD8"/>
    <w:rsid w:val="006F4FFF"/>
    <w:rsid w:val="006F5B39"/>
    <w:rsid w:val="006F654F"/>
    <w:rsid w:val="006F6789"/>
    <w:rsid w:val="006F6FC4"/>
    <w:rsid w:val="006F7A01"/>
    <w:rsid w:val="0070134C"/>
    <w:rsid w:val="0070239F"/>
    <w:rsid w:val="00702F38"/>
    <w:rsid w:val="007030A3"/>
    <w:rsid w:val="00703699"/>
    <w:rsid w:val="00703A49"/>
    <w:rsid w:val="00703AD3"/>
    <w:rsid w:val="007045EA"/>
    <w:rsid w:val="00704E30"/>
    <w:rsid w:val="00705BFA"/>
    <w:rsid w:val="00705D28"/>
    <w:rsid w:val="00706D20"/>
    <w:rsid w:val="007104B1"/>
    <w:rsid w:val="0071260D"/>
    <w:rsid w:val="0071302D"/>
    <w:rsid w:val="0071389E"/>
    <w:rsid w:val="007142FB"/>
    <w:rsid w:val="007154E4"/>
    <w:rsid w:val="0071579E"/>
    <w:rsid w:val="00715C58"/>
    <w:rsid w:val="00715E4F"/>
    <w:rsid w:val="007174E4"/>
    <w:rsid w:val="007175F3"/>
    <w:rsid w:val="007202B0"/>
    <w:rsid w:val="00720E0D"/>
    <w:rsid w:val="00720E66"/>
    <w:rsid w:val="0072194C"/>
    <w:rsid w:val="00722123"/>
    <w:rsid w:val="00723207"/>
    <w:rsid w:val="007234F8"/>
    <w:rsid w:val="00723650"/>
    <w:rsid w:val="00723E3B"/>
    <w:rsid w:val="007241B2"/>
    <w:rsid w:val="00724570"/>
    <w:rsid w:val="00724609"/>
    <w:rsid w:val="007247DC"/>
    <w:rsid w:val="00725C35"/>
    <w:rsid w:val="00726D74"/>
    <w:rsid w:val="00726F37"/>
    <w:rsid w:val="007273FB"/>
    <w:rsid w:val="00727A4E"/>
    <w:rsid w:val="00727A78"/>
    <w:rsid w:val="007307BF"/>
    <w:rsid w:val="00730A6B"/>
    <w:rsid w:val="00730B5D"/>
    <w:rsid w:val="00730C0D"/>
    <w:rsid w:val="007313C4"/>
    <w:rsid w:val="00733AD6"/>
    <w:rsid w:val="0073436B"/>
    <w:rsid w:val="00734BB9"/>
    <w:rsid w:val="007351FA"/>
    <w:rsid w:val="00735489"/>
    <w:rsid w:val="00735F60"/>
    <w:rsid w:val="00735F9A"/>
    <w:rsid w:val="007371FD"/>
    <w:rsid w:val="00737391"/>
    <w:rsid w:val="00737B18"/>
    <w:rsid w:val="00737E80"/>
    <w:rsid w:val="0074001E"/>
    <w:rsid w:val="007404A5"/>
    <w:rsid w:val="007417B9"/>
    <w:rsid w:val="00741F0F"/>
    <w:rsid w:val="007424BD"/>
    <w:rsid w:val="0074334E"/>
    <w:rsid w:val="00743BB7"/>
    <w:rsid w:val="00744603"/>
    <w:rsid w:val="007452AC"/>
    <w:rsid w:val="0074591A"/>
    <w:rsid w:val="0074600F"/>
    <w:rsid w:val="0074626F"/>
    <w:rsid w:val="00746768"/>
    <w:rsid w:val="00747601"/>
    <w:rsid w:val="00750A2A"/>
    <w:rsid w:val="00750A82"/>
    <w:rsid w:val="007518E2"/>
    <w:rsid w:val="00751C1A"/>
    <w:rsid w:val="00752104"/>
    <w:rsid w:val="00752DD6"/>
    <w:rsid w:val="0075370B"/>
    <w:rsid w:val="00753E87"/>
    <w:rsid w:val="00753F8B"/>
    <w:rsid w:val="00754360"/>
    <w:rsid w:val="007545E8"/>
    <w:rsid w:val="00754730"/>
    <w:rsid w:val="00754C73"/>
    <w:rsid w:val="00754D1A"/>
    <w:rsid w:val="00754D4F"/>
    <w:rsid w:val="00755636"/>
    <w:rsid w:val="00755945"/>
    <w:rsid w:val="00755CD3"/>
    <w:rsid w:val="00755DF9"/>
    <w:rsid w:val="007567ED"/>
    <w:rsid w:val="00756F4C"/>
    <w:rsid w:val="007572B1"/>
    <w:rsid w:val="00757962"/>
    <w:rsid w:val="007601DD"/>
    <w:rsid w:val="007604D4"/>
    <w:rsid w:val="007609D0"/>
    <w:rsid w:val="00761A98"/>
    <w:rsid w:val="00761E79"/>
    <w:rsid w:val="00765F95"/>
    <w:rsid w:val="00766018"/>
    <w:rsid w:val="007671B1"/>
    <w:rsid w:val="007679DC"/>
    <w:rsid w:val="0077046F"/>
    <w:rsid w:val="007710E8"/>
    <w:rsid w:val="00771179"/>
    <w:rsid w:val="00771306"/>
    <w:rsid w:val="007718DA"/>
    <w:rsid w:val="00771AC1"/>
    <w:rsid w:val="00771E22"/>
    <w:rsid w:val="007720E0"/>
    <w:rsid w:val="00772190"/>
    <w:rsid w:val="00772212"/>
    <w:rsid w:val="00772220"/>
    <w:rsid w:val="0077259F"/>
    <w:rsid w:val="0077271B"/>
    <w:rsid w:val="00772835"/>
    <w:rsid w:val="00772A03"/>
    <w:rsid w:val="00772EA7"/>
    <w:rsid w:val="00773699"/>
    <w:rsid w:val="00773AB6"/>
    <w:rsid w:val="00773B60"/>
    <w:rsid w:val="00773FCA"/>
    <w:rsid w:val="00774134"/>
    <w:rsid w:val="00774930"/>
    <w:rsid w:val="00774B58"/>
    <w:rsid w:val="00775512"/>
    <w:rsid w:val="0077584D"/>
    <w:rsid w:val="0077682E"/>
    <w:rsid w:val="00777078"/>
    <w:rsid w:val="00781332"/>
    <w:rsid w:val="0078193F"/>
    <w:rsid w:val="00782797"/>
    <w:rsid w:val="00782C0A"/>
    <w:rsid w:val="007840B1"/>
    <w:rsid w:val="0078453B"/>
    <w:rsid w:val="00784807"/>
    <w:rsid w:val="007848B7"/>
    <w:rsid w:val="00784C63"/>
    <w:rsid w:val="00784EBE"/>
    <w:rsid w:val="007851AE"/>
    <w:rsid w:val="00785257"/>
    <w:rsid w:val="00785A10"/>
    <w:rsid w:val="0078685C"/>
    <w:rsid w:val="00786B25"/>
    <w:rsid w:val="00787770"/>
    <w:rsid w:val="00787B3B"/>
    <w:rsid w:val="00787D13"/>
    <w:rsid w:val="00790491"/>
    <w:rsid w:val="007905B7"/>
    <w:rsid w:val="00790725"/>
    <w:rsid w:val="00790B34"/>
    <w:rsid w:val="00791B3E"/>
    <w:rsid w:val="007923E3"/>
    <w:rsid w:val="0079273A"/>
    <w:rsid w:val="00792DD1"/>
    <w:rsid w:val="00793EDC"/>
    <w:rsid w:val="00794857"/>
    <w:rsid w:val="00794A61"/>
    <w:rsid w:val="00794A8C"/>
    <w:rsid w:val="007953BA"/>
    <w:rsid w:val="007968DE"/>
    <w:rsid w:val="00796AFC"/>
    <w:rsid w:val="007972D2"/>
    <w:rsid w:val="007A0EAF"/>
    <w:rsid w:val="007A0FC8"/>
    <w:rsid w:val="007A0FE0"/>
    <w:rsid w:val="007A1504"/>
    <w:rsid w:val="007A156F"/>
    <w:rsid w:val="007A1795"/>
    <w:rsid w:val="007A28AD"/>
    <w:rsid w:val="007A2B7F"/>
    <w:rsid w:val="007A352F"/>
    <w:rsid w:val="007A3C0D"/>
    <w:rsid w:val="007A4676"/>
    <w:rsid w:val="007A4702"/>
    <w:rsid w:val="007A5145"/>
    <w:rsid w:val="007A53D8"/>
    <w:rsid w:val="007A5445"/>
    <w:rsid w:val="007B0609"/>
    <w:rsid w:val="007B095D"/>
    <w:rsid w:val="007B0BE4"/>
    <w:rsid w:val="007B0EB2"/>
    <w:rsid w:val="007B1858"/>
    <w:rsid w:val="007B19C4"/>
    <w:rsid w:val="007B3BC1"/>
    <w:rsid w:val="007B3CEA"/>
    <w:rsid w:val="007B3D91"/>
    <w:rsid w:val="007B4A50"/>
    <w:rsid w:val="007B4DAA"/>
    <w:rsid w:val="007B53A7"/>
    <w:rsid w:val="007B5E04"/>
    <w:rsid w:val="007B63EB"/>
    <w:rsid w:val="007B6F01"/>
    <w:rsid w:val="007C0431"/>
    <w:rsid w:val="007C10CE"/>
    <w:rsid w:val="007C199B"/>
    <w:rsid w:val="007C1FB9"/>
    <w:rsid w:val="007C236F"/>
    <w:rsid w:val="007C26CF"/>
    <w:rsid w:val="007C2B97"/>
    <w:rsid w:val="007C2E1B"/>
    <w:rsid w:val="007C34E4"/>
    <w:rsid w:val="007C49B1"/>
    <w:rsid w:val="007C50DA"/>
    <w:rsid w:val="007C6106"/>
    <w:rsid w:val="007C637A"/>
    <w:rsid w:val="007C642C"/>
    <w:rsid w:val="007D10BC"/>
    <w:rsid w:val="007D2873"/>
    <w:rsid w:val="007D2A40"/>
    <w:rsid w:val="007D2A68"/>
    <w:rsid w:val="007D423B"/>
    <w:rsid w:val="007D42A1"/>
    <w:rsid w:val="007D4468"/>
    <w:rsid w:val="007D563D"/>
    <w:rsid w:val="007D5E6F"/>
    <w:rsid w:val="007D61EA"/>
    <w:rsid w:val="007D622E"/>
    <w:rsid w:val="007D678D"/>
    <w:rsid w:val="007D6D23"/>
    <w:rsid w:val="007D6E2F"/>
    <w:rsid w:val="007D72E1"/>
    <w:rsid w:val="007D736F"/>
    <w:rsid w:val="007E05AD"/>
    <w:rsid w:val="007E1284"/>
    <w:rsid w:val="007E140A"/>
    <w:rsid w:val="007E1443"/>
    <w:rsid w:val="007E1492"/>
    <w:rsid w:val="007E1837"/>
    <w:rsid w:val="007E1E9D"/>
    <w:rsid w:val="007E2467"/>
    <w:rsid w:val="007E32FB"/>
    <w:rsid w:val="007E378D"/>
    <w:rsid w:val="007E3EBE"/>
    <w:rsid w:val="007E4214"/>
    <w:rsid w:val="007E4280"/>
    <w:rsid w:val="007E442A"/>
    <w:rsid w:val="007E4678"/>
    <w:rsid w:val="007E46BF"/>
    <w:rsid w:val="007E4999"/>
    <w:rsid w:val="007E59A4"/>
    <w:rsid w:val="007E6806"/>
    <w:rsid w:val="007E6EF7"/>
    <w:rsid w:val="007E6F95"/>
    <w:rsid w:val="007F195B"/>
    <w:rsid w:val="007F199B"/>
    <w:rsid w:val="007F1D4E"/>
    <w:rsid w:val="007F2A32"/>
    <w:rsid w:val="007F4D16"/>
    <w:rsid w:val="007F5814"/>
    <w:rsid w:val="007F5BBF"/>
    <w:rsid w:val="007F5F46"/>
    <w:rsid w:val="007F6E2C"/>
    <w:rsid w:val="007F7A15"/>
    <w:rsid w:val="008004F9"/>
    <w:rsid w:val="00800DEB"/>
    <w:rsid w:val="0080157A"/>
    <w:rsid w:val="00801B31"/>
    <w:rsid w:val="00801C73"/>
    <w:rsid w:val="00801D36"/>
    <w:rsid w:val="008027A7"/>
    <w:rsid w:val="0080292C"/>
    <w:rsid w:val="00802C55"/>
    <w:rsid w:val="00802E68"/>
    <w:rsid w:val="008031F9"/>
    <w:rsid w:val="008034E9"/>
    <w:rsid w:val="0080472E"/>
    <w:rsid w:val="00805236"/>
    <w:rsid w:val="00805828"/>
    <w:rsid w:val="00805D05"/>
    <w:rsid w:val="00806EC4"/>
    <w:rsid w:val="00810041"/>
    <w:rsid w:val="008100A1"/>
    <w:rsid w:val="0081063A"/>
    <w:rsid w:val="00811019"/>
    <w:rsid w:val="008110CC"/>
    <w:rsid w:val="00811421"/>
    <w:rsid w:val="008117B5"/>
    <w:rsid w:val="008125F5"/>
    <w:rsid w:val="008129C5"/>
    <w:rsid w:val="00812CDC"/>
    <w:rsid w:val="00813076"/>
    <w:rsid w:val="00813E72"/>
    <w:rsid w:val="008170E8"/>
    <w:rsid w:val="00817D1A"/>
    <w:rsid w:val="008211F4"/>
    <w:rsid w:val="00823647"/>
    <w:rsid w:val="00824464"/>
    <w:rsid w:val="00824E54"/>
    <w:rsid w:val="00825A54"/>
    <w:rsid w:val="00825D62"/>
    <w:rsid w:val="00826E4D"/>
    <w:rsid w:val="008301D6"/>
    <w:rsid w:val="0083083F"/>
    <w:rsid w:val="00830991"/>
    <w:rsid w:val="0083102B"/>
    <w:rsid w:val="00832015"/>
    <w:rsid w:val="008326F6"/>
    <w:rsid w:val="00832F2D"/>
    <w:rsid w:val="00837059"/>
    <w:rsid w:val="00840468"/>
    <w:rsid w:val="008411B4"/>
    <w:rsid w:val="008411E8"/>
    <w:rsid w:val="00841260"/>
    <w:rsid w:val="00842063"/>
    <w:rsid w:val="00843867"/>
    <w:rsid w:val="00843FC5"/>
    <w:rsid w:val="00844215"/>
    <w:rsid w:val="008453D5"/>
    <w:rsid w:val="00846347"/>
    <w:rsid w:val="008467E1"/>
    <w:rsid w:val="00846A17"/>
    <w:rsid w:val="00847CC5"/>
    <w:rsid w:val="00850932"/>
    <w:rsid w:val="00851386"/>
    <w:rsid w:val="008514C0"/>
    <w:rsid w:val="0085153F"/>
    <w:rsid w:val="008516BA"/>
    <w:rsid w:val="00852942"/>
    <w:rsid w:val="00852A0E"/>
    <w:rsid w:val="008537A4"/>
    <w:rsid w:val="00853EE8"/>
    <w:rsid w:val="00854D90"/>
    <w:rsid w:val="0085550B"/>
    <w:rsid w:val="00855777"/>
    <w:rsid w:val="00855AEF"/>
    <w:rsid w:val="0085631C"/>
    <w:rsid w:val="008569CC"/>
    <w:rsid w:val="00856BBF"/>
    <w:rsid w:val="00857352"/>
    <w:rsid w:val="00857FF4"/>
    <w:rsid w:val="008606D8"/>
    <w:rsid w:val="008611B8"/>
    <w:rsid w:val="0086127A"/>
    <w:rsid w:val="00861BDA"/>
    <w:rsid w:val="0086276A"/>
    <w:rsid w:val="00863BE4"/>
    <w:rsid w:val="00863F76"/>
    <w:rsid w:val="00864574"/>
    <w:rsid w:val="008657C8"/>
    <w:rsid w:val="0086649D"/>
    <w:rsid w:val="00867723"/>
    <w:rsid w:val="00867A82"/>
    <w:rsid w:val="008711F4"/>
    <w:rsid w:val="00871229"/>
    <w:rsid w:val="008714B9"/>
    <w:rsid w:val="00872687"/>
    <w:rsid w:val="00873919"/>
    <w:rsid w:val="00873A88"/>
    <w:rsid w:val="008752C2"/>
    <w:rsid w:val="008756B1"/>
    <w:rsid w:val="00875AA0"/>
    <w:rsid w:val="0087613D"/>
    <w:rsid w:val="0087640A"/>
    <w:rsid w:val="00876993"/>
    <w:rsid w:val="00876DC0"/>
    <w:rsid w:val="00877136"/>
    <w:rsid w:val="008775CB"/>
    <w:rsid w:val="00881198"/>
    <w:rsid w:val="00881AA8"/>
    <w:rsid w:val="00882AA2"/>
    <w:rsid w:val="00882C7D"/>
    <w:rsid w:val="008838C7"/>
    <w:rsid w:val="00883E6B"/>
    <w:rsid w:val="00884576"/>
    <w:rsid w:val="00884AE3"/>
    <w:rsid w:val="00884BAE"/>
    <w:rsid w:val="008850CF"/>
    <w:rsid w:val="00885A11"/>
    <w:rsid w:val="00885BA1"/>
    <w:rsid w:val="008862B2"/>
    <w:rsid w:val="00886C35"/>
    <w:rsid w:val="008875CB"/>
    <w:rsid w:val="00887829"/>
    <w:rsid w:val="00887ADE"/>
    <w:rsid w:val="00887D2A"/>
    <w:rsid w:val="0089004B"/>
    <w:rsid w:val="00890480"/>
    <w:rsid w:val="00890635"/>
    <w:rsid w:val="0089076A"/>
    <w:rsid w:val="0089078C"/>
    <w:rsid w:val="008911EE"/>
    <w:rsid w:val="0089222D"/>
    <w:rsid w:val="008923B7"/>
    <w:rsid w:val="008924EB"/>
    <w:rsid w:val="00893087"/>
    <w:rsid w:val="00893774"/>
    <w:rsid w:val="00893A6D"/>
    <w:rsid w:val="00893B63"/>
    <w:rsid w:val="00893DFD"/>
    <w:rsid w:val="00894826"/>
    <w:rsid w:val="0089501A"/>
    <w:rsid w:val="00896074"/>
    <w:rsid w:val="00896339"/>
    <w:rsid w:val="00896880"/>
    <w:rsid w:val="00896BB6"/>
    <w:rsid w:val="00897963"/>
    <w:rsid w:val="008A041D"/>
    <w:rsid w:val="008A10C0"/>
    <w:rsid w:val="008A10CB"/>
    <w:rsid w:val="008A120D"/>
    <w:rsid w:val="008A1699"/>
    <w:rsid w:val="008A182D"/>
    <w:rsid w:val="008A2196"/>
    <w:rsid w:val="008A2E4F"/>
    <w:rsid w:val="008A329A"/>
    <w:rsid w:val="008A352B"/>
    <w:rsid w:val="008A37D5"/>
    <w:rsid w:val="008A3BED"/>
    <w:rsid w:val="008A4843"/>
    <w:rsid w:val="008A48D7"/>
    <w:rsid w:val="008A4CF5"/>
    <w:rsid w:val="008A530A"/>
    <w:rsid w:val="008A624C"/>
    <w:rsid w:val="008A688B"/>
    <w:rsid w:val="008A6E90"/>
    <w:rsid w:val="008A6EB3"/>
    <w:rsid w:val="008A7251"/>
    <w:rsid w:val="008B09B1"/>
    <w:rsid w:val="008B0C18"/>
    <w:rsid w:val="008B1053"/>
    <w:rsid w:val="008B186B"/>
    <w:rsid w:val="008B1A59"/>
    <w:rsid w:val="008B2771"/>
    <w:rsid w:val="008B29CE"/>
    <w:rsid w:val="008B2EA9"/>
    <w:rsid w:val="008B31B9"/>
    <w:rsid w:val="008B3D35"/>
    <w:rsid w:val="008B4A84"/>
    <w:rsid w:val="008B4CBA"/>
    <w:rsid w:val="008B554D"/>
    <w:rsid w:val="008B5858"/>
    <w:rsid w:val="008B5E7B"/>
    <w:rsid w:val="008B62BF"/>
    <w:rsid w:val="008B632B"/>
    <w:rsid w:val="008B6422"/>
    <w:rsid w:val="008B6603"/>
    <w:rsid w:val="008B6A96"/>
    <w:rsid w:val="008B6E1F"/>
    <w:rsid w:val="008B7605"/>
    <w:rsid w:val="008B7BA8"/>
    <w:rsid w:val="008C0296"/>
    <w:rsid w:val="008C10BE"/>
    <w:rsid w:val="008C2238"/>
    <w:rsid w:val="008C252F"/>
    <w:rsid w:val="008C3DD2"/>
    <w:rsid w:val="008C54F0"/>
    <w:rsid w:val="008C5534"/>
    <w:rsid w:val="008C555B"/>
    <w:rsid w:val="008C55A2"/>
    <w:rsid w:val="008C5730"/>
    <w:rsid w:val="008C67D8"/>
    <w:rsid w:val="008C682A"/>
    <w:rsid w:val="008C6852"/>
    <w:rsid w:val="008D0679"/>
    <w:rsid w:val="008D0FA6"/>
    <w:rsid w:val="008D116A"/>
    <w:rsid w:val="008D1722"/>
    <w:rsid w:val="008D1E80"/>
    <w:rsid w:val="008D28C9"/>
    <w:rsid w:val="008D33A0"/>
    <w:rsid w:val="008D33F4"/>
    <w:rsid w:val="008D383E"/>
    <w:rsid w:val="008D3901"/>
    <w:rsid w:val="008D44AD"/>
    <w:rsid w:val="008D4C88"/>
    <w:rsid w:val="008D4CF6"/>
    <w:rsid w:val="008D56AE"/>
    <w:rsid w:val="008D5F0D"/>
    <w:rsid w:val="008D6052"/>
    <w:rsid w:val="008D6361"/>
    <w:rsid w:val="008D63BC"/>
    <w:rsid w:val="008D63FC"/>
    <w:rsid w:val="008D6460"/>
    <w:rsid w:val="008D6615"/>
    <w:rsid w:val="008D6FBA"/>
    <w:rsid w:val="008D763F"/>
    <w:rsid w:val="008E00BF"/>
    <w:rsid w:val="008E0693"/>
    <w:rsid w:val="008E1650"/>
    <w:rsid w:val="008E1FC2"/>
    <w:rsid w:val="008E266D"/>
    <w:rsid w:val="008E3016"/>
    <w:rsid w:val="008E3962"/>
    <w:rsid w:val="008E3E0A"/>
    <w:rsid w:val="008E4138"/>
    <w:rsid w:val="008E48C2"/>
    <w:rsid w:val="008E49C6"/>
    <w:rsid w:val="008E4C2C"/>
    <w:rsid w:val="008E511D"/>
    <w:rsid w:val="008E53EF"/>
    <w:rsid w:val="008E6785"/>
    <w:rsid w:val="008E6F5B"/>
    <w:rsid w:val="008E78A2"/>
    <w:rsid w:val="008E7C62"/>
    <w:rsid w:val="008F0EA2"/>
    <w:rsid w:val="008F3D1F"/>
    <w:rsid w:val="008F467D"/>
    <w:rsid w:val="008F4B95"/>
    <w:rsid w:val="008F5433"/>
    <w:rsid w:val="008F6626"/>
    <w:rsid w:val="008F691E"/>
    <w:rsid w:val="008F7098"/>
    <w:rsid w:val="008F734E"/>
    <w:rsid w:val="008F7493"/>
    <w:rsid w:val="008F7BCF"/>
    <w:rsid w:val="009002E1"/>
    <w:rsid w:val="009008BF"/>
    <w:rsid w:val="0090097D"/>
    <w:rsid w:val="00900ACE"/>
    <w:rsid w:val="0090180D"/>
    <w:rsid w:val="009019AF"/>
    <w:rsid w:val="009027BE"/>
    <w:rsid w:val="00902ED1"/>
    <w:rsid w:val="00903CC5"/>
    <w:rsid w:val="00903E64"/>
    <w:rsid w:val="0090410C"/>
    <w:rsid w:val="009043C3"/>
    <w:rsid w:val="009052F4"/>
    <w:rsid w:val="00905831"/>
    <w:rsid w:val="009072AC"/>
    <w:rsid w:val="00910558"/>
    <w:rsid w:val="00910A6E"/>
    <w:rsid w:val="00910CD0"/>
    <w:rsid w:val="009113A2"/>
    <w:rsid w:val="00911BE7"/>
    <w:rsid w:val="00912627"/>
    <w:rsid w:val="00912BC0"/>
    <w:rsid w:val="009133D7"/>
    <w:rsid w:val="00913D19"/>
    <w:rsid w:val="00914641"/>
    <w:rsid w:val="00915701"/>
    <w:rsid w:val="009158E6"/>
    <w:rsid w:val="00915A35"/>
    <w:rsid w:val="00915EC9"/>
    <w:rsid w:val="009178F6"/>
    <w:rsid w:val="00917A5E"/>
    <w:rsid w:val="00920CC5"/>
    <w:rsid w:val="0092180A"/>
    <w:rsid w:val="00921C32"/>
    <w:rsid w:val="009220BF"/>
    <w:rsid w:val="00922422"/>
    <w:rsid w:val="009230A9"/>
    <w:rsid w:val="0092331D"/>
    <w:rsid w:val="00923D9C"/>
    <w:rsid w:val="00924289"/>
    <w:rsid w:val="0092449E"/>
    <w:rsid w:val="00924739"/>
    <w:rsid w:val="009247C7"/>
    <w:rsid w:val="00924C29"/>
    <w:rsid w:val="00926A99"/>
    <w:rsid w:val="00926CD1"/>
    <w:rsid w:val="0092749D"/>
    <w:rsid w:val="00927B71"/>
    <w:rsid w:val="00927D89"/>
    <w:rsid w:val="009310A2"/>
    <w:rsid w:val="00931477"/>
    <w:rsid w:val="009317E2"/>
    <w:rsid w:val="00931EB5"/>
    <w:rsid w:val="0093208B"/>
    <w:rsid w:val="009328CA"/>
    <w:rsid w:val="00932C6F"/>
    <w:rsid w:val="00933D43"/>
    <w:rsid w:val="00934076"/>
    <w:rsid w:val="0093488C"/>
    <w:rsid w:val="00934D21"/>
    <w:rsid w:val="00934FA3"/>
    <w:rsid w:val="0093533F"/>
    <w:rsid w:val="00936046"/>
    <w:rsid w:val="009361F1"/>
    <w:rsid w:val="009365FF"/>
    <w:rsid w:val="00936C47"/>
    <w:rsid w:val="00936EA1"/>
    <w:rsid w:val="00936EDC"/>
    <w:rsid w:val="0093751B"/>
    <w:rsid w:val="00937940"/>
    <w:rsid w:val="00940983"/>
    <w:rsid w:val="009409E4"/>
    <w:rsid w:val="00940C19"/>
    <w:rsid w:val="00941219"/>
    <w:rsid w:val="00942DD8"/>
    <w:rsid w:val="00943D0A"/>
    <w:rsid w:val="00944E1F"/>
    <w:rsid w:val="00945B12"/>
    <w:rsid w:val="00945BA5"/>
    <w:rsid w:val="00946921"/>
    <w:rsid w:val="00951833"/>
    <w:rsid w:val="0095194F"/>
    <w:rsid w:val="009521B9"/>
    <w:rsid w:val="00953801"/>
    <w:rsid w:val="0095387B"/>
    <w:rsid w:val="00955171"/>
    <w:rsid w:val="009562B1"/>
    <w:rsid w:val="009568AF"/>
    <w:rsid w:val="00957129"/>
    <w:rsid w:val="00957344"/>
    <w:rsid w:val="00957B0A"/>
    <w:rsid w:val="009603EC"/>
    <w:rsid w:val="00960649"/>
    <w:rsid w:val="00961A67"/>
    <w:rsid w:val="00961D32"/>
    <w:rsid w:val="0096219D"/>
    <w:rsid w:val="00962CEB"/>
    <w:rsid w:val="00962F36"/>
    <w:rsid w:val="00964A12"/>
    <w:rsid w:val="00965565"/>
    <w:rsid w:val="009656F0"/>
    <w:rsid w:val="00967106"/>
    <w:rsid w:val="00967141"/>
    <w:rsid w:val="00967BE1"/>
    <w:rsid w:val="00967E76"/>
    <w:rsid w:val="0097029C"/>
    <w:rsid w:val="0097103B"/>
    <w:rsid w:val="009715A7"/>
    <w:rsid w:val="00971CC1"/>
    <w:rsid w:val="00973180"/>
    <w:rsid w:val="0097411D"/>
    <w:rsid w:val="009743AF"/>
    <w:rsid w:val="00974A30"/>
    <w:rsid w:val="00974D46"/>
    <w:rsid w:val="00974F70"/>
    <w:rsid w:val="00975BC7"/>
    <w:rsid w:val="00976167"/>
    <w:rsid w:val="00976505"/>
    <w:rsid w:val="00976618"/>
    <w:rsid w:val="009768FD"/>
    <w:rsid w:val="009769D6"/>
    <w:rsid w:val="009771CD"/>
    <w:rsid w:val="00977BCD"/>
    <w:rsid w:val="009805C8"/>
    <w:rsid w:val="009806E3"/>
    <w:rsid w:val="00983F9D"/>
    <w:rsid w:val="00983FE0"/>
    <w:rsid w:val="009841A9"/>
    <w:rsid w:val="0098536E"/>
    <w:rsid w:val="009856B6"/>
    <w:rsid w:val="00985723"/>
    <w:rsid w:val="009859E2"/>
    <w:rsid w:val="009866C2"/>
    <w:rsid w:val="00986B11"/>
    <w:rsid w:val="00986C96"/>
    <w:rsid w:val="00986CA4"/>
    <w:rsid w:val="009876A9"/>
    <w:rsid w:val="00990B42"/>
    <w:rsid w:val="00990F77"/>
    <w:rsid w:val="0099116C"/>
    <w:rsid w:val="00991B5E"/>
    <w:rsid w:val="00991DE4"/>
    <w:rsid w:val="00991F77"/>
    <w:rsid w:val="00992265"/>
    <w:rsid w:val="00992A67"/>
    <w:rsid w:val="009930A8"/>
    <w:rsid w:val="009932EF"/>
    <w:rsid w:val="0099380A"/>
    <w:rsid w:val="0099413D"/>
    <w:rsid w:val="009946ED"/>
    <w:rsid w:val="009978D7"/>
    <w:rsid w:val="00997920"/>
    <w:rsid w:val="00997F47"/>
    <w:rsid w:val="00997FE5"/>
    <w:rsid w:val="009A03F3"/>
    <w:rsid w:val="009A0E23"/>
    <w:rsid w:val="009A0E8F"/>
    <w:rsid w:val="009A1809"/>
    <w:rsid w:val="009A1C27"/>
    <w:rsid w:val="009A1D30"/>
    <w:rsid w:val="009A1DCB"/>
    <w:rsid w:val="009A1E64"/>
    <w:rsid w:val="009A1E77"/>
    <w:rsid w:val="009A20CC"/>
    <w:rsid w:val="009A26EE"/>
    <w:rsid w:val="009A2791"/>
    <w:rsid w:val="009A3A10"/>
    <w:rsid w:val="009A3C20"/>
    <w:rsid w:val="009A3D80"/>
    <w:rsid w:val="009A3DBB"/>
    <w:rsid w:val="009A40C8"/>
    <w:rsid w:val="009A456D"/>
    <w:rsid w:val="009A4636"/>
    <w:rsid w:val="009A4CCA"/>
    <w:rsid w:val="009A4FE2"/>
    <w:rsid w:val="009A5197"/>
    <w:rsid w:val="009A5851"/>
    <w:rsid w:val="009A5DBC"/>
    <w:rsid w:val="009A6581"/>
    <w:rsid w:val="009A6690"/>
    <w:rsid w:val="009A6729"/>
    <w:rsid w:val="009A719C"/>
    <w:rsid w:val="009A7B8F"/>
    <w:rsid w:val="009B0005"/>
    <w:rsid w:val="009B0237"/>
    <w:rsid w:val="009B0AA7"/>
    <w:rsid w:val="009B1162"/>
    <w:rsid w:val="009B1CBA"/>
    <w:rsid w:val="009B1EED"/>
    <w:rsid w:val="009B3527"/>
    <w:rsid w:val="009B37B8"/>
    <w:rsid w:val="009B4007"/>
    <w:rsid w:val="009B42B0"/>
    <w:rsid w:val="009B4C76"/>
    <w:rsid w:val="009B4FC0"/>
    <w:rsid w:val="009B503A"/>
    <w:rsid w:val="009B6182"/>
    <w:rsid w:val="009B6329"/>
    <w:rsid w:val="009B6A37"/>
    <w:rsid w:val="009B74F9"/>
    <w:rsid w:val="009C0195"/>
    <w:rsid w:val="009C0A4E"/>
    <w:rsid w:val="009C1E39"/>
    <w:rsid w:val="009C2AE9"/>
    <w:rsid w:val="009C3ABE"/>
    <w:rsid w:val="009C3FEE"/>
    <w:rsid w:val="009C4FF4"/>
    <w:rsid w:val="009C55E7"/>
    <w:rsid w:val="009C60DB"/>
    <w:rsid w:val="009C618A"/>
    <w:rsid w:val="009C6363"/>
    <w:rsid w:val="009C745E"/>
    <w:rsid w:val="009D0260"/>
    <w:rsid w:val="009D09D8"/>
    <w:rsid w:val="009D0BD6"/>
    <w:rsid w:val="009D0BEC"/>
    <w:rsid w:val="009D133E"/>
    <w:rsid w:val="009D34E3"/>
    <w:rsid w:val="009D38AB"/>
    <w:rsid w:val="009D419F"/>
    <w:rsid w:val="009D4DF3"/>
    <w:rsid w:val="009D4E86"/>
    <w:rsid w:val="009D4F5A"/>
    <w:rsid w:val="009D4FE8"/>
    <w:rsid w:val="009D523D"/>
    <w:rsid w:val="009D5528"/>
    <w:rsid w:val="009D6145"/>
    <w:rsid w:val="009D637E"/>
    <w:rsid w:val="009D65C7"/>
    <w:rsid w:val="009D6957"/>
    <w:rsid w:val="009D713D"/>
    <w:rsid w:val="009D78EF"/>
    <w:rsid w:val="009E05EA"/>
    <w:rsid w:val="009E06C5"/>
    <w:rsid w:val="009E0CAF"/>
    <w:rsid w:val="009E1035"/>
    <w:rsid w:val="009E1735"/>
    <w:rsid w:val="009E1B7B"/>
    <w:rsid w:val="009E2122"/>
    <w:rsid w:val="009E23AE"/>
    <w:rsid w:val="009E26C7"/>
    <w:rsid w:val="009E2E2E"/>
    <w:rsid w:val="009E303E"/>
    <w:rsid w:val="009E3A8B"/>
    <w:rsid w:val="009E3F12"/>
    <w:rsid w:val="009E439C"/>
    <w:rsid w:val="009E43C4"/>
    <w:rsid w:val="009E4967"/>
    <w:rsid w:val="009E4BAA"/>
    <w:rsid w:val="009E4F74"/>
    <w:rsid w:val="009E56F1"/>
    <w:rsid w:val="009E6388"/>
    <w:rsid w:val="009E68FB"/>
    <w:rsid w:val="009E7028"/>
    <w:rsid w:val="009F016C"/>
    <w:rsid w:val="009F02A6"/>
    <w:rsid w:val="009F0A23"/>
    <w:rsid w:val="009F0B3A"/>
    <w:rsid w:val="009F16F2"/>
    <w:rsid w:val="009F1967"/>
    <w:rsid w:val="009F1B4A"/>
    <w:rsid w:val="009F24E8"/>
    <w:rsid w:val="009F3164"/>
    <w:rsid w:val="009F3433"/>
    <w:rsid w:val="009F4075"/>
    <w:rsid w:val="009F52C9"/>
    <w:rsid w:val="009F5CD2"/>
    <w:rsid w:val="009F6388"/>
    <w:rsid w:val="009F6428"/>
    <w:rsid w:val="009F6EAA"/>
    <w:rsid w:val="009F723F"/>
    <w:rsid w:val="009F749D"/>
    <w:rsid w:val="009F7F5E"/>
    <w:rsid w:val="00A00452"/>
    <w:rsid w:val="00A00DCA"/>
    <w:rsid w:val="00A00F49"/>
    <w:rsid w:val="00A0102D"/>
    <w:rsid w:val="00A028F1"/>
    <w:rsid w:val="00A035E5"/>
    <w:rsid w:val="00A037E0"/>
    <w:rsid w:val="00A0509F"/>
    <w:rsid w:val="00A061F4"/>
    <w:rsid w:val="00A07A9D"/>
    <w:rsid w:val="00A10A76"/>
    <w:rsid w:val="00A10B88"/>
    <w:rsid w:val="00A10FCA"/>
    <w:rsid w:val="00A1107F"/>
    <w:rsid w:val="00A1175A"/>
    <w:rsid w:val="00A11D23"/>
    <w:rsid w:val="00A11DCF"/>
    <w:rsid w:val="00A12066"/>
    <w:rsid w:val="00A12786"/>
    <w:rsid w:val="00A12D37"/>
    <w:rsid w:val="00A13B49"/>
    <w:rsid w:val="00A13F7B"/>
    <w:rsid w:val="00A140AE"/>
    <w:rsid w:val="00A1496C"/>
    <w:rsid w:val="00A14D79"/>
    <w:rsid w:val="00A14DB7"/>
    <w:rsid w:val="00A15540"/>
    <w:rsid w:val="00A160BC"/>
    <w:rsid w:val="00A16789"/>
    <w:rsid w:val="00A16BBB"/>
    <w:rsid w:val="00A17CF0"/>
    <w:rsid w:val="00A20919"/>
    <w:rsid w:val="00A20CE9"/>
    <w:rsid w:val="00A20F6D"/>
    <w:rsid w:val="00A21F3A"/>
    <w:rsid w:val="00A22BD7"/>
    <w:rsid w:val="00A240B9"/>
    <w:rsid w:val="00A245A6"/>
    <w:rsid w:val="00A2488D"/>
    <w:rsid w:val="00A24BDC"/>
    <w:rsid w:val="00A2586D"/>
    <w:rsid w:val="00A25D81"/>
    <w:rsid w:val="00A265EC"/>
    <w:rsid w:val="00A267CF"/>
    <w:rsid w:val="00A2693D"/>
    <w:rsid w:val="00A26F6C"/>
    <w:rsid w:val="00A2706A"/>
    <w:rsid w:val="00A278F1"/>
    <w:rsid w:val="00A27E48"/>
    <w:rsid w:val="00A27FD7"/>
    <w:rsid w:val="00A305AD"/>
    <w:rsid w:val="00A307B8"/>
    <w:rsid w:val="00A30EB7"/>
    <w:rsid w:val="00A32226"/>
    <w:rsid w:val="00A32D32"/>
    <w:rsid w:val="00A33219"/>
    <w:rsid w:val="00A337AA"/>
    <w:rsid w:val="00A33B54"/>
    <w:rsid w:val="00A3448D"/>
    <w:rsid w:val="00A34665"/>
    <w:rsid w:val="00A34F11"/>
    <w:rsid w:val="00A34FE3"/>
    <w:rsid w:val="00A35417"/>
    <w:rsid w:val="00A3541D"/>
    <w:rsid w:val="00A35420"/>
    <w:rsid w:val="00A355B2"/>
    <w:rsid w:val="00A37033"/>
    <w:rsid w:val="00A37AF8"/>
    <w:rsid w:val="00A37B10"/>
    <w:rsid w:val="00A40178"/>
    <w:rsid w:val="00A40D96"/>
    <w:rsid w:val="00A41385"/>
    <w:rsid w:val="00A4170D"/>
    <w:rsid w:val="00A41826"/>
    <w:rsid w:val="00A4190A"/>
    <w:rsid w:val="00A419CD"/>
    <w:rsid w:val="00A41CEA"/>
    <w:rsid w:val="00A4293D"/>
    <w:rsid w:val="00A43227"/>
    <w:rsid w:val="00A432BD"/>
    <w:rsid w:val="00A444EF"/>
    <w:rsid w:val="00A44BF4"/>
    <w:rsid w:val="00A45593"/>
    <w:rsid w:val="00A4598B"/>
    <w:rsid w:val="00A46D58"/>
    <w:rsid w:val="00A4706A"/>
    <w:rsid w:val="00A471B0"/>
    <w:rsid w:val="00A47E20"/>
    <w:rsid w:val="00A47FFC"/>
    <w:rsid w:val="00A50F71"/>
    <w:rsid w:val="00A51FED"/>
    <w:rsid w:val="00A5252F"/>
    <w:rsid w:val="00A529AA"/>
    <w:rsid w:val="00A52BEE"/>
    <w:rsid w:val="00A54914"/>
    <w:rsid w:val="00A54B61"/>
    <w:rsid w:val="00A54F7E"/>
    <w:rsid w:val="00A555AE"/>
    <w:rsid w:val="00A55BE2"/>
    <w:rsid w:val="00A560C1"/>
    <w:rsid w:val="00A56351"/>
    <w:rsid w:val="00A564FF"/>
    <w:rsid w:val="00A576D7"/>
    <w:rsid w:val="00A57A65"/>
    <w:rsid w:val="00A57E47"/>
    <w:rsid w:val="00A6019F"/>
    <w:rsid w:val="00A60B66"/>
    <w:rsid w:val="00A613D6"/>
    <w:rsid w:val="00A614AF"/>
    <w:rsid w:val="00A6152F"/>
    <w:rsid w:val="00A6180B"/>
    <w:rsid w:val="00A61AB7"/>
    <w:rsid w:val="00A61D9F"/>
    <w:rsid w:val="00A62190"/>
    <w:rsid w:val="00A626BA"/>
    <w:rsid w:val="00A635FA"/>
    <w:rsid w:val="00A63EE6"/>
    <w:rsid w:val="00A6459E"/>
    <w:rsid w:val="00A64D44"/>
    <w:rsid w:val="00A65352"/>
    <w:rsid w:val="00A65EAB"/>
    <w:rsid w:val="00A660E7"/>
    <w:rsid w:val="00A66139"/>
    <w:rsid w:val="00A67232"/>
    <w:rsid w:val="00A6744C"/>
    <w:rsid w:val="00A67CA7"/>
    <w:rsid w:val="00A70CAA"/>
    <w:rsid w:val="00A70CAB"/>
    <w:rsid w:val="00A70E8B"/>
    <w:rsid w:val="00A718F2"/>
    <w:rsid w:val="00A71ACE"/>
    <w:rsid w:val="00A71F82"/>
    <w:rsid w:val="00A7244A"/>
    <w:rsid w:val="00A7286E"/>
    <w:rsid w:val="00A72949"/>
    <w:rsid w:val="00A731D6"/>
    <w:rsid w:val="00A73FDE"/>
    <w:rsid w:val="00A74B86"/>
    <w:rsid w:val="00A74F61"/>
    <w:rsid w:val="00A7547C"/>
    <w:rsid w:val="00A75560"/>
    <w:rsid w:val="00A75752"/>
    <w:rsid w:val="00A759AA"/>
    <w:rsid w:val="00A760D4"/>
    <w:rsid w:val="00A7627B"/>
    <w:rsid w:val="00A76D32"/>
    <w:rsid w:val="00A77191"/>
    <w:rsid w:val="00A77A97"/>
    <w:rsid w:val="00A8011C"/>
    <w:rsid w:val="00A8050F"/>
    <w:rsid w:val="00A820F9"/>
    <w:rsid w:val="00A8290A"/>
    <w:rsid w:val="00A82B9D"/>
    <w:rsid w:val="00A83006"/>
    <w:rsid w:val="00A83D48"/>
    <w:rsid w:val="00A84196"/>
    <w:rsid w:val="00A844DE"/>
    <w:rsid w:val="00A84B11"/>
    <w:rsid w:val="00A8561D"/>
    <w:rsid w:val="00A85E18"/>
    <w:rsid w:val="00A860B3"/>
    <w:rsid w:val="00A861A2"/>
    <w:rsid w:val="00A8623B"/>
    <w:rsid w:val="00A863F8"/>
    <w:rsid w:val="00A86B58"/>
    <w:rsid w:val="00A86C4A"/>
    <w:rsid w:val="00A86D3C"/>
    <w:rsid w:val="00A9039A"/>
    <w:rsid w:val="00A9049B"/>
    <w:rsid w:val="00A908B1"/>
    <w:rsid w:val="00A91B92"/>
    <w:rsid w:val="00A920F7"/>
    <w:rsid w:val="00A924B6"/>
    <w:rsid w:val="00A935A9"/>
    <w:rsid w:val="00A93A64"/>
    <w:rsid w:val="00A93E27"/>
    <w:rsid w:val="00A9420A"/>
    <w:rsid w:val="00A943CB"/>
    <w:rsid w:val="00A94446"/>
    <w:rsid w:val="00A94961"/>
    <w:rsid w:val="00A94A1C"/>
    <w:rsid w:val="00A94B68"/>
    <w:rsid w:val="00A95381"/>
    <w:rsid w:val="00A95CE7"/>
    <w:rsid w:val="00A9774D"/>
    <w:rsid w:val="00A97FEF"/>
    <w:rsid w:val="00AA0373"/>
    <w:rsid w:val="00AA0608"/>
    <w:rsid w:val="00AA08BB"/>
    <w:rsid w:val="00AA0A67"/>
    <w:rsid w:val="00AA15C9"/>
    <w:rsid w:val="00AA167E"/>
    <w:rsid w:val="00AA1C2B"/>
    <w:rsid w:val="00AA26F4"/>
    <w:rsid w:val="00AA2F80"/>
    <w:rsid w:val="00AA425E"/>
    <w:rsid w:val="00AA4668"/>
    <w:rsid w:val="00AA56B1"/>
    <w:rsid w:val="00AA5A9F"/>
    <w:rsid w:val="00AA5BF7"/>
    <w:rsid w:val="00AA5C8C"/>
    <w:rsid w:val="00AA6BED"/>
    <w:rsid w:val="00AA7D89"/>
    <w:rsid w:val="00AB03B6"/>
    <w:rsid w:val="00AB053C"/>
    <w:rsid w:val="00AB059D"/>
    <w:rsid w:val="00AB1241"/>
    <w:rsid w:val="00AB1414"/>
    <w:rsid w:val="00AB1A80"/>
    <w:rsid w:val="00AB26DF"/>
    <w:rsid w:val="00AB29B6"/>
    <w:rsid w:val="00AB3586"/>
    <w:rsid w:val="00AB4326"/>
    <w:rsid w:val="00AB5224"/>
    <w:rsid w:val="00AB5F5F"/>
    <w:rsid w:val="00AB6BBD"/>
    <w:rsid w:val="00AB7663"/>
    <w:rsid w:val="00AC00A0"/>
    <w:rsid w:val="00AC1413"/>
    <w:rsid w:val="00AC22E1"/>
    <w:rsid w:val="00AC319C"/>
    <w:rsid w:val="00AC45B3"/>
    <w:rsid w:val="00AC47BC"/>
    <w:rsid w:val="00AC4B80"/>
    <w:rsid w:val="00AC4BEA"/>
    <w:rsid w:val="00AC4C1A"/>
    <w:rsid w:val="00AC4C54"/>
    <w:rsid w:val="00AC4D1B"/>
    <w:rsid w:val="00AC545A"/>
    <w:rsid w:val="00AC5485"/>
    <w:rsid w:val="00AC5712"/>
    <w:rsid w:val="00AC5A41"/>
    <w:rsid w:val="00AC610F"/>
    <w:rsid w:val="00AC629B"/>
    <w:rsid w:val="00AC63A8"/>
    <w:rsid w:val="00AC6534"/>
    <w:rsid w:val="00AC66A4"/>
    <w:rsid w:val="00AC6709"/>
    <w:rsid w:val="00AC6AA6"/>
    <w:rsid w:val="00AC6D0D"/>
    <w:rsid w:val="00AC6EA6"/>
    <w:rsid w:val="00AC779A"/>
    <w:rsid w:val="00AD06C5"/>
    <w:rsid w:val="00AD06EB"/>
    <w:rsid w:val="00AD0B1A"/>
    <w:rsid w:val="00AD1FCE"/>
    <w:rsid w:val="00AD1FF7"/>
    <w:rsid w:val="00AD27BC"/>
    <w:rsid w:val="00AD394D"/>
    <w:rsid w:val="00AD3C1D"/>
    <w:rsid w:val="00AD3E4F"/>
    <w:rsid w:val="00AD3FDB"/>
    <w:rsid w:val="00AD428D"/>
    <w:rsid w:val="00AD4621"/>
    <w:rsid w:val="00AD488B"/>
    <w:rsid w:val="00AD4FE7"/>
    <w:rsid w:val="00AD5650"/>
    <w:rsid w:val="00AD58D0"/>
    <w:rsid w:val="00AD5DF6"/>
    <w:rsid w:val="00AD604A"/>
    <w:rsid w:val="00AD6A4E"/>
    <w:rsid w:val="00AE0176"/>
    <w:rsid w:val="00AE0599"/>
    <w:rsid w:val="00AE0763"/>
    <w:rsid w:val="00AE0CF4"/>
    <w:rsid w:val="00AE189C"/>
    <w:rsid w:val="00AE1B07"/>
    <w:rsid w:val="00AE2400"/>
    <w:rsid w:val="00AE261E"/>
    <w:rsid w:val="00AE2A63"/>
    <w:rsid w:val="00AE31F9"/>
    <w:rsid w:val="00AE3265"/>
    <w:rsid w:val="00AE572D"/>
    <w:rsid w:val="00AE573C"/>
    <w:rsid w:val="00AE5763"/>
    <w:rsid w:val="00AE5FD4"/>
    <w:rsid w:val="00AE6321"/>
    <w:rsid w:val="00AE6407"/>
    <w:rsid w:val="00AE6612"/>
    <w:rsid w:val="00AE6854"/>
    <w:rsid w:val="00AE69C4"/>
    <w:rsid w:val="00AE7376"/>
    <w:rsid w:val="00AE77F6"/>
    <w:rsid w:val="00AE78D9"/>
    <w:rsid w:val="00AF002F"/>
    <w:rsid w:val="00AF02D6"/>
    <w:rsid w:val="00AF1188"/>
    <w:rsid w:val="00AF17D6"/>
    <w:rsid w:val="00AF1DFC"/>
    <w:rsid w:val="00AF1E08"/>
    <w:rsid w:val="00AF1EFB"/>
    <w:rsid w:val="00AF2370"/>
    <w:rsid w:val="00AF29FE"/>
    <w:rsid w:val="00AF386F"/>
    <w:rsid w:val="00AF3D89"/>
    <w:rsid w:val="00AF48B5"/>
    <w:rsid w:val="00AF4CCE"/>
    <w:rsid w:val="00AF4FA1"/>
    <w:rsid w:val="00AF54B5"/>
    <w:rsid w:val="00AF5659"/>
    <w:rsid w:val="00AF5B2F"/>
    <w:rsid w:val="00AF5D45"/>
    <w:rsid w:val="00AF7087"/>
    <w:rsid w:val="00AF762E"/>
    <w:rsid w:val="00AF7718"/>
    <w:rsid w:val="00B00316"/>
    <w:rsid w:val="00B00F9B"/>
    <w:rsid w:val="00B01A6F"/>
    <w:rsid w:val="00B01B53"/>
    <w:rsid w:val="00B023D7"/>
    <w:rsid w:val="00B036BF"/>
    <w:rsid w:val="00B03713"/>
    <w:rsid w:val="00B04274"/>
    <w:rsid w:val="00B0428A"/>
    <w:rsid w:val="00B04E48"/>
    <w:rsid w:val="00B0630E"/>
    <w:rsid w:val="00B06B90"/>
    <w:rsid w:val="00B11849"/>
    <w:rsid w:val="00B128AF"/>
    <w:rsid w:val="00B12B9D"/>
    <w:rsid w:val="00B13D3D"/>
    <w:rsid w:val="00B13F64"/>
    <w:rsid w:val="00B14516"/>
    <w:rsid w:val="00B15147"/>
    <w:rsid w:val="00B15213"/>
    <w:rsid w:val="00B1544B"/>
    <w:rsid w:val="00B15E51"/>
    <w:rsid w:val="00B1608E"/>
    <w:rsid w:val="00B17019"/>
    <w:rsid w:val="00B2073A"/>
    <w:rsid w:val="00B21039"/>
    <w:rsid w:val="00B21452"/>
    <w:rsid w:val="00B2200B"/>
    <w:rsid w:val="00B220BD"/>
    <w:rsid w:val="00B225F8"/>
    <w:rsid w:val="00B230F5"/>
    <w:rsid w:val="00B23DF0"/>
    <w:rsid w:val="00B23E95"/>
    <w:rsid w:val="00B242FC"/>
    <w:rsid w:val="00B243BD"/>
    <w:rsid w:val="00B25007"/>
    <w:rsid w:val="00B25162"/>
    <w:rsid w:val="00B2517A"/>
    <w:rsid w:val="00B25224"/>
    <w:rsid w:val="00B25616"/>
    <w:rsid w:val="00B258C6"/>
    <w:rsid w:val="00B25B9C"/>
    <w:rsid w:val="00B26059"/>
    <w:rsid w:val="00B26748"/>
    <w:rsid w:val="00B2731A"/>
    <w:rsid w:val="00B273FF"/>
    <w:rsid w:val="00B27ABB"/>
    <w:rsid w:val="00B30862"/>
    <w:rsid w:val="00B31159"/>
    <w:rsid w:val="00B314A2"/>
    <w:rsid w:val="00B314EC"/>
    <w:rsid w:val="00B327FE"/>
    <w:rsid w:val="00B330FE"/>
    <w:rsid w:val="00B3338D"/>
    <w:rsid w:val="00B33E10"/>
    <w:rsid w:val="00B340F8"/>
    <w:rsid w:val="00B34FD8"/>
    <w:rsid w:val="00B3510C"/>
    <w:rsid w:val="00B361EC"/>
    <w:rsid w:val="00B365E1"/>
    <w:rsid w:val="00B371D7"/>
    <w:rsid w:val="00B376D9"/>
    <w:rsid w:val="00B37750"/>
    <w:rsid w:val="00B37B84"/>
    <w:rsid w:val="00B40B9A"/>
    <w:rsid w:val="00B40D0A"/>
    <w:rsid w:val="00B40EFA"/>
    <w:rsid w:val="00B40F53"/>
    <w:rsid w:val="00B41005"/>
    <w:rsid w:val="00B41DFF"/>
    <w:rsid w:val="00B43057"/>
    <w:rsid w:val="00B43EFE"/>
    <w:rsid w:val="00B441E7"/>
    <w:rsid w:val="00B44281"/>
    <w:rsid w:val="00B44651"/>
    <w:rsid w:val="00B44B24"/>
    <w:rsid w:val="00B4691B"/>
    <w:rsid w:val="00B47337"/>
    <w:rsid w:val="00B47719"/>
    <w:rsid w:val="00B47E37"/>
    <w:rsid w:val="00B5048A"/>
    <w:rsid w:val="00B50E8C"/>
    <w:rsid w:val="00B51598"/>
    <w:rsid w:val="00B517C2"/>
    <w:rsid w:val="00B51951"/>
    <w:rsid w:val="00B5233B"/>
    <w:rsid w:val="00B5237B"/>
    <w:rsid w:val="00B52407"/>
    <w:rsid w:val="00B52693"/>
    <w:rsid w:val="00B52A31"/>
    <w:rsid w:val="00B540D3"/>
    <w:rsid w:val="00B543C9"/>
    <w:rsid w:val="00B543EE"/>
    <w:rsid w:val="00B54F53"/>
    <w:rsid w:val="00B55CC7"/>
    <w:rsid w:val="00B560C5"/>
    <w:rsid w:val="00B56DFB"/>
    <w:rsid w:val="00B56E14"/>
    <w:rsid w:val="00B57278"/>
    <w:rsid w:val="00B57813"/>
    <w:rsid w:val="00B57E7B"/>
    <w:rsid w:val="00B600E0"/>
    <w:rsid w:val="00B60410"/>
    <w:rsid w:val="00B60904"/>
    <w:rsid w:val="00B61395"/>
    <w:rsid w:val="00B6375C"/>
    <w:rsid w:val="00B63D13"/>
    <w:rsid w:val="00B6470E"/>
    <w:rsid w:val="00B659B3"/>
    <w:rsid w:val="00B66425"/>
    <w:rsid w:val="00B66590"/>
    <w:rsid w:val="00B67449"/>
    <w:rsid w:val="00B675FE"/>
    <w:rsid w:val="00B67E4B"/>
    <w:rsid w:val="00B67F7C"/>
    <w:rsid w:val="00B70877"/>
    <w:rsid w:val="00B708DB"/>
    <w:rsid w:val="00B71B6A"/>
    <w:rsid w:val="00B71E5E"/>
    <w:rsid w:val="00B71FB5"/>
    <w:rsid w:val="00B7209A"/>
    <w:rsid w:val="00B7256F"/>
    <w:rsid w:val="00B725A0"/>
    <w:rsid w:val="00B726E2"/>
    <w:rsid w:val="00B7322E"/>
    <w:rsid w:val="00B74036"/>
    <w:rsid w:val="00B74232"/>
    <w:rsid w:val="00B743DC"/>
    <w:rsid w:val="00B758E1"/>
    <w:rsid w:val="00B76822"/>
    <w:rsid w:val="00B77109"/>
    <w:rsid w:val="00B815E9"/>
    <w:rsid w:val="00B81F10"/>
    <w:rsid w:val="00B82074"/>
    <w:rsid w:val="00B82427"/>
    <w:rsid w:val="00B825A5"/>
    <w:rsid w:val="00B825BA"/>
    <w:rsid w:val="00B82C43"/>
    <w:rsid w:val="00B82EB3"/>
    <w:rsid w:val="00B82F57"/>
    <w:rsid w:val="00B8329C"/>
    <w:rsid w:val="00B832BC"/>
    <w:rsid w:val="00B834E9"/>
    <w:rsid w:val="00B84CE6"/>
    <w:rsid w:val="00B8510B"/>
    <w:rsid w:val="00B85815"/>
    <w:rsid w:val="00B86544"/>
    <w:rsid w:val="00B866FE"/>
    <w:rsid w:val="00B86C00"/>
    <w:rsid w:val="00B8793D"/>
    <w:rsid w:val="00B87BDD"/>
    <w:rsid w:val="00B87C99"/>
    <w:rsid w:val="00B902FE"/>
    <w:rsid w:val="00B9036F"/>
    <w:rsid w:val="00B90709"/>
    <w:rsid w:val="00B90D0F"/>
    <w:rsid w:val="00B93970"/>
    <w:rsid w:val="00B94190"/>
    <w:rsid w:val="00B9458A"/>
    <w:rsid w:val="00B95561"/>
    <w:rsid w:val="00B957FF"/>
    <w:rsid w:val="00B96944"/>
    <w:rsid w:val="00B96A8E"/>
    <w:rsid w:val="00B97488"/>
    <w:rsid w:val="00B97632"/>
    <w:rsid w:val="00B97986"/>
    <w:rsid w:val="00B97EE4"/>
    <w:rsid w:val="00BA033C"/>
    <w:rsid w:val="00BA2F42"/>
    <w:rsid w:val="00BA3630"/>
    <w:rsid w:val="00BA3D54"/>
    <w:rsid w:val="00BA3FC3"/>
    <w:rsid w:val="00BA4B81"/>
    <w:rsid w:val="00BA51FC"/>
    <w:rsid w:val="00BA5EC7"/>
    <w:rsid w:val="00BA5F88"/>
    <w:rsid w:val="00BB068F"/>
    <w:rsid w:val="00BB0853"/>
    <w:rsid w:val="00BB0950"/>
    <w:rsid w:val="00BB0AE8"/>
    <w:rsid w:val="00BB0C4F"/>
    <w:rsid w:val="00BB13C7"/>
    <w:rsid w:val="00BB230D"/>
    <w:rsid w:val="00BB276C"/>
    <w:rsid w:val="00BB2CF7"/>
    <w:rsid w:val="00BB3067"/>
    <w:rsid w:val="00BB342F"/>
    <w:rsid w:val="00BB3BC1"/>
    <w:rsid w:val="00BB3F25"/>
    <w:rsid w:val="00BB3FF0"/>
    <w:rsid w:val="00BB44C0"/>
    <w:rsid w:val="00BB5549"/>
    <w:rsid w:val="00BB633C"/>
    <w:rsid w:val="00BB6B32"/>
    <w:rsid w:val="00BB6BD8"/>
    <w:rsid w:val="00BB7370"/>
    <w:rsid w:val="00BB746C"/>
    <w:rsid w:val="00BB7819"/>
    <w:rsid w:val="00BB7D80"/>
    <w:rsid w:val="00BC1E0D"/>
    <w:rsid w:val="00BC211E"/>
    <w:rsid w:val="00BC24B3"/>
    <w:rsid w:val="00BC2914"/>
    <w:rsid w:val="00BC2A6F"/>
    <w:rsid w:val="00BC2FC4"/>
    <w:rsid w:val="00BC30F9"/>
    <w:rsid w:val="00BC31ED"/>
    <w:rsid w:val="00BC32D5"/>
    <w:rsid w:val="00BC3CCC"/>
    <w:rsid w:val="00BC3DAA"/>
    <w:rsid w:val="00BC4ED6"/>
    <w:rsid w:val="00BC6267"/>
    <w:rsid w:val="00BC697F"/>
    <w:rsid w:val="00BC758A"/>
    <w:rsid w:val="00BD004F"/>
    <w:rsid w:val="00BD0B95"/>
    <w:rsid w:val="00BD100A"/>
    <w:rsid w:val="00BD2377"/>
    <w:rsid w:val="00BD2C64"/>
    <w:rsid w:val="00BD31EE"/>
    <w:rsid w:val="00BD368D"/>
    <w:rsid w:val="00BD4325"/>
    <w:rsid w:val="00BD446B"/>
    <w:rsid w:val="00BD44E9"/>
    <w:rsid w:val="00BD4E81"/>
    <w:rsid w:val="00BD508A"/>
    <w:rsid w:val="00BD5251"/>
    <w:rsid w:val="00BD537A"/>
    <w:rsid w:val="00BD5A0B"/>
    <w:rsid w:val="00BD601E"/>
    <w:rsid w:val="00BD6533"/>
    <w:rsid w:val="00BD68B9"/>
    <w:rsid w:val="00BD6D99"/>
    <w:rsid w:val="00BD76F0"/>
    <w:rsid w:val="00BD77FB"/>
    <w:rsid w:val="00BD7C8C"/>
    <w:rsid w:val="00BE118A"/>
    <w:rsid w:val="00BE2E64"/>
    <w:rsid w:val="00BE2E77"/>
    <w:rsid w:val="00BE3A85"/>
    <w:rsid w:val="00BE3AA6"/>
    <w:rsid w:val="00BE3CEE"/>
    <w:rsid w:val="00BE4069"/>
    <w:rsid w:val="00BE46B0"/>
    <w:rsid w:val="00BE487C"/>
    <w:rsid w:val="00BE5BB9"/>
    <w:rsid w:val="00BE5D30"/>
    <w:rsid w:val="00BE5D45"/>
    <w:rsid w:val="00BE6C22"/>
    <w:rsid w:val="00BE6C62"/>
    <w:rsid w:val="00BE6D31"/>
    <w:rsid w:val="00BE7F01"/>
    <w:rsid w:val="00BE7F98"/>
    <w:rsid w:val="00BF024A"/>
    <w:rsid w:val="00BF0CD9"/>
    <w:rsid w:val="00BF10F7"/>
    <w:rsid w:val="00BF23ED"/>
    <w:rsid w:val="00BF5530"/>
    <w:rsid w:val="00BF65FF"/>
    <w:rsid w:val="00BF6920"/>
    <w:rsid w:val="00BF74C9"/>
    <w:rsid w:val="00BF7732"/>
    <w:rsid w:val="00BF784B"/>
    <w:rsid w:val="00BF7B92"/>
    <w:rsid w:val="00BF7D5B"/>
    <w:rsid w:val="00C008D3"/>
    <w:rsid w:val="00C01154"/>
    <w:rsid w:val="00C012C6"/>
    <w:rsid w:val="00C012CE"/>
    <w:rsid w:val="00C016EB"/>
    <w:rsid w:val="00C0244E"/>
    <w:rsid w:val="00C034C0"/>
    <w:rsid w:val="00C03549"/>
    <w:rsid w:val="00C03859"/>
    <w:rsid w:val="00C03B80"/>
    <w:rsid w:val="00C04497"/>
    <w:rsid w:val="00C044AD"/>
    <w:rsid w:val="00C04740"/>
    <w:rsid w:val="00C04EC7"/>
    <w:rsid w:val="00C05483"/>
    <w:rsid w:val="00C05588"/>
    <w:rsid w:val="00C06B53"/>
    <w:rsid w:val="00C07A75"/>
    <w:rsid w:val="00C07BCB"/>
    <w:rsid w:val="00C100F4"/>
    <w:rsid w:val="00C10663"/>
    <w:rsid w:val="00C117DC"/>
    <w:rsid w:val="00C127BF"/>
    <w:rsid w:val="00C12B90"/>
    <w:rsid w:val="00C13514"/>
    <w:rsid w:val="00C135CB"/>
    <w:rsid w:val="00C13BD6"/>
    <w:rsid w:val="00C1431F"/>
    <w:rsid w:val="00C14702"/>
    <w:rsid w:val="00C148BC"/>
    <w:rsid w:val="00C1510B"/>
    <w:rsid w:val="00C15508"/>
    <w:rsid w:val="00C15B63"/>
    <w:rsid w:val="00C15F17"/>
    <w:rsid w:val="00C16626"/>
    <w:rsid w:val="00C16E40"/>
    <w:rsid w:val="00C174AF"/>
    <w:rsid w:val="00C204CD"/>
    <w:rsid w:val="00C207DD"/>
    <w:rsid w:val="00C20BC3"/>
    <w:rsid w:val="00C2128E"/>
    <w:rsid w:val="00C21A38"/>
    <w:rsid w:val="00C21D47"/>
    <w:rsid w:val="00C236B7"/>
    <w:rsid w:val="00C2389B"/>
    <w:rsid w:val="00C25506"/>
    <w:rsid w:val="00C261A8"/>
    <w:rsid w:val="00C2714D"/>
    <w:rsid w:val="00C27A00"/>
    <w:rsid w:val="00C27AA4"/>
    <w:rsid w:val="00C27AF7"/>
    <w:rsid w:val="00C3044C"/>
    <w:rsid w:val="00C3120D"/>
    <w:rsid w:val="00C312E3"/>
    <w:rsid w:val="00C3131B"/>
    <w:rsid w:val="00C31427"/>
    <w:rsid w:val="00C31499"/>
    <w:rsid w:val="00C3180C"/>
    <w:rsid w:val="00C32021"/>
    <w:rsid w:val="00C320EA"/>
    <w:rsid w:val="00C34176"/>
    <w:rsid w:val="00C343DF"/>
    <w:rsid w:val="00C34468"/>
    <w:rsid w:val="00C35422"/>
    <w:rsid w:val="00C35C4C"/>
    <w:rsid w:val="00C35C86"/>
    <w:rsid w:val="00C360F8"/>
    <w:rsid w:val="00C36512"/>
    <w:rsid w:val="00C36621"/>
    <w:rsid w:val="00C370E3"/>
    <w:rsid w:val="00C4136F"/>
    <w:rsid w:val="00C41930"/>
    <w:rsid w:val="00C44022"/>
    <w:rsid w:val="00C45402"/>
    <w:rsid w:val="00C45B02"/>
    <w:rsid w:val="00C45DD1"/>
    <w:rsid w:val="00C47786"/>
    <w:rsid w:val="00C50A61"/>
    <w:rsid w:val="00C50DDB"/>
    <w:rsid w:val="00C51DFE"/>
    <w:rsid w:val="00C527BD"/>
    <w:rsid w:val="00C52A9B"/>
    <w:rsid w:val="00C52C9B"/>
    <w:rsid w:val="00C531A0"/>
    <w:rsid w:val="00C5403A"/>
    <w:rsid w:val="00C54108"/>
    <w:rsid w:val="00C55A18"/>
    <w:rsid w:val="00C55ACB"/>
    <w:rsid w:val="00C56623"/>
    <w:rsid w:val="00C57819"/>
    <w:rsid w:val="00C57B79"/>
    <w:rsid w:val="00C60A9C"/>
    <w:rsid w:val="00C60F0B"/>
    <w:rsid w:val="00C62266"/>
    <w:rsid w:val="00C6293A"/>
    <w:rsid w:val="00C637B1"/>
    <w:rsid w:val="00C63A11"/>
    <w:rsid w:val="00C63E1D"/>
    <w:rsid w:val="00C647DF"/>
    <w:rsid w:val="00C6685D"/>
    <w:rsid w:val="00C676FD"/>
    <w:rsid w:val="00C67841"/>
    <w:rsid w:val="00C70640"/>
    <w:rsid w:val="00C70698"/>
    <w:rsid w:val="00C70AF9"/>
    <w:rsid w:val="00C71E53"/>
    <w:rsid w:val="00C72090"/>
    <w:rsid w:val="00C7217E"/>
    <w:rsid w:val="00C736DC"/>
    <w:rsid w:val="00C74151"/>
    <w:rsid w:val="00C74C8A"/>
    <w:rsid w:val="00C75237"/>
    <w:rsid w:val="00C758BF"/>
    <w:rsid w:val="00C75A42"/>
    <w:rsid w:val="00C75E0B"/>
    <w:rsid w:val="00C77100"/>
    <w:rsid w:val="00C7778A"/>
    <w:rsid w:val="00C778FE"/>
    <w:rsid w:val="00C77F78"/>
    <w:rsid w:val="00C80DFC"/>
    <w:rsid w:val="00C8155C"/>
    <w:rsid w:val="00C81758"/>
    <w:rsid w:val="00C820B9"/>
    <w:rsid w:val="00C83E59"/>
    <w:rsid w:val="00C841D4"/>
    <w:rsid w:val="00C85185"/>
    <w:rsid w:val="00C85E8D"/>
    <w:rsid w:val="00C869D5"/>
    <w:rsid w:val="00C8771C"/>
    <w:rsid w:val="00C87B41"/>
    <w:rsid w:val="00C87C0C"/>
    <w:rsid w:val="00C90D00"/>
    <w:rsid w:val="00C920AD"/>
    <w:rsid w:val="00C92A39"/>
    <w:rsid w:val="00C94E22"/>
    <w:rsid w:val="00C9629A"/>
    <w:rsid w:val="00C9630B"/>
    <w:rsid w:val="00C9652A"/>
    <w:rsid w:val="00C96B4D"/>
    <w:rsid w:val="00C96D53"/>
    <w:rsid w:val="00C96D9C"/>
    <w:rsid w:val="00C970E6"/>
    <w:rsid w:val="00C974D5"/>
    <w:rsid w:val="00C97856"/>
    <w:rsid w:val="00C97936"/>
    <w:rsid w:val="00C97C43"/>
    <w:rsid w:val="00CA0337"/>
    <w:rsid w:val="00CA13A3"/>
    <w:rsid w:val="00CA36C7"/>
    <w:rsid w:val="00CA38BD"/>
    <w:rsid w:val="00CA3F48"/>
    <w:rsid w:val="00CA4600"/>
    <w:rsid w:val="00CA4859"/>
    <w:rsid w:val="00CA4F58"/>
    <w:rsid w:val="00CA6534"/>
    <w:rsid w:val="00CA65BF"/>
    <w:rsid w:val="00CA73EB"/>
    <w:rsid w:val="00CA7CBF"/>
    <w:rsid w:val="00CA7F00"/>
    <w:rsid w:val="00CB0678"/>
    <w:rsid w:val="00CB12EB"/>
    <w:rsid w:val="00CB2AFE"/>
    <w:rsid w:val="00CB3154"/>
    <w:rsid w:val="00CB31D9"/>
    <w:rsid w:val="00CB39AE"/>
    <w:rsid w:val="00CB63B7"/>
    <w:rsid w:val="00CB6A15"/>
    <w:rsid w:val="00CB75E5"/>
    <w:rsid w:val="00CB7718"/>
    <w:rsid w:val="00CB7978"/>
    <w:rsid w:val="00CB7DAC"/>
    <w:rsid w:val="00CC066C"/>
    <w:rsid w:val="00CC0AD9"/>
    <w:rsid w:val="00CC1564"/>
    <w:rsid w:val="00CC2200"/>
    <w:rsid w:val="00CC250E"/>
    <w:rsid w:val="00CC255C"/>
    <w:rsid w:val="00CC2CB3"/>
    <w:rsid w:val="00CC2FC5"/>
    <w:rsid w:val="00CC304A"/>
    <w:rsid w:val="00CC3696"/>
    <w:rsid w:val="00CC3AF8"/>
    <w:rsid w:val="00CC40B8"/>
    <w:rsid w:val="00CC4738"/>
    <w:rsid w:val="00CC47D5"/>
    <w:rsid w:val="00CC49BE"/>
    <w:rsid w:val="00CC4E0D"/>
    <w:rsid w:val="00CC5AF9"/>
    <w:rsid w:val="00CC66D1"/>
    <w:rsid w:val="00CC6EE6"/>
    <w:rsid w:val="00CC7B01"/>
    <w:rsid w:val="00CC7F6E"/>
    <w:rsid w:val="00CD066E"/>
    <w:rsid w:val="00CD086D"/>
    <w:rsid w:val="00CD0D01"/>
    <w:rsid w:val="00CD13CB"/>
    <w:rsid w:val="00CD2620"/>
    <w:rsid w:val="00CD27D2"/>
    <w:rsid w:val="00CD2E54"/>
    <w:rsid w:val="00CD42C2"/>
    <w:rsid w:val="00CD4536"/>
    <w:rsid w:val="00CD48A9"/>
    <w:rsid w:val="00CD4C50"/>
    <w:rsid w:val="00CD5071"/>
    <w:rsid w:val="00CD51D2"/>
    <w:rsid w:val="00CD56BC"/>
    <w:rsid w:val="00CD56DA"/>
    <w:rsid w:val="00CD5EF3"/>
    <w:rsid w:val="00CD66A7"/>
    <w:rsid w:val="00CD6826"/>
    <w:rsid w:val="00CD799D"/>
    <w:rsid w:val="00CE0096"/>
    <w:rsid w:val="00CE06B8"/>
    <w:rsid w:val="00CE09FF"/>
    <w:rsid w:val="00CE0B1A"/>
    <w:rsid w:val="00CE0D0A"/>
    <w:rsid w:val="00CE145D"/>
    <w:rsid w:val="00CE2329"/>
    <w:rsid w:val="00CE3278"/>
    <w:rsid w:val="00CE3580"/>
    <w:rsid w:val="00CE3E04"/>
    <w:rsid w:val="00CE4A0C"/>
    <w:rsid w:val="00CE500C"/>
    <w:rsid w:val="00CE58E6"/>
    <w:rsid w:val="00CE5A4A"/>
    <w:rsid w:val="00CE5AD7"/>
    <w:rsid w:val="00CE608B"/>
    <w:rsid w:val="00CE6296"/>
    <w:rsid w:val="00CE6C31"/>
    <w:rsid w:val="00CE75FA"/>
    <w:rsid w:val="00CE7919"/>
    <w:rsid w:val="00CF02D5"/>
    <w:rsid w:val="00CF0B8C"/>
    <w:rsid w:val="00CF0BCA"/>
    <w:rsid w:val="00CF45C2"/>
    <w:rsid w:val="00CF494D"/>
    <w:rsid w:val="00CF4C54"/>
    <w:rsid w:val="00CF5363"/>
    <w:rsid w:val="00CF59AE"/>
    <w:rsid w:val="00CF63C3"/>
    <w:rsid w:val="00CF669D"/>
    <w:rsid w:val="00CF745D"/>
    <w:rsid w:val="00CF764E"/>
    <w:rsid w:val="00D00202"/>
    <w:rsid w:val="00D0126F"/>
    <w:rsid w:val="00D01B14"/>
    <w:rsid w:val="00D028FD"/>
    <w:rsid w:val="00D02ACF"/>
    <w:rsid w:val="00D0388B"/>
    <w:rsid w:val="00D038FF"/>
    <w:rsid w:val="00D03D12"/>
    <w:rsid w:val="00D03DA5"/>
    <w:rsid w:val="00D044EB"/>
    <w:rsid w:val="00D04819"/>
    <w:rsid w:val="00D05146"/>
    <w:rsid w:val="00D0586A"/>
    <w:rsid w:val="00D0600D"/>
    <w:rsid w:val="00D06F85"/>
    <w:rsid w:val="00D075AA"/>
    <w:rsid w:val="00D10924"/>
    <w:rsid w:val="00D10DF7"/>
    <w:rsid w:val="00D1104D"/>
    <w:rsid w:val="00D12437"/>
    <w:rsid w:val="00D12B61"/>
    <w:rsid w:val="00D13638"/>
    <w:rsid w:val="00D13CB5"/>
    <w:rsid w:val="00D14805"/>
    <w:rsid w:val="00D14967"/>
    <w:rsid w:val="00D14A65"/>
    <w:rsid w:val="00D14BC0"/>
    <w:rsid w:val="00D157B5"/>
    <w:rsid w:val="00D15A22"/>
    <w:rsid w:val="00D15ADB"/>
    <w:rsid w:val="00D15EBA"/>
    <w:rsid w:val="00D16819"/>
    <w:rsid w:val="00D17416"/>
    <w:rsid w:val="00D175C5"/>
    <w:rsid w:val="00D17B51"/>
    <w:rsid w:val="00D20266"/>
    <w:rsid w:val="00D2089C"/>
    <w:rsid w:val="00D211A8"/>
    <w:rsid w:val="00D21E62"/>
    <w:rsid w:val="00D22254"/>
    <w:rsid w:val="00D2265D"/>
    <w:rsid w:val="00D2283D"/>
    <w:rsid w:val="00D2307B"/>
    <w:rsid w:val="00D24122"/>
    <w:rsid w:val="00D2452E"/>
    <w:rsid w:val="00D2543D"/>
    <w:rsid w:val="00D25787"/>
    <w:rsid w:val="00D311E8"/>
    <w:rsid w:val="00D31544"/>
    <w:rsid w:val="00D317AB"/>
    <w:rsid w:val="00D328FA"/>
    <w:rsid w:val="00D32A22"/>
    <w:rsid w:val="00D32F2F"/>
    <w:rsid w:val="00D33730"/>
    <w:rsid w:val="00D3384B"/>
    <w:rsid w:val="00D34673"/>
    <w:rsid w:val="00D34C95"/>
    <w:rsid w:val="00D34E32"/>
    <w:rsid w:val="00D34F1C"/>
    <w:rsid w:val="00D35921"/>
    <w:rsid w:val="00D35D9E"/>
    <w:rsid w:val="00D36894"/>
    <w:rsid w:val="00D404A4"/>
    <w:rsid w:val="00D40806"/>
    <w:rsid w:val="00D4128C"/>
    <w:rsid w:val="00D41B4B"/>
    <w:rsid w:val="00D41DF9"/>
    <w:rsid w:val="00D41E72"/>
    <w:rsid w:val="00D42517"/>
    <w:rsid w:val="00D432D9"/>
    <w:rsid w:val="00D433E9"/>
    <w:rsid w:val="00D439E7"/>
    <w:rsid w:val="00D448D9"/>
    <w:rsid w:val="00D44A0B"/>
    <w:rsid w:val="00D455CA"/>
    <w:rsid w:val="00D461CE"/>
    <w:rsid w:val="00D46288"/>
    <w:rsid w:val="00D467C1"/>
    <w:rsid w:val="00D468AB"/>
    <w:rsid w:val="00D470E9"/>
    <w:rsid w:val="00D472E4"/>
    <w:rsid w:val="00D474F1"/>
    <w:rsid w:val="00D47618"/>
    <w:rsid w:val="00D50109"/>
    <w:rsid w:val="00D50248"/>
    <w:rsid w:val="00D51792"/>
    <w:rsid w:val="00D519A8"/>
    <w:rsid w:val="00D5219C"/>
    <w:rsid w:val="00D5260B"/>
    <w:rsid w:val="00D52973"/>
    <w:rsid w:val="00D52991"/>
    <w:rsid w:val="00D53B07"/>
    <w:rsid w:val="00D54116"/>
    <w:rsid w:val="00D541B2"/>
    <w:rsid w:val="00D542F5"/>
    <w:rsid w:val="00D546EF"/>
    <w:rsid w:val="00D54CA8"/>
    <w:rsid w:val="00D553D1"/>
    <w:rsid w:val="00D5591E"/>
    <w:rsid w:val="00D5649F"/>
    <w:rsid w:val="00D56848"/>
    <w:rsid w:val="00D57971"/>
    <w:rsid w:val="00D57F51"/>
    <w:rsid w:val="00D604FB"/>
    <w:rsid w:val="00D60A88"/>
    <w:rsid w:val="00D621A4"/>
    <w:rsid w:val="00D62476"/>
    <w:rsid w:val="00D62BC0"/>
    <w:rsid w:val="00D63119"/>
    <w:rsid w:val="00D63238"/>
    <w:rsid w:val="00D635C7"/>
    <w:rsid w:val="00D63EB4"/>
    <w:rsid w:val="00D64E79"/>
    <w:rsid w:val="00D656F8"/>
    <w:rsid w:val="00D6610D"/>
    <w:rsid w:val="00D6629C"/>
    <w:rsid w:val="00D66A2B"/>
    <w:rsid w:val="00D66E97"/>
    <w:rsid w:val="00D67B2B"/>
    <w:rsid w:val="00D67D3A"/>
    <w:rsid w:val="00D703C2"/>
    <w:rsid w:val="00D710C9"/>
    <w:rsid w:val="00D7121F"/>
    <w:rsid w:val="00D71E13"/>
    <w:rsid w:val="00D7203A"/>
    <w:rsid w:val="00D72651"/>
    <w:rsid w:val="00D72FC6"/>
    <w:rsid w:val="00D7334E"/>
    <w:rsid w:val="00D73BE9"/>
    <w:rsid w:val="00D73D5C"/>
    <w:rsid w:val="00D73D62"/>
    <w:rsid w:val="00D74078"/>
    <w:rsid w:val="00D74557"/>
    <w:rsid w:val="00D746CF"/>
    <w:rsid w:val="00D74E12"/>
    <w:rsid w:val="00D74FC1"/>
    <w:rsid w:val="00D75249"/>
    <w:rsid w:val="00D7585D"/>
    <w:rsid w:val="00D75958"/>
    <w:rsid w:val="00D763E0"/>
    <w:rsid w:val="00D76853"/>
    <w:rsid w:val="00D7708D"/>
    <w:rsid w:val="00D806B8"/>
    <w:rsid w:val="00D8212F"/>
    <w:rsid w:val="00D82773"/>
    <w:rsid w:val="00D82965"/>
    <w:rsid w:val="00D82BEC"/>
    <w:rsid w:val="00D82C9F"/>
    <w:rsid w:val="00D82E36"/>
    <w:rsid w:val="00D8484D"/>
    <w:rsid w:val="00D84BE2"/>
    <w:rsid w:val="00D85749"/>
    <w:rsid w:val="00D85E81"/>
    <w:rsid w:val="00D86256"/>
    <w:rsid w:val="00D86D7B"/>
    <w:rsid w:val="00D87F11"/>
    <w:rsid w:val="00D904C3"/>
    <w:rsid w:val="00D905F9"/>
    <w:rsid w:val="00D911F4"/>
    <w:rsid w:val="00D919FD"/>
    <w:rsid w:val="00D9204B"/>
    <w:rsid w:val="00D9252B"/>
    <w:rsid w:val="00D92DF4"/>
    <w:rsid w:val="00D93A19"/>
    <w:rsid w:val="00D93AAD"/>
    <w:rsid w:val="00D941B6"/>
    <w:rsid w:val="00D94808"/>
    <w:rsid w:val="00D94CDB"/>
    <w:rsid w:val="00D94CFA"/>
    <w:rsid w:val="00D951A0"/>
    <w:rsid w:val="00D954F2"/>
    <w:rsid w:val="00D963A7"/>
    <w:rsid w:val="00D96A39"/>
    <w:rsid w:val="00D97AFF"/>
    <w:rsid w:val="00D97BA6"/>
    <w:rsid w:val="00DA0566"/>
    <w:rsid w:val="00DA086F"/>
    <w:rsid w:val="00DA0997"/>
    <w:rsid w:val="00DA1407"/>
    <w:rsid w:val="00DA1CD5"/>
    <w:rsid w:val="00DA21B7"/>
    <w:rsid w:val="00DA233E"/>
    <w:rsid w:val="00DA2404"/>
    <w:rsid w:val="00DA25F4"/>
    <w:rsid w:val="00DA2B93"/>
    <w:rsid w:val="00DA332F"/>
    <w:rsid w:val="00DA3484"/>
    <w:rsid w:val="00DA3BF4"/>
    <w:rsid w:val="00DA424E"/>
    <w:rsid w:val="00DA4D21"/>
    <w:rsid w:val="00DA5475"/>
    <w:rsid w:val="00DA5A07"/>
    <w:rsid w:val="00DA5B55"/>
    <w:rsid w:val="00DA6237"/>
    <w:rsid w:val="00DA6CA4"/>
    <w:rsid w:val="00DA6FC1"/>
    <w:rsid w:val="00DB0AE3"/>
    <w:rsid w:val="00DB0D4F"/>
    <w:rsid w:val="00DB0F03"/>
    <w:rsid w:val="00DB0FD3"/>
    <w:rsid w:val="00DB189A"/>
    <w:rsid w:val="00DB1FDE"/>
    <w:rsid w:val="00DB2477"/>
    <w:rsid w:val="00DB391F"/>
    <w:rsid w:val="00DB3B5A"/>
    <w:rsid w:val="00DB3DDB"/>
    <w:rsid w:val="00DB4036"/>
    <w:rsid w:val="00DB432D"/>
    <w:rsid w:val="00DB43FF"/>
    <w:rsid w:val="00DB4C73"/>
    <w:rsid w:val="00DB4DB6"/>
    <w:rsid w:val="00DB510B"/>
    <w:rsid w:val="00DB5573"/>
    <w:rsid w:val="00DB58AC"/>
    <w:rsid w:val="00DB638C"/>
    <w:rsid w:val="00DB67DF"/>
    <w:rsid w:val="00DB6A09"/>
    <w:rsid w:val="00DC0144"/>
    <w:rsid w:val="00DC084E"/>
    <w:rsid w:val="00DC0F3D"/>
    <w:rsid w:val="00DC2187"/>
    <w:rsid w:val="00DC227F"/>
    <w:rsid w:val="00DC331E"/>
    <w:rsid w:val="00DC350E"/>
    <w:rsid w:val="00DC3BA4"/>
    <w:rsid w:val="00DC4BCE"/>
    <w:rsid w:val="00DD0385"/>
    <w:rsid w:val="00DD1583"/>
    <w:rsid w:val="00DD15CF"/>
    <w:rsid w:val="00DD2568"/>
    <w:rsid w:val="00DD2807"/>
    <w:rsid w:val="00DD3807"/>
    <w:rsid w:val="00DD3FCF"/>
    <w:rsid w:val="00DD4891"/>
    <w:rsid w:val="00DD4FDA"/>
    <w:rsid w:val="00DD5523"/>
    <w:rsid w:val="00DD5A0D"/>
    <w:rsid w:val="00DD6C6D"/>
    <w:rsid w:val="00DE0DF7"/>
    <w:rsid w:val="00DE0F80"/>
    <w:rsid w:val="00DE1863"/>
    <w:rsid w:val="00DE1B46"/>
    <w:rsid w:val="00DE2241"/>
    <w:rsid w:val="00DE331C"/>
    <w:rsid w:val="00DE3918"/>
    <w:rsid w:val="00DE3F30"/>
    <w:rsid w:val="00DE4DED"/>
    <w:rsid w:val="00DE50C9"/>
    <w:rsid w:val="00DE5195"/>
    <w:rsid w:val="00DE51F2"/>
    <w:rsid w:val="00DE538D"/>
    <w:rsid w:val="00DE5934"/>
    <w:rsid w:val="00DE6034"/>
    <w:rsid w:val="00DE6315"/>
    <w:rsid w:val="00DE6A67"/>
    <w:rsid w:val="00DE6DD7"/>
    <w:rsid w:val="00DF0052"/>
    <w:rsid w:val="00DF05CD"/>
    <w:rsid w:val="00DF0C49"/>
    <w:rsid w:val="00DF13A2"/>
    <w:rsid w:val="00DF1F25"/>
    <w:rsid w:val="00DF1FC0"/>
    <w:rsid w:val="00DF264A"/>
    <w:rsid w:val="00DF2F84"/>
    <w:rsid w:val="00DF31F4"/>
    <w:rsid w:val="00DF3CB7"/>
    <w:rsid w:val="00DF4EE8"/>
    <w:rsid w:val="00DF5297"/>
    <w:rsid w:val="00DF6004"/>
    <w:rsid w:val="00DF64B2"/>
    <w:rsid w:val="00DF677D"/>
    <w:rsid w:val="00DF67E6"/>
    <w:rsid w:val="00DF6D27"/>
    <w:rsid w:val="00DF7D34"/>
    <w:rsid w:val="00E000B1"/>
    <w:rsid w:val="00E008F7"/>
    <w:rsid w:val="00E0154C"/>
    <w:rsid w:val="00E02365"/>
    <w:rsid w:val="00E0273F"/>
    <w:rsid w:val="00E02B5A"/>
    <w:rsid w:val="00E02E02"/>
    <w:rsid w:val="00E02F59"/>
    <w:rsid w:val="00E039FC"/>
    <w:rsid w:val="00E03FF1"/>
    <w:rsid w:val="00E04048"/>
    <w:rsid w:val="00E04122"/>
    <w:rsid w:val="00E04134"/>
    <w:rsid w:val="00E0489A"/>
    <w:rsid w:val="00E04A53"/>
    <w:rsid w:val="00E04C0E"/>
    <w:rsid w:val="00E04F58"/>
    <w:rsid w:val="00E0547C"/>
    <w:rsid w:val="00E05D0D"/>
    <w:rsid w:val="00E05F2B"/>
    <w:rsid w:val="00E06782"/>
    <w:rsid w:val="00E07E20"/>
    <w:rsid w:val="00E10B35"/>
    <w:rsid w:val="00E114EB"/>
    <w:rsid w:val="00E1182A"/>
    <w:rsid w:val="00E11B08"/>
    <w:rsid w:val="00E11CAD"/>
    <w:rsid w:val="00E121B6"/>
    <w:rsid w:val="00E13625"/>
    <w:rsid w:val="00E13852"/>
    <w:rsid w:val="00E13976"/>
    <w:rsid w:val="00E14101"/>
    <w:rsid w:val="00E1493C"/>
    <w:rsid w:val="00E149C8"/>
    <w:rsid w:val="00E149F2"/>
    <w:rsid w:val="00E15274"/>
    <w:rsid w:val="00E15CEF"/>
    <w:rsid w:val="00E17049"/>
    <w:rsid w:val="00E174F4"/>
    <w:rsid w:val="00E174FD"/>
    <w:rsid w:val="00E1759F"/>
    <w:rsid w:val="00E201A7"/>
    <w:rsid w:val="00E214CB"/>
    <w:rsid w:val="00E2195A"/>
    <w:rsid w:val="00E22024"/>
    <w:rsid w:val="00E221E3"/>
    <w:rsid w:val="00E22260"/>
    <w:rsid w:val="00E2297F"/>
    <w:rsid w:val="00E24832"/>
    <w:rsid w:val="00E25791"/>
    <w:rsid w:val="00E26035"/>
    <w:rsid w:val="00E26E21"/>
    <w:rsid w:val="00E26FA4"/>
    <w:rsid w:val="00E2733C"/>
    <w:rsid w:val="00E3037C"/>
    <w:rsid w:val="00E310D8"/>
    <w:rsid w:val="00E31526"/>
    <w:rsid w:val="00E323EB"/>
    <w:rsid w:val="00E337F2"/>
    <w:rsid w:val="00E338A4"/>
    <w:rsid w:val="00E33941"/>
    <w:rsid w:val="00E33BAF"/>
    <w:rsid w:val="00E34870"/>
    <w:rsid w:val="00E34F94"/>
    <w:rsid w:val="00E35086"/>
    <w:rsid w:val="00E354A6"/>
    <w:rsid w:val="00E358CE"/>
    <w:rsid w:val="00E35AC7"/>
    <w:rsid w:val="00E361E6"/>
    <w:rsid w:val="00E36324"/>
    <w:rsid w:val="00E363FB"/>
    <w:rsid w:val="00E3704E"/>
    <w:rsid w:val="00E3715F"/>
    <w:rsid w:val="00E375AE"/>
    <w:rsid w:val="00E37C4E"/>
    <w:rsid w:val="00E4043C"/>
    <w:rsid w:val="00E40524"/>
    <w:rsid w:val="00E405ED"/>
    <w:rsid w:val="00E40C74"/>
    <w:rsid w:val="00E41B7A"/>
    <w:rsid w:val="00E42B1C"/>
    <w:rsid w:val="00E438D3"/>
    <w:rsid w:val="00E43929"/>
    <w:rsid w:val="00E43DB8"/>
    <w:rsid w:val="00E44A51"/>
    <w:rsid w:val="00E44B20"/>
    <w:rsid w:val="00E44B7B"/>
    <w:rsid w:val="00E45A4D"/>
    <w:rsid w:val="00E4637F"/>
    <w:rsid w:val="00E500A6"/>
    <w:rsid w:val="00E50899"/>
    <w:rsid w:val="00E512CE"/>
    <w:rsid w:val="00E5265A"/>
    <w:rsid w:val="00E52E32"/>
    <w:rsid w:val="00E53DF7"/>
    <w:rsid w:val="00E543CD"/>
    <w:rsid w:val="00E55462"/>
    <w:rsid w:val="00E567EA"/>
    <w:rsid w:val="00E57279"/>
    <w:rsid w:val="00E573A9"/>
    <w:rsid w:val="00E57482"/>
    <w:rsid w:val="00E6037F"/>
    <w:rsid w:val="00E60A7E"/>
    <w:rsid w:val="00E627BB"/>
    <w:rsid w:val="00E630FF"/>
    <w:rsid w:val="00E632E8"/>
    <w:rsid w:val="00E6358C"/>
    <w:rsid w:val="00E63FB3"/>
    <w:rsid w:val="00E64228"/>
    <w:rsid w:val="00E645E3"/>
    <w:rsid w:val="00E65652"/>
    <w:rsid w:val="00E656AF"/>
    <w:rsid w:val="00E65878"/>
    <w:rsid w:val="00E65C5B"/>
    <w:rsid w:val="00E6643A"/>
    <w:rsid w:val="00E66692"/>
    <w:rsid w:val="00E666A1"/>
    <w:rsid w:val="00E668E2"/>
    <w:rsid w:val="00E66CD2"/>
    <w:rsid w:val="00E66F32"/>
    <w:rsid w:val="00E6705B"/>
    <w:rsid w:val="00E67ADF"/>
    <w:rsid w:val="00E67DE5"/>
    <w:rsid w:val="00E67F3C"/>
    <w:rsid w:val="00E67F62"/>
    <w:rsid w:val="00E70B34"/>
    <w:rsid w:val="00E70B9F"/>
    <w:rsid w:val="00E70BE5"/>
    <w:rsid w:val="00E7176F"/>
    <w:rsid w:val="00E71997"/>
    <w:rsid w:val="00E71E7E"/>
    <w:rsid w:val="00E71F95"/>
    <w:rsid w:val="00E7266F"/>
    <w:rsid w:val="00E72914"/>
    <w:rsid w:val="00E73076"/>
    <w:rsid w:val="00E730ED"/>
    <w:rsid w:val="00E748D8"/>
    <w:rsid w:val="00E7503B"/>
    <w:rsid w:val="00E75147"/>
    <w:rsid w:val="00E7571F"/>
    <w:rsid w:val="00E759FC"/>
    <w:rsid w:val="00E7619D"/>
    <w:rsid w:val="00E762FB"/>
    <w:rsid w:val="00E767AD"/>
    <w:rsid w:val="00E80595"/>
    <w:rsid w:val="00E807DC"/>
    <w:rsid w:val="00E80A1C"/>
    <w:rsid w:val="00E80B82"/>
    <w:rsid w:val="00E81607"/>
    <w:rsid w:val="00E81829"/>
    <w:rsid w:val="00E81905"/>
    <w:rsid w:val="00E81A52"/>
    <w:rsid w:val="00E821B8"/>
    <w:rsid w:val="00E823C2"/>
    <w:rsid w:val="00E8252A"/>
    <w:rsid w:val="00E83188"/>
    <w:rsid w:val="00E83932"/>
    <w:rsid w:val="00E84440"/>
    <w:rsid w:val="00E845D2"/>
    <w:rsid w:val="00E84959"/>
    <w:rsid w:val="00E8566E"/>
    <w:rsid w:val="00E85A32"/>
    <w:rsid w:val="00E85FB0"/>
    <w:rsid w:val="00E86226"/>
    <w:rsid w:val="00E86351"/>
    <w:rsid w:val="00E863EA"/>
    <w:rsid w:val="00E867A1"/>
    <w:rsid w:val="00E86DBB"/>
    <w:rsid w:val="00E87226"/>
    <w:rsid w:val="00E87CFC"/>
    <w:rsid w:val="00E90711"/>
    <w:rsid w:val="00E90F5F"/>
    <w:rsid w:val="00E91201"/>
    <w:rsid w:val="00E91356"/>
    <w:rsid w:val="00E91448"/>
    <w:rsid w:val="00E9220A"/>
    <w:rsid w:val="00E924C2"/>
    <w:rsid w:val="00E9347B"/>
    <w:rsid w:val="00E93FBF"/>
    <w:rsid w:val="00E9430B"/>
    <w:rsid w:val="00E94A8B"/>
    <w:rsid w:val="00E95794"/>
    <w:rsid w:val="00E95C02"/>
    <w:rsid w:val="00E960DD"/>
    <w:rsid w:val="00E968B7"/>
    <w:rsid w:val="00E96D12"/>
    <w:rsid w:val="00E97A66"/>
    <w:rsid w:val="00E97C88"/>
    <w:rsid w:val="00EA0BAA"/>
    <w:rsid w:val="00EA11C3"/>
    <w:rsid w:val="00EA122B"/>
    <w:rsid w:val="00EA1A2B"/>
    <w:rsid w:val="00EA1B74"/>
    <w:rsid w:val="00EA222D"/>
    <w:rsid w:val="00EA22F2"/>
    <w:rsid w:val="00EA2732"/>
    <w:rsid w:val="00EA28A8"/>
    <w:rsid w:val="00EA34F6"/>
    <w:rsid w:val="00EA3997"/>
    <w:rsid w:val="00EA3FB3"/>
    <w:rsid w:val="00EA41D7"/>
    <w:rsid w:val="00EA43FB"/>
    <w:rsid w:val="00EA495C"/>
    <w:rsid w:val="00EA497B"/>
    <w:rsid w:val="00EA4C56"/>
    <w:rsid w:val="00EA584B"/>
    <w:rsid w:val="00EA5C2F"/>
    <w:rsid w:val="00EA5DD7"/>
    <w:rsid w:val="00EA6358"/>
    <w:rsid w:val="00EA642C"/>
    <w:rsid w:val="00EA6FE7"/>
    <w:rsid w:val="00EA7586"/>
    <w:rsid w:val="00EA7A3B"/>
    <w:rsid w:val="00EA7D02"/>
    <w:rsid w:val="00EB00E1"/>
    <w:rsid w:val="00EB1033"/>
    <w:rsid w:val="00EB1BD3"/>
    <w:rsid w:val="00EB31CE"/>
    <w:rsid w:val="00EB36DA"/>
    <w:rsid w:val="00EB36FA"/>
    <w:rsid w:val="00EB42B8"/>
    <w:rsid w:val="00EB44A2"/>
    <w:rsid w:val="00EB4E4C"/>
    <w:rsid w:val="00EB60EC"/>
    <w:rsid w:val="00EB7405"/>
    <w:rsid w:val="00EB7EDF"/>
    <w:rsid w:val="00EC076C"/>
    <w:rsid w:val="00EC1922"/>
    <w:rsid w:val="00EC1CB4"/>
    <w:rsid w:val="00EC22D0"/>
    <w:rsid w:val="00EC30E9"/>
    <w:rsid w:val="00EC35D1"/>
    <w:rsid w:val="00EC3864"/>
    <w:rsid w:val="00EC497B"/>
    <w:rsid w:val="00EC4C93"/>
    <w:rsid w:val="00EC5C4C"/>
    <w:rsid w:val="00EC6F63"/>
    <w:rsid w:val="00EC7485"/>
    <w:rsid w:val="00EC7902"/>
    <w:rsid w:val="00EC7999"/>
    <w:rsid w:val="00ED0632"/>
    <w:rsid w:val="00ED1894"/>
    <w:rsid w:val="00ED29E6"/>
    <w:rsid w:val="00ED32AF"/>
    <w:rsid w:val="00ED32D3"/>
    <w:rsid w:val="00ED419B"/>
    <w:rsid w:val="00ED432F"/>
    <w:rsid w:val="00ED44E7"/>
    <w:rsid w:val="00ED4CB1"/>
    <w:rsid w:val="00ED6BA3"/>
    <w:rsid w:val="00ED6DB1"/>
    <w:rsid w:val="00ED719B"/>
    <w:rsid w:val="00EE0506"/>
    <w:rsid w:val="00EE0BB4"/>
    <w:rsid w:val="00EE1732"/>
    <w:rsid w:val="00EE2327"/>
    <w:rsid w:val="00EE2619"/>
    <w:rsid w:val="00EE355F"/>
    <w:rsid w:val="00EE3D11"/>
    <w:rsid w:val="00EE4A6B"/>
    <w:rsid w:val="00EE5AD4"/>
    <w:rsid w:val="00EE6508"/>
    <w:rsid w:val="00EE655C"/>
    <w:rsid w:val="00EE6D6E"/>
    <w:rsid w:val="00EE70D9"/>
    <w:rsid w:val="00EE7161"/>
    <w:rsid w:val="00EE722D"/>
    <w:rsid w:val="00EE752F"/>
    <w:rsid w:val="00EE7CEE"/>
    <w:rsid w:val="00EF0DD5"/>
    <w:rsid w:val="00EF13AA"/>
    <w:rsid w:val="00EF28A8"/>
    <w:rsid w:val="00EF2C8F"/>
    <w:rsid w:val="00EF384D"/>
    <w:rsid w:val="00EF3ACF"/>
    <w:rsid w:val="00EF4535"/>
    <w:rsid w:val="00EF5051"/>
    <w:rsid w:val="00EF538C"/>
    <w:rsid w:val="00EF565D"/>
    <w:rsid w:val="00EF5F28"/>
    <w:rsid w:val="00EF6916"/>
    <w:rsid w:val="00EF70A9"/>
    <w:rsid w:val="00F01214"/>
    <w:rsid w:val="00F018D7"/>
    <w:rsid w:val="00F027D8"/>
    <w:rsid w:val="00F045F1"/>
    <w:rsid w:val="00F04E58"/>
    <w:rsid w:val="00F05465"/>
    <w:rsid w:val="00F06231"/>
    <w:rsid w:val="00F068D7"/>
    <w:rsid w:val="00F07753"/>
    <w:rsid w:val="00F1030E"/>
    <w:rsid w:val="00F10CA3"/>
    <w:rsid w:val="00F11B08"/>
    <w:rsid w:val="00F11CD9"/>
    <w:rsid w:val="00F12B42"/>
    <w:rsid w:val="00F140D8"/>
    <w:rsid w:val="00F14163"/>
    <w:rsid w:val="00F14A0A"/>
    <w:rsid w:val="00F153A0"/>
    <w:rsid w:val="00F15D83"/>
    <w:rsid w:val="00F169B1"/>
    <w:rsid w:val="00F20AE1"/>
    <w:rsid w:val="00F213C4"/>
    <w:rsid w:val="00F21A79"/>
    <w:rsid w:val="00F21EE8"/>
    <w:rsid w:val="00F21FD2"/>
    <w:rsid w:val="00F232DD"/>
    <w:rsid w:val="00F23BD6"/>
    <w:rsid w:val="00F2400E"/>
    <w:rsid w:val="00F241D0"/>
    <w:rsid w:val="00F24A2D"/>
    <w:rsid w:val="00F24B2C"/>
    <w:rsid w:val="00F24C19"/>
    <w:rsid w:val="00F24E4D"/>
    <w:rsid w:val="00F25093"/>
    <w:rsid w:val="00F25D1E"/>
    <w:rsid w:val="00F25DF1"/>
    <w:rsid w:val="00F271EA"/>
    <w:rsid w:val="00F2744D"/>
    <w:rsid w:val="00F2746E"/>
    <w:rsid w:val="00F278CB"/>
    <w:rsid w:val="00F27D05"/>
    <w:rsid w:val="00F3166B"/>
    <w:rsid w:val="00F31C55"/>
    <w:rsid w:val="00F339BA"/>
    <w:rsid w:val="00F33AF4"/>
    <w:rsid w:val="00F3429B"/>
    <w:rsid w:val="00F347DC"/>
    <w:rsid w:val="00F34F06"/>
    <w:rsid w:val="00F351A4"/>
    <w:rsid w:val="00F357BB"/>
    <w:rsid w:val="00F35F7D"/>
    <w:rsid w:val="00F36083"/>
    <w:rsid w:val="00F36362"/>
    <w:rsid w:val="00F37F72"/>
    <w:rsid w:val="00F4058A"/>
    <w:rsid w:val="00F411AE"/>
    <w:rsid w:val="00F4138A"/>
    <w:rsid w:val="00F41B61"/>
    <w:rsid w:val="00F41EE1"/>
    <w:rsid w:val="00F42104"/>
    <w:rsid w:val="00F42EFA"/>
    <w:rsid w:val="00F4309E"/>
    <w:rsid w:val="00F43D3B"/>
    <w:rsid w:val="00F43F2F"/>
    <w:rsid w:val="00F442F9"/>
    <w:rsid w:val="00F44BD1"/>
    <w:rsid w:val="00F45F6E"/>
    <w:rsid w:val="00F4607F"/>
    <w:rsid w:val="00F46D07"/>
    <w:rsid w:val="00F47CE6"/>
    <w:rsid w:val="00F50113"/>
    <w:rsid w:val="00F50C8C"/>
    <w:rsid w:val="00F51134"/>
    <w:rsid w:val="00F5187E"/>
    <w:rsid w:val="00F525A7"/>
    <w:rsid w:val="00F53220"/>
    <w:rsid w:val="00F5397E"/>
    <w:rsid w:val="00F546BB"/>
    <w:rsid w:val="00F54BEB"/>
    <w:rsid w:val="00F54F3B"/>
    <w:rsid w:val="00F56020"/>
    <w:rsid w:val="00F60582"/>
    <w:rsid w:val="00F608B3"/>
    <w:rsid w:val="00F61E28"/>
    <w:rsid w:val="00F61ECA"/>
    <w:rsid w:val="00F63033"/>
    <w:rsid w:val="00F64884"/>
    <w:rsid w:val="00F652DB"/>
    <w:rsid w:val="00F654E9"/>
    <w:rsid w:val="00F65521"/>
    <w:rsid w:val="00F66148"/>
    <w:rsid w:val="00F66392"/>
    <w:rsid w:val="00F6666A"/>
    <w:rsid w:val="00F67F4A"/>
    <w:rsid w:val="00F70294"/>
    <w:rsid w:val="00F70A68"/>
    <w:rsid w:val="00F70F63"/>
    <w:rsid w:val="00F71637"/>
    <w:rsid w:val="00F71C7A"/>
    <w:rsid w:val="00F72500"/>
    <w:rsid w:val="00F729C4"/>
    <w:rsid w:val="00F7373B"/>
    <w:rsid w:val="00F7427C"/>
    <w:rsid w:val="00F7459D"/>
    <w:rsid w:val="00F7470C"/>
    <w:rsid w:val="00F74DE2"/>
    <w:rsid w:val="00F74ECA"/>
    <w:rsid w:val="00F75CF7"/>
    <w:rsid w:val="00F76DC3"/>
    <w:rsid w:val="00F76EAD"/>
    <w:rsid w:val="00F772A8"/>
    <w:rsid w:val="00F77AAC"/>
    <w:rsid w:val="00F77B9E"/>
    <w:rsid w:val="00F803F7"/>
    <w:rsid w:val="00F8041C"/>
    <w:rsid w:val="00F80A61"/>
    <w:rsid w:val="00F80C4B"/>
    <w:rsid w:val="00F8169C"/>
    <w:rsid w:val="00F82214"/>
    <w:rsid w:val="00F823FF"/>
    <w:rsid w:val="00F825C3"/>
    <w:rsid w:val="00F82F62"/>
    <w:rsid w:val="00F835BD"/>
    <w:rsid w:val="00F8384D"/>
    <w:rsid w:val="00F842D6"/>
    <w:rsid w:val="00F84433"/>
    <w:rsid w:val="00F864A5"/>
    <w:rsid w:val="00F86D20"/>
    <w:rsid w:val="00F8706E"/>
    <w:rsid w:val="00F8750C"/>
    <w:rsid w:val="00F879A4"/>
    <w:rsid w:val="00F87EA2"/>
    <w:rsid w:val="00F90528"/>
    <w:rsid w:val="00F906E9"/>
    <w:rsid w:val="00F90849"/>
    <w:rsid w:val="00F90CC7"/>
    <w:rsid w:val="00F911B2"/>
    <w:rsid w:val="00F9166A"/>
    <w:rsid w:val="00F91AE7"/>
    <w:rsid w:val="00F92532"/>
    <w:rsid w:val="00F93AE4"/>
    <w:rsid w:val="00F93B7D"/>
    <w:rsid w:val="00F93DFA"/>
    <w:rsid w:val="00F948F9"/>
    <w:rsid w:val="00F95701"/>
    <w:rsid w:val="00F96382"/>
    <w:rsid w:val="00F9742C"/>
    <w:rsid w:val="00F97679"/>
    <w:rsid w:val="00F97D39"/>
    <w:rsid w:val="00FA07D2"/>
    <w:rsid w:val="00FA0D9F"/>
    <w:rsid w:val="00FA1752"/>
    <w:rsid w:val="00FA1FB2"/>
    <w:rsid w:val="00FA2E3D"/>
    <w:rsid w:val="00FA30C8"/>
    <w:rsid w:val="00FA321A"/>
    <w:rsid w:val="00FA3896"/>
    <w:rsid w:val="00FA4DC4"/>
    <w:rsid w:val="00FA5168"/>
    <w:rsid w:val="00FA54D8"/>
    <w:rsid w:val="00FA6A69"/>
    <w:rsid w:val="00FA735C"/>
    <w:rsid w:val="00FA755D"/>
    <w:rsid w:val="00FA75E8"/>
    <w:rsid w:val="00FB01CA"/>
    <w:rsid w:val="00FB0222"/>
    <w:rsid w:val="00FB05B6"/>
    <w:rsid w:val="00FB0762"/>
    <w:rsid w:val="00FB095B"/>
    <w:rsid w:val="00FB3034"/>
    <w:rsid w:val="00FB3CD9"/>
    <w:rsid w:val="00FB4D07"/>
    <w:rsid w:val="00FB5A87"/>
    <w:rsid w:val="00FB5F79"/>
    <w:rsid w:val="00FB6452"/>
    <w:rsid w:val="00FB6992"/>
    <w:rsid w:val="00FB7D42"/>
    <w:rsid w:val="00FB7EA8"/>
    <w:rsid w:val="00FC04D1"/>
    <w:rsid w:val="00FC0538"/>
    <w:rsid w:val="00FC057C"/>
    <w:rsid w:val="00FC0E98"/>
    <w:rsid w:val="00FC0EE8"/>
    <w:rsid w:val="00FC168B"/>
    <w:rsid w:val="00FC2BBA"/>
    <w:rsid w:val="00FC3B5C"/>
    <w:rsid w:val="00FC3C5A"/>
    <w:rsid w:val="00FC47A3"/>
    <w:rsid w:val="00FC4FEA"/>
    <w:rsid w:val="00FC5604"/>
    <w:rsid w:val="00FC5C3F"/>
    <w:rsid w:val="00FC5F74"/>
    <w:rsid w:val="00FC73D9"/>
    <w:rsid w:val="00FC7595"/>
    <w:rsid w:val="00FC7F02"/>
    <w:rsid w:val="00FD00A1"/>
    <w:rsid w:val="00FD036F"/>
    <w:rsid w:val="00FD150B"/>
    <w:rsid w:val="00FD24E0"/>
    <w:rsid w:val="00FD2CB1"/>
    <w:rsid w:val="00FD343B"/>
    <w:rsid w:val="00FD3B40"/>
    <w:rsid w:val="00FD3C11"/>
    <w:rsid w:val="00FD3C9A"/>
    <w:rsid w:val="00FD3F5C"/>
    <w:rsid w:val="00FD456F"/>
    <w:rsid w:val="00FD4821"/>
    <w:rsid w:val="00FD4C59"/>
    <w:rsid w:val="00FD5079"/>
    <w:rsid w:val="00FD54EF"/>
    <w:rsid w:val="00FD58C9"/>
    <w:rsid w:val="00FD5F28"/>
    <w:rsid w:val="00FD6CF0"/>
    <w:rsid w:val="00FD7C25"/>
    <w:rsid w:val="00FE04F5"/>
    <w:rsid w:val="00FE0684"/>
    <w:rsid w:val="00FE1303"/>
    <w:rsid w:val="00FE1C8C"/>
    <w:rsid w:val="00FE2BA2"/>
    <w:rsid w:val="00FE2BB8"/>
    <w:rsid w:val="00FE3005"/>
    <w:rsid w:val="00FE3B32"/>
    <w:rsid w:val="00FE3B64"/>
    <w:rsid w:val="00FE4148"/>
    <w:rsid w:val="00FE5150"/>
    <w:rsid w:val="00FE553B"/>
    <w:rsid w:val="00FE5685"/>
    <w:rsid w:val="00FE5C87"/>
    <w:rsid w:val="00FE612F"/>
    <w:rsid w:val="00FE62C4"/>
    <w:rsid w:val="00FE711D"/>
    <w:rsid w:val="00FE7444"/>
    <w:rsid w:val="00FE7D78"/>
    <w:rsid w:val="00FF1761"/>
    <w:rsid w:val="00FF20BE"/>
    <w:rsid w:val="00FF2B77"/>
    <w:rsid w:val="00FF2EF1"/>
    <w:rsid w:val="00FF3CC4"/>
    <w:rsid w:val="00FF3DB3"/>
    <w:rsid w:val="00FF5261"/>
    <w:rsid w:val="00FF5295"/>
    <w:rsid w:val="00FF53BC"/>
    <w:rsid w:val="00FF5B2D"/>
    <w:rsid w:val="00FF64AA"/>
    <w:rsid w:val="00FF7019"/>
    <w:rsid w:val="00FF7305"/>
    <w:rsid w:val="00FF7946"/>
    <w:rsid w:val="00FF7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2E815"/>
  <w15:chartTrackingRefBased/>
  <w15:docId w15:val="{38F0CB13-5AFA-4F0F-A4A1-C80C4535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52E"/>
    <w:pPr>
      <w:spacing w:line="256" w:lineRule="auto"/>
    </w:pPr>
  </w:style>
  <w:style w:type="paragraph" w:styleId="Heading1">
    <w:name w:val="heading 1"/>
    <w:basedOn w:val="Normal"/>
    <w:next w:val="Normal"/>
    <w:link w:val="Heading1Char"/>
    <w:uiPriority w:val="9"/>
    <w:qFormat/>
    <w:rsid w:val="00C721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452E"/>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452E"/>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217E"/>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C7217E"/>
    <w:pPr>
      <w:keepNext/>
      <w:keepLines/>
      <w:spacing w:before="40" w:after="0" w:line="27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2452E"/>
    <w:pPr>
      <w:spacing w:line="240" w:lineRule="auto"/>
    </w:pPr>
    <w:rPr>
      <w:sz w:val="20"/>
      <w:szCs w:val="20"/>
    </w:rPr>
  </w:style>
  <w:style w:type="character" w:customStyle="1" w:styleId="CommentTextChar">
    <w:name w:val="Comment Text Char"/>
    <w:basedOn w:val="DefaultParagraphFont"/>
    <w:link w:val="CommentText"/>
    <w:uiPriority w:val="99"/>
    <w:rsid w:val="00D2452E"/>
    <w:rPr>
      <w:sz w:val="20"/>
      <w:szCs w:val="20"/>
    </w:rPr>
  </w:style>
  <w:style w:type="paragraph" w:styleId="NoSpacing">
    <w:name w:val="No Spacing"/>
    <w:uiPriority w:val="1"/>
    <w:qFormat/>
    <w:rsid w:val="00D2452E"/>
    <w:pPr>
      <w:spacing w:after="0" w:line="240" w:lineRule="auto"/>
    </w:pPr>
  </w:style>
  <w:style w:type="character" w:styleId="CommentReference">
    <w:name w:val="annotation reference"/>
    <w:basedOn w:val="DefaultParagraphFont"/>
    <w:uiPriority w:val="99"/>
    <w:semiHidden/>
    <w:unhideWhenUsed/>
    <w:rsid w:val="00D2452E"/>
    <w:rPr>
      <w:sz w:val="16"/>
      <w:szCs w:val="16"/>
    </w:rPr>
  </w:style>
  <w:style w:type="character" w:customStyle="1" w:styleId="Heading2Char">
    <w:name w:val="Heading 2 Char"/>
    <w:basedOn w:val="DefaultParagraphFont"/>
    <w:link w:val="Heading2"/>
    <w:uiPriority w:val="9"/>
    <w:rsid w:val="00D245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452E"/>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7217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C7217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C7217E"/>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C7217E"/>
    <w:rPr>
      <w:color w:val="0563C1" w:themeColor="hyperlink"/>
      <w:u w:val="single"/>
    </w:rPr>
  </w:style>
  <w:style w:type="paragraph" w:styleId="ListParagraph">
    <w:name w:val="List Paragraph"/>
    <w:basedOn w:val="Normal"/>
    <w:uiPriority w:val="34"/>
    <w:qFormat/>
    <w:rsid w:val="00C7217E"/>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C7217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uiPriority w:val="9"/>
    <w:unhideWhenUsed/>
    <w:qFormat/>
    <w:rsid w:val="00C7217E"/>
    <w:pPr>
      <w:keepNext/>
      <w:keepLines/>
      <w:spacing w:before="40" w:after="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C7217E"/>
    <w:pPr>
      <w:keepNext/>
      <w:keepLines/>
      <w:spacing w:before="40" w:after="0" w:line="259" w:lineRule="auto"/>
      <w:outlineLvl w:val="2"/>
    </w:pPr>
    <w:rPr>
      <w:rFonts w:ascii="Calibri Light" w:eastAsia="Times New Roman" w:hAnsi="Calibri Light" w:cs="Times New Roman"/>
      <w:color w:val="1F4D78"/>
      <w:sz w:val="24"/>
      <w:szCs w:val="24"/>
    </w:rPr>
  </w:style>
  <w:style w:type="character" w:customStyle="1" w:styleId="Hyperlink1">
    <w:name w:val="Hyperlink1"/>
    <w:basedOn w:val="DefaultParagraphFont"/>
    <w:uiPriority w:val="99"/>
    <w:unhideWhenUsed/>
    <w:rsid w:val="00C7217E"/>
    <w:rPr>
      <w:color w:val="0563C1"/>
      <w:u w:val="single"/>
    </w:rPr>
  </w:style>
  <w:style w:type="character" w:customStyle="1" w:styleId="FollowedHyperlink1">
    <w:name w:val="FollowedHyperlink1"/>
    <w:basedOn w:val="DefaultParagraphFont"/>
    <w:uiPriority w:val="99"/>
    <w:semiHidden/>
    <w:unhideWhenUsed/>
    <w:rsid w:val="00C7217E"/>
    <w:rPr>
      <w:color w:val="954F72"/>
      <w:u w:val="single"/>
    </w:rPr>
  </w:style>
  <w:style w:type="table" w:styleId="TableGrid">
    <w:name w:val="Table Grid"/>
    <w:basedOn w:val="TableNormal"/>
    <w:uiPriority w:val="39"/>
    <w:rsid w:val="00C721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C7217E"/>
    <w:pPr>
      <w:spacing w:after="0" w:line="240" w:lineRule="auto"/>
      <w:contextualSpacing/>
    </w:pPr>
    <w:rPr>
      <w:rFonts w:ascii="Calibri Light" w:eastAsia="Times New Roman" w:hAnsi="Calibri Light" w:cs="Times New Roman"/>
      <w:spacing w:val="-10"/>
      <w:kern w:val="28"/>
      <w:sz w:val="32"/>
      <w:szCs w:val="56"/>
    </w:rPr>
  </w:style>
  <w:style w:type="character" w:customStyle="1" w:styleId="TitleChar">
    <w:name w:val="Title Char"/>
    <w:basedOn w:val="DefaultParagraphFont"/>
    <w:link w:val="Title"/>
    <w:uiPriority w:val="10"/>
    <w:rsid w:val="00C7217E"/>
    <w:rPr>
      <w:rFonts w:ascii="Calibri Light" w:eastAsia="Times New Roman" w:hAnsi="Calibri Light" w:cs="Times New Roman"/>
      <w:spacing w:val="-10"/>
      <w:kern w:val="28"/>
      <w:sz w:val="32"/>
      <w:szCs w:val="56"/>
    </w:rPr>
  </w:style>
  <w:style w:type="character" w:customStyle="1" w:styleId="Heading1Char1">
    <w:name w:val="Heading 1 Char1"/>
    <w:basedOn w:val="DefaultParagraphFont"/>
    <w:uiPriority w:val="9"/>
    <w:rsid w:val="00C7217E"/>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C7217E"/>
    <w:pPr>
      <w:spacing w:line="259" w:lineRule="auto"/>
      <w:outlineLvl w:val="9"/>
    </w:pPr>
  </w:style>
  <w:style w:type="paragraph" w:styleId="TOC1">
    <w:name w:val="toc 1"/>
    <w:basedOn w:val="Normal"/>
    <w:next w:val="Normal"/>
    <w:autoRedefine/>
    <w:uiPriority w:val="39"/>
    <w:unhideWhenUsed/>
    <w:rsid w:val="00C7217E"/>
    <w:pPr>
      <w:tabs>
        <w:tab w:val="right" w:leader="dot" w:pos="9016"/>
      </w:tabs>
      <w:spacing w:after="100" w:line="259" w:lineRule="auto"/>
    </w:pPr>
    <w:rPr>
      <w:rFonts w:eastAsia="Calibri"/>
    </w:rPr>
  </w:style>
  <w:style w:type="paragraph" w:styleId="TOC2">
    <w:name w:val="toc 2"/>
    <w:basedOn w:val="Normal"/>
    <w:next w:val="Normal"/>
    <w:autoRedefine/>
    <w:uiPriority w:val="39"/>
    <w:unhideWhenUsed/>
    <w:rsid w:val="00C7217E"/>
    <w:pPr>
      <w:tabs>
        <w:tab w:val="right" w:leader="dot" w:pos="9016"/>
      </w:tabs>
      <w:spacing w:after="100" w:line="259" w:lineRule="auto"/>
      <w:ind w:left="567"/>
    </w:pPr>
    <w:rPr>
      <w:rFonts w:eastAsia="Calibri"/>
    </w:rPr>
  </w:style>
  <w:style w:type="paragraph" w:styleId="TOC3">
    <w:name w:val="toc 3"/>
    <w:basedOn w:val="Normal"/>
    <w:next w:val="Normal"/>
    <w:autoRedefine/>
    <w:uiPriority w:val="39"/>
    <w:unhideWhenUsed/>
    <w:rsid w:val="00C7217E"/>
    <w:pPr>
      <w:tabs>
        <w:tab w:val="right" w:leader="dot" w:pos="9016"/>
      </w:tabs>
      <w:spacing w:after="100" w:line="259" w:lineRule="auto"/>
      <w:ind w:left="851"/>
    </w:pPr>
    <w:rPr>
      <w:rFonts w:eastAsia="Calibri"/>
    </w:rPr>
  </w:style>
  <w:style w:type="paragraph" w:styleId="BalloonText">
    <w:name w:val="Balloon Text"/>
    <w:basedOn w:val="Normal"/>
    <w:link w:val="BalloonTextChar"/>
    <w:uiPriority w:val="99"/>
    <w:semiHidden/>
    <w:unhideWhenUsed/>
    <w:rsid w:val="00C7217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7217E"/>
    <w:rPr>
      <w:rFonts w:ascii="Segoe UI" w:eastAsia="Calibri" w:hAnsi="Segoe UI" w:cs="Segoe UI"/>
      <w:sz w:val="18"/>
      <w:szCs w:val="18"/>
    </w:rPr>
  </w:style>
  <w:style w:type="character" w:styleId="Strong">
    <w:name w:val="Strong"/>
    <w:basedOn w:val="DefaultParagraphFont"/>
    <w:uiPriority w:val="22"/>
    <w:qFormat/>
    <w:rsid w:val="00C7217E"/>
    <w:rPr>
      <w:b/>
      <w:bCs/>
    </w:rPr>
  </w:style>
  <w:style w:type="character" w:customStyle="1" w:styleId="hidden1">
    <w:name w:val="hidden1"/>
    <w:basedOn w:val="DefaultParagraphFont"/>
    <w:rsid w:val="00C7217E"/>
  </w:style>
  <w:style w:type="paragraph" w:styleId="Header">
    <w:name w:val="header"/>
    <w:basedOn w:val="Normal"/>
    <w:link w:val="HeaderChar"/>
    <w:uiPriority w:val="99"/>
    <w:unhideWhenUsed/>
    <w:rsid w:val="00C7217E"/>
    <w:pPr>
      <w:tabs>
        <w:tab w:val="center" w:pos="4513"/>
        <w:tab w:val="right" w:pos="9026"/>
      </w:tabs>
      <w:spacing w:after="0" w:line="240" w:lineRule="auto"/>
    </w:pPr>
    <w:rPr>
      <w:rFonts w:eastAsia="Calibri"/>
    </w:rPr>
  </w:style>
  <w:style w:type="character" w:customStyle="1" w:styleId="HeaderChar">
    <w:name w:val="Header Char"/>
    <w:basedOn w:val="DefaultParagraphFont"/>
    <w:link w:val="Header"/>
    <w:uiPriority w:val="99"/>
    <w:rsid w:val="00C7217E"/>
    <w:rPr>
      <w:rFonts w:eastAsia="Calibri"/>
    </w:rPr>
  </w:style>
  <w:style w:type="paragraph" w:styleId="Footer">
    <w:name w:val="footer"/>
    <w:basedOn w:val="Normal"/>
    <w:link w:val="FooterChar"/>
    <w:uiPriority w:val="99"/>
    <w:unhideWhenUsed/>
    <w:rsid w:val="00C7217E"/>
    <w:pPr>
      <w:tabs>
        <w:tab w:val="center" w:pos="4513"/>
        <w:tab w:val="right" w:pos="9026"/>
      </w:tabs>
      <w:spacing w:after="0" w:line="240" w:lineRule="auto"/>
    </w:pPr>
    <w:rPr>
      <w:rFonts w:eastAsia="Calibri"/>
    </w:rPr>
  </w:style>
  <w:style w:type="character" w:customStyle="1" w:styleId="FooterChar">
    <w:name w:val="Footer Char"/>
    <w:basedOn w:val="DefaultParagraphFont"/>
    <w:link w:val="Footer"/>
    <w:uiPriority w:val="99"/>
    <w:rsid w:val="00C7217E"/>
    <w:rPr>
      <w:rFonts w:eastAsia="Calibri"/>
    </w:rPr>
  </w:style>
  <w:style w:type="character" w:customStyle="1" w:styleId="UnresolvedMention1">
    <w:name w:val="Unresolved Mention1"/>
    <w:basedOn w:val="DefaultParagraphFont"/>
    <w:uiPriority w:val="99"/>
    <w:semiHidden/>
    <w:unhideWhenUsed/>
    <w:rsid w:val="00C7217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7217E"/>
    <w:rPr>
      <w:rFonts w:eastAsia="Calibri"/>
      <w:b/>
      <w:bCs/>
    </w:rPr>
  </w:style>
  <w:style w:type="character" w:customStyle="1" w:styleId="CommentSubjectChar">
    <w:name w:val="Comment Subject Char"/>
    <w:basedOn w:val="CommentTextChar"/>
    <w:link w:val="CommentSubject"/>
    <w:uiPriority w:val="99"/>
    <w:semiHidden/>
    <w:rsid w:val="00C7217E"/>
    <w:rPr>
      <w:rFonts w:eastAsia="Calibri"/>
      <w:b/>
      <w:bCs/>
      <w:sz w:val="20"/>
      <w:szCs w:val="20"/>
    </w:rPr>
  </w:style>
  <w:style w:type="character" w:styleId="FollowedHyperlink">
    <w:name w:val="FollowedHyperlink"/>
    <w:basedOn w:val="DefaultParagraphFont"/>
    <w:uiPriority w:val="99"/>
    <w:semiHidden/>
    <w:unhideWhenUsed/>
    <w:rsid w:val="00C7217E"/>
    <w:rPr>
      <w:color w:val="954F72" w:themeColor="followedHyperlink"/>
      <w:u w:val="single"/>
    </w:rPr>
  </w:style>
  <w:style w:type="paragraph" w:styleId="Title">
    <w:name w:val="Title"/>
    <w:basedOn w:val="Normal"/>
    <w:next w:val="Normal"/>
    <w:link w:val="TitleChar"/>
    <w:uiPriority w:val="10"/>
    <w:qFormat/>
    <w:rsid w:val="00C7217E"/>
    <w:pPr>
      <w:pBdr>
        <w:bottom w:val="single" w:sz="8" w:space="4" w:color="4472C4" w:themeColor="accent1"/>
      </w:pBdr>
      <w:spacing w:after="300" w:line="240" w:lineRule="auto"/>
      <w:contextualSpacing/>
    </w:pPr>
    <w:rPr>
      <w:rFonts w:ascii="Calibri Light" w:eastAsia="Times New Roman" w:hAnsi="Calibri Light" w:cs="Times New Roman"/>
      <w:spacing w:val="-10"/>
      <w:kern w:val="28"/>
      <w:sz w:val="32"/>
      <w:szCs w:val="56"/>
    </w:rPr>
  </w:style>
  <w:style w:type="character" w:customStyle="1" w:styleId="TitleChar1">
    <w:name w:val="Title Char1"/>
    <w:basedOn w:val="DefaultParagraphFont"/>
    <w:uiPriority w:val="10"/>
    <w:rsid w:val="00C7217E"/>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semiHidden/>
    <w:rsid w:val="00C7217E"/>
    <w:rPr>
      <w:rFonts w:asciiTheme="majorHAnsi" w:eastAsiaTheme="majorEastAsia" w:hAnsiTheme="majorHAnsi" w:cstheme="majorBidi"/>
      <w:b/>
      <w:bCs/>
      <w:color w:val="4472C4" w:themeColor="accent1"/>
      <w:sz w:val="26"/>
      <w:szCs w:val="26"/>
    </w:rPr>
  </w:style>
  <w:style w:type="character" w:customStyle="1" w:styleId="Heading3Char1">
    <w:name w:val="Heading 3 Char1"/>
    <w:basedOn w:val="DefaultParagraphFont"/>
    <w:uiPriority w:val="9"/>
    <w:semiHidden/>
    <w:rsid w:val="00C7217E"/>
    <w:rPr>
      <w:rFonts w:asciiTheme="majorHAnsi" w:eastAsiaTheme="majorEastAsia" w:hAnsiTheme="majorHAnsi" w:cstheme="majorBidi"/>
      <w:b/>
      <w:bCs/>
      <w:color w:val="4472C4" w:themeColor="accent1"/>
    </w:rPr>
  </w:style>
  <w:style w:type="paragraph" w:styleId="DocumentMap">
    <w:name w:val="Document Map"/>
    <w:basedOn w:val="Normal"/>
    <w:link w:val="DocumentMapChar"/>
    <w:uiPriority w:val="99"/>
    <w:semiHidden/>
    <w:unhideWhenUsed/>
    <w:rsid w:val="00C7217E"/>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C7217E"/>
    <w:rPr>
      <w:rFonts w:ascii="Tahoma" w:eastAsiaTheme="minorEastAsia" w:hAnsi="Tahoma" w:cs="Tahoma"/>
      <w:sz w:val="16"/>
      <w:szCs w:val="16"/>
    </w:rPr>
  </w:style>
  <w:style w:type="paragraph" w:styleId="NormalWeb">
    <w:name w:val="Normal (Web)"/>
    <w:basedOn w:val="Normal"/>
    <w:uiPriority w:val="99"/>
    <w:unhideWhenUsed/>
    <w:rsid w:val="00C7217E"/>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7217E"/>
    <w:pPr>
      <w:spacing w:after="0" w:line="240" w:lineRule="auto"/>
    </w:pPr>
    <w:rPr>
      <w:rFonts w:eastAsiaTheme="minorEastAsia"/>
      <w:lang w:val="en-US"/>
    </w:rPr>
  </w:style>
  <w:style w:type="paragraph" w:customStyle="1" w:styleId="EndNoteBibliographyTitle">
    <w:name w:val="EndNote Bibliography Title"/>
    <w:basedOn w:val="Normal"/>
    <w:link w:val="EndNoteBibliographyTitleChar"/>
    <w:rsid w:val="00C7217E"/>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7217E"/>
    <w:rPr>
      <w:rFonts w:ascii="Calibri" w:hAnsi="Calibri" w:cs="Calibri"/>
      <w:noProof/>
    </w:rPr>
  </w:style>
  <w:style w:type="paragraph" w:customStyle="1" w:styleId="EndNoteBibliography">
    <w:name w:val="EndNote Bibliography"/>
    <w:basedOn w:val="Normal"/>
    <w:link w:val="EndNoteBibliographyChar"/>
    <w:rsid w:val="00C7217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7217E"/>
    <w:rPr>
      <w:rFonts w:ascii="Calibri" w:hAnsi="Calibri" w:cs="Calibri"/>
      <w:noProof/>
    </w:rPr>
  </w:style>
  <w:style w:type="table" w:customStyle="1" w:styleId="TableGrid1">
    <w:name w:val="Table Grid1"/>
    <w:basedOn w:val="TableNormal"/>
    <w:next w:val="TableGrid"/>
    <w:uiPriority w:val="59"/>
    <w:rsid w:val="00C72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217E"/>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4">
    <w:name w:val="xl64"/>
    <w:basedOn w:val="Normal"/>
    <w:rsid w:val="00C7217E"/>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ify">
    <w:name w:val="linkify"/>
    <w:basedOn w:val="DefaultParagraphFont"/>
    <w:rsid w:val="00C7217E"/>
  </w:style>
  <w:style w:type="character" w:customStyle="1" w:styleId="contentauthor--name">
    <w:name w:val="content__author--name"/>
    <w:basedOn w:val="DefaultParagraphFont"/>
    <w:rsid w:val="00C7217E"/>
  </w:style>
  <w:style w:type="character" w:customStyle="1" w:styleId="contentauthor--date">
    <w:name w:val="content__author--date"/>
    <w:basedOn w:val="DefaultParagraphFont"/>
    <w:rsid w:val="00C7217E"/>
  </w:style>
  <w:style w:type="character" w:customStyle="1" w:styleId="display-block">
    <w:name w:val="display-block"/>
    <w:basedOn w:val="DefaultParagraphFont"/>
    <w:rsid w:val="00C7217E"/>
  </w:style>
  <w:style w:type="character" w:customStyle="1" w:styleId="UnresolvedMention2">
    <w:name w:val="Unresolved Mention2"/>
    <w:basedOn w:val="DefaultParagraphFont"/>
    <w:uiPriority w:val="99"/>
    <w:semiHidden/>
    <w:unhideWhenUsed/>
    <w:rsid w:val="00C7217E"/>
    <w:rPr>
      <w:color w:val="605E5C"/>
      <w:shd w:val="clear" w:color="auto" w:fill="E1DFDD"/>
    </w:rPr>
  </w:style>
  <w:style w:type="character" w:styleId="UnresolvedMention">
    <w:name w:val="Unresolved Mention"/>
    <w:basedOn w:val="DefaultParagraphFont"/>
    <w:uiPriority w:val="99"/>
    <w:semiHidden/>
    <w:unhideWhenUsed/>
    <w:rsid w:val="00C7217E"/>
    <w:rPr>
      <w:color w:val="605E5C"/>
      <w:shd w:val="clear" w:color="auto" w:fill="E1DFDD"/>
    </w:rPr>
  </w:style>
  <w:style w:type="paragraph" w:styleId="TOC4">
    <w:name w:val="toc 4"/>
    <w:basedOn w:val="Normal"/>
    <w:next w:val="Normal"/>
    <w:autoRedefine/>
    <w:uiPriority w:val="39"/>
    <w:unhideWhenUsed/>
    <w:rsid w:val="00C7217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C7217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C7217E"/>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C7217E"/>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C7217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C7217E"/>
    <w:pPr>
      <w:spacing w:after="100" w:line="259" w:lineRule="auto"/>
      <w:ind w:left="1760"/>
    </w:pPr>
    <w:rPr>
      <w:rFonts w:eastAsiaTheme="minorEastAsia"/>
      <w:lang w:eastAsia="en-GB"/>
    </w:rPr>
  </w:style>
  <w:style w:type="table" w:customStyle="1" w:styleId="TableGrid3">
    <w:name w:val="Table Grid3"/>
    <w:basedOn w:val="TableNormal"/>
    <w:next w:val="TableGrid"/>
    <w:uiPriority w:val="59"/>
    <w:rsid w:val="00C72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217E"/>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7E4999"/>
    <w:rPr>
      <w:i/>
      <w:iCs/>
    </w:rPr>
  </w:style>
  <w:style w:type="character" w:styleId="PlaceholderText">
    <w:name w:val="Placeholder Text"/>
    <w:basedOn w:val="DefaultParagraphFont"/>
    <w:uiPriority w:val="99"/>
    <w:semiHidden/>
    <w:rsid w:val="000A4C62"/>
    <w:rPr>
      <w:color w:val="808080"/>
    </w:rPr>
  </w:style>
  <w:style w:type="paragraph" w:customStyle="1" w:styleId="Default">
    <w:name w:val="Default"/>
    <w:rsid w:val="001A2FE3"/>
    <w:pPr>
      <w:autoSpaceDE w:val="0"/>
      <w:autoSpaceDN w:val="0"/>
      <w:adjustRightInd w:val="0"/>
      <w:spacing w:after="0" w:line="240" w:lineRule="auto"/>
    </w:pPr>
    <w:rPr>
      <w:rFonts w:ascii="Arial" w:hAnsi="Arial" w:cs="Arial"/>
      <w:color w:val="000000"/>
      <w:sz w:val="24"/>
      <w:szCs w:val="24"/>
    </w:rPr>
  </w:style>
  <w:style w:type="paragraph" w:customStyle="1" w:styleId="msonormal0">
    <w:name w:val="msonormal"/>
    <w:basedOn w:val="Normal"/>
    <w:rsid w:val="004836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483646"/>
    <w:pP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65">
    <w:name w:val="xl65"/>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66">
    <w:name w:val="xl66"/>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67">
    <w:name w:val="xl67"/>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18"/>
      <w:szCs w:val="18"/>
      <w:lang w:eastAsia="en-GB"/>
    </w:rPr>
  </w:style>
  <w:style w:type="paragraph" w:customStyle="1" w:styleId="xl68">
    <w:name w:val="xl68"/>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69">
    <w:name w:val="xl69"/>
    <w:basedOn w:val="Normal"/>
    <w:rsid w:val="0048364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0">
    <w:name w:val="xl70"/>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8"/>
      <w:szCs w:val="18"/>
      <w:lang w:eastAsia="en-GB"/>
    </w:rPr>
  </w:style>
  <w:style w:type="paragraph" w:customStyle="1" w:styleId="xl71">
    <w:name w:val="xl71"/>
    <w:basedOn w:val="Normal"/>
    <w:rsid w:val="0048364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2">
    <w:name w:val="xl72"/>
    <w:basedOn w:val="Normal"/>
    <w:rsid w:val="0048364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3">
    <w:name w:val="xl73"/>
    <w:basedOn w:val="Normal"/>
    <w:rsid w:val="0048364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4">
    <w:name w:val="xl74"/>
    <w:basedOn w:val="Normal"/>
    <w:rsid w:val="00483646"/>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8"/>
      <w:szCs w:val="18"/>
      <w:lang w:eastAsia="en-GB"/>
    </w:rPr>
  </w:style>
  <w:style w:type="paragraph" w:customStyle="1" w:styleId="xl75">
    <w:name w:val="xl75"/>
    <w:basedOn w:val="Normal"/>
    <w:rsid w:val="0048364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6">
    <w:name w:val="xl76"/>
    <w:basedOn w:val="Normal"/>
    <w:rsid w:val="0048364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7">
    <w:name w:val="xl77"/>
    <w:basedOn w:val="Normal"/>
    <w:rsid w:val="0048364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8">
    <w:name w:val="xl78"/>
    <w:basedOn w:val="Normal"/>
    <w:rsid w:val="0048364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79">
    <w:name w:val="xl79"/>
    <w:basedOn w:val="Normal"/>
    <w:rsid w:val="00483646"/>
    <w:pPr>
      <w:pBdr>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8"/>
      <w:szCs w:val="18"/>
      <w:lang w:eastAsia="en-GB"/>
    </w:rPr>
  </w:style>
  <w:style w:type="paragraph" w:customStyle="1" w:styleId="xl80">
    <w:name w:val="xl80"/>
    <w:basedOn w:val="Normal"/>
    <w:rsid w:val="00483646"/>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b/>
      <w:bCs/>
      <w:color w:val="FF0000"/>
      <w:sz w:val="18"/>
      <w:szCs w:val="18"/>
      <w:lang w:eastAsia="en-GB"/>
    </w:rPr>
  </w:style>
  <w:style w:type="paragraph" w:customStyle="1" w:styleId="xl81">
    <w:name w:val="xl81"/>
    <w:basedOn w:val="Normal"/>
    <w:rsid w:val="00483646"/>
    <w:pPr>
      <w:pBdr>
        <w:lef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2">
    <w:name w:val="xl82"/>
    <w:basedOn w:val="Normal"/>
    <w:rsid w:val="00483646"/>
    <w:pP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3">
    <w:name w:val="xl83"/>
    <w:basedOn w:val="Normal"/>
    <w:rsid w:val="00483646"/>
    <w:pPr>
      <w:pBdr>
        <w:left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4">
    <w:name w:val="xl84"/>
    <w:basedOn w:val="Normal"/>
    <w:rsid w:val="00483646"/>
    <w:pPr>
      <w:pBdr>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5">
    <w:name w:val="xl85"/>
    <w:basedOn w:val="Normal"/>
    <w:rsid w:val="00483646"/>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b/>
      <w:bCs/>
      <w:sz w:val="18"/>
      <w:szCs w:val="18"/>
      <w:lang w:eastAsia="en-GB"/>
    </w:rPr>
  </w:style>
  <w:style w:type="paragraph" w:customStyle="1" w:styleId="xl86">
    <w:name w:val="xl86"/>
    <w:basedOn w:val="Normal"/>
    <w:rsid w:val="00483646"/>
    <w:pPr>
      <w:pBdr>
        <w:left w:val="single" w:sz="4" w:space="0" w:color="auto"/>
        <w:bottom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7">
    <w:name w:val="xl87"/>
    <w:basedOn w:val="Normal"/>
    <w:rsid w:val="00483646"/>
    <w:pPr>
      <w:pBdr>
        <w:bottom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8">
    <w:name w:val="xl88"/>
    <w:basedOn w:val="Normal"/>
    <w:rsid w:val="00483646"/>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9">
    <w:name w:val="xl89"/>
    <w:basedOn w:val="Normal"/>
    <w:rsid w:val="00483646"/>
    <w:pPr>
      <w:pBdr>
        <w:left w:val="single" w:sz="4" w:space="0" w:color="auto"/>
        <w:bottom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90">
    <w:name w:val="xl90"/>
    <w:basedOn w:val="Normal"/>
    <w:rsid w:val="00483646"/>
    <w:pPr>
      <w:pBdr>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91">
    <w:name w:val="xl91"/>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92">
    <w:name w:val="xl92"/>
    <w:basedOn w:val="Normal"/>
    <w:rsid w:val="0048364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93">
    <w:name w:val="xl93"/>
    <w:basedOn w:val="Normal"/>
    <w:rsid w:val="0048364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94">
    <w:name w:val="xl94"/>
    <w:basedOn w:val="Normal"/>
    <w:rsid w:val="004836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95">
    <w:name w:val="xl95"/>
    <w:basedOn w:val="Normal"/>
    <w:rsid w:val="0048364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96">
    <w:name w:val="xl96"/>
    <w:basedOn w:val="Normal"/>
    <w:rsid w:val="002E5B75"/>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97">
    <w:name w:val="xl97"/>
    <w:basedOn w:val="Normal"/>
    <w:rsid w:val="002E5B75"/>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98">
    <w:name w:val="xl98"/>
    <w:basedOn w:val="Normal"/>
    <w:rsid w:val="002E5B75"/>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99">
    <w:name w:val="xl99"/>
    <w:basedOn w:val="Normal"/>
    <w:rsid w:val="002E5B7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0">
    <w:name w:val="xl100"/>
    <w:basedOn w:val="Normal"/>
    <w:rsid w:val="002E5B7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1">
    <w:name w:val="xl101"/>
    <w:basedOn w:val="Normal"/>
    <w:rsid w:val="002E5B75"/>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2">
    <w:name w:val="xl102"/>
    <w:basedOn w:val="Normal"/>
    <w:rsid w:val="002E5B7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3">
    <w:name w:val="xl103"/>
    <w:basedOn w:val="Normal"/>
    <w:rsid w:val="002E5B7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104">
    <w:name w:val="xl104"/>
    <w:basedOn w:val="Normal"/>
    <w:rsid w:val="002E5B75"/>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5">
    <w:name w:val="xl105"/>
    <w:basedOn w:val="Normal"/>
    <w:rsid w:val="002E5B75"/>
    <w:pPr>
      <w:pBdr>
        <w:top w:val="single" w:sz="4" w:space="0" w:color="auto"/>
        <w:bottom w:val="single" w:sz="4" w:space="0" w:color="auto"/>
        <w:right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6">
    <w:name w:val="xl106"/>
    <w:basedOn w:val="Normal"/>
    <w:rsid w:val="002E5B75"/>
    <w:pPr>
      <w:pBdr>
        <w:top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07">
    <w:name w:val="xl107"/>
    <w:basedOn w:val="Normal"/>
    <w:rsid w:val="002E5B7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2398">
      <w:bodyDiv w:val="1"/>
      <w:marLeft w:val="0"/>
      <w:marRight w:val="0"/>
      <w:marTop w:val="0"/>
      <w:marBottom w:val="0"/>
      <w:divBdr>
        <w:top w:val="none" w:sz="0" w:space="0" w:color="auto"/>
        <w:left w:val="none" w:sz="0" w:space="0" w:color="auto"/>
        <w:bottom w:val="none" w:sz="0" w:space="0" w:color="auto"/>
        <w:right w:val="none" w:sz="0" w:space="0" w:color="auto"/>
      </w:divBdr>
    </w:div>
    <w:div w:id="114518867">
      <w:bodyDiv w:val="1"/>
      <w:marLeft w:val="0"/>
      <w:marRight w:val="0"/>
      <w:marTop w:val="0"/>
      <w:marBottom w:val="0"/>
      <w:divBdr>
        <w:top w:val="none" w:sz="0" w:space="0" w:color="auto"/>
        <w:left w:val="none" w:sz="0" w:space="0" w:color="auto"/>
        <w:bottom w:val="none" w:sz="0" w:space="0" w:color="auto"/>
        <w:right w:val="none" w:sz="0" w:space="0" w:color="auto"/>
      </w:divBdr>
    </w:div>
    <w:div w:id="155390653">
      <w:bodyDiv w:val="1"/>
      <w:marLeft w:val="0"/>
      <w:marRight w:val="0"/>
      <w:marTop w:val="0"/>
      <w:marBottom w:val="0"/>
      <w:divBdr>
        <w:top w:val="none" w:sz="0" w:space="0" w:color="auto"/>
        <w:left w:val="none" w:sz="0" w:space="0" w:color="auto"/>
        <w:bottom w:val="none" w:sz="0" w:space="0" w:color="auto"/>
        <w:right w:val="none" w:sz="0" w:space="0" w:color="auto"/>
      </w:divBdr>
    </w:div>
    <w:div w:id="197203732">
      <w:bodyDiv w:val="1"/>
      <w:marLeft w:val="0"/>
      <w:marRight w:val="0"/>
      <w:marTop w:val="0"/>
      <w:marBottom w:val="0"/>
      <w:divBdr>
        <w:top w:val="none" w:sz="0" w:space="0" w:color="auto"/>
        <w:left w:val="none" w:sz="0" w:space="0" w:color="auto"/>
        <w:bottom w:val="none" w:sz="0" w:space="0" w:color="auto"/>
        <w:right w:val="none" w:sz="0" w:space="0" w:color="auto"/>
      </w:divBdr>
    </w:div>
    <w:div w:id="237909371">
      <w:bodyDiv w:val="1"/>
      <w:marLeft w:val="0"/>
      <w:marRight w:val="0"/>
      <w:marTop w:val="0"/>
      <w:marBottom w:val="0"/>
      <w:divBdr>
        <w:top w:val="none" w:sz="0" w:space="0" w:color="auto"/>
        <w:left w:val="none" w:sz="0" w:space="0" w:color="auto"/>
        <w:bottom w:val="none" w:sz="0" w:space="0" w:color="auto"/>
        <w:right w:val="none" w:sz="0" w:space="0" w:color="auto"/>
      </w:divBdr>
    </w:div>
    <w:div w:id="282277028">
      <w:bodyDiv w:val="1"/>
      <w:marLeft w:val="0"/>
      <w:marRight w:val="0"/>
      <w:marTop w:val="0"/>
      <w:marBottom w:val="0"/>
      <w:divBdr>
        <w:top w:val="none" w:sz="0" w:space="0" w:color="auto"/>
        <w:left w:val="none" w:sz="0" w:space="0" w:color="auto"/>
        <w:bottom w:val="none" w:sz="0" w:space="0" w:color="auto"/>
        <w:right w:val="none" w:sz="0" w:space="0" w:color="auto"/>
      </w:divBdr>
    </w:div>
    <w:div w:id="314650637">
      <w:bodyDiv w:val="1"/>
      <w:marLeft w:val="0"/>
      <w:marRight w:val="0"/>
      <w:marTop w:val="0"/>
      <w:marBottom w:val="0"/>
      <w:divBdr>
        <w:top w:val="none" w:sz="0" w:space="0" w:color="auto"/>
        <w:left w:val="none" w:sz="0" w:space="0" w:color="auto"/>
        <w:bottom w:val="none" w:sz="0" w:space="0" w:color="auto"/>
        <w:right w:val="none" w:sz="0" w:space="0" w:color="auto"/>
      </w:divBdr>
    </w:div>
    <w:div w:id="337930687">
      <w:bodyDiv w:val="1"/>
      <w:marLeft w:val="0"/>
      <w:marRight w:val="0"/>
      <w:marTop w:val="0"/>
      <w:marBottom w:val="0"/>
      <w:divBdr>
        <w:top w:val="none" w:sz="0" w:space="0" w:color="auto"/>
        <w:left w:val="none" w:sz="0" w:space="0" w:color="auto"/>
        <w:bottom w:val="none" w:sz="0" w:space="0" w:color="auto"/>
        <w:right w:val="none" w:sz="0" w:space="0" w:color="auto"/>
      </w:divBdr>
    </w:div>
    <w:div w:id="379864509">
      <w:bodyDiv w:val="1"/>
      <w:marLeft w:val="0"/>
      <w:marRight w:val="0"/>
      <w:marTop w:val="0"/>
      <w:marBottom w:val="0"/>
      <w:divBdr>
        <w:top w:val="none" w:sz="0" w:space="0" w:color="auto"/>
        <w:left w:val="none" w:sz="0" w:space="0" w:color="auto"/>
        <w:bottom w:val="none" w:sz="0" w:space="0" w:color="auto"/>
        <w:right w:val="none" w:sz="0" w:space="0" w:color="auto"/>
      </w:divBdr>
      <w:divsChild>
        <w:div w:id="1912694565">
          <w:marLeft w:val="-2250"/>
          <w:marRight w:val="0"/>
          <w:marTop w:val="0"/>
          <w:marBottom w:val="0"/>
          <w:divBdr>
            <w:top w:val="none" w:sz="0" w:space="0" w:color="auto"/>
            <w:left w:val="none" w:sz="0" w:space="0" w:color="auto"/>
            <w:bottom w:val="none" w:sz="0" w:space="0" w:color="auto"/>
            <w:right w:val="none" w:sz="0" w:space="0" w:color="auto"/>
          </w:divBdr>
        </w:div>
        <w:div w:id="185482018">
          <w:marLeft w:val="0"/>
          <w:marRight w:val="0"/>
          <w:marTop w:val="0"/>
          <w:marBottom w:val="0"/>
          <w:divBdr>
            <w:top w:val="none" w:sz="0" w:space="0" w:color="auto"/>
            <w:left w:val="none" w:sz="0" w:space="0" w:color="auto"/>
            <w:bottom w:val="none" w:sz="0" w:space="0" w:color="auto"/>
            <w:right w:val="none" w:sz="0" w:space="0" w:color="auto"/>
          </w:divBdr>
        </w:div>
      </w:divsChild>
    </w:div>
    <w:div w:id="385687404">
      <w:bodyDiv w:val="1"/>
      <w:marLeft w:val="0"/>
      <w:marRight w:val="0"/>
      <w:marTop w:val="0"/>
      <w:marBottom w:val="0"/>
      <w:divBdr>
        <w:top w:val="none" w:sz="0" w:space="0" w:color="auto"/>
        <w:left w:val="none" w:sz="0" w:space="0" w:color="auto"/>
        <w:bottom w:val="none" w:sz="0" w:space="0" w:color="auto"/>
        <w:right w:val="none" w:sz="0" w:space="0" w:color="auto"/>
      </w:divBdr>
    </w:div>
    <w:div w:id="418063245">
      <w:bodyDiv w:val="1"/>
      <w:marLeft w:val="0"/>
      <w:marRight w:val="0"/>
      <w:marTop w:val="0"/>
      <w:marBottom w:val="0"/>
      <w:divBdr>
        <w:top w:val="none" w:sz="0" w:space="0" w:color="auto"/>
        <w:left w:val="none" w:sz="0" w:space="0" w:color="auto"/>
        <w:bottom w:val="none" w:sz="0" w:space="0" w:color="auto"/>
        <w:right w:val="none" w:sz="0" w:space="0" w:color="auto"/>
      </w:divBdr>
    </w:div>
    <w:div w:id="435298331">
      <w:bodyDiv w:val="1"/>
      <w:marLeft w:val="0"/>
      <w:marRight w:val="0"/>
      <w:marTop w:val="0"/>
      <w:marBottom w:val="0"/>
      <w:divBdr>
        <w:top w:val="none" w:sz="0" w:space="0" w:color="auto"/>
        <w:left w:val="none" w:sz="0" w:space="0" w:color="auto"/>
        <w:bottom w:val="none" w:sz="0" w:space="0" w:color="auto"/>
        <w:right w:val="none" w:sz="0" w:space="0" w:color="auto"/>
      </w:divBdr>
    </w:div>
    <w:div w:id="435298576">
      <w:bodyDiv w:val="1"/>
      <w:marLeft w:val="0"/>
      <w:marRight w:val="0"/>
      <w:marTop w:val="0"/>
      <w:marBottom w:val="0"/>
      <w:divBdr>
        <w:top w:val="none" w:sz="0" w:space="0" w:color="auto"/>
        <w:left w:val="none" w:sz="0" w:space="0" w:color="auto"/>
        <w:bottom w:val="none" w:sz="0" w:space="0" w:color="auto"/>
        <w:right w:val="none" w:sz="0" w:space="0" w:color="auto"/>
      </w:divBdr>
    </w:div>
    <w:div w:id="491486379">
      <w:bodyDiv w:val="1"/>
      <w:marLeft w:val="0"/>
      <w:marRight w:val="0"/>
      <w:marTop w:val="0"/>
      <w:marBottom w:val="0"/>
      <w:divBdr>
        <w:top w:val="none" w:sz="0" w:space="0" w:color="auto"/>
        <w:left w:val="none" w:sz="0" w:space="0" w:color="auto"/>
        <w:bottom w:val="none" w:sz="0" w:space="0" w:color="auto"/>
        <w:right w:val="none" w:sz="0" w:space="0" w:color="auto"/>
      </w:divBdr>
    </w:div>
    <w:div w:id="545678545">
      <w:bodyDiv w:val="1"/>
      <w:marLeft w:val="0"/>
      <w:marRight w:val="0"/>
      <w:marTop w:val="0"/>
      <w:marBottom w:val="0"/>
      <w:divBdr>
        <w:top w:val="none" w:sz="0" w:space="0" w:color="auto"/>
        <w:left w:val="none" w:sz="0" w:space="0" w:color="auto"/>
        <w:bottom w:val="none" w:sz="0" w:space="0" w:color="auto"/>
        <w:right w:val="none" w:sz="0" w:space="0" w:color="auto"/>
      </w:divBdr>
      <w:divsChild>
        <w:div w:id="798645756">
          <w:marLeft w:val="0"/>
          <w:marRight w:val="0"/>
          <w:marTop w:val="0"/>
          <w:marBottom w:val="0"/>
          <w:divBdr>
            <w:top w:val="none" w:sz="0" w:space="0" w:color="auto"/>
            <w:left w:val="none" w:sz="0" w:space="0" w:color="auto"/>
            <w:bottom w:val="none" w:sz="0" w:space="0" w:color="auto"/>
            <w:right w:val="none" w:sz="0" w:space="0" w:color="auto"/>
          </w:divBdr>
          <w:divsChild>
            <w:div w:id="1176655545">
              <w:marLeft w:val="0"/>
              <w:marRight w:val="0"/>
              <w:marTop w:val="0"/>
              <w:marBottom w:val="0"/>
              <w:divBdr>
                <w:top w:val="none" w:sz="0" w:space="0" w:color="auto"/>
                <w:left w:val="none" w:sz="0" w:space="0" w:color="auto"/>
                <w:bottom w:val="none" w:sz="0" w:space="0" w:color="auto"/>
                <w:right w:val="none" w:sz="0" w:space="0" w:color="auto"/>
              </w:divBdr>
            </w:div>
            <w:div w:id="542718651">
              <w:marLeft w:val="0"/>
              <w:marRight w:val="0"/>
              <w:marTop w:val="0"/>
              <w:marBottom w:val="0"/>
              <w:divBdr>
                <w:top w:val="none" w:sz="0" w:space="0" w:color="auto"/>
                <w:left w:val="none" w:sz="0" w:space="0" w:color="auto"/>
                <w:bottom w:val="none" w:sz="0" w:space="0" w:color="auto"/>
                <w:right w:val="none" w:sz="0" w:space="0" w:color="auto"/>
              </w:divBdr>
              <w:divsChild>
                <w:div w:id="3588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70877">
      <w:bodyDiv w:val="1"/>
      <w:marLeft w:val="0"/>
      <w:marRight w:val="0"/>
      <w:marTop w:val="0"/>
      <w:marBottom w:val="0"/>
      <w:divBdr>
        <w:top w:val="none" w:sz="0" w:space="0" w:color="auto"/>
        <w:left w:val="none" w:sz="0" w:space="0" w:color="auto"/>
        <w:bottom w:val="none" w:sz="0" w:space="0" w:color="auto"/>
        <w:right w:val="none" w:sz="0" w:space="0" w:color="auto"/>
      </w:divBdr>
    </w:div>
    <w:div w:id="638146518">
      <w:bodyDiv w:val="1"/>
      <w:marLeft w:val="0"/>
      <w:marRight w:val="0"/>
      <w:marTop w:val="0"/>
      <w:marBottom w:val="0"/>
      <w:divBdr>
        <w:top w:val="none" w:sz="0" w:space="0" w:color="auto"/>
        <w:left w:val="none" w:sz="0" w:space="0" w:color="auto"/>
        <w:bottom w:val="none" w:sz="0" w:space="0" w:color="auto"/>
        <w:right w:val="none" w:sz="0" w:space="0" w:color="auto"/>
      </w:divBdr>
    </w:div>
    <w:div w:id="698511355">
      <w:bodyDiv w:val="1"/>
      <w:marLeft w:val="0"/>
      <w:marRight w:val="0"/>
      <w:marTop w:val="0"/>
      <w:marBottom w:val="0"/>
      <w:divBdr>
        <w:top w:val="none" w:sz="0" w:space="0" w:color="auto"/>
        <w:left w:val="none" w:sz="0" w:space="0" w:color="auto"/>
        <w:bottom w:val="none" w:sz="0" w:space="0" w:color="auto"/>
        <w:right w:val="none" w:sz="0" w:space="0" w:color="auto"/>
      </w:divBdr>
    </w:div>
    <w:div w:id="736899600">
      <w:bodyDiv w:val="1"/>
      <w:marLeft w:val="0"/>
      <w:marRight w:val="0"/>
      <w:marTop w:val="0"/>
      <w:marBottom w:val="0"/>
      <w:divBdr>
        <w:top w:val="none" w:sz="0" w:space="0" w:color="auto"/>
        <w:left w:val="none" w:sz="0" w:space="0" w:color="auto"/>
        <w:bottom w:val="none" w:sz="0" w:space="0" w:color="auto"/>
        <w:right w:val="none" w:sz="0" w:space="0" w:color="auto"/>
      </w:divBdr>
    </w:div>
    <w:div w:id="814299701">
      <w:bodyDiv w:val="1"/>
      <w:marLeft w:val="0"/>
      <w:marRight w:val="0"/>
      <w:marTop w:val="0"/>
      <w:marBottom w:val="0"/>
      <w:divBdr>
        <w:top w:val="none" w:sz="0" w:space="0" w:color="auto"/>
        <w:left w:val="none" w:sz="0" w:space="0" w:color="auto"/>
        <w:bottom w:val="none" w:sz="0" w:space="0" w:color="auto"/>
        <w:right w:val="none" w:sz="0" w:space="0" w:color="auto"/>
      </w:divBdr>
      <w:divsChild>
        <w:div w:id="2035836566">
          <w:marLeft w:val="0"/>
          <w:marRight w:val="0"/>
          <w:marTop w:val="0"/>
          <w:marBottom w:val="0"/>
          <w:divBdr>
            <w:top w:val="none" w:sz="0" w:space="0" w:color="auto"/>
            <w:left w:val="none" w:sz="0" w:space="0" w:color="auto"/>
            <w:bottom w:val="none" w:sz="0" w:space="0" w:color="auto"/>
            <w:right w:val="none" w:sz="0" w:space="0" w:color="auto"/>
          </w:divBdr>
        </w:div>
      </w:divsChild>
    </w:div>
    <w:div w:id="1067336803">
      <w:bodyDiv w:val="1"/>
      <w:marLeft w:val="0"/>
      <w:marRight w:val="0"/>
      <w:marTop w:val="0"/>
      <w:marBottom w:val="0"/>
      <w:divBdr>
        <w:top w:val="none" w:sz="0" w:space="0" w:color="auto"/>
        <w:left w:val="none" w:sz="0" w:space="0" w:color="auto"/>
        <w:bottom w:val="none" w:sz="0" w:space="0" w:color="auto"/>
        <w:right w:val="none" w:sz="0" w:space="0" w:color="auto"/>
      </w:divBdr>
    </w:div>
    <w:div w:id="1133016805">
      <w:bodyDiv w:val="1"/>
      <w:marLeft w:val="0"/>
      <w:marRight w:val="0"/>
      <w:marTop w:val="0"/>
      <w:marBottom w:val="0"/>
      <w:divBdr>
        <w:top w:val="none" w:sz="0" w:space="0" w:color="auto"/>
        <w:left w:val="none" w:sz="0" w:space="0" w:color="auto"/>
        <w:bottom w:val="none" w:sz="0" w:space="0" w:color="auto"/>
        <w:right w:val="none" w:sz="0" w:space="0" w:color="auto"/>
      </w:divBdr>
    </w:div>
    <w:div w:id="1138035208">
      <w:bodyDiv w:val="1"/>
      <w:marLeft w:val="0"/>
      <w:marRight w:val="0"/>
      <w:marTop w:val="0"/>
      <w:marBottom w:val="0"/>
      <w:divBdr>
        <w:top w:val="none" w:sz="0" w:space="0" w:color="auto"/>
        <w:left w:val="none" w:sz="0" w:space="0" w:color="auto"/>
        <w:bottom w:val="none" w:sz="0" w:space="0" w:color="auto"/>
        <w:right w:val="none" w:sz="0" w:space="0" w:color="auto"/>
      </w:divBdr>
    </w:div>
    <w:div w:id="1163160582">
      <w:bodyDiv w:val="1"/>
      <w:marLeft w:val="0"/>
      <w:marRight w:val="0"/>
      <w:marTop w:val="0"/>
      <w:marBottom w:val="0"/>
      <w:divBdr>
        <w:top w:val="none" w:sz="0" w:space="0" w:color="auto"/>
        <w:left w:val="none" w:sz="0" w:space="0" w:color="auto"/>
        <w:bottom w:val="none" w:sz="0" w:space="0" w:color="auto"/>
        <w:right w:val="none" w:sz="0" w:space="0" w:color="auto"/>
      </w:divBdr>
    </w:div>
    <w:div w:id="1212233014">
      <w:bodyDiv w:val="1"/>
      <w:marLeft w:val="0"/>
      <w:marRight w:val="0"/>
      <w:marTop w:val="0"/>
      <w:marBottom w:val="0"/>
      <w:divBdr>
        <w:top w:val="none" w:sz="0" w:space="0" w:color="auto"/>
        <w:left w:val="none" w:sz="0" w:space="0" w:color="auto"/>
        <w:bottom w:val="none" w:sz="0" w:space="0" w:color="auto"/>
        <w:right w:val="none" w:sz="0" w:space="0" w:color="auto"/>
      </w:divBdr>
    </w:div>
    <w:div w:id="1256132846">
      <w:bodyDiv w:val="1"/>
      <w:marLeft w:val="0"/>
      <w:marRight w:val="0"/>
      <w:marTop w:val="0"/>
      <w:marBottom w:val="0"/>
      <w:divBdr>
        <w:top w:val="none" w:sz="0" w:space="0" w:color="auto"/>
        <w:left w:val="none" w:sz="0" w:space="0" w:color="auto"/>
        <w:bottom w:val="none" w:sz="0" w:space="0" w:color="auto"/>
        <w:right w:val="none" w:sz="0" w:space="0" w:color="auto"/>
      </w:divBdr>
    </w:div>
    <w:div w:id="1268001101">
      <w:bodyDiv w:val="1"/>
      <w:marLeft w:val="0"/>
      <w:marRight w:val="0"/>
      <w:marTop w:val="0"/>
      <w:marBottom w:val="0"/>
      <w:divBdr>
        <w:top w:val="none" w:sz="0" w:space="0" w:color="auto"/>
        <w:left w:val="none" w:sz="0" w:space="0" w:color="auto"/>
        <w:bottom w:val="none" w:sz="0" w:space="0" w:color="auto"/>
        <w:right w:val="none" w:sz="0" w:space="0" w:color="auto"/>
      </w:divBdr>
    </w:div>
    <w:div w:id="1272544205">
      <w:bodyDiv w:val="1"/>
      <w:marLeft w:val="0"/>
      <w:marRight w:val="0"/>
      <w:marTop w:val="0"/>
      <w:marBottom w:val="0"/>
      <w:divBdr>
        <w:top w:val="none" w:sz="0" w:space="0" w:color="auto"/>
        <w:left w:val="none" w:sz="0" w:space="0" w:color="auto"/>
        <w:bottom w:val="none" w:sz="0" w:space="0" w:color="auto"/>
        <w:right w:val="none" w:sz="0" w:space="0" w:color="auto"/>
      </w:divBdr>
    </w:div>
    <w:div w:id="1355887473">
      <w:bodyDiv w:val="1"/>
      <w:marLeft w:val="0"/>
      <w:marRight w:val="0"/>
      <w:marTop w:val="0"/>
      <w:marBottom w:val="0"/>
      <w:divBdr>
        <w:top w:val="none" w:sz="0" w:space="0" w:color="auto"/>
        <w:left w:val="none" w:sz="0" w:space="0" w:color="auto"/>
        <w:bottom w:val="none" w:sz="0" w:space="0" w:color="auto"/>
        <w:right w:val="none" w:sz="0" w:space="0" w:color="auto"/>
      </w:divBdr>
    </w:div>
    <w:div w:id="1360355245">
      <w:bodyDiv w:val="1"/>
      <w:marLeft w:val="0"/>
      <w:marRight w:val="0"/>
      <w:marTop w:val="0"/>
      <w:marBottom w:val="0"/>
      <w:divBdr>
        <w:top w:val="none" w:sz="0" w:space="0" w:color="auto"/>
        <w:left w:val="none" w:sz="0" w:space="0" w:color="auto"/>
        <w:bottom w:val="none" w:sz="0" w:space="0" w:color="auto"/>
        <w:right w:val="none" w:sz="0" w:space="0" w:color="auto"/>
      </w:divBdr>
    </w:div>
    <w:div w:id="1445077918">
      <w:bodyDiv w:val="1"/>
      <w:marLeft w:val="0"/>
      <w:marRight w:val="0"/>
      <w:marTop w:val="0"/>
      <w:marBottom w:val="0"/>
      <w:divBdr>
        <w:top w:val="none" w:sz="0" w:space="0" w:color="auto"/>
        <w:left w:val="none" w:sz="0" w:space="0" w:color="auto"/>
        <w:bottom w:val="none" w:sz="0" w:space="0" w:color="auto"/>
        <w:right w:val="none" w:sz="0" w:space="0" w:color="auto"/>
      </w:divBdr>
    </w:div>
    <w:div w:id="1468933427">
      <w:bodyDiv w:val="1"/>
      <w:marLeft w:val="0"/>
      <w:marRight w:val="0"/>
      <w:marTop w:val="0"/>
      <w:marBottom w:val="0"/>
      <w:divBdr>
        <w:top w:val="none" w:sz="0" w:space="0" w:color="auto"/>
        <w:left w:val="none" w:sz="0" w:space="0" w:color="auto"/>
        <w:bottom w:val="none" w:sz="0" w:space="0" w:color="auto"/>
        <w:right w:val="none" w:sz="0" w:space="0" w:color="auto"/>
      </w:divBdr>
    </w:div>
    <w:div w:id="1496989906">
      <w:bodyDiv w:val="1"/>
      <w:marLeft w:val="0"/>
      <w:marRight w:val="0"/>
      <w:marTop w:val="0"/>
      <w:marBottom w:val="0"/>
      <w:divBdr>
        <w:top w:val="none" w:sz="0" w:space="0" w:color="auto"/>
        <w:left w:val="none" w:sz="0" w:space="0" w:color="auto"/>
        <w:bottom w:val="none" w:sz="0" w:space="0" w:color="auto"/>
        <w:right w:val="none" w:sz="0" w:space="0" w:color="auto"/>
      </w:divBdr>
    </w:div>
    <w:div w:id="1516117450">
      <w:bodyDiv w:val="1"/>
      <w:marLeft w:val="0"/>
      <w:marRight w:val="0"/>
      <w:marTop w:val="0"/>
      <w:marBottom w:val="0"/>
      <w:divBdr>
        <w:top w:val="none" w:sz="0" w:space="0" w:color="auto"/>
        <w:left w:val="none" w:sz="0" w:space="0" w:color="auto"/>
        <w:bottom w:val="none" w:sz="0" w:space="0" w:color="auto"/>
        <w:right w:val="none" w:sz="0" w:space="0" w:color="auto"/>
      </w:divBdr>
    </w:div>
    <w:div w:id="1625232630">
      <w:bodyDiv w:val="1"/>
      <w:marLeft w:val="0"/>
      <w:marRight w:val="0"/>
      <w:marTop w:val="0"/>
      <w:marBottom w:val="0"/>
      <w:divBdr>
        <w:top w:val="none" w:sz="0" w:space="0" w:color="auto"/>
        <w:left w:val="none" w:sz="0" w:space="0" w:color="auto"/>
        <w:bottom w:val="none" w:sz="0" w:space="0" w:color="auto"/>
        <w:right w:val="none" w:sz="0" w:space="0" w:color="auto"/>
      </w:divBdr>
    </w:div>
    <w:div w:id="1628122141">
      <w:bodyDiv w:val="1"/>
      <w:marLeft w:val="0"/>
      <w:marRight w:val="0"/>
      <w:marTop w:val="0"/>
      <w:marBottom w:val="0"/>
      <w:divBdr>
        <w:top w:val="none" w:sz="0" w:space="0" w:color="auto"/>
        <w:left w:val="none" w:sz="0" w:space="0" w:color="auto"/>
        <w:bottom w:val="none" w:sz="0" w:space="0" w:color="auto"/>
        <w:right w:val="none" w:sz="0" w:space="0" w:color="auto"/>
      </w:divBdr>
    </w:div>
    <w:div w:id="1679308077">
      <w:bodyDiv w:val="1"/>
      <w:marLeft w:val="0"/>
      <w:marRight w:val="0"/>
      <w:marTop w:val="0"/>
      <w:marBottom w:val="0"/>
      <w:divBdr>
        <w:top w:val="none" w:sz="0" w:space="0" w:color="auto"/>
        <w:left w:val="none" w:sz="0" w:space="0" w:color="auto"/>
        <w:bottom w:val="none" w:sz="0" w:space="0" w:color="auto"/>
        <w:right w:val="none" w:sz="0" w:space="0" w:color="auto"/>
      </w:divBdr>
      <w:divsChild>
        <w:div w:id="1198785363">
          <w:marLeft w:val="0"/>
          <w:marRight w:val="0"/>
          <w:marTop w:val="0"/>
          <w:marBottom w:val="0"/>
          <w:divBdr>
            <w:top w:val="none" w:sz="0" w:space="0" w:color="auto"/>
            <w:left w:val="none" w:sz="0" w:space="0" w:color="auto"/>
            <w:bottom w:val="none" w:sz="0" w:space="0" w:color="auto"/>
            <w:right w:val="none" w:sz="0" w:space="0" w:color="auto"/>
          </w:divBdr>
        </w:div>
        <w:div w:id="455029593">
          <w:marLeft w:val="0"/>
          <w:marRight w:val="0"/>
          <w:marTop w:val="0"/>
          <w:marBottom w:val="0"/>
          <w:divBdr>
            <w:top w:val="none" w:sz="0" w:space="0" w:color="auto"/>
            <w:left w:val="none" w:sz="0" w:space="0" w:color="auto"/>
            <w:bottom w:val="none" w:sz="0" w:space="0" w:color="auto"/>
            <w:right w:val="none" w:sz="0" w:space="0" w:color="auto"/>
          </w:divBdr>
        </w:div>
      </w:divsChild>
    </w:div>
    <w:div w:id="1751923501">
      <w:bodyDiv w:val="1"/>
      <w:marLeft w:val="0"/>
      <w:marRight w:val="0"/>
      <w:marTop w:val="0"/>
      <w:marBottom w:val="0"/>
      <w:divBdr>
        <w:top w:val="none" w:sz="0" w:space="0" w:color="auto"/>
        <w:left w:val="none" w:sz="0" w:space="0" w:color="auto"/>
        <w:bottom w:val="none" w:sz="0" w:space="0" w:color="auto"/>
        <w:right w:val="none" w:sz="0" w:space="0" w:color="auto"/>
      </w:divBdr>
    </w:div>
    <w:div w:id="1866675038">
      <w:bodyDiv w:val="1"/>
      <w:marLeft w:val="0"/>
      <w:marRight w:val="0"/>
      <w:marTop w:val="0"/>
      <w:marBottom w:val="0"/>
      <w:divBdr>
        <w:top w:val="none" w:sz="0" w:space="0" w:color="auto"/>
        <w:left w:val="none" w:sz="0" w:space="0" w:color="auto"/>
        <w:bottom w:val="none" w:sz="0" w:space="0" w:color="auto"/>
        <w:right w:val="none" w:sz="0" w:space="0" w:color="auto"/>
      </w:divBdr>
    </w:div>
    <w:div w:id="1898586219">
      <w:bodyDiv w:val="1"/>
      <w:marLeft w:val="0"/>
      <w:marRight w:val="0"/>
      <w:marTop w:val="0"/>
      <w:marBottom w:val="0"/>
      <w:divBdr>
        <w:top w:val="none" w:sz="0" w:space="0" w:color="auto"/>
        <w:left w:val="none" w:sz="0" w:space="0" w:color="auto"/>
        <w:bottom w:val="none" w:sz="0" w:space="0" w:color="auto"/>
        <w:right w:val="none" w:sz="0" w:space="0" w:color="auto"/>
      </w:divBdr>
      <w:divsChild>
        <w:div w:id="2067877663">
          <w:marLeft w:val="-90"/>
          <w:marRight w:val="90"/>
          <w:marTop w:val="0"/>
          <w:marBottom w:val="0"/>
          <w:divBdr>
            <w:top w:val="none" w:sz="0" w:space="0" w:color="auto"/>
            <w:left w:val="none" w:sz="0" w:space="0" w:color="auto"/>
            <w:bottom w:val="none" w:sz="0" w:space="0" w:color="auto"/>
            <w:right w:val="none" w:sz="0" w:space="0" w:color="auto"/>
          </w:divBdr>
          <w:divsChild>
            <w:div w:id="1917857014">
              <w:marLeft w:val="-60"/>
              <w:marRight w:val="-60"/>
              <w:marTop w:val="0"/>
              <w:marBottom w:val="0"/>
              <w:divBdr>
                <w:top w:val="none" w:sz="0" w:space="0" w:color="auto"/>
                <w:left w:val="none" w:sz="0" w:space="0" w:color="auto"/>
                <w:bottom w:val="none" w:sz="0" w:space="0" w:color="auto"/>
                <w:right w:val="none" w:sz="0" w:space="0" w:color="auto"/>
              </w:divBdr>
            </w:div>
          </w:divsChild>
        </w:div>
        <w:div w:id="704018904">
          <w:marLeft w:val="0"/>
          <w:marRight w:val="0"/>
          <w:marTop w:val="0"/>
          <w:marBottom w:val="0"/>
          <w:divBdr>
            <w:top w:val="none" w:sz="0" w:space="0" w:color="auto"/>
            <w:left w:val="none" w:sz="0" w:space="0" w:color="auto"/>
            <w:bottom w:val="none" w:sz="0" w:space="0" w:color="auto"/>
            <w:right w:val="none" w:sz="0" w:space="0" w:color="auto"/>
          </w:divBdr>
          <w:divsChild>
            <w:div w:id="1442726317">
              <w:marLeft w:val="0"/>
              <w:marRight w:val="0"/>
              <w:marTop w:val="0"/>
              <w:marBottom w:val="0"/>
              <w:divBdr>
                <w:top w:val="none" w:sz="0" w:space="0" w:color="auto"/>
                <w:left w:val="none" w:sz="0" w:space="0" w:color="auto"/>
                <w:bottom w:val="none" w:sz="0" w:space="0" w:color="auto"/>
                <w:right w:val="none" w:sz="0" w:space="0" w:color="auto"/>
              </w:divBdr>
              <w:divsChild>
                <w:div w:id="485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8.jpeg"/><Relationship Id="rId42" Type="http://schemas.openxmlformats.org/officeDocument/2006/relationships/image" Target="media/image25.png"/><Relationship Id="rId63" Type="http://schemas.openxmlformats.org/officeDocument/2006/relationships/hyperlink" Target="https://www.theguardian.com/" TargetMode="External"/><Relationship Id="rId84" Type="http://schemas.openxmlformats.org/officeDocument/2006/relationships/image" Target="media/image61.png"/><Relationship Id="rId138" Type="http://schemas.openxmlformats.org/officeDocument/2006/relationships/hyperlink" Target="https://www.edelman.com/sites/g/files/aatuss191/files/2018-10/2018_Edelman_Earned_Brand_Executive_Summary_Brochure.pdf" TargetMode="External"/><Relationship Id="rId159" Type="http://schemas.openxmlformats.org/officeDocument/2006/relationships/hyperlink" Target="https://www.msci.com/market-classification" TargetMode="External"/><Relationship Id="rId170" Type="http://schemas.openxmlformats.org/officeDocument/2006/relationships/hyperlink" Target="https://doi.org/10.1002/mar.20953" TargetMode="External"/><Relationship Id="rId191" Type="http://schemas.openxmlformats.org/officeDocument/2006/relationships/hyperlink" Target="https://en.wikipedia.org/wiki/United_Nations_Environment_Programme" TargetMode="External"/><Relationship Id="rId196" Type="http://schemas.openxmlformats.org/officeDocument/2006/relationships/hyperlink" Target="https://www.weforum.org/agenda/2019/10/this-is-how-climate-science-went-mainstream?fbclid=IwAR3sDdJqY21jRGlSLmoGr2vl6yTOCzZK4csk2UsoXyVcYmQxdx4H3bkyXPI" TargetMode="External"/><Relationship Id="rId200"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84.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hyperlink" Target="http://go.euromonitor.com/white-paper-economies-consumers-2018-global-consumer-trends-EN.html" TargetMode="External"/><Relationship Id="rId128" Type="http://schemas.openxmlformats.org/officeDocument/2006/relationships/hyperlink" Target="http://web.a.ebscohost.com/ehost/pdfviewer/pdfviewer?vid=10&amp;sid=0fe7fb3d-38f9-4172-b55a-7352b129af3a%40sessionmgr4009" TargetMode="External"/><Relationship Id="rId144" Type="http://schemas.openxmlformats.org/officeDocument/2006/relationships/hyperlink" Target="https://www.cbsnews.com/news/burberry-trashes-tens-of-millions-of-dollars-worth-of-unsold-products/" TargetMode="External"/><Relationship Id="rId149" Type="http://schemas.openxmlformats.org/officeDocument/2006/relationships/hyperlink" Target="https://doi" TargetMode="Externa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hyperlink" Target="https://www.treehugger.com/the-worst-forms-of-pollution-4869160" TargetMode="External"/><Relationship Id="rId165" Type="http://schemas.openxmlformats.org/officeDocument/2006/relationships/hyperlink" Target="http://ebookcentral.proquest.com/lib/ncl/detail.action?docID=744152" TargetMode="External"/><Relationship Id="rId181" Type="http://schemas.openxmlformats.org/officeDocument/2006/relationships/hyperlink" Target="https://www.statista.com/statistics/272014/global-social-networks-ranked-by-number-of-users/" TargetMode="External"/><Relationship Id="rId186" Type="http://schemas.openxmlformats.org/officeDocument/2006/relationships/hyperlink" Target="http://doi" TargetMode="External"/><Relationship Id="rId22" Type="http://schemas.openxmlformats.org/officeDocument/2006/relationships/image" Target="media/image9.jpeg"/><Relationship Id="rId27" Type="http://schemas.openxmlformats.org/officeDocument/2006/relationships/hyperlink" Target="https://www.marketingweek.com/consumer-trust-in-brands-on-social-media-falls-as-line-between-marketing-and-non-commercial-blurs/"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s://tags.hawksey.info/" TargetMode="External"/><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hyperlink" Target="https://www.citytosea.org.uk/complaint-made-over-misleading-coca-cola-advert/" TargetMode="External"/><Relationship Id="rId139" Type="http://schemas.openxmlformats.org/officeDocument/2006/relationships/hyperlink" Target="https://epi.yale.edu/epi-results/2020/country/ltu" TargetMode="External"/><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hyperlink" Target="https://doi.org/10.1177%2F002224377301000210" TargetMode="External"/><Relationship Id="rId155" Type="http://schemas.openxmlformats.org/officeDocument/2006/relationships/hyperlink" Target="https://doi.org/10.1002/mar.20997" TargetMode="External"/><Relationship Id="rId171" Type="http://schemas.openxmlformats.org/officeDocument/2006/relationships/hyperlink" Target="https://www.mediapost.com/publications/article/127368/bp-fumbles-social-media-response-to-spill-what-sh.html" TargetMode="External"/><Relationship Id="rId176" Type="http://schemas.openxmlformats.org/officeDocument/2006/relationships/hyperlink" Target="https://doi.org/10.1108/02651331211277973" TargetMode="External"/><Relationship Id="rId192" Type="http://schemas.openxmlformats.org/officeDocument/2006/relationships/hyperlink" Target="https://wedocs.unep.org/handle/20.500.11822/8277" TargetMode="External"/><Relationship Id="rId197" Type="http://schemas.openxmlformats.org/officeDocument/2006/relationships/hyperlink" Target="https://doi.org/10.1016/j.dss.2013.01.029" TargetMode="External"/><Relationship Id="rId12" Type="http://schemas.openxmlformats.org/officeDocument/2006/relationships/image" Target="media/image2.jpg"/><Relationship Id="rId17" Type="http://schemas.openxmlformats.org/officeDocument/2006/relationships/hyperlink" Target="https://www.unilad.co.uk/animals/iceland-selling-5-cuddly-rang-tans-to-help-orphans-after-banned-ad/"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hyperlink" Target="https://doi.org/10.5465/amr.2008.27745504" TargetMode="External"/><Relationship Id="rId129" Type="http://schemas.openxmlformats.org/officeDocument/2006/relationships/hyperlink" Target="https://doi.org/10.1016/j.chb.2005.11.004" TargetMode="External"/><Relationship Id="rId54" Type="http://schemas.openxmlformats.org/officeDocument/2006/relationships/image" Target="media/image37.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hyperlink" Target="https://doi.org/10.1016/S0148-2963(97)00118-5" TargetMode="External"/><Relationship Id="rId145" Type="http://schemas.openxmlformats.org/officeDocument/2006/relationships/hyperlink" Target="https://doi.org/10.1109/HICSS.2016.131" TargetMode="External"/><Relationship Id="rId161" Type="http://schemas.openxmlformats.org/officeDocument/2006/relationships/hyperlink" Target="https://netlytic.org/index.php" TargetMode="External"/><Relationship Id="rId166" Type="http://schemas.openxmlformats.org/officeDocument/2006/relationships/hyperlink" Target="https://doi.org/10.1016/j.elerap.2007.12.001" TargetMode="External"/><Relationship Id="rId182" Type="http://schemas.openxmlformats.org/officeDocument/2006/relationships/hyperlink" Target="https://www.statista.com/statistics/273090/worldwide-sales-of-organic-foods-since-1999/" TargetMode="External"/><Relationship Id="rId187" Type="http://schemas.openxmlformats.org/officeDocument/2006/relationships/hyperlink" Target="file://campus/home/home2016/b4015811/Downloads/RES/version%20of%20thesis/THESIS/Sustaincoffee.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jpeg"/><Relationship Id="rId28" Type="http://schemas.openxmlformats.org/officeDocument/2006/relationships/hyperlink" Target="http://www.sustaincoffee.org" TargetMode="External"/><Relationship Id="rId49" Type="http://schemas.openxmlformats.org/officeDocument/2006/relationships/image" Target="media/image32.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hyperlink" Target="http://chorusanalytics.co.uk/" TargetMode="External"/><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hyperlink" Target="https://doi.org/10.1086/209052" TargetMode="External"/><Relationship Id="rId135" Type="http://schemas.openxmlformats.org/officeDocument/2006/relationships/hyperlink" Target="https://doi.org/10.1086/208935" TargetMode="External"/><Relationship Id="rId151" Type="http://schemas.openxmlformats.org/officeDocument/2006/relationships/hyperlink" Target="https://doi.org/10.1509%2Fjm.14.0249" TargetMode="External"/><Relationship Id="rId156" Type="http://schemas.openxmlformats.org/officeDocument/2006/relationships/hyperlink" Target="https://www.marketingweek.com/consumer-trust-in-brands-on-social-media-falls-as-line-between-marketing-and-non-commercial-blurs/" TargetMode="External"/><Relationship Id="rId177" Type="http://schemas.openxmlformats.org/officeDocument/2006/relationships/hyperlink" Target="https://www.statista.com/statistics/590912/care-for-environment-increases-consumer-demand-for-sustainable-products-by-region/" TargetMode="External"/><Relationship Id="rId198" Type="http://schemas.openxmlformats.org/officeDocument/2006/relationships/hyperlink" Target="https://www.independent.co.uk/life-style/fashion/hm-conscious-exclusive-2018-collection-sustainable-organic-a8322011.html" TargetMode="External"/><Relationship Id="rId172" Type="http://schemas.openxmlformats.org/officeDocument/2006/relationships/hyperlink" Target="https://doi.org/10.1080/00913367.1995.10673475" TargetMode="External"/><Relationship Id="rId193" Type="http://schemas.openxmlformats.org/officeDocument/2006/relationships/hyperlink" Target="https://www.unilad.co.uk/animals/iceland-selling-5-cuddly-rang-tans-to-help-orphans-after-banned-ad/" TargetMode="Externa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86.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hyperlink" Target="https://doi.org/10.1086/209063" TargetMode="External"/><Relationship Id="rId141" Type="http://schemas.openxmlformats.org/officeDocument/2006/relationships/hyperlink" Target="https://ethicalhour.co.uk/consumer-sustainability-trends-2021/" TargetMode="External"/><Relationship Id="rId146" Type="http://schemas.openxmlformats.org/officeDocument/2006/relationships/hyperlink" Target="https://www.greenpeace.org/international/press-release/19031/global-survey-reveals-fmcg-companies-contribution-to-plastic-pollution-crisis/" TargetMode="External"/><Relationship Id="rId167" Type="http://schemas.openxmlformats.org/officeDocument/2006/relationships/hyperlink" Target="https://doi.org/10.1080/0267257X.1992.9964186" TargetMode="External"/><Relationship Id="rId188" Type="http://schemas.openxmlformats.org/officeDocument/2006/relationships/hyperlink" Target="https://www.sustaincoffee.org/about/"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hyperlink" Target="http://nodexl.codeplex.com/" TargetMode="External"/><Relationship Id="rId183" Type="http://schemas.openxmlformats.org/officeDocument/2006/relationships/hyperlink" Target="https://www.statista.com/statistics/1234119/consumer-interest-in-sustainable-environmental-brands/"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11.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netlytic.org/index.php" TargetMode="External"/><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yperlink" Target="https://doi.org/10.1016/j.eist.2015.07.010" TargetMode="External"/><Relationship Id="rId136" Type="http://schemas.openxmlformats.org/officeDocument/2006/relationships/hyperlink" Target="https://doi.org/10.2753/JOA0091-3367390106" TargetMode="External"/><Relationship Id="rId157" Type="http://schemas.openxmlformats.org/officeDocument/2006/relationships/hyperlink" Target="http://web.b.ebscohost.com/ehost/pdfviewer/pdfviewer?vid=14&amp;sid=0ac6a5f6-a0be-4d5c-a00c-ce48d68f7924%40sessionmgr104" TargetMode="External"/><Relationship Id="rId178" Type="http://schemas.openxmlformats.org/officeDocument/2006/relationships/hyperlink" Target="https://www.statista.com/markets/424/topic/540/social-media-user-generated-content/" TargetMode="External"/><Relationship Id="rId61" Type="http://schemas.openxmlformats.org/officeDocument/2006/relationships/image" Target="media/image44.png"/><Relationship Id="rId82" Type="http://schemas.openxmlformats.org/officeDocument/2006/relationships/image" Target="media/image59.png"/><Relationship Id="rId152" Type="http://schemas.openxmlformats.org/officeDocument/2006/relationships/hyperlink" Target="https://www.autonews.com/article/20170408/RETAIL03/304109995/how-vw-fared-with-its-no-apology-ads" TargetMode="External"/><Relationship Id="rId173" Type="http://schemas.openxmlformats.org/officeDocument/2006/relationships/hyperlink" Target="https://doi.org/10.1016/j.ecolecon.2014.07.002" TargetMode="External"/><Relationship Id="rId194" Type="http://schemas.openxmlformats.org/officeDocument/2006/relationships/hyperlink" Target="https://www.thegrocer.co.uk/store-design/unpacked-a-closer-look-at-waitroses-plastic-free-trial/594188.article" TargetMode="External"/><Relationship Id="rId199" Type="http://schemas.openxmlformats.org/officeDocument/2006/relationships/fontTable" Target="fontTable.xml"/><Relationship Id="rId19" Type="http://schemas.openxmlformats.org/officeDocument/2006/relationships/hyperlink" Target="https://datatopics.worldbank.org" TargetMode="External"/><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yperlink" Target="https://www.bbc.co.uk/news/business-56916414?at_medium=custom7&amp;at_custom3=BBC+Family+%26+Education+News&amp;at_custom4=16A94762-A8C9-11EB-A030-E0BF923C408C&amp;at_custom1=%5Bpost+type%5D&amp;at_campaign=64&amp;at_custom2=facebook_page&amp;fbclid=IwAR15t-tWE0a27J-PB08UYiXxGA97cH9CI-wKi4gr4S59f3hnD1PBJN2CYAY" TargetMode="External"/><Relationship Id="rId147" Type="http://schemas.openxmlformats.org/officeDocument/2006/relationships/hyperlink" Target="https://www.theguardian.com/business/2021/apr/30/co-op-to-ditch-plastic-bags-for-life-over-pollution-concerns" TargetMode="External"/><Relationship Id="rId168" Type="http://schemas.openxmlformats.org/officeDocument/2006/relationships/hyperlink" Target="https://doi.org/10.1509%2Fjmkr.43.3.386"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hyperlink" Target="https://www.accenture.com/t20190201T104905Z__w__/us-en/_acnmedia/Thought-Leadership-Assets/PDF/Accenture-CompetitiveAgility-GCPR-POV.pdf" TargetMode="External"/><Relationship Id="rId142" Type="http://schemas.openxmlformats.org/officeDocument/2006/relationships/hyperlink" Target="https://www.europeanbusinessreview.com/sustainability-a-12-trillion-a-year-market-by-2030/" TargetMode="External"/><Relationship Id="rId163" Type="http://schemas.openxmlformats.org/officeDocument/2006/relationships/hyperlink" Target="https://doi.org/10.1108/" TargetMode="External"/><Relationship Id="rId184" Type="http://schemas.openxmlformats.org/officeDocument/2006/relationships/hyperlink" Target="https://doi.org/10.1007/s10551-006-9090-9" TargetMode="External"/><Relationship Id="rId189" Type="http://schemas.openxmlformats.org/officeDocument/2006/relationships/hyperlink" Target="https://tags.hawksey.info/" TargetMode="External"/><Relationship Id="rId3" Type="http://schemas.openxmlformats.org/officeDocument/2006/relationships/customXml" Target="../customXml/item3.xml"/><Relationship Id="rId25" Type="http://schemas.openxmlformats.org/officeDocument/2006/relationships/hyperlink" Target="http://www.weforum.org" TargetMode="External"/><Relationship Id="rId46" Type="http://schemas.openxmlformats.org/officeDocument/2006/relationships/image" Target="media/image29.png"/><Relationship Id="rId67" Type="http://schemas.openxmlformats.org/officeDocument/2006/relationships/hyperlink" Target="http://nodexl.codeplex.com/" TargetMode="External"/><Relationship Id="rId116" Type="http://schemas.openxmlformats.org/officeDocument/2006/relationships/image" Target="media/image93.png"/><Relationship Id="rId137" Type="http://schemas.openxmlformats.org/officeDocument/2006/relationships/hyperlink" Target="https://www.edelman.com/sites/g/files/aatuss191/files/2018-10/2018_Edelman_Earned_Brand_Executive_Summary_Brochure.pdf" TargetMode="External"/><Relationship Id="rId158" Type="http://schemas.openxmlformats.org/officeDocument/2006/relationships/hyperlink" Target="https://doi.org/10.1086/209044" TargetMode="External"/><Relationship Id="rId20" Type="http://schemas.openxmlformats.org/officeDocument/2006/relationships/footer" Target="footer1.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hyperlink" Target="https://psycnet.apa.org/doi/10.1037/13620-004" TargetMode="External"/><Relationship Id="rId153" Type="http://schemas.openxmlformats.org/officeDocument/2006/relationships/hyperlink" Target="http://search.ebscohost.com/login.aspx?direct=true&amp;db=bth&amp;AN=119960883&amp;site=bsi-live" TargetMode="External"/><Relationship Id="rId174" Type="http://schemas.openxmlformats.org/officeDocument/2006/relationships/hyperlink" Target="https://ssrn.com/abstract=2205186" TargetMode="External"/><Relationship Id="rId179" Type="http://schemas.openxmlformats.org/officeDocument/2006/relationships/hyperlink" Target="https://www.statista.com/statistics/295619/regional-distribution-of-social-media-users-worldwide/" TargetMode="External"/><Relationship Id="rId195" Type="http://schemas.openxmlformats.org/officeDocument/2006/relationships/hyperlink" Target="https://www.weforum.org/agenda/2018/03/companies-need-to-be-born-socially-responsible-here-s-why/" TargetMode="External"/><Relationship Id="rId190" Type="http://schemas.openxmlformats.org/officeDocument/2006/relationships/hyperlink" Target="http://pages.trackmaven.com/rs/251-LXF-778/images/Content-Paradox-Revisited.pdf" TargetMode="External"/><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3.png"/><Relationship Id="rId127" Type="http://schemas.openxmlformats.org/officeDocument/2006/relationships/hyperlink" Target="https://www.bcg.com/d/press/25october2017&#8211;total&#8211;societal&#8211;impact&#8211;174436"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yperlink" Target="http://web.b.ebscohost.com/ehost/pdfviewer/pdfviewer?vid=6&amp;sid=0ac6a5f6-a0be-4d5c-a00c-ce48d68f7924%40sessionmgr104" TargetMode="External"/><Relationship Id="rId143" Type="http://schemas.openxmlformats.org/officeDocument/2006/relationships/hyperlink" Target="https://doi.org/10.21714/tpa.v5i1.20254" TargetMode="External"/><Relationship Id="rId148" Type="http://schemas.openxmlformats.org/officeDocument/2006/relationships/hyperlink" Target="http://web.b.ebscohost.com/ehost/pdfviewer/pdfviewer?vid=4&amp;sid=b2b31452-0c7e-4ea9-8655-49a0fd63ba28%40pdc-v-sessmgr01" TargetMode="External"/><Relationship Id="rId164" Type="http://schemas.openxmlformats.org/officeDocument/2006/relationships/hyperlink" Target="https://doi.org/10.1016/j.jesp.2009.03.009" TargetMode="External"/><Relationship Id="rId169" Type="http://schemas.openxmlformats.org/officeDocument/2006/relationships/hyperlink" Target="https://ourworldindata.org/plastic-pollution" TargetMode="External"/><Relationship Id="rId185" Type="http://schemas.openxmlformats.org/officeDocument/2006/relationships/hyperlink" Target="https://doi.org/10.1086/20870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tatista.com/statistics/730428/tv-time-spent-worldwide/" TargetMode="External"/><Relationship Id="rId26" Type="http://schemas.openxmlformats.org/officeDocument/2006/relationships/hyperlink" Target="http://www.marketingweek.com" TargetMode="External"/><Relationship Id="rId47" Type="http://schemas.openxmlformats.org/officeDocument/2006/relationships/image" Target="media/image30.png"/><Relationship Id="rId68" Type="http://schemas.openxmlformats.org/officeDocument/2006/relationships/hyperlink" Target="http://www.bcg.com" TargetMode="External"/><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http://chorusanalytics.co.uk/" TargetMode="External"/><Relationship Id="rId154" Type="http://schemas.openxmlformats.org/officeDocument/2006/relationships/hyperlink" Target="https://doi.org/10.1177%2F002224378602300205" TargetMode="External"/><Relationship Id="rId175" Type="http://schemas.openxmlformats.org/officeDocument/2006/relationships/hyperlink" Target="https://dx.doi.org/10.2139/ssrn.22051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6a400f-54db-42ae-813e-29c8da04758c">
      <Terms xmlns="http://schemas.microsoft.com/office/infopath/2007/PartnerControls"/>
    </lcf76f155ced4ddcb4097134ff3c332f>
    <TaxCatchAll xmlns="31c2d729-496c-4861-aa0f-b4dfc7ee66cd" xsi:nil="true"/>
    <SharedWithUsers xmlns="31c2d729-496c-4861-aa0f-b4dfc7ee66cd">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C7168665BE6241BAAA64A9C1B96148" ma:contentTypeVersion="16" ma:contentTypeDescription="Create a new document." ma:contentTypeScope="" ma:versionID="5b1e33054abc45ddfd808bb1e976b1a8">
  <xsd:schema xmlns:xsd="http://www.w3.org/2001/XMLSchema" xmlns:xs="http://www.w3.org/2001/XMLSchema" xmlns:p="http://schemas.microsoft.com/office/2006/metadata/properties" xmlns:ns2="6b6a400f-54db-42ae-813e-29c8da04758c" xmlns:ns3="31c2d729-496c-4861-aa0f-b4dfc7ee66cd" targetNamespace="http://schemas.microsoft.com/office/2006/metadata/properties" ma:root="true" ma:fieldsID="7a9e4ac4a51095e8d09d7ea20d1bf5b4" ns2:_="" ns3:_="">
    <xsd:import namespace="6b6a400f-54db-42ae-813e-29c8da04758c"/>
    <xsd:import namespace="31c2d729-496c-4861-aa0f-b4dfc7ee66cd"/>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a400f-54db-42ae-813e-29c8da047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a7a97d3-a1e8-4e72-aadf-490c0711cb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2d729-496c-4861-aa0f-b4dfc7ee66c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3ddfc1a-d551-4cec-a2cd-a27c34fbc63a}" ma:internalName="TaxCatchAll" ma:showField="CatchAllData" ma:web="31c2d729-496c-4861-aa0f-b4dfc7ee66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9C7DC7-1329-4C36-A418-4E15B1FB5D6C}">
  <ds:schemaRefs>
    <ds:schemaRef ds:uri="http://schemas.microsoft.com/office/2006/metadata/properties"/>
    <ds:schemaRef ds:uri="http://schemas.microsoft.com/office/infopath/2007/PartnerControls"/>
    <ds:schemaRef ds:uri="6b6a400f-54db-42ae-813e-29c8da04758c"/>
    <ds:schemaRef ds:uri="31c2d729-496c-4861-aa0f-b4dfc7ee66cd"/>
  </ds:schemaRefs>
</ds:datastoreItem>
</file>

<file path=customXml/itemProps2.xml><?xml version="1.0" encoding="utf-8"?>
<ds:datastoreItem xmlns:ds="http://schemas.openxmlformats.org/officeDocument/2006/customXml" ds:itemID="{B8F743DF-AE8D-4561-83F1-81A4BD933488}">
  <ds:schemaRefs>
    <ds:schemaRef ds:uri="http://schemas.openxmlformats.org/officeDocument/2006/bibliography"/>
  </ds:schemaRefs>
</ds:datastoreItem>
</file>

<file path=customXml/itemProps3.xml><?xml version="1.0" encoding="utf-8"?>
<ds:datastoreItem xmlns:ds="http://schemas.openxmlformats.org/officeDocument/2006/customXml" ds:itemID="{EDDFC40E-AFD1-486B-948F-DA349E1F1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a400f-54db-42ae-813e-29c8da04758c"/>
    <ds:schemaRef ds:uri="31c2d729-496c-4861-aa0f-b4dfc7ee6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4698B-06A4-4624-B96A-2E6DDC96A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5108</TotalTime>
  <Pages>49</Pages>
  <Words>94818</Words>
  <Characters>540467</Characters>
  <Application>Microsoft Office Word</Application>
  <DocSecurity>0</DocSecurity>
  <Lines>4503</Lines>
  <Paragraphs>1268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Nuzhat Nuery (PGR)</dc:creator>
  <cp:keywords/>
  <dc:description/>
  <cp:lastModifiedBy>Louise Sarginson Hunt</cp:lastModifiedBy>
  <cp:revision>1640</cp:revision>
  <cp:lastPrinted>2021-10-14T09:14:00Z</cp:lastPrinted>
  <dcterms:created xsi:type="dcterms:W3CDTF">2022-04-01T15:48:00Z</dcterms:created>
  <dcterms:modified xsi:type="dcterms:W3CDTF">2023-11-22T10:37:00Z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0x01010064C7168665BE6241BAAA64A9C1B96148</vt:lpwstr>
  </property>
  <property fmtid="{D5CDD505-2E9C-101B-9397-08002B2CF9AE}" pid="3" name="Order">
    <vt:r8>366600</vt:r8>
  </property>
  <property fmtid="{D5CDD505-2E9C-101B-9397-08002B2CF9AE}" pid="4" name="xd_Signature">
    <vt:bool>false</vt:bool>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ColorTag">
    <vt:lpwstr/>
  </property>
  <property fmtid="{D5CDD505-2E9C-101B-9397-08002B2CF9AE}" pid="12" name="TriggerFlowInfo">
    <vt:lpwstr/>
  </property>
  <property fmtid="{D5CDD505-2E9C-101B-9397-08002B2CF9AE}" pid="13" name="MediaServiceImageTags">
    <vt:lpwstr/>
  </property>
</Properties>
</file>